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bookmarkStart w:id="0" w:name="_GoBack"/>
            <w:bookmarkEnd w:id="0"/>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894DC3" w:rsidP="00894DC3">
            <w:pPr>
              <w:rPr>
                <w:b/>
                <w:bCs/>
                <w:sz w:val="20"/>
                <w:szCs w:val="20"/>
              </w:rPr>
            </w:pPr>
            <w:r w:rsidRPr="00894DC3">
              <w:rPr>
                <w:b/>
                <w:bCs/>
                <w:sz w:val="20"/>
                <w:szCs w:val="20"/>
              </w:rPr>
              <w:t>Smernica Európskeho parlamentu a Rady 2009/73/ES z 13. júla 2009 o spoločných pravidlách pre vnútorný trh so zemným plynom, ktorou sa zrušuje smernica 2003/55/ES</w:t>
            </w:r>
          </w:p>
        </w:tc>
        <w:tc>
          <w:tcPr>
            <w:tcW w:w="9900" w:type="dxa"/>
            <w:gridSpan w:val="5"/>
            <w:tcBorders>
              <w:top w:val="single" w:sz="4" w:space="0" w:color="auto"/>
              <w:left w:val="nil"/>
              <w:bottom w:val="single" w:sz="4" w:space="0" w:color="auto"/>
              <w:right w:val="single" w:sz="4" w:space="0" w:color="auto"/>
            </w:tcBorders>
            <w:vAlign w:val="center"/>
          </w:tcPr>
          <w:p w:rsidR="004D4E75" w:rsidRDefault="004D4E75" w:rsidP="00E80F62">
            <w:pPr>
              <w:rPr>
                <w:b/>
                <w:bCs/>
                <w:sz w:val="20"/>
                <w:szCs w:val="20"/>
              </w:rPr>
            </w:pPr>
            <w:r>
              <w:rPr>
                <w:b/>
                <w:bCs/>
                <w:sz w:val="20"/>
                <w:szCs w:val="20"/>
              </w:rPr>
              <w:t>Zákon č. 250/2012 Z. z. o regulácii v sieťových odvetviach</w:t>
            </w:r>
          </w:p>
          <w:p w:rsidR="00410142" w:rsidRDefault="00E80F62" w:rsidP="00E80F62">
            <w:pPr>
              <w:rPr>
                <w:b/>
                <w:bCs/>
                <w:sz w:val="20"/>
                <w:szCs w:val="20"/>
              </w:rPr>
            </w:pPr>
            <w:r>
              <w:rPr>
                <w:b/>
                <w:bCs/>
                <w:sz w:val="20"/>
                <w:szCs w:val="20"/>
              </w:rPr>
              <w:t>Z</w:t>
            </w:r>
            <w:r w:rsidR="00410142" w:rsidRPr="00EE5D28">
              <w:rPr>
                <w:b/>
                <w:bCs/>
                <w:sz w:val="20"/>
                <w:szCs w:val="20"/>
              </w:rPr>
              <w:t>ákon</w:t>
            </w:r>
            <w:r w:rsidR="00410142">
              <w:rPr>
                <w:b/>
                <w:bCs/>
                <w:sz w:val="20"/>
                <w:szCs w:val="20"/>
              </w:rPr>
              <w:t xml:space="preserve"> č. 251/2012 Z. z. o energetike a o zmene a doplnení niektorých zákonov</w:t>
            </w:r>
          </w:p>
          <w:p w:rsidR="007D0347" w:rsidRPr="00EE5D28" w:rsidRDefault="007D0347" w:rsidP="00E80F62">
            <w:pPr>
              <w:rPr>
                <w:b/>
                <w:bCs/>
                <w:sz w:val="20"/>
                <w:szCs w:val="20"/>
              </w:rPr>
            </w:pPr>
            <w:r w:rsidRPr="00EE5D28">
              <w:rPr>
                <w:b/>
                <w:bCs/>
                <w:sz w:val="20"/>
                <w:szCs w:val="20"/>
              </w:rPr>
              <w:t>Návrh zákona</w:t>
            </w:r>
            <w:r w:rsidR="00E80F62">
              <w:rPr>
                <w:b/>
                <w:bCs/>
                <w:sz w:val="20"/>
                <w:szCs w:val="20"/>
              </w:rPr>
              <w:t xml:space="preserve">, </w:t>
            </w:r>
            <w:r w:rsidR="00E80F62" w:rsidRPr="00E80F62">
              <w:rPr>
                <w:b/>
                <w:bCs/>
                <w:sz w:val="20"/>
                <w:szCs w:val="20"/>
              </w:rPr>
              <w:t>ktorým sa menia a dopĺňajú niektoré zákony v súvislosti so zlepšovaním podnikateľského prostredia</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080"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080"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900"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E2744B">
            <w:pPr>
              <w:pStyle w:val="Normlny0"/>
              <w:jc w:val="both"/>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E2744B" w:rsidRPr="00EE5D28" w:rsidTr="00AA19E1">
        <w:tc>
          <w:tcPr>
            <w:tcW w:w="1005" w:type="dxa"/>
            <w:tcBorders>
              <w:top w:val="single" w:sz="4" w:space="0" w:color="auto"/>
              <w:left w:val="single" w:sz="12" w:space="0" w:color="auto"/>
              <w:bottom w:val="single" w:sz="4" w:space="0" w:color="auto"/>
              <w:right w:val="single" w:sz="4" w:space="0" w:color="auto"/>
            </w:tcBorders>
          </w:tcPr>
          <w:p w:rsidR="009B2487" w:rsidRPr="003F2A06" w:rsidRDefault="009B2487" w:rsidP="009B2487">
            <w:pPr>
              <w:pStyle w:val="Normlny0"/>
            </w:pPr>
            <w:r w:rsidRPr="003F2A06">
              <w:t>Čl. 41</w:t>
            </w:r>
          </w:p>
          <w:p w:rsidR="009B2487" w:rsidRPr="003F2A06" w:rsidRDefault="009B2487" w:rsidP="00894DC3">
            <w:pPr>
              <w:pStyle w:val="Normlny0"/>
            </w:pPr>
            <w:r w:rsidRPr="003F2A06">
              <w:t>O:4</w:t>
            </w:r>
          </w:p>
          <w:p w:rsidR="009B2487" w:rsidRPr="003F2A06" w:rsidRDefault="009B2487" w:rsidP="00894DC3">
            <w:pPr>
              <w:pStyle w:val="Normlny0"/>
            </w:pPr>
            <w:r w:rsidRPr="003F2A06">
              <w:t>P:b</w:t>
            </w: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Default="009B2487" w:rsidP="00894DC3">
            <w:pPr>
              <w:pStyle w:val="Normlny0"/>
            </w:pPr>
          </w:p>
          <w:p w:rsidR="00865D6D" w:rsidRPr="003F2A06" w:rsidRDefault="00865D6D"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894DC3" w:rsidRPr="003F2A06" w:rsidRDefault="00894DC3" w:rsidP="00894DC3">
            <w:pPr>
              <w:pStyle w:val="Normlny0"/>
            </w:pPr>
            <w:r w:rsidRPr="003F2A06">
              <w:t>Čl. 41</w:t>
            </w:r>
          </w:p>
          <w:p w:rsidR="00894DC3" w:rsidRPr="003F2A06" w:rsidRDefault="00894DC3" w:rsidP="00894DC3">
            <w:pPr>
              <w:pStyle w:val="Normlny0"/>
            </w:pPr>
            <w:r w:rsidRPr="003F2A06">
              <w:t>O:10</w:t>
            </w:r>
          </w:p>
          <w:p w:rsidR="00894DC3" w:rsidRPr="003F2A06" w:rsidRDefault="00894DC3" w:rsidP="00894DC3">
            <w:pPr>
              <w:pStyle w:val="Normlny0"/>
            </w:pPr>
            <w:r w:rsidRPr="003F2A06">
              <w:t>V:1</w:t>
            </w: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Default="00894DC3" w:rsidP="00894DC3">
            <w:pPr>
              <w:pStyle w:val="Normlny0"/>
            </w:pPr>
          </w:p>
          <w:p w:rsidR="00865D6D" w:rsidRDefault="00865D6D" w:rsidP="00894DC3">
            <w:pPr>
              <w:pStyle w:val="Normlny0"/>
            </w:pPr>
          </w:p>
          <w:p w:rsidR="00865D6D" w:rsidRPr="003F2A06" w:rsidRDefault="00865D6D"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894DC3" w:rsidRPr="003F2A06" w:rsidRDefault="00894DC3" w:rsidP="00894DC3">
            <w:pPr>
              <w:pStyle w:val="Normlny0"/>
            </w:pPr>
          </w:p>
          <w:p w:rsidR="007E1B25" w:rsidRPr="003F2A06" w:rsidRDefault="00894DC3" w:rsidP="00865D6D">
            <w:pPr>
              <w:pStyle w:val="Normlny0"/>
            </w:pPr>
            <w:r w:rsidRPr="003F2A06">
              <w:t>V.2</w:t>
            </w:r>
          </w:p>
        </w:tc>
        <w:tc>
          <w:tcPr>
            <w:tcW w:w="3421" w:type="dxa"/>
            <w:tcBorders>
              <w:top w:val="single" w:sz="4" w:space="0" w:color="auto"/>
              <w:left w:val="single" w:sz="4" w:space="0" w:color="auto"/>
              <w:bottom w:val="single" w:sz="4" w:space="0" w:color="auto"/>
              <w:right w:val="single" w:sz="4" w:space="0" w:color="auto"/>
            </w:tcBorders>
          </w:tcPr>
          <w:p w:rsidR="009B2487" w:rsidRPr="003F2A06" w:rsidRDefault="009B2487" w:rsidP="009B2487">
            <w:pPr>
              <w:pStyle w:val="Point1"/>
              <w:spacing w:before="0" w:after="0" w:line="240" w:lineRule="auto"/>
              <w:ind w:left="0" w:firstLine="0"/>
              <w:jc w:val="both"/>
              <w:rPr>
                <w:sz w:val="20"/>
                <w:szCs w:val="20"/>
              </w:rPr>
            </w:pPr>
            <w:r w:rsidRPr="003F2A06">
              <w:rPr>
                <w:sz w:val="20"/>
                <w:szCs w:val="20"/>
              </w:rPr>
              <w:t>b) skúmať fungovanie trhov s plynom a rozhodovať o všetkých potrebných a primeraných opatreniach na podporu skutočnej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s regulátormi finančného trhu alebo Komisiou;</w:t>
            </w:r>
          </w:p>
          <w:p w:rsidR="009B2487" w:rsidRPr="003F2A06" w:rsidRDefault="009B2487" w:rsidP="00894DC3">
            <w:pPr>
              <w:pStyle w:val="tl10ptPodaokraja"/>
              <w:numPr>
                <w:ilvl w:val="0"/>
                <w:numId w:val="15"/>
              </w:numPr>
              <w:autoSpaceDE/>
              <w:autoSpaceDN/>
              <w:ind w:right="63"/>
            </w:pPr>
          </w:p>
          <w:p w:rsidR="00894DC3" w:rsidRPr="003F2A06" w:rsidRDefault="00894DC3" w:rsidP="00894DC3">
            <w:pPr>
              <w:pStyle w:val="tl10ptPodaokraja"/>
              <w:numPr>
                <w:ilvl w:val="0"/>
                <w:numId w:val="15"/>
              </w:numPr>
              <w:autoSpaceDE/>
              <w:autoSpaceDN/>
              <w:ind w:right="63"/>
            </w:pPr>
            <w:r w:rsidRPr="003F2A06">
              <w:t xml:space="preserve">Regulačné orgány majú právomoc v prípade potreby od prevádzkovateľov prepravných a distribučných sietí, zásobníkov a zariadení LNG vyžadovať, aby upravili podmienky vrátane taríf a metodík uvedených v tomto článku s cieľom zabezpečiť ich primeranosť a uplatňovanie nediskriminačným spôsobom. V prípade, že je režim prístupu do zásobníkov vymedzený podľa článku 33 ods. 3, ich úloha nezahŕňa úpravy taríf. </w:t>
            </w:r>
          </w:p>
          <w:p w:rsidR="00894DC3" w:rsidRPr="003F2A06" w:rsidRDefault="00894DC3" w:rsidP="00894DC3">
            <w:pPr>
              <w:pStyle w:val="tl10ptPodaokraja"/>
              <w:numPr>
                <w:ilvl w:val="0"/>
                <w:numId w:val="15"/>
              </w:numPr>
              <w:autoSpaceDE/>
              <w:autoSpaceDN/>
              <w:ind w:right="63"/>
            </w:pPr>
          </w:p>
          <w:p w:rsidR="00E2744B" w:rsidRPr="003F2A06" w:rsidRDefault="00894DC3" w:rsidP="00894DC3">
            <w:pPr>
              <w:pStyle w:val="tl10ptPodaokraja"/>
              <w:numPr>
                <w:ilvl w:val="0"/>
                <w:numId w:val="15"/>
              </w:numPr>
              <w:autoSpaceDE/>
              <w:autoSpaceDN/>
              <w:ind w:right="63"/>
            </w:pPr>
            <w:r w:rsidRPr="003F2A06">
              <w:t>Regulačné orgány majú v prípade oneskorenia pri stanovovaní prepravných a distribučných taríf právomoc stanoviť alebo schváliť predbežné prepravné a distribučné tarify alebo metodiky a rozhodnúť o vhodných kompenzačných opatreniach, ak sa konečné tarify alebo metodiky líšia od týchto predbežných taríf alebo metodík.</w:t>
            </w:r>
          </w:p>
        </w:tc>
        <w:tc>
          <w:tcPr>
            <w:tcW w:w="794" w:type="dxa"/>
            <w:tcBorders>
              <w:top w:val="single" w:sz="4" w:space="0" w:color="auto"/>
              <w:left w:val="single" w:sz="4" w:space="0" w:color="auto"/>
              <w:bottom w:val="single" w:sz="4" w:space="0" w:color="auto"/>
              <w:right w:val="single" w:sz="12" w:space="0" w:color="auto"/>
            </w:tcBorders>
          </w:tcPr>
          <w:p w:rsidR="00E2744B" w:rsidRPr="003F2A06" w:rsidRDefault="00E2744B" w:rsidP="00E2744B">
            <w:pPr>
              <w:jc w:val="center"/>
              <w:rPr>
                <w:sz w:val="20"/>
                <w:szCs w:val="20"/>
                <w:highlight w:val="yellow"/>
              </w:rPr>
            </w:pPr>
            <w:r w:rsidRPr="003F2A06">
              <w:rPr>
                <w:sz w:val="20"/>
                <w:szCs w:val="20"/>
              </w:rPr>
              <w:t>N</w:t>
            </w:r>
          </w:p>
        </w:tc>
        <w:tc>
          <w:tcPr>
            <w:tcW w:w="1080" w:type="dxa"/>
            <w:tcBorders>
              <w:top w:val="single" w:sz="4" w:space="0" w:color="auto"/>
              <w:left w:val="nil"/>
              <w:bottom w:val="single" w:sz="4" w:space="0" w:color="auto"/>
              <w:right w:val="single" w:sz="4" w:space="0" w:color="auto"/>
            </w:tcBorders>
          </w:tcPr>
          <w:p w:rsidR="004D4E75" w:rsidRPr="003F2A06" w:rsidRDefault="004D4E75" w:rsidP="00E2744B">
            <w:pPr>
              <w:jc w:val="center"/>
              <w:rPr>
                <w:sz w:val="20"/>
                <w:szCs w:val="20"/>
              </w:rPr>
            </w:pPr>
            <w:r w:rsidRPr="003F2A06">
              <w:rPr>
                <w:sz w:val="20"/>
                <w:szCs w:val="20"/>
              </w:rPr>
              <w:t>Zákon č. 250/2012</w:t>
            </w:r>
          </w:p>
          <w:p w:rsidR="004D4E75" w:rsidRPr="003F2A06" w:rsidRDefault="004D4E75" w:rsidP="00E2744B">
            <w:pPr>
              <w:jc w:val="center"/>
              <w:rPr>
                <w:sz w:val="20"/>
                <w:szCs w:val="20"/>
              </w:rPr>
            </w:pPr>
          </w:p>
          <w:p w:rsidR="004D4E75" w:rsidRPr="003F2A06" w:rsidRDefault="004D4E75" w:rsidP="00E2744B">
            <w:pPr>
              <w:jc w:val="center"/>
              <w:rPr>
                <w:sz w:val="20"/>
                <w:szCs w:val="20"/>
              </w:rPr>
            </w:pPr>
          </w:p>
          <w:p w:rsidR="004D4E75" w:rsidRPr="003F2A06" w:rsidRDefault="004D4E75" w:rsidP="00E2744B">
            <w:pPr>
              <w:jc w:val="center"/>
              <w:rPr>
                <w:sz w:val="20"/>
                <w:szCs w:val="20"/>
              </w:rPr>
            </w:pPr>
          </w:p>
          <w:p w:rsidR="00A26FF2" w:rsidRPr="003F2A06" w:rsidRDefault="00A26FF2" w:rsidP="00E2744B">
            <w:pPr>
              <w:jc w:val="center"/>
              <w:rPr>
                <w:sz w:val="20"/>
                <w:szCs w:val="20"/>
              </w:rPr>
            </w:pPr>
          </w:p>
          <w:p w:rsidR="00A26FF2" w:rsidRDefault="00A26FF2" w:rsidP="00E2744B">
            <w:pPr>
              <w:jc w:val="center"/>
              <w:rPr>
                <w:sz w:val="20"/>
                <w:szCs w:val="20"/>
              </w:rPr>
            </w:pPr>
          </w:p>
          <w:p w:rsidR="00865D6D" w:rsidRDefault="00865D6D" w:rsidP="00E2744B">
            <w:pPr>
              <w:jc w:val="center"/>
              <w:rPr>
                <w:sz w:val="20"/>
                <w:szCs w:val="20"/>
              </w:rPr>
            </w:pPr>
          </w:p>
          <w:p w:rsidR="00865D6D" w:rsidRPr="003F2A06" w:rsidRDefault="00865D6D" w:rsidP="00E2744B">
            <w:pPr>
              <w:jc w:val="center"/>
              <w:rPr>
                <w:sz w:val="20"/>
                <w:szCs w:val="20"/>
              </w:rPr>
            </w:pPr>
          </w:p>
          <w:p w:rsidR="00A26FF2" w:rsidRPr="003F2A06" w:rsidRDefault="00A26FF2" w:rsidP="00E2744B">
            <w:pPr>
              <w:jc w:val="center"/>
              <w:rPr>
                <w:sz w:val="20"/>
                <w:szCs w:val="20"/>
              </w:rPr>
            </w:pPr>
          </w:p>
          <w:p w:rsidR="00A26FF2" w:rsidRPr="003F2A06" w:rsidRDefault="00A26FF2" w:rsidP="00E2744B">
            <w:pPr>
              <w:jc w:val="center"/>
              <w:rPr>
                <w:sz w:val="20"/>
                <w:szCs w:val="20"/>
              </w:rPr>
            </w:pPr>
          </w:p>
          <w:p w:rsidR="00A26FF2" w:rsidRPr="003F2A06" w:rsidRDefault="00A26FF2" w:rsidP="00E2744B">
            <w:pPr>
              <w:jc w:val="center"/>
              <w:rPr>
                <w:sz w:val="20"/>
                <w:szCs w:val="20"/>
              </w:rPr>
            </w:pPr>
          </w:p>
          <w:p w:rsidR="00A26FF2" w:rsidRPr="003F2A06" w:rsidRDefault="00A26FF2" w:rsidP="00E2744B">
            <w:pPr>
              <w:jc w:val="center"/>
              <w:rPr>
                <w:sz w:val="20"/>
                <w:szCs w:val="20"/>
              </w:rPr>
            </w:pPr>
          </w:p>
          <w:p w:rsidR="00E2744B" w:rsidRPr="003F2A06" w:rsidRDefault="00AD6B28" w:rsidP="00A26FF2">
            <w:pPr>
              <w:jc w:val="center"/>
              <w:rPr>
                <w:sz w:val="20"/>
                <w:szCs w:val="20"/>
                <w:highlight w:val="yellow"/>
              </w:rPr>
            </w:pPr>
            <w:r w:rsidRPr="003F2A06">
              <w:rPr>
                <w:sz w:val="20"/>
                <w:szCs w:val="20"/>
              </w:rPr>
              <w:t>Zákon č.</w:t>
            </w:r>
            <w:r w:rsidR="00510592" w:rsidRPr="003F2A06">
              <w:rPr>
                <w:sz w:val="20"/>
                <w:szCs w:val="20"/>
              </w:rPr>
              <w:t xml:space="preserve"> 25</w:t>
            </w:r>
            <w:r w:rsidR="00A26FF2" w:rsidRPr="003F2A06">
              <w:rPr>
                <w:sz w:val="20"/>
                <w:szCs w:val="20"/>
              </w:rPr>
              <w:t>0</w:t>
            </w:r>
            <w:r w:rsidR="00510592" w:rsidRPr="003F2A06">
              <w:rPr>
                <w:sz w:val="20"/>
                <w:szCs w:val="20"/>
              </w:rPr>
              <w:t>/2012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4E75" w:rsidRPr="003F2A06" w:rsidRDefault="009B2487" w:rsidP="00FB7ED8">
            <w:pPr>
              <w:rPr>
                <w:sz w:val="20"/>
                <w:szCs w:val="20"/>
              </w:rPr>
            </w:pPr>
            <w:r w:rsidRPr="003F2A06">
              <w:rPr>
                <w:sz w:val="20"/>
                <w:szCs w:val="20"/>
              </w:rPr>
              <w:t xml:space="preserve">§ 36 ods. 1 písm. </w:t>
            </w:r>
            <w:proofErr w:type="spellStart"/>
            <w:r w:rsidRPr="003F2A06">
              <w:rPr>
                <w:sz w:val="20"/>
                <w:szCs w:val="20"/>
              </w:rPr>
              <w:t>aa</w:t>
            </w:r>
            <w:proofErr w:type="spellEnd"/>
            <w:r w:rsidRPr="003F2A06">
              <w:rPr>
                <w:sz w:val="20"/>
                <w:szCs w:val="20"/>
              </w:rPr>
              <w:t>)</w:t>
            </w:r>
          </w:p>
          <w:p w:rsidR="004D4E75" w:rsidRPr="003F2A06" w:rsidRDefault="004D4E75" w:rsidP="00FB7ED8">
            <w:pPr>
              <w:rPr>
                <w:sz w:val="20"/>
                <w:szCs w:val="20"/>
              </w:rPr>
            </w:pPr>
          </w:p>
          <w:p w:rsidR="00A26FF2" w:rsidRPr="003F2A06" w:rsidRDefault="00A26FF2" w:rsidP="00FB7ED8">
            <w:pPr>
              <w:rPr>
                <w:sz w:val="20"/>
                <w:szCs w:val="20"/>
              </w:rPr>
            </w:pPr>
          </w:p>
          <w:p w:rsidR="00A26FF2" w:rsidRDefault="00A26FF2" w:rsidP="00FB7ED8">
            <w:pPr>
              <w:rPr>
                <w:sz w:val="20"/>
                <w:szCs w:val="20"/>
              </w:rPr>
            </w:pPr>
          </w:p>
          <w:p w:rsidR="00865D6D" w:rsidRDefault="00865D6D" w:rsidP="00FB7ED8">
            <w:pPr>
              <w:rPr>
                <w:sz w:val="20"/>
                <w:szCs w:val="20"/>
              </w:rPr>
            </w:pPr>
          </w:p>
          <w:p w:rsidR="00865D6D" w:rsidRPr="003F2A06" w:rsidRDefault="00865D6D" w:rsidP="00FB7ED8">
            <w:pPr>
              <w:rPr>
                <w:sz w:val="20"/>
                <w:szCs w:val="20"/>
              </w:rPr>
            </w:pPr>
          </w:p>
          <w:p w:rsidR="00A26FF2" w:rsidRPr="003F2A06" w:rsidRDefault="00A26FF2" w:rsidP="00FB7ED8">
            <w:pPr>
              <w:rPr>
                <w:sz w:val="20"/>
                <w:szCs w:val="20"/>
              </w:rPr>
            </w:pPr>
          </w:p>
          <w:p w:rsidR="00A26FF2" w:rsidRPr="003F2A06" w:rsidRDefault="00A26FF2" w:rsidP="00FB7ED8">
            <w:pPr>
              <w:rPr>
                <w:sz w:val="20"/>
                <w:szCs w:val="20"/>
              </w:rPr>
            </w:pPr>
          </w:p>
          <w:p w:rsidR="00A26FF2" w:rsidRPr="003F2A06" w:rsidRDefault="00A26FF2" w:rsidP="00FB7ED8">
            <w:pPr>
              <w:rPr>
                <w:sz w:val="20"/>
                <w:szCs w:val="20"/>
              </w:rPr>
            </w:pPr>
          </w:p>
          <w:p w:rsidR="00A26FF2" w:rsidRPr="003F2A06" w:rsidRDefault="00A26FF2" w:rsidP="00FB7ED8">
            <w:pPr>
              <w:rPr>
                <w:sz w:val="20"/>
                <w:szCs w:val="20"/>
              </w:rPr>
            </w:pPr>
          </w:p>
          <w:p w:rsidR="009B2487" w:rsidRPr="003F2A06" w:rsidRDefault="009B2487" w:rsidP="00FB7ED8">
            <w:pPr>
              <w:rPr>
                <w:sz w:val="20"/>
                <w:szCs w:val="20"/>
              </w:rPr>
            </w:pPr>
          </w:p>
          <w:p w:rsidR="00E2744B" w:rsidRPr="003F2A06" w:rsidRDefault="00A26FF2" w:rsidP="00FB7ED8">
            <w:pPr>
              <w:rPr>
                <w:sz w:val="20"/>
                <w:szCs w:val="20"/>
              </w:rPr>
            </w:pPr>
            <w:r w:rsidRPr="003F2A06">
              <w:rPr>
                <w:sz w:val="20"/>
                <w:szCs w:val="20"/>
              </w:rPr>
              <w:t>§ 14 ods. 12 a § 17 ods. 2 písm. d)</w:t>
            </w:r>
          </w:p>
        </w:tc>
        <w:tc>
          <w:tcPr>
            <w:tcW w:w="4540" w:type="dxa"/>
            <w:tcBorders>
              <w:top w:val="single" w:sz="4" w:space="0" w:color="auto"/>
              <w:left w:val="single" w:sz="4" w:space="0" w:color="auto"/>
              <w:bottom w:val="single" w:sz="4" w:space="0" w:color="auto"/>
              <w:right w:val="single" w:sz="4" w:space="0" w:color="auto"/>
            </w:tcBorders>
          </w:tcPr>
          <w:p w:rsidR="00E2744B" w:rsidRPr="003F2A06" w:rsidRDefault="00E2744B" w:rsidP="00E2744B">
            <w:pPr>
              <w:adjustRightInd w:val="0"/>
              <w:jc w:val="both"/>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E2744B" w:rsidRPr="003F2A06" w:rsidRDefault="00E2744B" w:rsidP="00E2744B">
            <w:pPr>
              <w:jc w:val="center"/>
              <w:rPr>
                <w:sz w:val="20"/>
                <w:szCs w:val="20"/>
              </w:rPr>
            </w:pPr>
            <w:r w:rsidRPr="003F2A06">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E2744B" w:rsidRPr="003F2A06" w:rsidRDefault="00E2744B" w:rsidP="00E2744B">
            <w:pPr>
              <w:rPr>
                <w:sz w:val="20"/>
                <w:szCs w:val="20"/>
              </w:rPr>
            </w:pPr>
          </w:p>
        </w:tc>
      </w:tr>
    </w:tbl>
    <w:p w:rsidR="00410142" w:rsidRPr="00EE5D28" w:rsidRDefault="00410142" w:rsidP="00410142">
      <w:pPr>
        <w:ind w:left="360" w:hanging="360"/>
        <w:rPr>
          <w:sz w:val="20"/>
          <w:szCs w:val="20"/>
        </w:rPr>
      </w:pPr>
      <w:r w:rsidRPr="00EE5D28">
        <w:rPr>
          <w:sz w:val="20"/>
          <w:szCs w:val="20"/>
        </w:rPr>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60E5"/>
    <w:rsid w:val="00067D9B"/>
    <w:rsid w:val="00070151"/>
    <w:rsid w:val="000741F8"/>
    <w:rsid w:val="000B4DD6"/>
    <w:rsid w:val="000C2FBF"/>
    <w:rsid w:val="000C3FD0"/>
    <w:rsid w:val="000E65D1"/>
    <w:rsid w:val="000E788A"/>
    <w:rsid w:val="00104127"/>
    <w:rsid w:val="00113CDD"/>
    <w:rsid w:val="001407F2"/>
    <w:rsid w:val="00146C83"/>
    <w:rsid w:val="00175335"/>
    <w:rsid w:val="00176579"/>
    <w:rsid w:val="00194652"/>
    <w:rsid w:val="0019694B"/>
    <w:rsid w:val="00197291"/>
    <w:rsid w:val="001C2521"/>
    <w:rsid w:val="001E34BD"/>
    <w:rsid w:val="001F30D7"/>
    <w:rsid w:val="00224F9E"/>
    <w:rsid w:val="00231673"/>
    <w:rsid w:val="002563D5"/>
    <w:rsid w:val="00262BDE"/>
    <w:rsid w:val="00265FE6"/>
    <w:rsid w:val="00270658"/>
    <w:rsid w:val="00281A67"/>
    <w:rsid w:val="00295FDF"/>
    <w:rsid w:val="002C65D5"/>
    <w:rsid w:val="002E190E"/>
    <w:rsid w:val="00320E9A"/>
    <w:rsid w:val="003414E5"/>
    <w:rsid w:val="003502C9"/>
    <w:rsid w:val="003638D6"/>
    <w:rsid w:val="00367584"/>
    <w:rsid w:val="0037655F"/>
    <w:rsid w:val="00385CC1"/>
    <w:rsid w:val="003918B4"/>
    <w:rsid w:val="003A2580"/>
    <w:rsid w:val="003A675B"/>
    <w:rsid w:val="003B3AD7"/>
    <w:rsid w:val="003B7624"/>
    <w:rsid w:val="003E5526"/>
    <w:rsid w:val="003F2A06"/>
    <w:rsid w:val="00410142"/>
    <w:rsid w:val="00417625"/>
    <w:rsid w:val="00424114"/>
    <w:rsid w:val="0042578D"/>
    <w:rsid w:val="00452FBA"/>
    <w:rsid w:val="00466ECC"/>
    <w:rsid w:val="00472035"/>
    <w:rsid w:val="004C509E"/>
    <w:rsid w:val="004C63D4"/>
    <w:rsid w:val="004D1E75"/>
    <w:rsid w:val="004D26AB"/>
    <w:rsid w:val="004D4E75"/>
    <w:rsid w:val="004F4C76"/>
    <w:rsid w:val="00510592"/>
    <w:rsid w:val="00521FFA"/>
    <w:rsid w:val="00564D0D"/>
    <w:rsid w:val="00582A3C"/>
    <w:rsid w:val="00585F62"/>
    <w:rsid w:val="00586E49"/>
    <w:rsid w:val="00593B8B"/>
    <w:rsid w:val="005B5756"/>
    <w:rsid w:val="005C3DA4"/>
    <w:rsid w:val="005D1F02"/>
    <w:rsid w:val="005F01C3"/>
    <w:rsid w:val="005F4B79"/>
    <w:rsid w:val="00607693"/>
    <w:rsid w:val="00607DCC"/>
    <w:rsid w:val="0061705D"/>
    <w:rsid w:val="006329BB"/>
    <w:rsid w:val="0069270D"/>
    <w:rsid w:val="006A411A"/>
    <w:rsid w:val="006A639F"/>
    <w:rsid w:val="006A777F"/>
    <w:rsid w:val="006E270A"/>
    <w:rsid w:val="006F62FA"/>
    <w:rsid w:val="00723650"/>
    <w:rsid w:val="007502CC"/>
    <w:rsid w:val="00753F02"/>
    <w:rsid w:val="00787407"/>
    <w:rsid w:val="0079302D"/>
    <w:rsid w:val="007972BB"/>
    <w:rsid w:val="00797950"/>
    <w:rsid w:val="007B4EFC"/>
    <w:rsid w:val="007D0347"/>
    <w:rsid w:val="007D5CAE"/>
    <w:rsid w:val="007E1B25"/>
    <w:rsid w:val="007E55DC"/>
    <w:rsid w:val="007F053E"/>
    <w:rsid w:val="00813A1C"/>
    <w:rsid w:val="008558CA"/>
    <w:rsid w:val="00865D6D"/>
    <w:rsid w:val="00883957"/>
    <w:rsid w:val="00890505"/>
    <w:rsid w:val="00894DC3"/>
    <w:rsid w:val="008D763E"/>
    <w:rsid w:val="008F2E2D"/>
    <w:rsid w:val="00907E36"/>
    <w:rsid w:val="00916C87"/>
    <w:rsid w:val="0099111B"/>
    <w:rsid w:val="009A3498"/>
    <w:rsid w:val="009B1A3F"/>
    <w:rsid w:val="009B2487"/>
    <w:rsid w:val="009D710A"/>
    <w:rsid w:val="009E5252"/>
    <w:rsid w:val="00A17231"/>
    <w:rsid w:val="00A26FF2"/>
    <w:rsid w:val="00A32B1A"/>
    <w:rsid w:val="00A64855"/>
    <w:rsid w:val="00A75D06"/>
    <w:rsid w:val="00A91513"/>
    <w:rsid w:val="00AA0E16"/>
    <w:rsid w:val="00AA19E1"/>
    <w:rsid w:val="00AA5C52"/>
    <w:rsid w:val="00AC7AC5"/>
    <w:rsid w:val="00AD6B28"/>
    <w:rsid w:val="00AE4F01"/>
    <w:rsid w:val="00AF21A8"/>
    <w:rsid w:val="00AF2F91"/>
    <w:rsid w:val="00AF589E"/>
    <w:rsid w:val="00B04FF4"/>
    <w:rsid w:val="00B50597"/>
    <w:rsid w:val="00B90BA4"/>
    <w:rsid w:val="00BB3D10"/>
    <w:rsid w:val="00BF5344"/>
    <w:rsid w:val="00C0530A"/>
    <w:rsid w:val="00C21837"/>
    <w:rsid w:val="00C25920"/>
    <w:rsid w:val="00C25FF0"/>
    <w:rsid w:val="00C36782"/>
    <w:rsid w:val="00C405F8"/>
    <w:rsid w:val="00C518DB"/>
    <w:rsid w:val="00C610FC"/>
    <w:rsid w:val="00C76C9C"/>
    <w:rsid w:val="00C80CD2"/>
    <w:rsid w:val="00CB7E7A"/>
    <w:rsid w:val="00CC24A2"/>
    <w:rsid w:val="00CD34B0"/>
    <w:rsid w:val="00D0512A"/>
    <w:rsid w:val="00D1030B"/>
    <w:rsid w:val="00D464F0"/>
    <w:rsid w:val="00D46C68"/>
    <w:rsid w:val="00D51200"/>
    <w:rsid w:val="00D7302B"/>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60E2B"/>
    <w:rsid w:val="00E73955"/>
    <w:rsid w:val="00E75E74"/>
    <w:rsid w:val="00E80F62"/>
    <w:rsid w:val="00EA3854"/>
    <w:rsid w:val="00EB3122"/>
    <w:rsid w:val="00EB6AB1"/>
    <w:rsid w:val="00EC7E11"/>
    <w:rsid w:val="00F01982"/>
    <w:rsid w:val="00F02EA9"/>
    <w:rsid w:val="00F06189"/>
    <w:rsid w:val="00F16699"/>
    <w:rsid w:val="00F217BF"/>
    <w:rsid w:val="00F23BFB"/>
    <w:rsid w:val="00F46EBB"/>
    <w:rsid w:val="00F603FC"/>
    <w:rsid w:val="00F64853"/>
    <w:rsid w:val="00F74B3A"/>
    <w:rsid w:val="00F86E67"/>
    <w:rsid w:val="00F93664"/>
    <w:rsid w:val="00FB7ED8"/>
    <w:rsid w:val="00FD3F6C"/>
    <w:rsid w:val="00FE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B58-4B88-4DB5-8A64-EA70371C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894DC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link w:val="Point1Char"/>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7E1B25"/>
    <w:pPr>
      <w:autoSpaceDE/>
      <w:autoSpaceDN/>
    </w:pPr>
    <w:rPr>
      <w:lang w:val="pl-PL" w:eastAsia="pl-PL"/>
    </w:rPr>
  </w:style>
  <w:style w:type="character" w:customStyle="1" w:styleId="Nadpis4Char">
    <w:name w:val="Nadpis 4 Char"/>
    <w:basedOn w:val="Predvolenpsmoodseku"/>
    <w:link w:val="Nadpis4"/>
    <w:uiPriority w:val="9"/>
    <w:semiHidden/>
    <w:rsid w:val="00894DC3"/>
    <w:rPr>
      <w:rFonts w:asciiTheme="majorHAnsi" w:eastAsiaTheme="majorEastAsia" w:hAnsiTheme="majorHAnsi" w:cstheme="majorBidi"/>
      <w:i/>
      <w:iCs/>
      <w:color w:val="2E74B5" w:themeColor="accent1" w:themeShade="BF"/>
      <w:sz w:val="24"/>
      <w:szCs w:val="24"/>
      <w:lang w:eastAsia="sk-SK"/>
    </w:rPr>
  </w:style>
  <w:style w:type="character" w:customStyle="1" w:styleId="Point1Char">
    <w:name w:val="Point 1 Char"/>
    <w:link w:val="Point1"/>
    <w:locked/>
    <w:rsid w:val="009B24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221943688">
      <w:bodyDiv w:val="1"/>
      <w:marLeft w:val="0"/>
      <w:marRight w:val="0"/>
      <w:marTop w:val="0"/>
      <w:marBottom w:val="0"/>
      <w:divBdr>
        <w:top w:val="none" w:sz="0" w:space="0" w:color="auto"/>
        <w:left w:val="none" w:sz="0" w:space="0" w:color="auto"/>
        <w:bottom w:val="none" w:sz="0" w:space="0" w:color="auto"/>
        <w:right w:val="none" w:sz="0" w:space="0" w:color="auto"/>
      </w:divBdr>
      <w:divsChild>
        <w:div w:id="652292892">
          <w:marLeft w:val="0"/>
          <w:marRight w:val="0"/>
          <w:marTop w:val="0"/>
          <w:marBottom w:val="0"/>
          <w:divBdr>
            <w:top w:val="none" w:sz="0" w:space="0" w:color="auto"/>
            <w:left w:val="none" w:sz="0" w:space="0" w:color="auto"/>
            <w:bottom w:val="none" w:sz="0" w:space="0" w:color="auto"/>
            <w:right w:val="none" w:sz="0" w:space="0" w:color="auto"/>
          </w:divBdr>
          <w:divsChild>
            <w:div w:id="1889682735">
              <w:marLeft w:val="0"/>
              <w:marRight w:val="0"/>
              <w:marTop w:val="0"/>
              <w:marBottom w:val="0"/>
              <w:divBdr>
                <w:top w:val="none" w:sz="0" w:space="0" w:color="auto"/>
                <w:left w:val="none" w:sz="0" w:space="0" w:color="auto"/>
                <w:bottom w:val="none" w:sz="0" w:space="0" w:color="auto"/>
                <w:right w:val="none" w:sz="0" w:space="0" w:color="auto"/>
              </w:divBdr>
              <w:divsChild>
                <w:div w:id="897397496">
                  <w:marLeft w:val="-150"/>
                  <w:marRight w:val="-150"/>
                  <w:marTop w:val="0"/>
                  <w:marBottom w:val="0"/>
                  <w:divBdr>
                    <w:top w:val="none" w:sz="0" w:space="0" w:color="auto"/>
                    <w:left w:val="none" w:sz="0" w:space="0" w:color="auto"/>
                    <w:bottom w:val="none" w:sz="0" w:space="0" w:color="auto"/>
                    <w:right w:val="none" w:sz="0" w:space="0" w:color="auto"/>
                  </w:divBdr>
                  <w:divsChild>
                    <w:div w:id="13218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2065442323">
      <w:bodyDiv w:val="1"/>
      <w:marLeft w:val="0"/>
      <w:marRight w:val="0"/>
      <w:marTop w:val="0"/>
      <w:marBottom w:val="0"/>
      <w:divBdr>
        <w:top w:val="none" w:sz="0" w:space="0" w:color="auto"/>
        <w:left w:val="none" w:sz="0" w:space="0" w:color="auto"/>
        <w:bottom w:val="none" w:sz="0" w:space="0" w:color="auto"/>
        <w:right w:val="none" w:sz="0" w:space="0" w:color="auto"/>
      </w:divBdr>
      <w:divsChild>
        <w:div w:id="1580746009">
          <w:marLeft w:val="0"/>
          <w:marRight w:val="0"/>
          <w:marTop w:val="0"/>
          <w:marBottom w:val="0"/>
          <w:divBdr>
            <w:top w:val="none" w:sz="0" w:space="0" w:color="auto"/>
            <w:left w:val="none" w:sz="0" w:space="0" w:color="auto"/>
            <w:bottom w:val="none" w:sz="0" w:space="0" w:color="auto"/>
            <w:right w:val="none" w:sz="0" w:space="0" w:color="auto"/>
          </w:divBdr>
          <w:divsChild>
            <w:div w:id="1584097550">
              <w:marLeft w:val="0"/>
              <w:marRight w:val="0"/>
              <w:marTop w:val="0"/>
              <w:marBottom w:val="0"/>
              <w:divBdr>
                <w:top w:val="none" w:sz="0" w:space="0" w:color="auto"/>
                <w:left w:val="none" w:sz="0" w:space="0" w:color="auto"/>
                <w:bottom w:val="none" w:sz="0" w:space="0" w:color="auto"/>
                <w:right w:val="none" w:sz="0" w:space="0" w:color="auto"/>
              </w:divBdr>
              <w:divsChild>
                <w:div w:id="1892880464">
                  <w:marLeft w:val="-150"/>
                  <w:marRight w:val="-150"/>
                  <w:marTop w:val="0"/>
                  <w:marBottom w:val="0"/>
                  <w:divBdr>
                    <w:top w:val="none" w:sz="0" w:space="0" w:color="auto"/>
                    <w:left w:val="none" w:sz="0" w:space="0" w:color="auto"/>
                    <w:bottom w:val="none" w:sz="0" w:space="0" w:color="auto"/>
                    <w:right w:val="none" w:sz="0" w:space="0" w:color="auto"/>
                  </w:divBdr>
                  <w:divsChild>
                    <w:div w:id="620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4</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Milan</dc:creator>
  <cp:keywords/>
  <dc:description/>
  <cp:lastModifiedBy>Hajdu Ladislav</cp:lastModifiedBy>
  <cp:revision>2</cp:revision>
  <dcterms:created xsi:type="dcterms:W3CDTF">2021-12-06T07:06:00Z</dcterms:created>
  <dcterms:modified xsi:type="dcterms:W3CDTF">2021-12-06T07:06:00Z</dcterms:modified>
</cp:coreProperties>
</file>