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3B7" w:rsidRPr="006045CB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6045C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:rsidR="001B23B7" w:rsidRPr="00B043B4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:rsidR="001B23B7" w:rsidRDefault="00BF383B" w:rsidP="004613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F383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Návrh zákona</w:t>
            </w:r>
            <w:r w:rsidR="004613F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ktorým sa mení a dopĺňa zákon č. 221/2006 Z. z. o výkone väzby v znení neskorších predpisov</w:t>
            </w:r>
          </w:p>
          <w:p w:rsidR="004613FE" w:rsidRPr="00B043B4" w:rsidRDefault="004613FE" w:rsidP="004613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3B7" w:rsidRPr="00B043B4" w:rsidRDefault="00BF383B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860F1">
              <w:rPr>
                <w:rFonts w:ascii="Times" w:hAnsi="Times" w:cs="Times"/>
                <w:sz w:val="20"/>
                <w:szCs w:val="20"/>
              </w:rPr>
              <w:t>Ministerstvo spravodlivosti Slovenskej republiky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69890771"/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1B23B7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1B23B7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45588339"/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2D4F7B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AD2484">
                  <w:rPr>
                    <w:rFonts w:ascii="Wingdings 2" w:hAnsi="Wingdings 2" w:cs="Times"/>
                    <w:sz w:val="20"/>
                    <w:szCs w:val="20"/>
                  </w:rPr>
                  <w:t>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1B23B7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83475976"/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1B23B7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2D4F7B" w:rsidRDefault="003A2023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September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220B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2021</w:t>
            </w: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</w:t>
            </w:r>
            <w:r>
              <w:rPr>
                <w:rFonts w:ascii="Times New Roman" w:eastAsia="Calibri" w:hAnsi="Times New Roman" w:cs="Times New Roman"/>
                <w:b/>
              </w:rPr>
              <w:t xml:space="preserve">adaný termín predloženia na </w:t>
            </w:r>
            <w:r w:rsidR="00A340BB">
              <w:rPr>
                <w:rFonts w:ascii="Times New Roman" w:eastAsia="Calibri" w:hAnsi="Times New Roman" w:cs="Times New Roman"/>
                <w:b/>
              </w:rPr>
              <w:t>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2D4F7B" w:rsidRDefault="003A2023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Október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220B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2021</w:t>
            </w:r>
          </w:p>
        </w:tc>
      </w:tr>
      <w:tr w:rsidR="001B23B7" w:rsidRPr="00B043B4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D2313B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B043B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1B23B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1B23B7" w:rsidRPr="00B043B4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Default="007D4126" w:rsidP="00AC33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41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Právna úprava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podmienok výkonu väzby</w:t>
            </w:r>
            <w:r w:rsidRPr="007D41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obsahuje katalóg oprávnení pre osoby vo výkone väzby, zároveň však ustanovuje aj celý rad obmedzení a povinností, ktoré sa 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osoby vo výkone väzby</w:t>
            </w:r>
            <w:r w:rsidRPr="007D41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vzťahujú</w:t>
            </w:r>
            <w:r w:rsidR="00AC335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</w:t>
            </w:r>
            <w:r w:rsidRPr="007D41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 zmyslom ktorých je zabezpečiť riadny priebeh výkonu väzby bez narúšania ústavného poriadku, b</w:t>
            </w:r>
            <w:r w:rsidR="00AC335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ez ohrozovania života, zdravia a</w:t>
            </w:r>
            <w:r w:rsidRPr="007D41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majetku osôb vo výkone väzby, ako aj väzenského personálu a samotného ústavu na výkon väzby. Na konkrétne nedostatky v aktuálnych podmienkach výkonu väzby poukazujú odporúčania Európskeho výboru na zabránenie mučeniu a neľudskému či ponižujúcemu zaobchádzaniu alebo trestaniu uvedené v správe pre vládu Slovenskej republiky o návšteve Slovenskej republiky v dňoch 19. až 28. marca 2018. V platnej právnej úprave napríklad absentuje úprava realizácie návštev f</w:t>
            </w:r>
            <w:r w:rsidR="00AC335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ormou elektronickej komunikácie a</w:t>
            </w:r>
            <w:r w:rsidRPr="007D41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možnosť telefonovania väznených osôb je podmienená úhradou evidovaných pohľadávok.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Súčasne právna úprava obsahuje prísne kontraindikácie spoločného umiestňovania osôb vo výkone väzby, ktoré limitujú možnosti realizácie skupinových zmysluplných aktivít rôznej povahy (</w:t>
            </w:r>
            <w:r w:rsidRPr="007D41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práca, vzdelávanie, šport, kultúrno-osvetová činnosť</w:t>
            </w:r>
            <w:r w:rsidR="00AC335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).</w:t>
            </w:r>
          </w:p>
          <w:p w:rsidR="00AC3350" w:rsidRPr="00B043B4" w:rsidRDefault="00AC3350" w:rsidP="00AC335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1B23B7" w:rsidRPr="00B043B4" w:rsidTr="000800FC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83B" w:rsidRPr="00AB2BA0" w:rsidRDefault="00BF383B" w:rsidP="000D5B6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2BA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Cieľom návrhu zákona je</w:t>
            </w:r>
            <w:r w:rsidR="00AC335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</w:t>
            </w:r>
            <w:r w:rsidR="00814CE3" w:rsidRPr="00AB2BA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 súlade s Programovým vyhlásením vlády Slovenskej republiky na obdobie rokov 202</w:t>
            </w:r>
            <w:r w:rsidR="00B43A6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  <w:r w:rsidR="00814CE3" w:rsidRPr="00AB2BA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B43A6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až</w:t>
            </w:r>
            <w:r w:rsidR="00B43A6F" w:rsidRPr="00AB2BA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814CE3" w:rsidRPr="00AB2BA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2024</w:t>
            </w:r>
            <w:r w:rsidR="00AC335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</w:t>
            </w:r>
            <w:r w:rsidR="000D5B66" w:rsidRPr="00AB2BA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pokračovať v humanizácii a zmierňovaní obmedzení väznených osôb v kontexte odporúčaní vnútroštátnych a medzinárodných inštitúcií, s osobitným dôrazom na vzdelávanie a posilňovanie pozitívnych sociálnych väzieb, najmä prostredníctvom zvyšovania dostupnosti rôznych foriem kontaktu väznených osôb </w:t>
            </w:r>
            <w:r w:rsidR="00AC335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</w:t>
            </w:r>
            <w:r w:rsidR="000D5B66" w:rsidRPr="00AB2BA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 rodinou.</w:t>
            </w:r>
          </w:p>
          <w:p w:rsidR="00BF383B" w:rsidRPr="00AB2BA0" w:rsidRDefault="00BF383B" w:rsidP="000D5B6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BF383B" w:rsidRDefault="00A60407" w:rsidP="000D5B6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2BA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</w:t>
            </w:r>
            <w:r w:rsidR="00BF383B" w:rsidRPr="00AB2BA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avrhované </w:t>
            </w:r>
            <w:r w:rsidRPr="00AB2BA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znenie právnej úpravy zväčšuje zákonom garantovanú minimálnu ubytovaciu plochu na jednu väznenú osobu</w:t>
            </w:r>
            <w:r w:rsidR="00AB2BA0" w:rsidRPr="00AB2BA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rozširuje okruh vecí osobnej potreby, ktoré môže mať obvinený pri sebe o nosiče informáci</w:t>
            </w:r>
            <w:r w:rsidR="00AC335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í</w:t>
            </w:r>
            <w:r w:rsidR="00AB2BA0" w:rsidRPr="00AB2BA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obsahujúce napríklad audiozáznamy súdnych pojednávaní alebo iné informácie týkajúce sa právnych vecí obvineného</w:t>
            </w:r>
            <w:r w:rsidR="00AB2BA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odstraňuje podmienku vylučujúcu obvinených neumiestnených do oddielu so zmierneným režimom z účasti na </w:t>
            </w:r>
            <w:r w:rsidR="00AB2BA0" w:rsidRPr="00AB2BA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vzdelávacích, osvetových, záuj</w:t>
            </w:r>
            <w:r w:rsidR="00AB2BA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mových a športových činnostiach, vytvára leg</w:t>
            </w:r>
            <w:r w:rsidR="00AC335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islatívne predpoklady prístupu na</w:t>
            </w:r>
            <w:r w:rsidR="00AB2BA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AB2BA0" w:rsidRPr="00AB2BA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internetové stránky obsahujúce informácie o všeobecne záväzných právnych predpisoch</w:t>
            </w:r>
            <w:r w:rsidR="00D807A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</w:t>
            </w:r>
            <w:r w:rsidR="00D807A2" w:rsidRPr="00D807A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vypúšťa administratívnu povinnosť vyžadovať súhlas orgánu činného v trestnom konaní alebo súdu so zaradením obvineného do práce</w:t>
            </w:r>
            <w:r w:rsidR="00D807A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(ak obvinený prejaví záujem o zaradenie do práce).</w:t>
            </w:r>
            <w:r w:rsidR="00AB2BA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  <w:p w:rsidR="00D807A2" w:rsidRDefault="00D807A2" w:rsidP="000D5B6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D807A2" w:rsidRDefault="00D807A2" w:rsidP="000D5B6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S cieľom zvýšiť ohodnotenie práce obvinených a odstrániť administratívne prekážky valorizácie pracovnej </w:t>
            </w:r>
            <w:r w:rsidR="00AC335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odmeny zavedie navrhovaná právna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úprava napojenie </w:t>
            </w:r>
            <w:r w:rsidRPr="00D807A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výšky pracovnej odmeny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na všeobecne aplikovanú minimálnu mzdu prostredníctvom percentuálnej sadz</w:t>
            </w:r>
            <w:r w:rsidR="003A2AF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y</w:t>
            </w:r>
            <w:r w:rsidR="003A2AF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:rsidR="00007936" w:rsidRDefault="00007936" w:rsidP="000D5B6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007936" w:rsidRDefault="00007936" w:rsidP="000D5B6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Ďalším c</w:t>
            </w:r>
            <w:r w:rsidRPr="0000793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ieľom </w:t>
            </w:r>
            <w:r w:rsidR="00B43A6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navrhovanej</w:t>
            </w:r>
            <w:r w:rsidRPr="0000793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právnej úpravy je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aj</w:t>
            </w:r>
            <w:r w:rsidRPr="0000793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zavedenie inovatívnych metód a postupov,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ktoré už boli skúšobne overené počas obdobia realizácie protipandemických opatrení – videonávštevy, nepodmieňovanie nákupu kreditu na telefonovanie ďalšou úhradou pohľadávok, či umožnenie nákupu kreditu na telefonovanie aj z civilného prostredia.</w:t>
            </w:r>
          </w:p>
          <w:p w:rsidR="00007936" w:rsidRDefault="00007936" w:rsidP="000D5B6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AC3350" w:rsidRDefault="00EF76B9" w:rsidP="00667BC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Zásadnou zmenou prechádza aj povinnosť obvinených uhrádzať trovy výkonu väzby. Súčasná podmienk</w:t>
            </w:r>
            <w:r w:rsidR="00667BC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právoplatného odsúdenia sa precizuje iba ako podmienka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 odsúdenia </w:t>
            </w:r>
            <w:r w:rsidR="00667BC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 výkon nepodmienečného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trest</w:t>
            </w:r>
            <w:r w:rsidR="00667BC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 odňatia slobody. Zároveň sa</w:t>
            </w:r>
            <w:r w:rsidR="00AC335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</w:t>
            </w:r>
            <w:r w:rsidR="00667BC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 cieľom prebratia záväzku štátu za obmedzenie osobnej slobody</w:t>
            </w:r>
            <w:r w:rsidR="00AC335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</w:t>
            </w:r>
            <w:r w:rsidR="00667BC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skracuje rozhodné obdobie pre výpočet výšky trov výkonu väzby zo 180 dní na 90 dní a obdobie trvania záväzku sa obmedzuje iba na obdobie nepodmienečného trestu odňatia slobody.</w:t>
            </w:r>
          </w:p>
          <w:p w:rsidR="00AC3350" w:rsidRPr="00AB2BA0" w:rsidRDefault="00AC3350" w:rsidP="00667BC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207489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07489">
              <w:rPr>
                <w:rFonts w:ascii="Times New Roman" w:eastAsia="Calibri" w:hAnsi="Times New Roman" w:cs="Times New Roman"/>
                <w:b/>
              </w:rPr>
              <w:lastRenderedPageBreak/>
              <w:t>Dotknuté subjekty</w:t>
            </w:r>
          </w:p>
        </w:tc>
      </w:tr>
      <w:tr w:rsidR="001B23B7" w:rsidRPr="00BF383B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Default="00207489" w:rsidP="00AC33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0748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</w:t>
            </w:r>
            <w:r w:rsidR="00BF383B" w:rsidRPr="0020748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udcovia, </w:t>
            </w:r>
            <w:r w:rsidRPr="0020748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orgány činné v trestnom konaní</w:t>
            </w:r>
            <w:r w:rsidR="00BF383B" w:rsidRPr="0020748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</w:t>
            </w:r>
            <w:r w:rsidRPr="0020748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advokáti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Generálna prokuratúra S</w:t>
            </w:r>
            <w:r w:rsidR="00F857A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lovenskej rep</w:t>
            </w:r>
            <w:r w:rsidR="00AC335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ubliky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z</w:t>
            </w:r>
            <w:r w:rsidRPr="0020748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dravotn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é</w:t>
            </w:r>
            <w:r w:rsidRPr="0020748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poisťov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</w:t>
            </w:r>
            <w:r w:rsidR="00AC335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Ú</w:t>
            </w:r>
            <w:r w:rsidRPr="0020748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rad pre dohľad nad zdra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votnou starostlivosťou, platitelia dôchodkových dávok</w:t>
            </w:r>
            <w:r w:rsidRPr="0020748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úrady</w:t>
            </w:r>
            <w:r w:rsidRPr="0020748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práce, sociálny veci a</w:t>
            </w:r>
            <w:r w:rsidR="00AC335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Pr="0020748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rodiny</w:t>
            </w:r>
          </w:p>
          <w:p w:rsidR="00AC3350" w:rsidRPr="00207489" w:rsidRDefault="00AC3350" w:rsidP="00AC33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1B23B7" w:rsidRPr="00BF383B" w:rsidTr="00AC3350">
        <w:trPr>
          <w:trHeight w:val="1327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F383B" w:rsidRDefault="00B43A6F" w:rsidP="000800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Alternatívne riešenie 0 –  problémy definované v bode 2 /Definovanie problému/ tohto dokumentu nie je možné odstrániť iným spôsobom, ako zmenou a doplnením zákona  </w:t>
            </w:r>
            <w:r w:rsidRPr="00B43A6F">
              <w:rPr>
                <w:rFonts w:ascii="Times" w:hAnsi="Times" w:cs="Times"/>
                <w:sz w:val="20"/>
                <w:szCs w:val="20"/>
              </w:rPr>
              <w:t>č. 221/2006 Z. z. o výkone väzby v znení neskorších predpisov</w:t>
            </w:r>
            <w:r>
              <w:rPr>
                <w:rFonts w:ascii="Times" w:hAnsi="Times" w:cs="Times"/>
                <w:sz w:val="20"/>
                <w:szCs w:val="20"/>
              </w:rPr>
              <w:t>.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1B23B7" w:rsidRPr="00B043B4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1B23B7" w:rsidRPr="00B043B4" w:rsidRDefault="005835D0" w:rsidP="000800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407611648"/>
              </w:sdtPr>
              <w:sdtEndPr/>
              <w:sdtContent>
                <w:r w:rsidR="002D4F7B" w:rsidRPr="00AD2484">
                  <w:rPr>
                    <w:rFonts w:ascii="Wingdings 2" w:hAnsi="Wingdings 2" w:cs="Times"/>
                    <w:sz w:val="20"/>
                    <w:szCs w:val="20"/>
                  </w:rPr>
                  <w:t>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23B7" w:rsidRPr="00B043B4" w:rsidRDefault="005835D0" w:rsidP="000800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625842802"/>
              </w:sdtPr>
              <w:sdtEndPr/>
              <w:sdtContent>
                <w:r w:rsidR="001B23B7" w:rsidRPr="00B0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  <w:p w:rsidR="00BF383B" w:rsidRPr="00BF383B" w:rsidRDefault="004613FE" w:rsidP="004F49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613F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Vyhláška Ministerstva spravodlivosti Slovenskej republiky č. 437/2006 Z. z., ktorou sa vydáva Poriadok výkonu väzby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 znení neskorších predpisov.</w:t>
            </w:r>
            <w:r w:rsidR="00BF383B" w:rsidRPr="00BF383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1B23B7" w:rsidRPr="00BF383B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1B23B7" w:rsidRPr="00BF383B" w:rsidRDefault="00BF383B" w:rsidP="000800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F49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Nejde o transpozíciu práva EÚ.</w:t>
            </w:r>
          </w:p>
        </w:tc>
      </w:tr>
      <w:tr w:rsidR="001B23B7" w:rsidRPr="00B043B4" w:rsidTr="000800FC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3B7" w:rsidRPr="00B043B4" w:rsidRDefault="001B23B7" w:rsidP="000800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4F49DF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4F49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termín, kedy by malo dôjsť k preskúmaniu účinnosti a účelnosti predkladaného materiálu.</w:t>
            </w:r>
          </w:p>
          <w:p w:rsidR="0019513F" w:rsidRPr="004F49DF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4F49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kritériá, na základe ktorých bude preskúmanie vykonané.</w:t>
            </w:r>
          </w:p>
          <w:p w:rsidR="001B23B7" w:rsidRDefault="0019513F" w:rsidP="004F49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F49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Preskúmanie účelnosti navrhovaného </w:t>
            </w:r>
            <w:r w:rsidR="00AC335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právneho </w:t>
            </w:r>
            <w:r w:rsidRPr="004F49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predpisu bude vykonávané priebežne po nadobudnutí jeho účinnosti, pričom sa budú z</w:t>
            </w:r>
            <w:r w:rsidR="004F49DF" w:rsidRPr="004F49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ohľadňovať najmä výsledky relevantných vnútroštátnych a medzinárodných organizácii (osobitne Európskeho výboru na zabránenie mučeniu a neľudskému či ponižujúcemu zaobchádzaniu alebo trestaniu uvedené v správe pre vládu Slovenskej republiky o návšteve Slovenskej republiky) a praktické skúsenosti väzenského personálu a dotknutých subjektov</w:t>
            </w:r>
            <w:r w:rsidRPr="004F49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:rsidR="00AC3350" w:rsidRPr="004F49DF" w:rsidRDefault="00AC3350" w:rsidP="004F49DF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Vybrané vplyvy  materiálu</w:t>
            </w:r>
          </w:p>
        </w:tc>
      </w:tr>
      <w:tr w:rsidR="001B23B7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121575439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1B23B7" w:rsidRPr="004F49DF" w:rsidRDefault="001B23B7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F49DF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4F49DF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F49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916405887"/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4F49DF" w:rsidRDefault="001B23B7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F49DF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4F49DF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F49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53649096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4F49DF" w:rsidRDefault="002D4F7B" w:rsidP="000800FC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F49DF">
                  <w:rPr>
                    <w:rFonts w:ascii="Wingdings 2" w:hAnsi="Wingdings 2" w:cs="Times"/>
                    <w:sz w:val="20"/>
                    <w:szCs w:val="20"/>
                  </w:rPr>
                  <w:t>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1B23B7" w:rsidRPr="004F49DF" w:rsidRDefault="001B23B7" w:rsidP="000800FC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F49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B23B7" w:rsidRPr="00B043B4" w:rsidTr="009431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</w:t>
            </w:r>
            <w:r w:rsidR="00A340BB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:rsidR="001B23B7" w:rsidRPr="00A340BB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2073729125"/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1B23B7" w:rsidRPr="004F49DF" w:rsidRDefault="001B23B7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4F49D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1B23B7" w:rsidRPr="004F49DF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F49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54388876"/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1B23B7" w:rsidRPr="004F49DF" w:rsidRDefault="002D4F7B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4F49DF">
                  <w:rPr>
                    <w:rFonts w:ascii="Wingdings 2" w:hAnsi="Wingdings 2" w:cs="Times"/>
                    <w:sz w:val="20"/>
                    <w:szCs w:val="20"/>
                  </w:rPr>
                  <w:t>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1B23B7" w:rsidRPr="004F49DF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F49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361940775"/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1B23B7" w:rsidRPr="004F49DF" w:rsidRDefault="001B23B7" w:rsidP="000800FC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4F49D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3B7" w:rsidRPr="004F49DF" w:rsidRDefault="001B23B7" w:rsidP="000800FC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F49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F87681" w:rsidRPr="00B043B4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328319843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F87681" w:rsidRPr="004F49DF" w:rsidRDefault="00F87681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F49DF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F87681" w:rsidRPr="004F49DF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F49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564608664"/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F87681" w:rsidRPr="004F49DF" w:rsidRDefault="002D4F7B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F49DF">
                  <w:rPr>
                    <w:rFonts w:ascii="Wingdings 2" w:hAnsi="Wingdings 2" w:cs="Times"/>
                    <w:sz w:val="20"/>
                    <w:szCs w:val="20"/>
                  </w:rPr>
                  <w:t>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F87681" w:rsidRPr="004F49DF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F49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173546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F87681" w:rsidRPr="004F49DF" w:rsidRDefault="00F87681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F49DF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F87681" w:rsidRPr="004F49DF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F49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9431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B84F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931938095"/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</w:tcPr>
              <w:p w:rsidR="00F87681" w:rsidRPr="004F49DF" w:rsidRDefault="00F87681" w:rsidP="00F87681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4F49D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87681" w:rsidRPr="004F49DF" w:rsidRDefault="00F87681" w:rsidP="00F87681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F49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696063787"/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F87681" w:rsidRPr="004F49DF" w:rsidRDefault="00F87681" w:rsidP="00F87681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4F49DF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87681" w:rsidRPr="004F49DF" w:rsidRDefault="00F87681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F49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671765022"/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F87681" w:rsidRPr="004F49DF" w:rsidRDefault="00F87681" w:rsidP="00F87681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4F49D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F87681" w:rsidRPr="004F49DF" w:rsidRDefault="00F87681" w:rsidP="00F87681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F49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0800FC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B84F87" w:rsidRDefault="00B84F87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F87681"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:rsidR="00F87681" w:rsidRPr="00B043B4" w:rsidRDefault="00B84F87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F87681"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2004264377"/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7681" w:rsidRPr="004F49DF" w:rsidRDefault="00F87681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F49D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4F49DF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F49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4F49DF" w:rsidRDefault="00F87681" w:rsidP="00F876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4F49DF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866984672"/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4F49DF" w:rsidRDefault="00F87681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F49D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681" w:rsidRPr="004F49DF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F49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4F49DF" w:rsidRPr="00B043B4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4F49DF" w:rsidRPr="004F49DF" w:rsidRDefault="004F49DF" w:rsidP="004F49D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F49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49357865"/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155375343"/>
              </w:sdtPr>
              <w:sdtEndPr/>
              <w:sdtContent>
                <w:tc>
                  <w:tcPr>
                    <w:tcW w:w="54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nil"/>
                    </w:tcBorders>
                  </w:tcPr>
                  <w:p w:rsidR="004F49DF" w:rsidRPr="004F49DF" w:rsidRDefault="004F49DF" w:rsidP="004F49DF">
                    <w:pPr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</w:pPr>
                    <w:r w:rsidRPr="004F49DF">
                      <w:rPr>
                        <w:rFonts w:ascii="Wingdings 2" w:hAnsi="Wingdings 2" w:cs="Times"/>
                        <w:sz w:val="20"/>
                        <w:szCs w:val="20"/>
                      </w:rPr>
                      <w:t></w:t>
                    </w:r>
                  </w:p>
                </w:tc>
              </w:sdtContent>
            </w:sdt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49DF" w:rsidRPr="004F49DF" w:rsidRDefault="004F49DF" w:rsidP="004F49DF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F49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826489273"/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4F49DF" w:rsidRPr="004F49DF" w:rsidRDefault="004F49DF" w:rsidP="004F49DF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F49DF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49DF" w:rsidRPr="004F49DF" w:rsidRDefault="004F49DF" w:rsidP="004F49D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F49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70833546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4F49DF" w:rsidRPr="004F49DF" w:rsidRDefault="004F49DF" w:rsidP="004F49DF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F49DF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9DF" w:rsidRPr="004F49DF" w:rsidRDefault="004F49DF" w:rsidP="004F49DF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F49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4F49DF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4F49DF" w:rsidRPr="00B043B4" w:rsidRDefault="004F49DF" w:rsidP="004F49D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304755157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4F49DF" w:rsidRPr="004F49DF" w:rsidRDefault="004F49DF" w:rsidP="004F49DF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F49DF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49DF" w:rsidRPr="004F49DF" w:rsidRDefault="004F49DF" w:rsidP="004F49DF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F49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35136192"/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4F49DF" w:rsidRPr="004F49DF" w:rsidRDefault="004F49DF" w:rsidP="004F49DF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F49DF">
                  <w:rPr>
                    <w:rFonts w:ascii="Wingdings 2" w:hAnsi="Wingdings 2" w:cs="Times"/>
                    <w:sz w:val="20"/>
                    <w:szCs w:val="20"/>
                  </w:rPr>
                  <w:t>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49DF" w:rsidRPr="004F49DF" w:rsidRDefault="004F49DF" w:rsidP="004F49D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F49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31020046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4F49DF" w:rsidRPr="004F49DF" w:rsidRDefault="004F49DF" w:rsidP="004F49DF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F49DF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9DF" w:rsidRPr="004F49DF" w:rsidRDefault="004F49DF" w:rsidP="004F49DF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F49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4F49DF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4F49DF" w:rsidRPr="00B043B4" w:rsidRDefault="004F49DF" w:rsidP="004F49D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940751000"/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654453762"/>
              </w:sdtPr>
              <w:sdtEndPr/>
              <w:sdtContent>
                <w:tc>
                  <w:tcPr>
                    <w:tcW w:w="54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nil"/>
                    </w:tcBorders>
                  </w:tcPr>
                  <w:p w:rsidR="004F49DF" w:rsidRPr="004F49DF" w:rsidRDefault="005835D0" w:rsidP="004F49DF">
                    <w:pPr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</w:pPr>
                    <w:sdt>
                      <w:sdtPr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sk-SK"/>
                        </w:rPr>
                        <w:id w:val="1101078383"/>
                      </w:sdtPr>
                      <w:sdtEndPr/>
                      <w:sdtContent>
                        <w:r w:rsidR="00E859EC" w:rsidRPr="004F49DF">
                          <w:rPr>
                            <w:rFonts w:ascii="Segoe UI Symbol" w:eastAsia="Times New Roman" w:hAnsi="Segoe UI Symbol" w:cs="Segoe UI Symbol"/>
                            <w:b/>
                            <w:sz w:val="20"/>
                            <w:szCs w:val="20"/>
                            <w:lang w:eastAsia="sk-SK"/>
                          </w:rPr>
                          <w:t>☐</w:t>
                        </w:r>
                      </w:sdtContent>
                    </w:sdt>
                  </w:p>
                </w:tc>
              </w:sdtContent>
            </w:sdt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49DF" w:rsidRPr="004F49DF" w:rsidRDefault="004F49DF" w:rsidP="004F49DF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F49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126152168"/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684176792"/>
              </w:sdtPr>
              <w:sdtEndPr/>
              <w:sdtContent>
                <w:tc>
                  <w:tcPr>
                    <w:tcW w:w="538" w:type="dxa"/>
                    <w:gridSpan w:val="2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nil"/>
                    </w:tcBorders>
                  </w:tcPr>
                  <w:p w:rsidR="004F49DF" w:rsidRPr="004F49DF" w:rsidRDefault="005835D0" w:rsidP="004F49DF">
                    <w:pPr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</w:pPr>
                    <w:sdt>
                      <w:sdt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  <w:id w:val="-1568103039"/>
                      </w:sdtPr>
                      <w:sdtEndPr/>
                      <w:sdtContent>
                        <w:r w:rsidR="00E859EC" w:rsidRPr="004F49DF">
                          <w:rPr>
                            <w:rFonts w:ascii="Wingdings 2" w:hAnsi="Wingdings 2" w:cs="Times"/>
                            <w:sz w:val="20"/>
                            <w:szCs w:val="20"/>
                          </w:rPr>
                          <w:t></w:t>
                        </w:r>
                      </w:sdtContent>
                    </w:sdt>
                  </w:p>
                </w:tc>
              </w:sdtContent>
            </w:sdt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49DF" w:rsidRPr="004F49DF" w:rsidRDefault="004F49DF" w:rsidP="004F49D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F49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378831873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4F49DF" w:rsidRPr="004F49DF" w:rsidRDefault="004F49DF" w:rsidP="004F49DF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F49DF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9DF" w:rsidRPr="004F49DF" w:rsidRDefault="004F49DF" w:rsidP="004F49DF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F49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B043B4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BE9" w:rsidRPr="004613FE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4613FE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4613FE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4613FE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4613FE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2BE9" w:rsidRPr="004613FE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sk-SK"/>
              </w:rPr>
            </w:pPr>
          </w:p>
        </w:tc>
      </w:tr>
      <w:tr w:rsidR="000F2BE9" w:rsidRPr="00B043B4" w:rsidTr="009431E3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88362683"/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094122175"/>
              </w:sdtPr>
              <w:sdtEndPr/>
              <w:sdtContent>
                <w:tc>
                  <w:tcPr>
                    <w:tcW w:w="541" w:type="dxa"/>
                    <w:tcBorders>
                      <w:top w:val="nil"/>
                      <w:left w:val="single" w:sz="4" w:space="0" w:color="auto"/>
                      <w:bottom w:val="dotted" w:sz="4" w:space="0" w:color="auto"/>
                      <w:right w:val="nil"/>
                    </w:tcBorders>
                    <w:shd w:val="clear" w:color="auto" w:fill="auto"/>
                  </w:tcPr>
                  <w:p w:rsidR="000F2BE9" w:rsidRPr="004F49DF" w:rsidRDefault="005835D0" w:rsidP="000800F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</w:pPr>
                    <w:sdt>
                      <w:sdtPr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sk-SK"/>
                        </w:rPr>
                        <w:id w:val="-1861584087"/>
                      </w:sdtPr>
                      <w:sdtEndPr/>
                      <w:sdtContent>
                        <w:r w:rsidR="00E859EC" w:rsidRPr="004F49DF">
                          <w:rPr>
                            <w:rFonts w:ascii="Segoe UI Symbol" w:eastAsia="Times New Roman" w:hAnsi="Segoe UI Symbol" w:cs="Segoe UI Symbol"/>
                            <w:b/>
                            <w:sz w:val="20"/>
                            <w:szCs w:val="20"/>
                            <w:lang w:eastAsia="sk-SK"/>
                          </w:rPr>
                          <w:t>☐</w:t>
                        </w:r>
                      </w:sdtContent>
                    </w:sdt>
                  </w:p>
                </w:tc>
              </w:sdtContent>
            </w:sdt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4F49DF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F49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884985506"/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224112757"/>
              </w:sdtPr>
              <w:sdtEndPr/>
              <w:sdtContent>
                <w:tc>
                  <w:tcPr>
                    <w:tcW w:w="538" w:type="dxa"/>
                    <w:tcBorders>
                      <w:top w:val="nil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</w:tcPr>
                  <w:p w:rsidR="000F2BE9" w:rsidRPr="004F49DF" w:rsidRDefault="005835D0" w:rsidP="000800F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</w:pPr>
                    <w:sdt>
                      <w:sdt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  <w:id w:val="-1954241182"/>
                      </w:sdtPr>
                      <w:sdtEndPr/>
                      <w:sdtContent>
                        <w:r w:rsidR="00E859EC" w:rsidRPr="004F49DF">
                          <w:rPr>
                            <w:rFonts w:ascii="Wingdings 2" w:hAnsi="Wingdings 2" w:cs="Times"/>
                            <w:sz w:val="20"/>
                            <w:szCs w:val="20"/>
                          </w:rPr>
                          <w:t></w:t>
                        </w:r>
                      </w:sdtContent>
                    </w:sdt>
                  </w:p>
                </w:tc>
              </w:sdtContent>
            </w:sdt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4F49DF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F49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146805846"/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4F49DF" w:rsidRDefault="000F2BE9" w:rsidP="000800F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F49DF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2BE9" w:rsidRPr="004F49DF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F49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B043B4" w:rsidTr="00BA2BF4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13984565"/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4F49DF" w:rsidRDefault="000F2BE9" w:rsidP="000800F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F49DF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4F49DF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F49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325040833"/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4F49DF" w:rsidRDefault="002D4F7B" w:rsidP="000800F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F49DF">
                  <w:rPr>
                    <w:rFonts w:ascii="Wingdings 2" w:hAnsi="Wingdings 2" w:cs="Times"/>
                    <w:sz w:val="20"/>
                    <w:szCs w:val="20"/>
                  </w:rPr>
                  <w:t>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4F49DF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F49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18029189"/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4F49DF" w:rsidRDefault="000F2BE9" w:rsidP="000800F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F49DF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2BE9" w:rsidRPr="004F49DF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F49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B043B4" w:rsidTr="0019513F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340BB" w:rsidRPr="00B043B4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373577791"/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376688077"/>
              </w:sdtPr>
              <w:sdtEndPr/>
              <w:sdtContent>
                <w:tc>
                  <w:tcPr>
                    <w:tcW w:w="54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nil"/>
                    </w:tcBorders>
                  </w:tcPr>
                  <w:p w:rsidR="00A340BB" w:rsidRPr="004F49DF" w:rsidRDefault="004F49DF" w:rsidP="00AA592B">
                    <w:pPr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</w:pPr>
                    <w:r w:rsidRPr="004F49DF">
                      <w:rPr>
                        <w:rFonts w:ascii="Wingdings 2" w:hAnsi="Wingdings 2" w:cs="Times"/>
                        <w:sz w:val="20"/>
                        <w:szCs w:val="20"/>
                      </w:rPr>
                      <w:t></w:t>
                    </w:r>
                  </w:p>
                </w:tc>
              </w:sdtContent>
            </w:sdt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40BB" w:rsidRPr="004F49DF" w:rsidRDefault="00A340BB" w:rsidP="00AA592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F49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81859210"/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431200636"/>
              </w:sdtPr>
              <w:sdtEndPr/>
              <w:sdtContent>
                <w:tc>
                  <w:tcPr>
                    <w:tcW w:w="538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nil"/>
                    </w:tcBorders>
                  </w:tcPr>
                  <w:p w:rsidR="00A340BB" w:rsidRPr="004F49DF" w:rsidRDefault="004F49DF" w:rsidP="00AA592B">
                    <w:pPr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</w:pPr>
                    <w:r w:rsidRPr="004F49DF">
                      <w:rPr>
                        <w:rFonts w:ascii="Segoe UI Symbol" w:eastAsia="Times New Roman" w:hAnsi="Segoe UI Symbol" w:cs="Segoe UI Symbol"/>
                        <w:b/>
                        <w:sz w:val="20"/>
                        <w:szCs w:val="20"/>
                        <w:lang w:eastAsia="sk-SK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40BB" w:rsidRPr="004F49DF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F49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04490383"/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A340BB" w:rsidRPr="004F49DF" w:rsidRDefault="00A340BB" w:rsidP="00AA592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F49DF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0BB" w:rsidRPr="004F49DF" w:rsidRDefault="00A340BB" w:rsidP="00AA592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F49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B23B7" w:rsidRPr="00B043B4" w:rsidTr="0019513F">
        <w:tc>
          <w:tcPr>
            <w:tcW w:w="917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Poznámky</w:t>
            </w:r>
          </w:p>
        </w:tc>
      </w:tr>
      <w:tr w:rsidR="001B23B7" w:rsidRPr="00B043B4" w:rsidTr="0019513F">
        <w:trPr>
          <w:trHeight w:val="713"/>
        </w:trPr>
        <w:tc>
          <w:tcPr>
            <w:tcW w:w="9176" w:type="dxa"/>
            <w:gridSpan w:val="7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1B23B7" w:rsidRPr="007056A8" w:rsidRDefault="001B23B7" w:rsidP="001951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B23B7" w:rsidRPr="00B043B4" w:rsidTr="0019513F">
        <w:tc>
          <w:tcPr>
            <w:tcW w:w="9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1B23B7" w:rsidRPr="0019513F" w:rsidTr="0019513F">
        <w:trPr>
          <w:trHeight w:val="586"/>
        </w:trPr>
        <w:tc>
          <w:tcPr>
            <w:tcW w:w="9176" w:type="dxa"/>
            <w:gridSpan w:val="7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AC3350" w:rsidRDefault="004F49DF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C335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JUDr. Katarína Csikósová</w:t>
            </w:r>
            <w:r w:rsidR="0019513F" w:rsidRPr="00AC335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</w:t>
            </w:r>
            <w:hyperlink r:id="rId9" w:history="1">
              <w:r w:rsidR="00AC3350" w:rsidRPr="00BB0547">
                <w:rPr>
                  <w:rStyle w:val="Hypertextovprepojenie"/>
                  <w:rFonts w:ascii="Times New Roman" w:hAnsi="Times New Roman" w:cs="Times New Roman"/>
                  <w:sz w:val="20"/>
                  <w:szCs w:val="20"/>
                </w:rPr>
                <w:t>katarina.csikosova@justice.sk</w:t>
              </w:r>
            </w:hyperlink>
            <w:r w:rsidR="00AC33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B23B7" w:rsidRPr="00B043B4" w:rsidTr="0019513F">
        <w:tc>
          <w:tcPr>
            <w:tcW w:w="9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1B23B7" w:rsidRPr="0019513F" w:rsidTr="0019513F">
        <w:trPr>
          <w:trHeight w:val="401"/>
        </w:trPr>
        <w:tc>
          <w:tcPr>
            <w:tcW w:w="9176" w:type="dxa"/>
            <w:gridSpan w:val="7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Default="0019513F" w:rsidP="004F49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9513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Návrh zákona je výstupom </w:t>
            </w:r>
            <w:r w:rsidR="004613FE" w:rsidRPr="004613F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odbornej komisie </w:t>
            </w:r>
            <w:r w:rsidR="004613FE" w:rsidRPr="0019513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zriadenej Ministerstvom spravodlivosti Slovenskej republiky</w:t>
            </w:r>
            <w:r w:rsidR="007056A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AC335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</w:t>
            </w:r>
            <w:r w:rsidR="004613FE" w:rsidRPr="004613F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 prípravu legislatívnych zmien upravujúcich podmienky výkonu väzby a výkonu trestu odňatia slobody</w:t>
            </w:r>
            <w:r w:rsidR="004613F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:rsidR="004613FE" w:rsidRPr="0019513F" w:rsidRDefault="004613FE" w:rsidP="004613F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19513F">
        <w:tc>
          <w:tcPr>
            <w:tcW w:w="9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2C7B5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 PPK č</w:t>
            </w:r>
            <w:r w:rsidR="004613FE" w:rsidRPr="00B043B4">
              <w:rPr>
                <w:rFonts w:ascii="Times New Roman" w:eastAsia="Calibri" w:hAnsi="Times New Roman" w:cs="Times New Roman"/>
                <w:b/>
              </w:rPr>
              <w:t>. ..........</w:t>
            </w:r>
          </w:p>
          <w:p w:rsidR="001B23B7" w:rsidRPr="00B043B4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1B23B7" w:rsidRPr="00B043B4" w:rsidTr="0019513F">
        <w:trPr>
          <w:trHeight w:val="1236"/>
        </w:trPr>
        <w:tc>
          <w:tcPr>
            <w:tcW w:w="9176" w:type="dxa"/>
            <w:gridSpan w:val="7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535A85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535A85" w:rsidRDefault="005835D0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898445880"/>
                    </w:sdtPr>
                    <w:sdtEndPr/>
                    <w:sdtContent>
                      <w:r w:rsidR="001B23B7" w:rsidRPr="00535A85">
                        <w:rPr>
                          <w:rFonts w:ascii="Segoe UI Symbol" w:eastAsia="Times New Roman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1B23B7" w:rsidRPr="00535A8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Súhlasné </w:t>
                  </w:r>
                </w:p>
              </w:tc>
              <w:tc>
                <w:tcPr>
                  <w:tcW w:w="3827" w:type="dxa"/>
                </w:tcPr>
                <w:p w:rsidR="001B23B7" w:rsidRPr="00535A85" w:rsidRDefault="005835D0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440152439"/>
                    </w:sdtPr>
                    <w:sdtEndPr/>
                    <w:sdtContent>
                      <w:sdt>
                        <w:sdtP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sk-SK"/>
                          </w:rPr>
                          <w:id w:val="-2281150"/>
                        </w:sdtPr>
                        <w:sdtEndPr/>
                        <w:sdt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sk-SK"/>
                              </w:rPr>
                              <w:id w:val="242769657"/>
                            </w:sdtPr>
                            <w:sdtEndPr/>
                            <w:sdtContent>
                              <w:r w:rsidR="002C7B5B" w:rsidRPr="00535A85">
                                <w:rPr>
                                  <w:rFonts w:ascii="Segoe UI Symbol" w:eastAsia="Times New Roman" w:hAnsi="Segoe UI Symbol" w:cs="Segoe UI Symbol"/>
                                  <w:b/>
                                  <w:sz w:val="20"/>
                                  <w:szCs w:val="20"/>
                                  <w:lang w:eastAsia="sk-SK"/>
                                </w:rPr>
                                <w:t>☐</w:t>
                              </w:r>
                            </w:sdtContent>
                          </w:sdt>
                        </w:sdtContent>
                      </w:sdt>
                    </w:sdtContent>
                  </w:sdt>
                  <w:r w:rsidR="001B23B7" w:rsidRPr="00535A8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Súhlasné s návrhom na dopracovanie</w:t>
                  </w:r>
                </w:p>
              </w:tc>
              <w:tc>
                <w:tcPr>
                  <w:tcW w:w="2534" w:type="dxa"/>
                </w:tcPr>
                <w:p w:rsidR="001B23B7" w:rsidRPr="00535A85" w:rsidRDefault="005835D0" w:rsidP="004613FE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070344587"/>
                    </w:sdtPr>
                    <w:sdtEndPr/>
                    <w:sdtContent>
                      <w:sdt>
                        <w:sdtP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sk-SK"/>
                          </w:rPr>
                          <w:id w:val="1316761996"/>
                        </w:sdtPr>
                        <w:sdtEndPr/>
                        <w:sdt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sk-SK"/>
                              </w:rPr>
                              <w:id w:val="80336040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Times New Roman" w:eastAsia="Times New Roman" w:hAnsi="Times New Roman" w:cs="Times New Roman"/>
                                    <w:b/>
                                    <w:sz w:val="20"/>
                                    <w:szCs w:val="20"/>
                                    <w:lang w:eastAsia="sk-SK"/>
                                  </w:rPr>
                                  <w:id w:val="1782994516"/>
                                </w:sdtPr>
                                <w:sdtContent>
                                  <w:r w:rsidR="003A2023" w:rsidRPr="004F49DF">
                                    <w:rPr>
                                      <w:rFonts w:ascii="Wingdings 2" w:hAnsi="Wingdings 2" w:cs="Times"/>
                                      <w:sz w:val="20"/>
                                      <w:szCs w:val="20"/>
                                    </w:rPr>
                                    <w:t></w:t>
                                  </w:r>
                                </w:sdtContent>
                              </w:sdt>
                            </w:sdtContent>
                          </w:sdt>
                          <w:r w:rsidR="004613FE" w:rsidRPr="00535A85">
                            <w:rPr>
                              <w:rFonts w:ascii="Times New Roman" w:eastAsia="Times New Roman" w:hAnsi="Times New Roman" w:cs="Times New Roman"/>
                              <w:b/>
                              <w:sz w:val="20"/>
                              <w:szCs w:val="20"/>
                              <w:lang w:eastAsia="sk-SK"/>
                            </w:rPr>
                            <w:t xml:space="preserve"> </w:t>
                          </w:r>
                        </w:sdtContent>
                      </w:sdt>
                    </w:sdtContent>
                  </w:sdt>
                  <w:r w:rsidR="001B23B7" w:rsidRPr="00535A8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Nesúhlasné</w:t>
                  </w:r>
                </w:p>
              </w:tc>
            </w:tr>
          </w:tbl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535A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B23B7" w:rsidRDefault="001B23B7" w:rsidP="003A202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3A2023" w:rsidRPr="003A2023" w:rsidRDefault="003A2023" w:rsidP="003A202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A20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 vplyvom na rozpočet verejnej správy</w:t>
            </w:r>
          </w:p>
          <w:p w:rsidR="003A2023" w:rsidRPr="003A2023" w:rsidRDefault="003A2023" w:rsidP="003A20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A202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 doložke je vyznačený negatívny, rozpočtovo nekrytý vplyv na rozpočet verejnej správy. V analýze vplyvov je v tabuľke č. 1 kvantifikovaný celkový úbytok príjmov v sume 434 873 eur od roku 2022 každoročne (v tom: zavedenie možnosti odpustenia pohľadávky na náhradu trov spojených s výkonom väzby v sume 267 000 eur/rok, zníženie počtu kalendárnych dní zo 180 na 90 na náhradu trov výkonu väzby v sume 160 000 eur/rok, nepodmieňovanie nákupu kreditu na telefonovanie úhradou pohľadávok v sume 2 743 eur/rok a vypustenie úhrady nákladov za spotrebovanú elektrickú energiu pri používaní vlastného elektrického spotrebiča v sume 5 130 eur/rok)  a taktiež celkový nárast výdavkov v sume 350 116 eur od roku 2022 každoročne (v tom: osobné výdavky v sume 327 942 eur/rok na navýšenie počtu personálu o 9 funkčných miest samostatných referentov a o 9 funkčných miest koordinátorov vzdelávania, výdavky na IT v sume 16 732 eur a s tým spojené služby v sume 5 442 eur/rok). </w:t>
            </w:r>
          </w:p>
          <w:p w:rsidR="003A2023" w:rsidRPr="003A2023" w:rsidRDefault="003A2023" w:rsidP="003A20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A202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časti 2.2.4.  analýzy vplyvov je k zavedeniu systému videonávštev uvedené, že vstupné výdavky budú v sume 9 400 eur (tablety) a výdavky za dátové pripojenie v sume 7 332 eur/rok. Vstupné výdavky na tablety sú v tabuľke č. 1 zahrnuté aj v rokoch 2023 a 2024. Predmetné sumy výdavkov za roky 2023 až 2024 žiada Komisia ponížiť o vstupné výdavky na tablety.</w:t>
            </w:r>
          </w:p>
          <w:p w:rsidR="003A2023" w:rsidRPr="003A2023" w:rsidRDefault="003A2023" w:rsidP="003A20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A202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Komisia žiada zosúladiť poistné a príspevky do poisťovní uvádzané v tabuľke č. 4 a 5.</w:t>
            </w:r>
          </w:p>
          <w:p w:rsidR="003A2023" w:rsidRPr="003A2023" w:rsidRDefault="003A2023" w:rsidP="003A20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A202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tabuľke č. 1 je v časti výdavky verejnej správy celkom v riadku „v tom: Ministerstvo spravodlivosti SR“ nesprávne uvádzaný čiastkový vplyv, nakoľko jeho súčet nedáva výsledný celkový vplyv. Uvedené žiada Komisia upraviť.  </w:t>
            </w:r>
          </w:p>
          <w:p w:rsidR="003A2023" w:rsidRDefault="003A2023" w:rsidP="003A20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A202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Komisia nesúhlasí so zvýšením systemizovaného počtu príslušníkov Zboru väzenskej a justičnej stráže a s tým spojeným zvyšovaním osobných výdavkov vyplývajúcich zo zabezpečenia humanizácie a zmierňovania obmedzení väznených osôb. Taktiež Komisia nesúhlasí s rozpočtovo nekrytým vplyvom vyplývajúcim z ostatných navrhovaných opatrení. Komisia žiada všetky vplyvy, vrátane poklesu príjmov, vyplývajúce z návrhov zabezpečiť v rámci schválených limitov dotknutého subjektu na príslušné rozpočtové roky, bez dodatočných požiadaviek na štátny rozpočet. V nadväznosti na uvedené je potrebné upraviť doložku vybraných vplyvov a analýzu vplyvov tak, aby z nich nevyplýval rozpočtovo nekrytý vplyv. </w:t>
            </w:r>
          </w:p>
          <w:p w:rsidR="003A2023" w:rsidRPr="003A2023" w:rsidRDefault="003A2023" w:rsidP="003A202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35A85" w:rsidRDefault="003A2023" w:rsidP="00535A8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Analýza vplyvov na rozpočet verejnej správy </w:t>
            </w:r>
            <w:r w:rsidRPr="00894E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bola primerane upravená.</w:t>
            </w:r>
          </w:p>
          <w:p w:rsidR="00535A85" w:rsidRPr="003A2023" w:rsidRDefault="00535A85" w:rsidP="003A20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3A2023" w:rsidRPr="003A2023" w:rsidRDefault="003A2023" w:rsidP="003A202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A20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 sociálnym vplyvom</w:t>
            </w:r>
          </w:p>
          <w:p w:rsidR="003A2023" w:rsidRPr="003A2023" w:rsidRDefault="003A2023" w:rsidP="003A20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A202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Predloženú analýzu sociálnych vplyvov je potrebné  vypracovať v novej šablóne pre analýzu sociálnych vplyvov podľa Jednotnej metodiky na posudzovanie vybraných vplyvov činnej od 1. júna 2021.</w:t>
            </w:r>
          </w:p>
          <w:p w:rsidR="003A2023" w:rsidRPr="003A2023" w:rsidRDefault="003A2023" w:rsidP="003A20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A202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 analýze sociálnych vplyvov je v bode 4.1 (vplyvy na hospodárenie dotknutých domácností) potrebné uviesť hodnotenie vplyvov nasledovných návrhov opatrení predloženého návrhu zákona:</w:t>
            </w:r>
          </w:p>
          <w:p w:rsidR="003A2023" w:rsidRPr="003A2023" w:rsidRDefault="003A2023" w:rsidP="003A20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A202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 návrh na naviazanie pracovnej odmeny obvinených na minimálnu mzdu, </w:t>
            </w:r>
          </w:p>
          <w:p w:rsidR="003A2023" w:rsidRPr="003A2023" w:rsidRDefault="003A2023" w:rsidP="003A20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A202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  návrh na zníženie náhrady trov výkonu väzby z prvých 180 kalendárnych dní trvania väzby na prvých 90 kalendárnych dní trvania väzby,</w:t>
            </w:r>
          </w:p>
          <w:p w:rsidR="003A2023" w:rsidRPr="003A2023" w:rsidRDefault="003A2023" w:rsidP="003A20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A202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-návrh, podľa ktorého sa povinnosť náhrady trov výkonu väzby už nebude vzťahovať na všetkých odsúdených, ale iba na odsúdených k výkonu  nepodmienečného trestu odňatia slobody,</w:t>
            </w:r>
          </w:p>
          <w:p w:rsidR="003A2023" w:rsidRPr="003A2023" w:rsidRDefault="003A2023" w:rsidP="003A20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A202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-návrh na vypustenie úhrady nákladov za spotrebovanú elektrickú energiu pri používaní vlastného elektrického spotrebiča (napr. rádio, televízny prijímač, kanvica).</w:t>
            </w:r>
          </w:p>
          <w:p w:rsidR="003A2023" w:rsidRPr="003A2023" w:rsidRDefault="003A2023" w:rsidP="003A20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A202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Hodnotenie ostatných návrhov opatrení v predloženej analýze sociálnych vplyvov, v bode 4.1 je potrebné vypustiť.</w:t>
            </w:r>
          </w:p>
          <w:p w:rsidR="003A2023" w:rsidRPr="003A2023" w:rsidRDefault="003A2023" w:rsidP="003A20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3A2023" w:rsidRPr="003A2023" w:rsidRDefault="003A2023" w:rsidP="003A20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A202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 analýze sociálnych vplyvov je potrebné v bode 4.2  (prístup k zdrojom, právam, tovarom a službám) doplniť aj hodnotenie  vplyvov  nasledovných návrhov opatrení predloženého návrhu zákona:</w:t>
            </w:r>
          </w:p>
          <w:p w:rsidR="003A2023" w:rsidRPr="003A2023" w:rsidRDefault="003A2023" w:rsidP="003A20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A202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 návrh na  zavedenie mechanizmu možnosti odpustenia pohľadávky na náhradu trov spojených s výkonom väzby,</w:t>
            </w:r>
          </w:p>
          <w:p w:rsidR="003A2023" w:rsidRPr="003A2023" w:rsidRDefault="003A2023" w:rsidP="003A20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A202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-návrh na  zavedenie systému videonávštev prostredníctvom tabletov s internetovým pripojením,</w:t>
            </w:r>
          </w:p>
          <w:p w:rsidR="003A2023" w:rsidRPr="003A2023" w:rsidRDefault="003A2023" w:rsidP="003A20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A202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 nepodmieňovanie nákupu kreditu na telefonovanie úhradou pohľadávok,</w:t>
            </w:r>
          </w:p>
          <w:p w:rsidR="003A2023" w:rsidRPr="003A2023" w:rsidRDefault="003A2023" w:rsidP="003A20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A202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 návrh na zúženie  kontraindikácii pre oddelené ubytovanie obvinených,</w:t>
            </w:r>
          </w:p>
          <w:p w:rsidR="003A2023" w:rsidRPr="003A2023" w:rsidRDefault="003A2023" w:rsidP="003A20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A202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 návrh na zúženie  skupiny obvinených, ktorí môžu byť umiestnení do bezpečnostnej cely,</w:t>
            </w:r>
          </w:p>
          <w:p w:rsidR="003A2023" w:rsidRPr="003A2023" w:rsidRDefault="003A2023" w:rsidP="003A20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A202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-návrh na rozšírenie okruh vecí osobnej potreby, ktoré môže mať obvinený pri sebe,</w:t>
            </w:r>
          </w:p>
          <w:p w:rsidR="003A2023" w:rsidRPr="003A2023" w:rsidRDefault="003A2023" w:rsidP="003A20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A202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-návrh na  naviazanie výšky sumy peňažných prostriedkov obvineného na konte a v pokladnici ústavu nepostihnuteľnej v rámci exekúcie na sumu životného minima pre jednu plnoletú fyzickú osobu,</w:t>
            </w:r>
          </w:p>
          <w:p w:rsidR="003A2023" w:rsidRPr="003A2023" w:rsidRDefault="003A2023" w:rsidP="003A20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A202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-návrh na zúženie kontraindikácii pre zaradenie obvineného do oddielu so zmierneným režimom. </w:t>
            </w:r>
          </w:p>
          <w:p w:rsidR="003A2023" w:rsidRPr="003A2023" w:rsidRDefault="003A2023" w:rsidP="003A20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A202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Zároveň je potrebné predložené hodnotenie v bode 4.2 upraviť podľa nasledovnej pripomienky.</w:t>
            </w:r>
          </w:p>
          <w:p w:rsidR="003A2023" w:rsidRPr="003A2023" w:rsidRDefault="003A2023" w:rsidP="003A20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A202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Hodnotenie sociálnych vplyvov jednotlivých navrhovaných opatrení je potrebné (vo všetkých bodoch analýzy sociálnych vplyvov) vykonať tak, aby z analýzy sociálnych vplyvov bol  zrejmý opis hodnoteného návrhu opatrenia so sociálnym vplyvom, špecifikácia  návrhom opatrenia dotknutej skupiny a jej veľkosť a kvalitatívne a aj kvantitatívne hodnotenie vplyvu navrhovaného opatrenia požadované podľa Metodického postupu pre analýzu sociálnych vplyvov (Príloha č. 4 Jednotnej metodiky na posudzovanie vybraných vplyvov).</w:t>
            </w:r>
          </w:p>
          <w:p w:rsidR="00535A85" w:rsidRDefault="00535A85" w:rsidP="003A202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535A85" w:rsidRDefault="003A2023" w:rsidP="003A202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ožadovaná analýza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sociálnych vplyvov 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ola </w:t>
            </w:r>
            <w:r w:rsidR="006B21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pracovaná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.</w:t>
            </w:r>
          </w:p>
          <w:p w:rsidR="00535A85" w:rsidRDefault="00535A85" w:rsidP="00535A8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535A85" w:rsidRPr="00B043B4" w:rsidRDefault="00535A85" w:rsidP="00535A8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bookmarkStart w:id="0" w:name="_GoBack"/>
            <w:bookmarkEnd w:id="0"/>
          </w:p>
        </w:tc>
      </w:tr>
      <w:tr w:rsidR="001B23B7" w:rsidRPr="00B043B4" w:rsidTr="0019513F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gridSpan w:val="7"/>
            <w:tcBorders>
              <w:top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Stanovisko Komisie na posudzovanie vybraných vplyvov zo záverečného posúdenia č. ..........</w:t>
            </w:r>
            <w:r w:rsidRPr="00B043B4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1B23B7" w:rsidRPr="00B043B4" w:rsidTr="0019513F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gridSpan w:val="7"/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B043B4" w:rsidRDefault="005835D0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347761034"/>
                    </w:sdtPr>
                    <w:sdtEndPr/>
                    <w:sdtContent>
                      <w:r w:rsidR="001B23B7" w:rsidRPr="00B043B4">
                        <w:rPr>
                          <w:rFonts w:ascii="Segoe UI Symbol" w:eastAsia="Times New Roman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Súhlasné </w:t>
                  </w:r>
                </w:p>
              </w:tc>
              <w:tc>
                <w:tcPr>
                  <w:tcW w:w="3827" w:type="dxa"/>
                </w:tcPr>
                <w:p w:rsidR="001B23B7" w:rsidRPr="00B043B4" w:rsidRDefault="005835D0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79908699"/>
                    </w:sdtPr>
                    <w:sdtEndPr/>
                    <w:sdtContent>
                      <w:r w:rsidR="001B23B7" w:rsidRPr="00B043B4">
                        <w:rPr>
                          <w:rFonts w:ascii="Segoe UI Symbol" w:eastAsia="Times New Roman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Súhlasné s  návrhom na dopracovanie</w:t>
                  </w:r>
                </w:p>
              </w:tc>
              <w:tc>
                <w:tcPr>
                  <w:tcW w:w="2534" w:type="dxa"/>
                </w:tcPr>
                <w:p w:rsidR="001B23B7" w:rsidRPr="00B043B4" w:rsidRDefault="005835D0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2041658436"/>
                    </w:sdtPr>
                    <w:sdtEndPr/>
                    <w:sdtContent>
                      <w:r w:rsidR="001B23B7" w:rsidRPr="00B043B4">
                        <w:rPr>
                          <w:rFonts w:ascii="Segoe UI Symbol" w:eastAsia="Times New Roman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Nesúhlasné</w:t>
                  </w:r>
                </w:p>
              </w:tc>
            </w:tr>
          </w:tbl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:rsidR="00274130" w:rsidRDefault="005835D0"/>
    <w:sectPr w:rsidR="00274130" w:rsidSect="0019513F">
      <w:footerReference w:type="defaul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5D0" w:rsidRDefault="005835D0" w:rsidP="001B23B7">
      <w:pPr>
        <w:spacing w:after="0" w:line="240" w:lineRule="auto"/>
      </w:pPr>
      <w:r>
        <w:separator/>
      </w:r>
    </w:p>
  </w:endnote>
  <w:endnote w:type="continuationSeparator" w:id="0">
    <w:p w:rsidR="005835D0" w:rsidRDefault="005835D0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558014"/>
      <w:docPartObj>
        <w:docPartGallery w:val="Page Numbers (Bottom of Page)"/>
        <w:docPartUnique/>
      </w:docPartObj>
    </w:sdtPr>
    <w:sdtEndPr/>
    <w:sdtContent>
      <w:p w:rsidR="0019513F" w:rsidRDefault="00C920C3">
        <w:pPr>
          <w:pStyle w:val="Pta"/>
          <w:jc w:val="center"/>
        </w:pPr>
        <w:r>
          <w:fldChar w:fldCharType="begin"/>
        </w:r>
        <w:r w:rsidR="0019513F">
          <w:instrText>PAGE   \* MERGEFORMAT</w:instrText>
        </w:r>
        <w:r>
          <w:fldChar w:fldCharType="separate"/>
        </w:r>
        <w:r w:rsidR="006B2103">
          <w:rPr>
            <w:noProof/>
          </w:rPr>
          <w:t>2</w:t>
        </w:r>
        <w:r>
          <w:fldChar w:fldCharType="end"/>
        </w:r>
      </w:p>
    </w:sdtContent>
  </w:sdt>
  <w:p w:rsidR="0019513F" w:rsidRDefault="0019513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5D0" w:rsidRDefault="005835D0" w:rsidP="001B23B7">
      <w:pPr>
        <w:spacing w:after="0" w:line="240" w:lineRule="auto"/>
      </w:pPr>
      <w:r>
        <w:separator/>
      </w:r>
    </w:p>
  </w:footnote>
  <w:footnote w:type="continuationSeparator" w:id="0">
    <w:p w:rsidR="005835D0" w:rsidRDefault="005835D0" w:rsidP="001B2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3B7"/>
    <w:rsid w:val="00007936"/>
    <w:rsid w:val="00043706"/>
    <w:rsid w:val="00044664"/>
    <w:rsid w:val="00097069"/>
    <w:rsid w:val="000D5B66"/>
    <w:rsid w:val="000F2BE9"/>
    <w:rsid w:val="0019513F"/>
    <w:rsid w:val="001B23B7"/>
    <w:rsid w:val="001E3562"/>
    <w:rsid w:val="001E6391"/>
    <w:rsid w:val="00207489"/>
    <w:rsid w:val="00220BCD"/>
    <w:rsid w:val="00243652"/>
    <w:rsid w:val="00263DD2"/>
    <w:rsid w:val="002675E8"/>
    <w:rsid w:val="002C7B5B"/>
    <w:rsid w:val="002D4F7B"/>
    <w:rsid w:val="003500C3"/>
    <w:rsid w:val="003A057B"/>
    <w:rsid w:val="003A2023"/>
    <w:rsid w:val="003A2AF6"/>
    <w:rsid w:val="004613FE"/>
    <w:rsid w:val="0049476D"/>
    <w:rsid w:val="004A4383"/>
    <w:rsid w:val="004F49DF"/>
    <w:rsid w:val="00535A85"/>
    <w:rsid w:val="005462AD"/>
    <w:rsid w:val="005835D0"/>
    <w:rsid w:val="00591EC6"/>
    <w:rsid w:val="00653A54"/>
    <w:rsid w:val="00667BC0"/>
    <w:rsid w:val="006B2103"/>
    <w:rsid w:val="007056A8"/>
    <w:rsid w:val="00720322"/>
    <w:rsid w:val="00796C92"/>
    <w:rsid w:val="007B40C1"/>
    <w:rsid w:val="007C2899"/>
    <w:rsid w:val="007D4126"/>
    <w:rsid w:val="00814CE3"/>
    <w:rsid w:val="00860D24"/>
    <w:rsid w:val="00865E81"/>
    <w:rsid w:val="008801B5"/>
    <w:rsid w:val="00894EC5"/>
    <w:rsid w:val="008A5DC7"/>
    <w:rsid w:val="008B222D"/>
    <w:rsid w:val="008C79B7"/>
    <w:rsid w:val="009431E3"/>
    <w:rsid w:val="00946F92"/>
    <w:rsid w:val="009475F5"/>
    <w:rsid w:val="009717F5"/>
    <w:rsid w:val="00987280"/>
    <w:rsid w:val="009C424C"/>
    <w:rsid w:val="009D370E"/>
    <w:rsid w:val="009E09F7"/>
    <w:rsid w:val="009F4832"/>
    <w:rsid w:val="00A33386"/>
    <w:rsid w:val="00A340BB"/>
    <w:rsid w:val="00A60407"/>
    <w:rsid w:val="00AA3239"/>
    <w:rsid w:val="00AB2BA0"/>
    <w:rsid w:val="00AC3350"/>
    <w:rsid w:val="00AE54FC"/>
    <w:rsid w:val="00B43A6F"/>
    <w:rsid w:val="00B84F87"/>
    <w:rsid w:val="00BA2BF4"/>
    <w:rsid w:val="00BB6CD3"/>
    <w:rsid w:val="00BF383B"/>
    <w:rsid w:val="00C32A14"/>
    <w:rsid w:val="00C920C3"/>
    <w:rsid w:val="00CE6AAE"/>
    <w:rsid w:val="00CF1A25"/>
    <w:rsid w:val="00D2313B"/>
    <w:rsid w:val="00D52D86"/>
    <w:rsid w:val="00D807A2"/>
    <w:rsid w:val="00DF357C"/>
    <w:rsid w:val="00E71769"/>
    <w:rsid w:val="00E801D5"/>
    <w:rsid w:val="00E859EC"/>
    <w:rsid w:val="00EF76B9"/>
    <w:rsid w:val="00F33151"/>
    <w:rsid w:val="00F857A9"/>
    <w:rsid w:val="00F8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5C2C1"/>
  <w15:docId w15:val="{267200F5-54C1-43CC-9B88-954DF578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F383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9513F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A5DC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A5D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A5DC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A5DC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A5D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2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katarina.csikosova@justice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ý-materiál,-príloha-č.-1"/>
    <f:field ref="objsubject" par="" edit="true" text=""/>
    <f:field ref="objcreatedby" par="" text="Drieniková, Kristína"/>
    <f:field ref="objcreatedat" par="" text="4.11.2020 11:13:17"/>
    <f:field ref="objchangedby" par="" text="Matúšek, Miloš, JUDr."/>
    <f:field ref="objmodifiedat" par="" text="4.11.2020 13:53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F52F09C-9DC3-447C-BF2F-4DA84F40E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1920</Words>
  <Characters>10945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12840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CSIKÓSOVÁ Katarína</cp:lastModifiedBy>
  <cp:revision>24</cp:revision>
  <cp:lastPrinted>2021-08-10T05:56:00Z</cp:lastPrinted>
  <dcterms:created xsi:type="dcterms:W3CDTF">2021-08-04T06:58:00Z</dcterms:created>
  <dcterms:modified xsi:type="dcterms:W3CDTF">2021-10-11T08:19:00Z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4. 11. 2020</vt:lpwstr>
  </property>
  <property fmtid="{D5CDD505-2E9C-101B-9397-08002B2CF9AE}" pid="151" name="FSC#COOSYSTEM@1.1:Container">
    <vt:lpwstr>COO.2145.1000.3.4081373</vt:lpwstr>
  </property>
  <property fmtid="{D5CDD505-2E9C-101B-9397-08002B2CF9AE}" pid="152" name="FSC#FSCFOLIO@1.1001:docpropproject">
    <vt:lpwstr/>
  </property>
</Properties>
</file>