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E6FD" w14:textId="0DB1F87E" w:rsidR="0024220C" w:rsidRPr="00F410B9" w:rsidRDefault="0024220C" w:rsidP="00C20793">
      <w:pPr>
        <w:spacing w:after="0" w:line="240" w:lineRule="auto"/>
        <w:jc w:val="both"/>
        <w:rPr>
          <w:rFonts w:ascii="Times New Roman" w:eastAsia="MS Mincho" w:hAnsi="Times New Roman" w:cs="Times New Roman"/>
          <w:b/>
          <w:sz w:val="24"/>
          <w:szCs w:val="24"/>
          <w:lang w:eastAsia="ja-JP"/>
        </w:rPr>
      </w:pPr>
      <w:bookmarkStart w:id="0" w:name="_GoBack"/>
      <w:bookmarkEnd w:id="0"/>
      <w:r w:rsidRPr="00F410B9">
        <w:rPr>
          <w:rFonts w:ascii="Times New Roman" w:eastAsia="MS Mincho" w:hAnsi="Times New Roman" w:cs="Times New Roman"/>
          <w:b/>
          <w:sz w:val="24"/>
          <w:szCs w:val="24"/>
          <w:lang w:eastAsia="ja-JP"/>
        </w:rPr>
        <w:t>D Ô V O D O V Á   S P R Á V A</w:t>
      </w:r>
    </w:p>
    <w:p w14:paraId="3144228C" w14:textId="77777777" w:rsidR="0024220C" w:rsidRPr="00F410B9" w:rsidRDefault="0024220C" w:rsidP="00C20793">
      <w:pPr>
        <w:spacing w:after="0" w:line="240" w:lineRule="auto"/>
        <w:jc w:val="both"/>
        <w:rPr>
          <w:rFonts w:ascii="Times New Roman" w:eastAsia="MS Mincho" w:hAnsi="Times New Roman" w:cs="Times New Roman"/>
          <w:b/>
          <w:sz w:val="24"/>
          <w:szCs w:val="24"/>
          <w:lang w:eastAsia="ja-JP"/>
        </w:rPr>
      </w:pPr>
    </w:p>
    <w:p w14:paraId="1DEE15E6" w14:textId="77777777" w:rsidR="0024220C" w:rsidRPr="00F410B9" w:rsidRDefault="0024220C" w:rsidP="00C20793">
      <w:pPr>
        <w:spacing w:after="0" w:line="240" w:lineRule="auto"/>
        <w:jc w:val="both"/>
        <w:rPr>
          <w:rFonts w:ascii="Times New Roman" w:eastAsia="MS Mincho" w:hAnsi="Times New Roman" w:cs="Times New Roman"/>
          <w:b/>
          <w:sz w:val="24"/>
          <w:szCs w:val="24"/>
          <w:lang w:eastAsia="ja-JP"/>
        </w:rPr>
      </w:pPr>
      <w:r w:rsidRPr="00F410B9">
        <w:rPr>
          <w:rFonts w:ascii="Times New Roman" w:eastAsia="MS Mincho" w:hAnsi="Times New Roman" w:cs="Times New Roman"/>
          <w:b/>
          <w:sz w:val="24"/>
          <w:szCs w:val="24"/>
          <w:lang w:eastAsia="ja-JP"/>
        </w:rPr>
        <w:t>B. Osobitná časť</w:t>
      </w:r>
    </w:p>
    <w:p w14:paraId="51CAE581" w14:textId="77777777" w:rsidR="0024220C" w:rsidRPr="00F410B9" w:rsidRDefault="0024220C" w:rsidP="00C20793">
      <w:pPr>
        <w:spacing w:after="0" w:line="240" w:lineRule="auto"/>
        <w:jc w:val="both"/>
        <w:rPr>
          <w:rFonts w:ascii="Times New Roman" w:eastAsia="Calibri" w:hAnsi="Times New Roman" w:cs="Times New Roman"/>
          <w:sz w:val="24"/>
          <w:szCs w:val="24"/>
        </w:rPr>
      </w:pPr>
    </w:p>
    <w:p w14:paraId="72FAC50F" w14:textId="67394485" w:rsidR="00FD4241" w:rsidRPr="00F410B9" w:rsidRDefault="00EE29E6" w:rsidP="00C2079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 Č</w:t>
      </w:r>
      <w:r w:rsidR="00FD4241" w:rsidRPr="00F410B9">
        <w:rPr>
          <w:rFonts w:ascii="Times New Roman" w:eastAsia="Calibri" w:hAnsi="Times New Roman" w:cs="Times New Roman"/>
          <w:b/>
          <w:sz w:val="24"/>
          <w:szCs w:val="24"/>
        </w:rPr>
        <w:t>l. I</w:t>
      </w:r>
    </w:p>
    <w:p w14:paraId="7F00DC6D" w14:textId="77777777" w:rsidR="00904993" w:rsidRDefault="00904993" w:rsidP="00C20793">
      <w:pPr>
        <w:spacing w:after="0" w:line="240" w:lineRule="auto"/>
        <w:jc w:val="both"/>
        <w:rPr>
          <w:rFonts w:ascii="Times New Roman" w:eastAsia="Calibri" w:hAnsi="Times New Roman" w:cs="Times New Roman"/>
          <w:b/>
          <w:sz w:val="24"/>
          <w:szCs w:val="24"/>
        </w:rPr>
      </w:pPr>
    </w:p>
    <w:p w14:paraId="6FD3749B" w14:textId="69D72DB1" w:rsidR="0024220C" w:rsidRPr="00F410B9" w:rsidRDefault="00904993" w:rsidP="00C2079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 § 1</w:t>
      </w:r>
    </w:p>
    <w:p w14:paraId="6590F95E" w14:textId="786103D4" w:rsidR="00A00A88" w:rsidRDefault="00A00A88" w:rsidP="00757E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24220C" w:rsidRPr="00F410B9">
        <w:rPr>
          <w:rFonts w:ascii="Times New Roman" w:eastAsia="Calibri" w:hAnsi="Times New Roman" w:cs="Times New Roman"/>
          <w:sz w:val="24"/>
          <w:szCs w:val="24"/>
        </w:rPr>
        <w:t>redmet</w:t>
      </w:r>
      <w:r>
        <w:rPr>
          <w:rFonts w:ascii="Times New Roman" w:eastAsia="Calibri" w:hAnsi="Times New Roman" w:cs="Times New Roman"/>
          <w:sz w:val="24"/>
          <w:szCs w:val="24"/>
        </w:rPr>
        <w:t>om</w:t>
      </w:r>
      <w:r w:rsidR="0024220C" w:rsidRPr="00F410B9">
        <w:rPr>
          <w:rFonts w:ascii="Times New Roman" w:eastAsia="Calibri" w:hAnsi="Times New Roman" w:cs="Times New Roman"/>
          <w:sz w:val="24"/>
          <w:szCs w:val="24"/>
        </w:rPr>
        <w:t xml:space="preserve"> návrhu </w:t>
      </w:r>
      <w:r w:rsidR="007E5BA9" w:rsidRPr="00F410B9">
        <w:rPr>
          <w:rFonts w:ascii="Times New Roman" w:eastAsia="Calibri" w:hAnsi="Times New Roman" w:cs="Times New Roman"/>
          <w:sz w:val="24"/>
          <w:szCs w:val="24"/>
        </w:rPr>
        <w:t>zákona</w:t>
      </w:r>
      <w:r w:rsidR="00DF46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je ustanovenie niektorých podmienok </w:t>
      </w:r>
      <w:r w:rsidR="00904993">
        <w:rPr>
          <w:rFonts w:ascii="Times New Roman" w:eastAsia="Calibri" w:hAnsi="Times New Roman" w:cs="Times New Roman"/>
          <w:sz w:val="24"/>
          <w:szCs w:val="24"/>
        </w:rPr>
        <w:t xml:space="preserve">pre vytváranie, </w:t>
      </w:r>
      <w:r>
        <w:rPr>
          <w:rFonts w:ascii="Times New Roman" w:eastAsia="Calibri" w:hAnsi="Times New Roman" w:cs="Times New Roman"/>
          <w:sz w:val="24"/>
          <w:szCs w:val="24"/>
        </w:rPr>
        <w:t>poskytovani</w:t>
      </w:r>
      <w:r w:rsidR="00904993">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904993">
        <w:rPr>
          <w:rFonts w:ascii="Times New Roman" w:eastAsia="Calibri" w:hAnsi="Times New Roman" w:cs="Times New Roman"/>
          <w:sz w:val="24"/>
          <w:szCs w:val="24"/>
        </w:rPr>
        <w:t xml:space="preserve">a distribúciu </w:t>
      </w:r>
      <w:r>
        <w:rPr>
          <w:rFonts w:ascii="Times New Roman" w:eastAsia="Calibri" w:hAnsi="Times New Roman" w:cs="Times New Roman"/>
          <w:sz w:val="24"/>
          <w:szCs w:val="24"/>
        </w:rPr>
        <w:t>celoeurópskeho osobného dôchodkového produktu (podmienky sporiacej a výplatnej fázy, kompetencie Národnej banky Slovenska pri registrácii a dohľade nad vykonávaním celoeurópskeho osobného dôchodkového produktu a pod.).</w:t>
      </w:r>
    </w:p>
    <w:p w14:paraId="12DA5657" w14:textId="77777777" w:rsidR="00086B8C" w:rsidRPr="00904993" w:rsidRDefault="00086B8C" w:rsidP="00904993">
      <w:pPr>
        <w:spacing w:after="0" w:line="240" w:lineRule="auto"/>
        <w:jc w:val="both"/>
        <w:rPr>
          <w:rFonts w:ascii="Times New Roman" w:eastAsia="Calibri" w:hAnsi="Times New Roman" w:cs="Times New Roman"/>
          <w:sz w:val="24"/>
          <w:szCs w:val="24"/>
        </w:rPr>
      </w:pPr>
      <w:r w:rsidRPr="00904993">
        <w:rPr>
          <w:rFonts w:ascii="Times New Roman" w:eastAsia="Calibri" w:hAnsi="Times New Roman" w:cs="Times New Roman"/>
          <w:sz w:val="24"/>
          <w:szCs w:val="24"/>
        </w:rPr>
        <w:t>Činnosť poskytovateľa a distribútora celoeurópskeho osobného dôchodkového produktu pri poskytovaní alebo distribúcii celoeurópskeho osobného dôchodkového produktu sa bude riadiť nariadením alebo príslušným sektorovým právom Únie alebo právnymi predpismi prijatými členskými štátmi na vykonávanie príslušného sektorového práva Únie a ďalšími vnútroštátnymi právnymi predpismi (návrh zákona), ktoré upravujú celoeurópsky osobný dôchodkový produkt.</w:t>
      </w:r>
    </w:p>
    <w:p w14:paraId="4F7E50B7" w14:textId="77777777" w:rsidR="00904993" w:rsidRDefault="00904993" w:rsidP="00904993">
      <w:pPr>
        <w:spacing w:after="0" w:line="240" w:lineRule="auto"/>
        <w:jc w:val="both"/>
        <w:rPr>
          <w:rFonts w:ascii="Times New Roman" w:eastAsia="Calibri" w:hAnsi="Times New Roman" w:cs="Times New Roman"/>
          <w:b/>
          <w:sz w:val="24"/>
          <w:szCs w:val="24"/>
        </w:rPr>
      </w:pPr>
    </w:p>
    <w:p w14:paraId="7BB75BB5" w14:textId="3BEB68AD" w:rsidR="00904993" w:rsidRPr="00F410B9" w:rsidRDefault="00904993" w:rsidP="00904993">
      <w:pPr>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K § 2</w:t>
      </w:r>
    </w:p>
    <w:p w14:paraId="668FC71B" w14:textId="3D6286B3" w:rsidR="00904993" w:rsidRDefault="00904993" w:rsidP="009049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 účely návrhu zákona nie je </w:t>
      </w:r>
      <w:r w:rsidR="00E511ED">
        <w:rPr>
          <w:rFonts w:ascii="Times New Roman" w:eastAsia="Calibri" w:hAnsi="Times New Roman" w:cs="Times New Roman"/>
          <w:sz w:val="24"/>
          <w:szCs w:val="24"/>
        </w:rPr>
        <w:t xml:space="preserve">vhodné ani účelné </w:t>
      </w:r>
      <w:r>
        <w:rPr>
          <w:rFonts w:ascii="Times New Roman" w:eastAsia="Calibri" w:hAnsi="Times New Roman" w:cs="Times New Roman"/>
          <w:sz w:val="24"/>
          <w:szCs w:val="24"/>
        </w:rPr>
        <w:t>preberať</w:t>
      </w:r>
      <w:r w:rsidR="00E511ED">
        <w:rPr>
          <w:rFonts w:ascii="Times New Roman" w:eastAsia="Calibri" w:hAnsi="Times New Roman" w:cs="Times New Roman"/>
          <w:sz w:val="24"/>
          <w:szCs w:val="24"/>
        </w:rPr>
        <w:t xml:space="preserve"> všetky</w:t>
      </w:r>
      <w:r>
        <w:rPr>
          <w:rFonts w:ascii="Times New Roman" w:eastAsia="Calibri" w:hAnsi="Times New Roman" w:cs="Times New Roman"/>
          <w:sz w:val="24"/>
          <w:szCs w:val="24"/>
        </w:rPr>
        <w:t xml:space="preserve"> pojmy</w:t>
      </w:r>
      <w:r w:rsidR="00E511ED">
        <w:rPr>
          <w:rFonts w:ascii="Times New Roman" w:eastAsia="Calibri" w:hAnsi="Times New Roman" w:cs="Times New Roman"/>
          <w:sz w:val="24"/>
          <w:szCs w:val="24"/>
        </w:rPr>
        <w:t xml:space="preserve"> vymedzené v nariadení. Pre účely nasledujúcich ustanovení, ktoré sa týkajú vecného rozsahu osobného dôchodkového produkte a daňového režimu sa však javí ako vhodné upraviť a spresniť na účely tohto zákona pojem poskytovateľ a príspevok.</w:t>
      </w:r>
    </w:p>
    <w:p w14:paraId="07D66729" w14:textId="4740331C" w:rsidR="00E511ED" w:rsidRDefault="00E511ED" w:rsidP="00904993">
      <w:pPr>
        <w:spacing w:after="0" w:line="240" w:lineRule="auto"/>
        <w:jc w:val="both"/>
        <w:rPr>
          <w:rFonts w:ascii="Times New Roman" w:eastAsia="Calibri" w:hAnsi="Times New Roman" w:cs="Times New Roman"/>
          <w:sz w:val="24"/>
          <w:szCs w:val="24"/>
        </w:rPr>
      </w:pPr>
    </w:p>
    <w:p w14:paraId="44D3A778" w14:textId="173A729A" w:rsidR="00E511ED" w:rsidRPr="00F410B9" w:rsidRDefault="00E511ED" w:rsidP="00E511E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 § 3</w:t>
      </w:r>
    </w:p>
    <w:p w14:paraId="06CC7F3D" w14:textId="4D4A33B0" w:rsidR="00E511ED" w:rsidRPr="00F410B9" w:rsidRDefault="00E511ED" w:rsidP="00E511ED">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V nadväznosti na kompetenciu v čl. 47 nariadenia sa navrhuje</w:t>
      </w:r>
      <w:r w:rsidRPr="00F410B9">
        <w:rPr>
          <w:rFonts w:ascii="Times New Roman" w:eastAsia="Calibri" w:hAnsi="Times New Roman" w:cs="Times New Roman"/>
          <w:sz w:val="24"/>
          <w:szCs w:val="24"/>
        </w:rPr>
        <w:t xml:space="preserve">, aby </w:t>
      </w:r>
      <w:r w:rsidR="00B478C1">
        <w:rPr>
          <w:rFonts w:ascii="Times New Roman" w:eastAsia="Calibri" w:hAnsi="Times New Roman" w:cs="Times New Roman"/>
          <w:sz w:val="24"/>
          <w:szCs w:val="24"/>
        </w:rPr>
        <w:t>sporiteľom</w:t>
      </w:r>
      <w:r w:rsidRPr="00F410B9">
        <w:rPr>
          <w:rFonts w:ascii="Times New Roman" w:eastAsia="Calibri" w:hAnsi="Times New Roman" w:cs="Times New Roman"/>
          <w:sz w:val="24"/>
          <w:szCs w:val="24"/>
        </w:rPr>
        <w:t xml:space="preserve"> bola </w:t>
      </w:r>
      <w:r>
        <w:rPr>
          <w:rFonts w:ascii="Times New Roman" w:eastAsia="Calibri" w:hAnsi="Times New Roman" w:cs="Times New Roman"/>
          <w:sz w:val="24"/>
          <w:szCs w:val="24"/>
        </w:rPr>
        <w:t xml:space="preserve">plnoletá </w:t>
      </w:r>
      <w:r w:rsidRPr="00F410B9">
        <w:rPr>
          <w:rFonts w:ascii="Times New Roman" w:eastAsia="Calibri" w:hAnsi="Times New Roman" w:cs="Times New Roman"/>
          <w:sz w:val="24"/>
          <w:szCs w:val="24"/>
        </w:rPr>
        <w:t>fyzická osoba</w:t>
      </w:r>
      <w:r>
        <w:rPr>
          <w:rFonts w:ascii="Times New Roman" w:eastAsia="Calibri" w:hAnsi="Times New Roman" w:cs="Times New Roman"/>
          <w:sz w:val="24"/>
          <w:szCs w:val="24"/>
        </w:rPr>
        <w:t>, ktorá</w:t>
      </w:r>
      <w:r w:rsidRPr="00F410B9">
        <w:rPr>
          <w:rFonts w:ascii="Times New Roman" w:eastAsia="Calibri" w:hAnsi="Times New Roman" w:cs="Times New Roman"/>
          <w:sz w:val="24"/>
          <w:szCs w:val="24"/>
        </w:rPr>
        <w:t xml:space="preserve"> uzatvorí s poskytovateľom zmluvu. </w:t>
      </w:r>
      <w:r>
        <w:rPr>
          <w:rFonts w:ascii="Times New Roman" w:eastAsia="Calibri" w:hAnsi="Times New Roman" w:cs="Times New Roman"/>
          <w:sz w:val="24"/>
          <w:szCs w:val="24"/>
        </w:rPr>
        <w:t>Návrh zákona cieli na osoby, u ktorých je predpoklad</w:t>
      </w:r>
      <w:r w:rsidR="00B478C1">
        <w:rPr>
          <w:rFonts w:ascii="Times New Roman" w:eastAsia="Calibri" w:hAnsi="Times New Roman" w:cs="Times New Roman"/>
          <w:sz w:val="24"/>
          <w:szCs w:val="24"/>
        </w:rPr>
        <w:t xml:space="preserve"> dlhodobej</w:t>
      </w:r>
      <w:r>
        <w:rPr>
          <w:rFonts w:ascii="Times New Roman" w:eastAsia="Calibri" w:hAnsi="Times New Roman" w:cs="Times New Roman"/>
          <w:sz w:val="24"/>
          <w:szCs w:val="24"/>
        </w:rPr>
        <w:t xml:space="preserve"> </w:t>
      </w:r>
      <w:r w:rsidR="00B478C1">
        <w:rPr>
          <w:rFonts w:ascii="Times New Roman" w:eastAsia="Calibri" w:hAnsi="Times New Roman" w:cs="Times New Roman"/>
          <w:sz w:val="24"/>
          <w:szCs w:val="24"/>
        </w:rPr>
        <w:t>ekonomickej</w:t>
      </w:r>
      <w:r>
        <w:rPr>
          <w:rFonts w:ascii="Times New Roman" w:eastAsia="Calibri" w:hAnsi="Times New Roman" w:cs="Times New Roman"/>
          <w:sz w:val="24"/>
          <w:szCs w:val="24"/>
        </w:rPr>
        <w:t xml:space="preserve"> </w:t>
      </w:r>
      <w:r w:rsidR="00B478C1">
        <w:rPr>
          <w:rFonts w:ascii="Times New Roman" w:eastAsia="Calibri" w:hAnsi="Times New Roman" w:cs="Times New Roman"/>
          <w:sz w:val="24"/>
          <w:szCs w:val="24"/>
        </w:rPr>
        <w:t xml:space="preserve">aktivity s potenciálom </w:t>
      </w:r>
      <w:r>
        <w:rPr>
          <w:rFonts w:ascii="Times New Roman" w:eastAsia="Calibri" w:hAnsi="Times New Roman" w:cs="Times New Roman"/>
          <w:sz w:val="24"/>
          <w:szCs w:val="24"/>
        </w:rPr>
        <w:t>alokovať disponibilné zdroje smerom</w:t>
      </w:r>
      <w:r w:rsidR="00B478C1">
        <w:rPr>
          <w:rFonts w:ascii="Times New Roman" w:eastAsia="Calibri" w:hAnsi="Times New Roman" w:cs="Times New Roman"/>
          <w:sz w:val="24"/>
          <w:szCs w:val="24"/>
        </w:rPr>
        <w:t xml:space="preserve"> k úsporám na vlastný dôchodok. Nevytvára však prekážky pre zapojenie </w:t>
      </w:r>
      <w:r w:rsidR="009D769A">
        <w:rPr>
          <w:rFonts w:ascii="Times New Roman" w:eastAsia="Calibri" w:hAnsi="Times New Roman" w:cs="Times New Roman"/>
          <w:sz w:val="24"/>
          <w:szCs w:val="24"/>
        </w:rPr>
        <w:t xml:space="preserve">sa </w:t>
      </w:r>
      <w:r w:rsidR="00B478C1">
        <w:rPr>
          <w:rFonts w:ascii="Times New Roman" w:eastAsia="Calibri" w:hAnsi="Times New Roman" w:cs="Times New Roman"/>
          <w:sz w:val="24"/>
          <w:szCs w:val="24"/>
        </w:rPr>
        <w:t>do celoeurópskeho osobného dôchodkového produktu ani sporiteľom vo vyššom veku.</w:t>
      </w:r>
    </w:p>
    <w:p w14:paraId="04F5A140" w14:textId="5E37D330" w:rsidR="00E511ED" w:rsidRDefault="00E511ED" w:rsidP="00904993">
      <w:pPr>
        <w:spacing w:after="0" w:line="240" w:lineRule="auto"/>
        <w:jc w:val="both"/>
        <w:rPr>
          <w:rFonts w:ascii="Times New Roman" w:eastAsia="Calibri" w:hAnsi="Times New Roman" w:cs="Times New Roman"/>
          <w:sz w:val="24"/>
          <w:szCs w:val="24"/>
        </w:rPr>
      </w:pPr>
    </w:p>
    <w:p w14:paraId="5CDF084A" w14:textId="0E305520" w:rsidR="00B478C1" w:rsidRPr="00F410B9" w:rsidRDefault="00B478C1" w:rsidP="00B478C1">
      <w:pPr>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 xml:space="preserve">K § </w:t>
      </w:r>
      <w:r>
        <w:rPr>
          <w:rFonts w:ascii="Times New Roman" w:eastAsia="Calibri" w:hAnsi="Times New Roman" w:cs="Times New Roman"/>
          <w:b/>
          <w:sz w:val="24"/>
          <w:szCs w:val="24"/>
        </w:rPr>
        <w:t>4</w:t>
      </w:r>
      <w:r w:rsidRPr="00F410B9">
        <w:rPr>
          <w:rFonts w:ascii="Times New Roman" w:eastAsia="Calibri" w:hAnsi="Times New Roman" w:cs="Times New Roman"/>
          <w:b/>
          <w:sz w:val="24"/>
          <w:szCs w:val="24"/>
        </w:rPr>
        <w:t xml:space="preserve"> </w:t>
      </w:r>
    </w:p>
    <w:p w14:paraId="734DEEBF" w14:textId="082F1C0C" w:rsidR="00B478C1" w:rsidRPr="00F410B9" w:rsidRDefault="00B478C1" w:rsidP="00B478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nadväznosti na kompetenciu v čl. 57 nariadenia sa navrhuje, </w:t>
      </w:r>
      <w:r w:rsidRPr="00F410B9">
        <w:rPr>
          <w:rFonts w:ascii="Times New Roman" w:eastAsia="Calibri" w:hAnsi="Times New Roman" w:cs="Times New Roman"/>
          <w:sz w:val="24"/>
          <w:szCs w:val="24"/>
        </w:rPr>
        <w:t>aby sa z</w:t>
      </w:r>
      <w:r>
        <w:rPr>
          <w:rFonts w:ascii="Times New Roman" w:eastAsia="Calibri" w:hAnsi="Times New Roman" w:cs="Times New Roman"/>
          <w:sz w:val="24"/>
          <w:szCs w:val="24"/>
        </w:rPr>
        <w:t xml:space="preserve"> celoeurópskeho </w:t>
      </w:r>
      <w:r w:rsidRPr="00F410B9">
        <w:rPr>
          <w:rFonts w:ascii="Times New Roman" w:eastAsia="Calibri" w:hAnsi="Times New Roman" w:cs="Times New Roman"/>
          <w:sz w:val="24"/>
          <w:szCs w:val="24"/>
        </w:rPr>
        <w:t>osobného dôchodkového produktu poskytoval</w:t>
      </w:r>
      <w:r>
        <w:rPr>
          <w:rFonts w:ascii="Times New Roman" w:eastAsia="Calibri" w:hAnsi="Times New Roman" w:cs="Times New Roman"/>
          <w:sz w:val="24"/>
          <w:szCs w:val="24"/>
        </w:rPr>
        <w:t>i dávky vo forme</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dôchod</w:t>
      </w:r>
      <w:r w:rsidRPr="00F410B9">
        <w:rPr>
          <w:rFonts w:ascii="Times New Roman" w:eastAsia="Calibri" w:hAnsi="Times New Roman" w:cs="Times New Roman"/>
          <w:sz w:val="24"/>
          <w:szCs w:val="24"/>
        </w:rPr>
        <w:t>k</w:t>
      </w:r>
      <w:r>
        <w:rPr>
          <w:rFonts w:ascii="Times New Roman" w:eastAsia="Calibri" w:hAnsi="Times New Roman" w:cs="Times New Roman"/>
          <w:sz w:val="24"/>
          <w:szCs w:val="24"/>
        </w:rPr>
        <w:t>u, programového výberu, jednorazového vyrovnania</w:t>
      </w:r>
      <w:r w:rsidRPr="00F410B9">
        <w:rPr>
          <w:rFonts w:ascii="Times New Roman" w:eastAsia="Calibri" w:hAnsi="Times New Roman" w:cs="Times New Roman"/>
          <w:sz w:val="24"/>
          <w:szCs w:val="24"/>
        </w:rPr>
        <w:t xml:space="preserve"> a predčasný výber. </w:t>
      </w:r>
      <w:r>
        <w:rPr>
          <w:rFonts w:ascii="Times New Roman" w:eastAsia="Calibri" w:hAnsi="Times New Roman" w:cs="Times New Roman"/>
          <w:sz w:val="24"/>
          <w:szCs w:val="24"/>
        </w:rPr>
        <w:t>Prvé tri dávky</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bude môcť poberať</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ktorý v zásade ukončil ekonomicky aktívnu časť života</w:t>
      </w:r>
      <w:r>
        <w:rPr>
          <w:rFonts w:ascii="Times New Roman" w:eastAsia="Calibri" w:hAnsi="Times New Roman" w:cs="Times New Roman"/>
          <w:sz w:val="24"/>
          <w:szCs w:val="24"/>
        </w:rPr>
        <w:t xml:space="preserve"> a pokračuje na dôchodku</w:t>
      </w:r>
      <w:r w:rsidRPr="00F410B9">
        <w:rPr>
          <w:rFonts w:ascii="Times New Roman" w:eastAsia="Calibri" w:hAnsi="Times New Roman" w:cs="Times New Roman"/>
          <w:sz w:val="24"/>
          <w:szCs w:val="24"/>
        </w:rPr>
        <w:t xml:space="preserve">, predčasný výber je dávka, ktorú poskytovateľ vyplatí, ak sa </w:t>
      </w:r>
      <w:r>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xml:space="preserve"> ocitne v osobitne ťažkej životnej situácii</w:t>
      </w:r>
      <w:r>
        <w:rPr>
          <w:rFonts w:ascii="Times New Roman" w:eastAsia="Calibri" w:hAnsi="Times New Roman" w:cs="Times New Roman"/>
          <w:sz w:val="24"/>
          <w:szCs w:val="24"/>
        </w:rPr>
        <w:t>, a to kedykoľvek počas trvania zmluvy</w:t>
      </w:r>
      <w:r w:rsidRPr="00F410B9">
        <w:rPr>
          <w:rFonts w:ascii="Times New Roman" w:eastAsia="Calibri" w:hAnsi="Times New Roman" w:cs="Times New Roman"/>
          <w:sz w:val="24"/>
          <w:szCs w:val="24"/>
        </w:rPr>
        <w:t xml:space="preserve">. </w:t>
      </w:r>
    </w:p>
    <w:p w14:paraId="0FCD1CDC" w14:textId="77777777" w:rsidR="00B478C1" w:rsidRDefault="00B478C1" w:rsidP="00B478C1">
      <w:pPr>
        <w:spacing w:after="0" w:line="240" w:lineRule="auto"/>
        <w:jc w:val="both"/>
        <w:rPr>
          <w:rFonts w:ascii="Times New Roman" w:eastAsia="Calibri" w:hAnsi="Times New Roman" w:cs="Times New Roman"/>
          <w:sz w:val="24"/>
          <w:szCs w:val="24"/>
        </w:rPr>
      </w:pPr>
    </w:p>
    <w:p w14:paraId="4AD8E6FB" w14:textId="10759C81" w:rsidR="00B478C1" w:rsidRPr="00F410B9" w:rsidRDefault="00B478C1" w:rsidP="00B478C1">
      <w:pPr>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 xml:space="preserve">K § </w:t>
      </w:r>
      <w:r>
        <w:rPr>
          <w:rFonts w:ascii="Times New Roman" w:eastAsia="Calibri" w:hAnsi="Times New Roman" w:cs="Times New Roman"/>
          <w:b/>
          <w:sz w:val="24"/>
          <w:szCs w:val="24"/>
        </w:rPr>
        <w:t>5</w:t>
      </w:r>
    </w:p>
    <w:p w14:paraId="7E221AD3" w14:textId="7EC93E9C" w:rsidR="00B478C1" w:rsidRPr="00F410B9"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Vyplácanie dôchodku</w:t>
      </w:r>
      <w:r w:rsidR="00942D86">
        <w:rPr>
          <w:rFonts w:ascii="Times New Roman" w:eastAsia="Calibri" w:hAnsi="Times New Roman" w:cs="Times New Roman"/>
          <w:sz w:val="24"/>
          <w:szCs w:val="24"/>
        </w:rPr>
        <w:t>, programového výberu a jednorazového vyrovnania</w:t>
      </w:r>
      <w:r w:rsidRPr="00F410B9">
        <w:rPr>
          <w:rFonts w:ascii="Times New Roman" w:eastAsia="Calibri" w:hAnsi="Times New Roman" w:cs="Times New Roman"/>
          <w:sz w:val="24"/>
          <w:szCs w:val="24"/>
        </w:rPr>
        <w:t xml:space="preserve"> sa navrhuje podmieniť vznikom nároku na výplatu starobného dôchodku alebo predčasného starobného dôchodku z povinného systému sociálneho zabezpečenia</w:t>
      </w:r>
      <w:r>
        <w:rPr>
          <w:rFonts w:ascii="Times New Roman" w:eastAsia="Calibri" w:hAnsi="Times New Roman" w:cs="Times New Roman"/>
          <w:sz w:val="24"/>
          <w:szCs w:val="24"/>
        </w:rPr>
        <w:t xml:space="preserve"> (</w:t>
      </w:r>
      <w:r w:rsidRPr="00F410B9">
        <w:rPr>
          <w:rFonts w:ascii="Times New Roman" w:eastAsia="Calibri" w:hAnsi="Times New Roman" w:cs="Times New Roman"/>
          <w:sz w:val="24"/>
          <w:szCs w:val="24"/>
        </w:rPr>
        <w:t>zo Sociálnej poisťovne</w:t>
      </w:r>
      <w:r>
        <w:rPr>
          <w:rFonts w:ascii="Times New Roman" w:eastAsia="Calibri" w:hAnsi="Times New Roman" w:cs="Times New Roman"/>
          <w:sz w:val="24"/>
          <w:szCs w:val="24"/>
        </w:rPr>
        <w:t>)</w:t>
      </w:r>
      <w:r w:rsidRPr="00F410B9">
        <w:rPr>
          <w:rFonts w:ascii="Times New Roman" w:eastAsia="Calibri" w:hAnsi="Times New Roman" w:cs="Times New Roman"/>
          <w:sz w:val="24"/>
          <w:szCs w:val="24"/>
        </w:rPr>
        <w:t xml:space="preserve"> alebo dovŕšením veku potrebného na nárok na starobný dôchodok z</w:t>
      </w:r>
      <w:r>
        <w:rPr>
          <w:rFonts w:ascii="Times New Roman" w:eastAsia="Calibri" w:hAnsi="Times New Roman" w:cs="Times New Roman"/>
          <w:sz w:val="24"/>
          <w:szCs w:val="24"/>
        </w:rPr>
        <w:t>o</w:t>
      </w:r>
      <w:r w:rsidRPr="00F410B9">
        <w:rPr>
          <w:rFonts w:ascii="Times New Roman" w:eastAsia="Calibri" w:hAnsi="Times New Roman" w:cs="Times New Roman"/>
          <w:sz w:val="24"/>
          <w:szCs w:val="24"/>
        </w:rPr>
        <w:t xml:space="preserve"> sociálneho </w:t>
      </w:r>
      <w:r>
        <w:rPr>
          <w:rFonts w:ascii="Times New Roman" w:eastAsia="Calibri" w:hAnsi="Times New Roman" w:cs="Times New Roman"/>
          <w:sz w:val="24"/>
          <w:szCs w:val="24"/>
        </w:rPr>
        <w:t>poistenia</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Preukázanie </w:t>
      </w:r>
      <w:r w:rsidR="00942D86">
        <w:rPr>
          <w:rFonts w:ascii="Times New Roman" w:eastAsia="Calibri" w:hAnsi="Times New Roman" w:cs="Times New Roman"/>
          <w:sz w:val="24"/>
          <w:szCs w:val="24"/>
        </w:rPr>
        <w:t xml:space="preserve">vzniku </w:t>
      </w:r>
      <w:r>
        <w:rPr>
          <w:rFonts w:ascii="Times New Roman" w:eastAsia="Calibri" w:hAnsi="Times New Roman" w:cs="Times New Roman"/>
          <w:sz w:val="24"/>
          <w:szCs w:val="24"/>
        </w:rPr>
        <w:t xml:space="preserve">skutočností potrebných pre vznik nároku na </w:t>
      </w:r>
      <w:r>
        <w:rPr>
          <w:rFonts w:ascii="Times New Roman" w:eastAsia="Calibri" w:hAnsi="Times New Roman" w:cs="Times New Roman"/>
          <w:sz w:val="24"/>
          <w:szCs w:val="24"/>
        </w:rPr>
        <w:lastRenderedPageBreak/>
        <w:t xml:space="preserve">výplatu </w:t>
      </w:r>
      <w:r w:rsidR="00942D86">
        <w:rPr>
          <w:rFonts w:ascii="Times New Roman" w:eastAsia="Calibri" w:hAnsi="Times New Roman" w:cs="Times New Roman"/>
          <w:sz w:val="24"/>
          <w:szCs w:val="24"/>
        </w:rPr>
        <w:t xml:space="preserve">tejto </w:t>
      </w:r>
      <w:r>
        <w:rPr>
          <w:rFonts w:ascii="Times New Roman" w:eastAsia="Calibri" w:hAnsi="Times New Roman" w:cs="Times New Roman"/>
          <w:sz w:val="24"/>
          <w:szCs w:val="24"/>
        </w:rPr>
        <w:t xml:space="preserve">dávky je povinnosťou </w:t>
      </w:r>
      <w:r w:rsidR="00942D86">
        <w:rPr>
          <w:rFonts w:ascii="Times New Roman" w:eastAsia="Calibri" w:hAnsi="Times New Roman" w:cs="Times New Roman"/>
          <w:sz w:val="24"/>
          <w:szCs w:val="24"/>
        </w:rPr>
        <w:t>sporiteľa</w:t>
      </w:r>
      <w:r>
        <w:rPr>
          <w:rFonts w:ascii="Times New Roman" w:eastAsia="Calibri" w:hAnsi="Times New Roman" w:cs="Times New Roman"/>
          <w:sz w:val="24"/>
          <w:szCs w:val="24"/>
        </w:rPr>
        <w:t xml:space="preserve"> a preukazuje ich napr. rozhodnutím Sociálnej poisťovne o priznaní starobného dôchodku alebo dokladom o určení individuálneho dôchodkového veku Sociálnou poisťovňou.</w:t>
      </w:r>
    </w:p>
    <w:p w14:paraId="7D6C0337" w14:textId="77777777" w:rsidR="00B478C1" w:rsidRDefault="00B478C1" w:rsidP="00B478C1">
      <w:pPr>
        <w:spacing w:after="0" w:line="240" w:lineRule="auto"/>
        <w:jc w:val="both"/>
        <w:rPr>
          <w:rFonts w:ascii="Times New Roman" w:eastAsia="Calibri" w:hAnsi="Times New Roman" w:cs="Times New Roman"/>
          <w:sz w:val="24"/>
          <w:szCs w:val="24"/>
        </w:rPr>
      </w:pPr>
    </w:p>
    <w:p w14:paraId="33C44AD8" w14:textId="14C18EAE" w:rsidR="00B478C1" w:rsidRPr="00F410B9" w:rsidRDefault="00B478C1" w:rsidP="007320C5">
      <w:pPr>
        <w:keepNext/>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 xml:space="preserve">K § </w:t>
      </w:r>
      <w:r w:rsidR="00942D86">
        <w:rPr>
          <w:rFonts w:ascii="Times New Roman" w:eastAsia="Calibri" w:hAnsi="Times New Roman" w:cs="Times New Roman"/>
          <w:b/>
          <w:sz w:val="24"/>
          <w:szCs w:val="24"/>
        </w:rPr>
        <w:t>6</w:t>
      </w:r>
    </w:p>
    <w:p w14:paraId="502393F3" w14:textId="1DF6BBA0" w:rsidR="00C7503D" w:rsidRPr="00F410B9" w:rsidRDefault="00B478C1" w:rsidP="007320C5">
      <w:pPr>
        <w:keepNext/>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Dôchodok vyplácaný formou doživotného dôchodku </w:t>
      </w:r>
      <w:r w:rsidR="00942D86">
        <w:rPr>
          <w:rFonts w:ascii="Times New Roman" w:eastAsia="Calibri" w:hAnsi="Times New Roman" w:cs="Times New Roman"/>
          <w:sz w:val="24"/>
          <w:szCs w:val="24"/>
        </w:rPr>
        <w:t xml:space="preserve">alebo dočasného dôchodku </w:t>
      </w:r>
      <w:r w:rsidRPr="00F410B9">
        <w:rPr>
          <w:rFonts w:ascii="Times New Roman" w:eastAsia="Calibri" w:hAnsi="Times New Roman" w:cs="Times New Roman"/>
          <w:sz w:val="24"/>
          <w:szCs w:val="24"/>
        </w:rPr>
        <w:t xml:space="preserve">môže </w:t>
      </w:r>
      <w:r w:rsidR="00942D86" w:rsidRPr="00F410B9">
        <w:rPr>
          <w:rFonts w:ascii="Times New Roman" w:eastAsia="Calibri" w:hAnsi="Times New Roman" w:cs="Times New Roman"/>
          <w:sz w:val="24"/>
          <w:szCs w:val="24"/>
        </w:rPr>
        <w:t>poskytovateľ</w:t>
      </w:r>
      <w:r w:rsidR="00942D86">
        <w:rPr>
          <w:rFonts w:ascii="Times New Roman" w:eastAsia="Calibri" w:hAnsi="Times New Roman" w:cs="Times New Roman"/>
          <w:sz w:val="24"/>
          <w:szCs w:val="24"/>
        </w:rPr>
        <w:t xml:space="preserve"> </w:t>
      </w:r>
      <w:r w:rsidRPr="00F410B9">
        <w:rPr>
          <w:rFonts w:ascii="Times New Roman" w:eastAsia="Calibri" w:hAnsi="Times New Roman" w:cs="Times New Roman"/>
          <w:sz w:val="24"/>
          <w:szCs w:val="24"/>
        </w:rPr>
        <w:t>vyplácať len</w:t>
      </w:r>
      <w:r w:rsidR="00942D86">
        <w:rPr>
          <w:rFonts w:ascii="Times New Roman" w:eastAsia="Calibri" w:hAnsi="Times New Roman" w:cs="Times New Roman"/>
          <w:sz w:val="24"/>
          <w:szCs w:val="24"/>
        </w:rPr>
        <w:t xml:space="preserve"> za podmienok uvedených v čl. 49 ods. 3 nariadenia (poisťovňa alebo iný poskytovateľ </w:t>
      </w:r>
      <w:r w:rsidR="00942D86" w:rsidRPr="00942D86">
        <w:rPr>
          <w:rFonts w:ascii="Times New Roman" w:eastAsia="Calibri" w:hAnsi="Times New Roman" w:cs="Times New Roman"/>
          <w:sz w:val="24"/>
          <w:szCs w:val="24"/>
        </w:rPr>
        <w:t>v spolupráci s poisťovň</w:t>
      </w:r>
      <w:r w:rsidR="00942D86">
        <w:rPr>
          <w:rFonts w:ascii="Times New Roman" w:eastAsia="Calibri" w:hAnsi="Times New Roman" w:cs="Times New Roman"/>
          <w:sz w:val="24"/>
          <w:szCs w:val="24"/>
        </w:rPr>
        <w:t>ou</w:t>
      </w:r>
      <w:r w:rsidR="00942D86" w:rsidRPr="00942D86">
        <w:rPr>
          <w:rFonts w:ascii="Times New Roman" w:eastAsia="Calibri" w:hAnsi="Times New Roman" w:cs="Times New Roman"/>
          <w:sz w:val="24"/>
          <w:szCs w:val="24"/>
        </w:rPr>
        <w:t>, ktor</w:t>
      </w:r>
      <w:r w:rsidR="00942D86">
        <w:rPr>
          <w:rFonts w:ascii="Times New Roman" w:eastAsia="Calibri" w:hAnsi="Times New Roman" w:cs="Times New Roman"/>
          <w:sz w:val="24"/>
          <w:szCs w:val="24"/>
        </w:rPr>
        <w:t>á</w:t>
      </w:r>
      <w:r w:rsidR="00942D86" w:rsidRPr="00942D86">
        <w:rPr>
          <w:rFonts w:ascii="Times New Roman" w:eastAsia="Calibri" w:hAnsi="Times New Roman" w:cs="Times New Roman"/>
          <w:sz w:val="24"/>
          <w:szCs w:val="24"/>
        </w:rPr>
        <w:t xml:space="preserve"> môž</w:t>
      </w:r>
      <w:r w:rsidR="00942D86">
        <w:rPr>
          <w:rFonts w:ascii="Times New Roman" w:eastAsia="Calibri" w:hAnsi="Times New Roman" w:cs="Times New Roman"/>
          <w:sz w:val="24"/>
          <w:szCs w:val="24"/>
        </w:rPr>
        <w:t>e</w:t>
      </w:r>
      <w:r w:rsidR="00942D86" w:rsidRPr="00942D86">
        <w:rPr>
          <w:rFonts w:ascii="Times New Roman" w:eastAsia="Calibri" w:hAnsi="Times New Roman" w:cs="Times New Roman"/>
          <w:sz w:val="24"/>
          <w:szCs w:val="24"/>
        </w:rPr>
        <w:t xml:space="preserve"> kryť </w:t>
      </w:r>
      <w:r w:rsidR="00942D86">
        <w:rPr>
          <w:rFonts w:ascii="Times New Roman" w:eastAsia="Calibri" w:hAnsi="Times New Roman" w:cs="Times New Roman"/>
          <w:sz w:val="24"/>
          <w:szCs w:val="24"/>
        </w:rPr>
        <w:t xml:space="preserve">biometrické riziká </w:t>
      </w:r>
      <w:r w:rsidR="00942D86" w:rsidRPr="00942D86">
        <w:rPr>
          <w:rFonts w:ascii="Times New Roman" w:eastAsia="Calibri" w:hAnsi="Times New Roman" w:cs="Times New Roman"/>
          <w:sz w:val="24"/>
          <w:szCs w:val="24"/>
        </w:rPr>
        <w:t xml:space="preserve">v súlade so sektorovým právom, ktoré sa na </w:t>
      </w:r>
      <w:r w:rsidR="00942D86">
        <w:rPr>
          <w:rFonts w:ascii="Times New Roman" w:eastAsia="Calibri" w:hAnsi="Times New Roman" w:cs="Times New Roman"/>
          <w:sz w:val="24"/>
          <w:szCs w:val="24"/>
        </w:rPr>
        <w:t>ňu</w:t>
      </w:r>
      <w:r w:rsidR="00942D86" w:rsidRPr="00942D86">
        <w:rPr>
          <w:rFonts w:ascii="Times New Roman" w:eastAsia="Calibri" w:hAnsi="Times New Roman" w:cs="Times New Roman"/>
          <w:sz w:val="24"/>
          <w:szCs w:val="24"/>
        </w:rPr>
        <w:t xml:space="preserve"> vzťahuje</w:t>
      </w:r>
      <w:r w:rsidR="00942D86">
        <w:rPr>
          <w:rFonts w:ascii="Times New Roman" w:eastAsia="Calibri" w:hAnsi="Times New Roman" w:cs="Times New Roman"/>
          <w:sz w:val="24"/>
          <w:szCs w:val="24"/>
        </w:rPr>
        <w:t>, pričom p</w:t>
      </w:r>
      <w:r w:rsidR="00942D86" w:rsidRPr="00942D86">
        <w:rPr>
          <w:rFonts w:ascii="Times New Roman" w:eastAsia="Calibri" w:hAnsi="Times New Roman" w:cs="Times New Roman"/>
          <w:sz w:val="24"/>
          <w:szCs w:val="24"/>
        </w:rPr>
        <w:t>oisťovňa je plne zodpovedná za krytie biometrických rizík</w:t>
      </w:r>
      <w:r w:rsidR="00942D86">
        <w:rPr>
          <w:rFonts w:ascii="Times New Roman" w:eastAsia="Calibri" w:hAnsi="Times New Roman" w:cs="Times New Roman"/>
          <w:sz w:val="24"/>
          <w:szCs w:val="24"/>
        </w:rPr>
        <w:t>)</w:t>
      </w:r>
      <w:r w:rsidRPr="00F410B9">
        <w:rPr>
          <w:rFonts w:ascii="Times New Roman" w:eastAsia="Calibri" w:hAnsi="Times New Roman" w:cs="Times New Roman"/>
          <w:sz w:val="24"/>
          <w:szCs w:val="24"/>
        </w:rPr>
        <w:t xml:space="preserve">. </w:t>
      </w:r>
      <w:r w:rsidR="00C7503D">
        <w:rPr>
          <w:rFonts w:ascii="Times New Roman" w:eastAsia="Calibri" w:hAnsi="Times New Roman" w:cs="Times New Roman"/>
          <w:sz w:val="24"/>
          <w:szCs w:val="24"/>
        </w:rPr>
        <w:t>Aby sa zachoval dlhodobý dôchodkový charakter produktu, navrhuje sa, aby bol dočasný dôchodok poskytovaný minimálne v dĺžke 10 rokov (t. j. v rovnako dlhom horizonte ako programový výber).</w:t>
      </w:r>
    </w:p>
    <w:p w14:paraId="74FDECBC" w14:textId="1837CB36" w:rsidR="00B478C1" w:rsidRDefault="00B478C1" w:rsidP="007320C5">
      <w:pPr>
        <w:keepNext/>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Navrhuje sa, aby sa na vyplácanie dôchodku použila </w:t>
      </w:r>
      <w:r w:rsidR="00C7503D">
        <w:rPr>
          <w:rFonts w:ascii="Times New Roman" w:eastAsia="Calibri" w:hAnsi="Times New Roman" w:cs="Times New Roman"/>
          <w:sz w:val="24"/>
          <w:szCs w:val="24"/>
        </w:rPr>
        <w:t xml:space="preserve">minimálne </w:t>
      </w:r>
      <w:r w:rsidRPr="00F410B9">
        <w:rPr>
          <w:rFonts w:ascii="Times New Roman" w:eastAsia="Calibri" w:hAnsi="Times New Roman" w:cs="Times New Roman"/>
          <w:sz w:val="24"/>
          <w:szCs w:val="24"/>
        </w:rPr>
        <w:t xml:space="preserve">suma zodpovedajúca najmenej 75 % majetku </w:t>
      </w:r>
      <w:r w:rsidR="00942D86">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pričom najviac 25 % majetku </w:t>
      </w:r>
      <w:r w:rsidR="00942D86">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je možné vyplatiť v prvej (zvýšenej) splátke. Ak sa </w:t>
      </w:r>
      <w:r w:rsidR="00942D86">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xml:space="preserve"> rozhodne využiť možnosť výplaty zvýšenej prvej splátky, dôchodok bude vypočítaný z majetku </w:t>
      </w:r>
      <w:r w:rsidR="00942D86">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zníženého o výšku tejto prvej splátky.</w:t>
      </w:r>
    </w:p>
    <w:p w14:paraId="4C6FCB6D" w14:textId="77777777" w:rsidR="00B478C1" w:rsidRPr="00F410B9" w:rsidRDefault="00B478C1" w:rsidP="00B478C1">
      <w:pPr>
        <w:spacing w:after="0" w:line="240" w:lineRule="auto"/>
        <w:jc w:val="both"/>
        <w:rPr>
          <w:rFonts w:ascii="Times New Roman" w:eastAsia="Calibri" w:hAnsi="Times New Roman" w:cs="Times New Roman"/>
          <w:sz w:val="24"/>
          <w:szCs w:val="24"/>
        </w:rPr>
      </w:pPr>
    </w:p>
    <w:p w14:paraId="77DBFA6C" w14:textId="3F90A8A4" w:rsidR="00B478C1" w:rsidRPr="00F410B9" w:rsidRDefault="00B478C1" w:rsidP="00B478C1">
      <w:pPr>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 xml:space="preserve">K § </w:t>
      </w:r>
      <w:r w:rsidR="00942D86">
        <w:rPr>
          <w:rFonts w:ascii="Times New Roman" w:eastAsia="Calibri" w:hAnsi="Times New Roman" w:cs="Times New Roman"/>
          <w:b/>
          <w:sz w:val="24"/>
          <w:szCs w:val="24"/>
        </w:rPr>
        <w:t>7</w:t>
      </w:r>
    </w:p>
    <w:p w14:paraId="4D22FBAB" w14:textId="48C29B93" w:rsidR="00B478C1" w:rsidRPr="00F410B9"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Nakoľko ide o</w:t>
      </w:r>
      <w:r w:rsidR="00942D86">
        <w:rPr>
          <w:rFonts w:ascii="Times New Roman" w:eastAsia="Calibri" w:hAnsi="Times New Roman" w:cs="Times New Roman"/>
          <w:sz w:val="24"/>
          <w:szCs w:val="24"/>
        </w:rPr>
        <w:t> osobné dôchodkové zabezpečenie</w:t>
      </w:r>
      <w:r w:rsidRPr="00F410B9">
        <w:rPr>
          <w:rFonts w:ascii="Times New Roman" w:eastAsia="Calibri" w:hAnsi="Times New Roman" w:cs="Times New Roman"/>
          <w:sz w:val="24"/>
          <w:szCs w:val="24"/>
        </w:rPr>
        <w:t xml:space="preserve">, nad rámec základnej povinnej dôchodkovej schémy, nie je nevyhnutné požadovať, aby </w:t>
      </w:r>
      <w:r w:rsidR="00D845C1">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xml:space="preserve"> poberal dávku do konca života. </w:t>
      </w:r>
      <w:r>
        <w:rPr>
          <w:rFonts w:ascii="Times New Roman" w:eastAsia="Calibri" w:hAnsi="Times New Roman" w:cs="Times New Roman"/>
          <w:sz w:val="24"/>
          <w:szCs w:val="24"/>
        </w:rPr>
        <w:t>Navrhuje sa preto, aby n</w:t>
      </w:r>
      <w:r w:rsidRPr="00F410B9">
        <w:rPr>
          <w:rFonts w:ascii="Times New Roman" w:eastAsia="Calibri" w:hAnsi="Times New Roman" w:cs="Times New Roman"/>
          <w:sz w:val="24"/>
          <w:szCs w:val="24"/>
        </w:rPr>
        <w:t>aakumulovaný majetok</w:t>
      </w:r>
      <w:r>
        <w:rPr>
          <w:rFonts w:ascii="Times New Roman" w:eastAsia="Calibri" w:hAnsi="Times New Roman" w:cs="Times New Roman"/>
          <w:sz w:val="24"/>
          <w:szCs w:val="24"/>
        </w:rPr>
        <w:t xml:space="preserve"> </w:t>
      </w:r>
      <w:r w:rsidR="00D845C1">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mohol byť vyplatený aj</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počas kratšieho obdobia, a to </w:t>
      </w:r>
      <w:r w:rsidRPr="00F410B9">
        <w:rPr>
          <w:rFonts w:ascii="Times New Roman" w:eastAsia="Calibri" w:hAnsi="Times New Roman" w:cs="Times New Roman"/>
          <w:sz w:val="24"/>
          <w:szCs w:val="24"/>
        </w:rPr>
        <w:t>formou programového výberu</w:t>
      </w:r>
      <w:r>
        <w:rPr>
          <w:rFonts w:ascii="Times New Roman" w:eastAsia="Calibri" w:hAnsi="Times New Roman" w:cs="Times New Roman"/>
          <w:sz w:val="24"/>
          <w:szCs w:val="24"/>
        </w:rPr>
        <w:t>.</w:t>
      </w:r>
      <w:r w:rsidRPr="00F410B9">
        <w:rPr>
          <w:rFonts w:ascii="Times New Roman" w:eastAsia="Calibri" w:hAnsi="Times New Roman" w:cs="Times New Roman"/>
          <w:sz w:val="24"/>
          <w:szCs w:val="24"/>
        </w:rPr>
        <w:t xml:space="preserve"> Prvé roky po odchode do dôchodku je väčšina občanov ešte pomerne aktívna, zdravotný stav im umožňuje venovať sa športu, záľubám, cestovaniu a pod., čo je prirodzene spojené aj s vyššími výdavkami. Výpadok v príjme z dôvodu odchodu do dôchodku je možné kompenzovať práve úsporami z dobrovoľnej schémy a výšku pravidelnej dávky čiastočne prispôsobiť požiadavkám </w:t>
      </w:r>
      <w:r w:rsidR="00D845C1">
        <w:rPr>
          <w:rFonts w:ascii="Times New Roman" w:eastAsia="Calibri" w:hAnsi="Times New Roman" w:cs="Times New Roman"/>
          <w:sz w:val="24"/>
          <w:szCs w:val="24"/>
        </w:rPr>
        <w:t>poberateľa dávok</w:t>
      </w:r>
      <w:r w:rsidRPr="00F410B9">
        <w:rPr>
          <w:rFonts w:ascii="Times New Roman" w:eastAsia="Calibri" w:hAnsi="Times New Roman" w:cs="Times New Roman"/>
          <w:sz w:val="24"/>
          <w:szCs w:val="24"/>
        </w:rPr>
        <w:t>. Keďže sa však celkovo predlžuje obdobie,</w:t>
      </w:r>
      <w:r w:rsidR="00C7503D">
        <w:rPr>
          <w:rFonts w:ascii="Times New Roman" w:eastAsia="Calibri" w:hAnsi="Times New Roman" w:cs="Times New Roman"/>
          <w:sz w:val="24"/>
          <w:szCs w:val="24"/>
        </w:rPr>
        <w:t xml:space="preserve"> ktoré ľudia trávia na dôchodku a aby sa zachoval dlhodobý dôchodkový charakter produktu,</w:t>
      </w:r>
      <w:r w:rsidRPr="00F410B9">
        <w:rPr>
          <w:rFonts w:ascii="Times New Roman" w:eastAsia="Calibri" w:hAnsi="Times New Roman" w:cs="Times New Roman"/>
          <w:sz w:val="24"/>
          <w:szCs w:val="24"/>
        </w:rPr>
        <w:t xml:space="preserve"> je napriek uvedenému nevyhnutné rozsah čerpania dôchodkových úspor rámcovať. Obdobie poberania programového výberu bolo preto navrhnuté na úrovni približne polovice priemerného času, ktorý aktuálne ľudia strávia na dôchodku</w:t>
      </w:r>
      <w:r>
        <w:rPr>
          <w:rFonts w:ascii="Times New Roman" w:eastAsia="Calibri" w:hAnsi="Times New Roman" w:cs="Times New Roman"/>
          <w:sz w:val="24"/>
          <w:szCs w:val="24"/>
        </w:rPr>
        <w:t xml:space="preserve"> – 10 rokov</w:t>
      </w:r>
      <w:r w:rsidRPr="00F410B9">
        <w:rPr>
          <w:rFonts w:ascii="Times New Roman" w:eastAsia="Calibri" w:hAnsi="Times New Roman" w:cs="Times New Roman"/>
          <w:sz w:val="24"/>
          <w:szCs w:val="24"/>
        </w:rPr>
        <w:t xml:space="preserve">. Zároveň sa navrhuje možnosť zvýšenia prvej splátky najviac na 25 % majetku </w:t>
      </w:r>
      <w:r w:rsidR="00D845C1">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Frekvencia vyplácania nie je ustanovená a ponecháva sa na dohodu medzi </w:t>
      </w:r>
      <w:r w:rsidR="00D845C1">
        <w:rPr>
          <w:rFonts w:ascii="Times New Roman" w:eastAsia="Calibri" w:hAnsi="Times New Roman" w:cs="Times New Roman"/>
          <w:sz w:val="24"/>
          <w:szCs w:val="24"/>
        </w:rPr>
        <w:t>sporiteľom</w:t>
      </w:r>
      <w:r w:rsidRPr="00F410B9">
        <w:rPr>
          <w:rFonts w:ascii="Times New Roman" w:eastAsia="Calibri" w:hAnsi="Times New Roman" w:cs="Times New Roman"/>
          <w:sz w:val="24"/>
          <w:szCs w:val="24"/>
        </w:rPr>
        <w:t xml:space="preserve"> a poskytovateľom. Počas vyplácania programového výberu však nebude možné vyplatiť v kalendárnom roku viac ako desatinu majetku </w:t>
      </w:r>
      <w:r w:rsidR="00D845C1">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(po zohľadnení prvej zvýšenej splátky).</w:t>
      </w:r>
    </w:p>
    <w:p w14:paraId="521DA177" w14:textId="77777777" w:rsidR="00B478C1" w:rsidRPr="00F410B9" w:rsidRDefault="00B478C1" w:rsidP="00B478C1">
      <w:pPr>
        <w:spacing w:after="0" w:line="240" w:lineRule="auto"/>
        <w:jc w:val="both"/>
        <w:rPr>
          <w:rFonts w:ascii="Times New Roman" w:eastAsia="Calibri" w:hAnsi="Times New Roman" w:cs="Times New Roman"/>
          <w:sz w:val="24"/>
          <w:szCs w:val="24"/>
        </w:rPr>
      </w:pPr>
    </w:p>
    <w:p w14:paraId="55C843F8" w14:textId="13E21FBB" w:rsidR="00B478C1" w:rsidRPr="00F410B9" w:rsidRDefault="00B478C1" w:rsidP="00B478C1">
      <w:pPr>
        <w:spacing w:after="0" w:line="240" w:lineRule="auto"/>
        <w:jc w:val="both"/>
        <w:rPr>
          <w:rFonts w:ascii="Times New Roman" w:eastAsia="Calibri" w:hAnsi="Times New Roman" w:cs="Times New Roman"/>
          <w:b/>
          <w:sz w:val="24"/>
          <w:szCs w:val="24"/>
        </w:rPr>
      </w:pPr>
      <w:r w:rsidRPr="00F410B9">
        <w:rPr>
          <w:rFonts w:ascii="Times New Roman" w:eastAsia="Calibri" w:hAnsi="Times New Roman" w:cs="Times New Roman"/>
          <w:b/>
          <w:sz w:val="24"/>
          <w:szCs w:val="24"/>
        </w:rPr>
        <w:t xml:space="preserve">K § </w:t>
      </w:r>
      <w:r w:rsidR="00D845C1">
        <w:rPr>
          <w:rFonts w:ascii="Times New Roman" w:eastAsia="Calibri" w:hAnsi="Times New Roman" w:cs="Times New Roman"/>
          <w:b/>
          <w:sz w:val="24"/>
          <w:szCs w:val="24"/>
        </w:rPr>
        <w:t>8</w:t>
      </w:r>
    </w:p>
    <w:p w14:paraId="7EE476F4" w14:textId="3EFF9D72" w:rsidR="00B478C1" w:rsidRPr="00F410B9"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Ak </w:t>
      </w:r>
      <w:r w:rsidR="00D845C1">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xml:space="preserve"> splní podmienky na vyplácanie dôchodku</w:t>
      </w:r>
      <w:r w:rsidR="00D845C1">
        <w:rPr>
          <w:rFonts w:ascii="Times New Roman" w:eastAsia="Calibri" w:hAnsi="Times New Roman" w:cs="Times New Roman"/>
          <w:sz w:val="24"/>
          <w:szCs w:val="24"/>
        </w:rPr>
        <w:t xml:space="preserve"> alebo programového výberu</w:t>
      </w:r>
      <w:r w:rsidRPr="00F410B9">
        <w:rPr>
          <w:rFonts w:ascii="Times New Roman" w:eastAsia="Calibri" w:hAnsi="Times New Roman" w:cs="Times New Roman"/>
          <w:sz w:val="24"/>
          <w:szCs w:val="24"/>
        </w:rPr>
        <w:t xml:space="preserve"> ale výška </w:t>
      </w:r>
      <w:r w:rsidR="00D845C1">
        <w:rPr>
          <w:rFonts w:ascii="Times New Roman" w:eastAsia="Calibri" w:hAnsi="Times New Roman" w:cs="Times New Roman"/>
          <w:sz w:val="24"/>
          <w:szCs w:val="24"/>
        </w:rPr>
        <w:t>dávky</w:t>
      </w:r>
      <w:r w:rsidRPr="00F410B9">
        <w:rPr>
          <w:rFonts w:ascii="Times New Roman" w:eastAsia="Calibri" w:hAnsi="Times New Roman" w:cs="Times New Roman"/>
          <w:sz w:val="24"/>
          <w:szCs w:val="24"/>
        </w:rPr>
        <w:t xml:space="preserve"> vypočítaná z jeho naakumulovaného majetku by nemusela stačiť na vyplácanie pravidelnej dávky v </w:t>
      </w:r>
      <w:r>
        <w:rPr>
          <w:rFonts w:ascii="Times New Roman" w:eastAsia="Calibri" w:hAnsi="Times New Roman" w:cs="Times New Roman"/>
          <w:sz w:val="24"/>
          <w:szCs w:val="24"/>
        </w:rPr>
        <w:t>primeranej</w:t>
      </w:r>
      <w:r w:rsidRPr="00F410B9">
        <w:rPr>
          <w:rFonts w:ascii="Times New Roman" w:eastAsia="Calibri" w:hAnsi="Times New Roman" w:cs="Times New Roman"/>
          <w:sz w:val="24"/>
          <w:szCs w:val="24"/>
        </w:rPr>
        <w:t xml:space="preserve"> výške, navrhuje sa</w:t>
      </w:r>
      <w:r>
        <w:rPr>
          <w:rFonts w:ascii="Times New Roman" w:eastAsia="Calibri" w:hAnsi="Times New Roman" w:cs="Times New Roman"/>
          <w:sz w:val="24"/>
          <w:szCs w:val="24"/>
        </w:rPr>
        <w:t xml:space="preserve">, aby </w:t>
      </w:r>
      <w:r w:rsidRPr="00F410B9">
        <w:rPr>
          <w:rFonts w:ascii="Times New Roman" w:eastAsia="Calibri" w:hAnsi="Times New Roman" w:cs="Times New Roman"/>
          <w:sz w:val="24"/>
          <w:szCs w:val="24"/>
        </w:rPr>
        <w:t xml:space="preserve">na žiadosť </w:t>
      </w:r>
      <w:r w:rsidR="00D845C1">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poskytovateľ vyplatil</w:t>
      </w:r>
      <w:r w:rsidRPr="00F410B9">
        <w:rPr>
          <w:rFonts w:ascii="Times New Roman" w:eastAsia="Calibri" w:hAnsi="Times New Roman" w:cs="Times New Roman"/>
          <w:sz w:val="24"/>
          <w:szCs w:val="24"/>
        </w:rPr>
        <w:t xml:space="preserve"> jeho </w:t>
      </w:r>
      <w:r>
        <w:rPr>
          <w:rFonts w:ascii="Times New Roman" w:eastAsia="Calibri" w:hAnsi="Times New Roman" w:cs="Times New Roman"/>
          <w:sz w:val="24"/>
          <w:szCs w:val="24"/>
        </w:rPr>
        <w:t xml:space="preserve">majetok v jednej splátke, resp. v sumách, ktoré </w:t>
      </w:r>
      <w:r w:rsidR="00D845C1">
        <w:rPr>
          <w:rFonts w:ascii="Times New Roman" w:eastAsia="Calibri" w:hAnsi="Times New Roman" w:cs="Times New Roman"/>
          <w:sz w:val="24"/>
          <w:szCs w:val="24"/>
        </w:rPr>
        <w:t>sporiteľ</w:t>
      </w:r>
      <w:r>
        <w:rPr>
          <w:rFonts w:ascii="Times New Roman" w:eastAsia="Calibri" w:hAnsi="Times New Roman" w:cs="Times New Roman"/>
          <w:sz w:val="24"/>
          <w:szCs w:val="24"/>
        </w:rPr>
        <w:t xml:space="preserve"> v žiadosti určí </w:t>
      </w:r>
      <w:r w:rsidRPr="00F410B9">
        <w:rPr>
          <w:rFonts w:ascii="Times New Roman" w:eastAsia="Calibri" w:hAnsi="Times New Roman" w:cs="Times New Roman"/>
          <w:sz w:val="24"/>
          <w:szCs w:val="24"/>
        </w:rPr>
        <w:t>(jednorazové vyrovnanie).</w:t>
      </w:r>
    </w:p>
    <w:p w14:paraId="1DB46421" w14:textId="63952AA6" w:rsidR="00B478C1"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V záujme zjednodušenia posudzovania nároku na jednorazové vyrovnanie sa navrhuje, aby sa hranica nároku na vyplatenie jednorazového vyrovnania určila ako násobok priemernej mesačnej mzdy v hospodárstve Slovenskej republiky, čím sa zabezpečí aj primeraný rast tejto hranice v čase.</w:t>
      </w:r>
    </w:p>
    <w:p w14:paraId="7693B897" w14:textId="338D668B" w:rsidR="007A6EED" w:rsidRPr="00F410B9" w:rsidRDefault="007A6EED" w:rsidP="00B478C1">
      <w:pPr>
        <w:spacing w:after="0" w:line="240" w:lineRule="auto"/>
        <w:jc w:val="both"/>
        <w:rPr>
          <w:rFonts w:ascii="Times New Roman" w:eastAsia="Calibri" w:hAnsi="Times New Roman" w:cs="Times New Roman"/>
          <w:sz w:val="24"/>
          <w:szCs w:val="24"/>
        </w:rPr>
      </w:pPr>
      <w:r w:rsidRPr="007A6EED">
        <w:rPr>
          <w:rFonts w:ascii="Times New Roman" w:eastAsia="Calibri" w:hAnsi="Times New Roman" w:cs="Times New Roman"/>
          <w:sz w:val="24"/>
          <w:szCs w:val="24"/>
        </w:rPr>
        <w:lastRenderedPageBreak/>
        <w:t xml:space="preserve">V prípade určenia maximálnej nasporenej sumy pre získanie nároku na jednorazové vyrovnanie je dôležité sledovať dynamické ekonomické ukazovatele, ktoré sa prispôsobujú reálnemu hospodárskemu vývoju. Najvhodnejším ukazovateľom je v tomto prípade priemerná mzda, ktorej vývoj indikuje schopnosť jednotlivých </w:t>
      </w:r>
      <w:r>
        <w:rPr>
          <w:rFonts w:ascii="Times New Roman" w:eastAsia="Calibri" w:hAnsi="Times New Roman" w:cs="Times New Roman"/>
          <w:sz w:val="24"/>
          <w:szCs w:val="24"/>
        </w:rPr>
        <w:t>sporiteľov</w:t>
      </w:r>
      <w:r w:rsidRPr="007A6EED">
        <w:rPr>
          <w:rFonts w:ascii="Times New Roman" w:eastAsia="Calibri" w:hAnsi="Times New Roman" w:cs="Times New Roman"/>
          <w:sz w:val="24"/>
          <w:szCs w:val="24"/>
        </w:rPr>
        <w:t xml:space="preserve"> prispievať </w:t>
      </w:r>
      <w:r>
        <w:rPr>
          <w:rFonts w:ascii="Times New Roman" w:eastAsia="Calibri" w:hAnsi="Times New Roman" w:cs="Times New Roman"/>
          <w:sz w:val="24"/>
          <w:szCs w:val="24"/>
        </w:rPr>
        <w:t>na</w:t>
      </w:r>
      <w:r w:rsidRPr="007A6E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celoeurópsky </w:t>
      </w:r>
      <w:r w:rsidRPr="007A6EED">
        <w:rPr>
          <w:rFonts w:ascii="Times New Roman" w:eastAsia="Calibri" w:hAnsi="Times New Roman" w:cs="Times New Roman"/>
          <w:sz w:val="24"/>
          <w:szCs w:val="24"/>
        </w:rPr>
        <w:t>osobn</w:t>
      </w:r>
      <w:r>
        <w:rPr>
          <w:rFonts w:ascii="Times New Roman" w:eastAsia="Calibri" w:hAnsi="Times New Roman" w:cs="Times New Roman"/>
          <w:sz w:val="24"/>
          <w:szCs w:val="24"/>
        </w:rPr>
        <w:t>ý</w:t>
      </w:r>
      <w:r w:rsidRPr="007A6EED">
        <w:rPr>
          <w:rFonts w:ascii="Times New Roman" w:eastAsia="Calibri" w:hAnsi="Times New Roman" w:cs="Times New Roman"/>
          <w:sz w:val="24"/>
          <w:szCs w:val="24"/>
        </w:rPr>
        <w:t xml:space="preserve"> dôchodkov</w:t>
      </w:r>
      <w:r>
        <w:rPr>
          <w:rFonts w:ascii="Times New Roman" w:eastAsia="Calibri" w:hAnsi="Times New Roman" w:cs="Times New Roman"/>
          <w:sz w:val="24"/>
          <w:szCs w:val="24"/>
        </w:rPr>
        <w:t>ý</w:t>
      </w:r>
      <w:r w:rsidRPr="007A6EED">
        <w:rPr>
          <w:rFonts w:ascii="Times New Roman" w:eastAsia="Calibri" w:hAnsi="Times New Roman" w:cs="Times New Roman"/>
          <w:sz w:val="24"/>
          <w:szCs w:val="24"/>
        </w:rPr>
        <w:t xml:space="preserve"> </w:t>
      </w:r>
      <w:r>
        <w:rPr>
          <w:rFonts w:ascii="Times New Roman" w:eastAsia="Calibri" w:hAnsi="Times New Roman" w:cs="Times New Roman"/>
          <w:sz w:val="24"/>
          <w:szCs w:val="24"/>
        </w:rPr>
        <w:t>produkt</w:t>
      </w:r>
      <w:r w:rsidRPr="007A6EED">
        <w:rPr>
          <w:rFonts w:ascii="Times New Roman" w:eastAsia="Calibri" w:hAnsi="Times New Roman" w:cs="Times New Roman"/>
          <w:sz w:val="24"/>
          <w:szCs w:val="24"/>
        </w:rPr>
        <w:t>. Zo základného modelu akumulovania nasporenej sumy počas životného cyklu sporenia</w:t>
      </w:r>
      <w:r>
        <w:rPr>
          <w:rFonts w:ascii="Times New Roman" w:eastAsia="Calibri" w:hAnsi="Times New Roman" w:cs="Times New Roman"/>
          <w:sz w:val="24"/>
          <w:szCs w:val="24"/>
        </w:rPr>
        <w:t xml:space="preserve"> (investovania)</w:t>
      </w:r>
      <w:r w:rsidR="00C7503D">
        <w:rPr>
          <w:rFonts w:ascii="Times New Roman" w:eastAsia="Calibri" w:hAnsi="Times New Roman" w:cs="Times New Roman"/>
          <w:sz w:val="24"/>
          <w:szCs w:val="24"/>
        </w:rPr>
        <w:t>,</w:t>
      </w:r>
      <w:r w:rsidRPr="007A6EED">
        <w:rPr>
          <w:rFonts w:ascii="Times New Roman" w:eastAsia="Calibri" w:hAnsi="Times New Roman" w:cs="Times New Roman"/>
          <w:sz w:val="24"/>
          <w:szCs w:val="24"/>
        </w:rPr>
        <w:t xml:space="preserve"> vychádzajúc z vývoja priemerného príspevku účastníka v</w:t>
      </w:r>
      <w:r>
        <w:rPr>
          <w:rFonts w:ascii="Times New Roman" w:eastAsia="Calibri" w:hAnsi="Times New Roman" w:cs="Times New Roman"/>
          <w:sz w:val="24"/>
          <w:szCs w:val="24"/>
        </w:rPr>
        <w:t> doplnkovom dôchodkovom sporení (ako príbuzného produktu)</w:t>
      </w:r>
      <w:r w:rsidR="00C7503D">
        <w:rPr>
          <w:rFonts w:ascii="Times New Roman" w:eastAsia="Calibri" w:hAnsi="Times New Roman" w:cs="Times New Roman"/>
          <w:sz w:val="24"/>
          <w:szCs w:val="24"/>
        </w:rPr>
        <w:t>,</w:t>
      </w:r>
      <w:r>
        <w:rPr>
          <w:rFonts w:ascii="Times New Roman" w:eastAsia="Calibri" w:hAnsi="Times New Roman" w:cs="Times New Roman"/>
          <w:sz w:val="24"/>
          <w:szCs w:val="24"/>
        </w:rPr>
        <w:t xml:space="preserve"> preto</w:t>
      </w:r>
      <w:r w:rsidRPr="007A6EED">
        <w:rPr>
          <w:rFonts w:ascii="Times New Roman" w:eastAsia="Calibri" w:hAnsi="Times New Roman" w:cs="Times New Roman"/>
          <w:sz w:val="24"/>
          <w:szCs w:val="24"/>
        </w:rPr>
        <w:t xml:space="preserve"> navrhujeme stanovenie tejto sumy na úrovni štvornásobku priemernej mesačnej mzdy v hospodárstve Slovenskej republiky za rok, ktorý dva roky predchádza kalendárnemu roku, v ktorom sa jednorazové vyrovnanie vypláca. Výška takto stanovenej hranice zároveň zabezpečí efektívne vyplácanie aj ostatných druhov dávok, ktoré môžu prispieť k zvýšeniu životnej úrovne poberateľa </w:t>
      </w:r>
      <w:r>
        <w:rPr>
          <w:rFonts w:ascii="Times New Roman" w:eastAsia="Calibri" w:hAnsi="Times New Roman" w:cs="Times New Roman"/>
          <w:sz w:val="24"/>
          <w:szCs w:val="24"/>
        </w:rPr>
        <w:t xml:space="preserve">dávok </w:t>
      </w:r>
      <w:r w:rsidRPr="007A6EED">
        <w:rPr>
          <w:rFonts w:ascii="Times New Roman" w:eastAsia="Calibri" w:hAnsi="Times New Roman" w:cs="Times New Roman"/>
          <w:sz w:val="24"/>
          <w:szCs w:val="24"/>
        </w:rPr>
        <w:t xml:space="preserve">len v prípade, ak je ich výška na primeranej úrovni, čo v prípade nasporenej sumy menšej ako je </w:t>
      </w:r>
      <w:r>
        <w:rPr>
          <w:rFonts w:ascii="Times New Roman" w:eastAsia="Calibri" w:hAnsi="Times New Roman" w:cs="Times New Roman"/>
          <w:sz w:val="24"/>
          <w:szCs w:val="24"/>
        </w:rPr>
        <w:t>navrhované</w:t>
      </w:r>
      <w:r w:rsidR="009D769A">
        <w:rPr>
          <w:rFonts w:ascii="Times New Roman" w:eastAsia="Calibri" w:hAnsi="Times New Roman" w:cs="Times New Roman"/>
          <w:sz w:val="24"/>
          <w:szCs w:val="24"/>
        </w:rPr>
        <w:t>,</w:t>
      </w:r>
      <w:r w:rsidRPr="007A6EED">
        <w:rPr>
          <w:rFonts w:ascii="Times New Roman" w:eastAsia="Calibri" w:hAnsi="Times New Roman" w:cs="Times New Roman"/>
          <w:sz w:val="24"/>
          <w:szCs w:val="24"/>
        </w:rPr>
        <w:t xml:space="preserve"> nie je možné zabezpečiť.</w:t>
      </w:r>
    </w:p>
    <w:p w14:paraId="2C7218A3" w14:textId="77777777" w:rsidR="00B478C1" w:rsidRPr="00F410B9" w:rsidRDefault="00B478C1" w:rsidP="00B478C1">
      <w:pPr>
        <w:spacing w:after="0" w:line="240" w:lineRule="auto"/>
        <w:jc w:val="both"/>
        <w:rPr>
          <w:rFonts w:ascii="Times New Roman" w:eastAsia="Calibri" w:hAnsi="Times New Roman" w:cs="Times New Roman"/>
          <w:sz w:val="24"/>
          <w:szCs w:val="24"/>
        </w:rPr>
      </w:pPr>
    </w:p>
    <w:p w14:paraId="3027E61B" w14:textId="35063E91" w:rsidR="00B478C1" w:rsidRPr="00F410B9" w:rsidRDefault="00B478C1" w:rsidP="00B478C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 § </w:t>
      </w:r>
      <w:r w:rsidR="00D845C1">
        <w:rPr>
          <w:rFonts w:ascii="Times New Roman" w:eastAsia="Calibri" w:hAnsi="Times New Roman" w:cs="Times New Roman"/>
          <w:b/>
          <w:sz w:val="24"/>
          <w:szCs w:val="24"/>
        </w:rPr>
        <w:t>9</w:t>
      </w:r>
    </w:p>
    <w:p w14:paraId="05B358D4" w14:textId="7D0D0DD4" w:rsidR="00B478C1" w:rsidRPr="00F410B9"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Aj keď </w:t>
      </w:r>
      <w:r w:rsidR="00D845C1">
        <w:rPr>
          <w:rFonts w:ascii="Times New Roman" w:eastAsia="Calibri" w:hAnsi="Times New Roman" w:cs="Times New Roman"/>
          <w:sz w:val="24"/>
          <w:szCs w:val="24"/>
        </w:rPr>
        <w:t xml:space="preserve">by mal byť celoeurópsky </w:t>
      </w:r>
      <w:r w:rsidRPr="00F410B9">
        <w:rPr>
          <w:rFonts w:ascii="Times New Roman" w:eastAsia="Calibri" w:hAnsi="Times New Roman" w:cs="Times New Roman"/>
          <w:sz w:val="24"/>
          <w:szCs w:val="24"/>
        </w:rPr>
        <w:t xml:space="preserve">osobný dôchodkový produkt primárne určený na zabezpečenie príjmu na zlepšenie kvality času stráveného na dôchodku, môže sa </w:t>
      </w:r>
      <w:r w:rsidR="00D845C1">
        <w:rPr>
          <w:rFonts w:ascii="Times New Roman" w:eastAsia="Calibri" w:hAnsi="Times New Roman" w:cs="Times New Roman"/>
          <w:sz w:val="24"/>
          <w:szCs w:val="24"/>
        </w:rPr>
        <w:t>sporiteľ</w:t>
      </w:r>
      <w:r w:rsidRPr="00F410B9">
        <w:rPr>
          <w:rFonts w:ascii="Times New Roman" w:eastAsia="Calibri" w:hAnsi="Times New Roman" w:cs="Times New Roman"/>
          <w:sz w:val="24"/>
          <w:szCs w:val="24"/>
        </w:rPr>
        <w:t xml:space="preserve"> dostať do situácie (</w:t>
      </w:r>
      <w:r w:rsidR="00670315">
        <w:rPr>
          <w:rFonts w:ascii="Times New Roman" w:eastAsia="Calibri" w:hAnsi="Times New Roman" w:cs="Times New Roman"/>
          <w:sz w:val="24"/>
          <w:szCs w:val="24"/>
        </w:rPr>
        <w:t xml:space="preserve">nepriaznivý </w:t>
      </w:r>
      <w:r w:rsidRPr="00F410B9">
        <w:rPr>
          <w:rFonts w:ascii="Times New Roman" w:eastAsia="Calibri" w:hAnsi="Times New Roman" w:cs="Times New Roman"/>
          <w:sz w:val="24"/>
          <w:szCs w:val="24"/>
        </w:rPr>
        <w:t>zdravotný stav, dlhodobá nezamestnanosť), kedy má predčasná redemácia úspor v presne definovaných prípadoch opodstatnenie</w:t>
      </w:r>
      <w:r w:rsidR="00D845C1">
        <w:rPr>
          <w:rFonts w:ascii="Times New Roman" w:eastAsia="Calibri" w:hAnsi="Times New Roman" w:cs="Times New Roman"/>
          <w:sz w:val="24"/>
          <w:szCs w:val="24"/>
        </w:rPr>
        <w:t xml:space="preserve"> (čl. 57 ods. 2 nariadenia)</w:t>
      </w:r>
      <w:r w:rsidRPr="00F410B9">
        <w:rPr>
          <w:rFonts w:ascii="Times New Roman" w:eastAsia="Calibri" w:hAnsi="Times New Roman" w:cs="Times New Roman"/>
          <w:sz w:val="24"/>
          <w:szCs w:val="24"/>
        </w:rPr>
        <w:t>.</w:t>
      </w:r>
      <w:r>
        <w:rPr>
          <w:rFonts w:ascii="Times New Roman" w:eastAsia="Calibri" w:hAnsi="Times New Roman" w:cs="Times New Roman"/>
          <w:sz w:val="24"/>
          <w:szCs w:val="24"/>
        </w:rPr>
        <w:t xml:space="preserve"> V návrhu zákona boli preto ustanovené </w:t>
      </w:r>
      <w:r w:rsidR="00D845C1">
        <w:rPr>
          <w:rFonts w:ascii="Times New Roman" w:eastAsia="Calibri" w:hAnsi="Times New Roman" w:cs="Times New Roman"/>
          <w:sz w:val="24"/>
          <w:szCs w:val="24"/>
        </w:rPr>
        <w:t>výlučne také</w:t>
      </w:r>
      <w:r>
        <w:rPr>
          <w:rFonts w:ascii="Times New Roman" w:eastAsia="Calibri" w:hAnsi="Times New Roman" w:cs="Times New Roman"/>
          <w:sz w:val="24"/>
          <w:szCs w:val="24"/>
        </w:rPr>
        <w:t xml:space="preserve"> životné situácie, </w:t>
      </w:r>
      <w:r w:rsidR="00D845C1">
        <w:rPr>
          <w:rFonts w:ascii="Times New Roman" w:eastAsia="Calibri" w:hAnsi="Times New Roman" w:cs="Times New Roman"/>
          <w:sz w:val="24"/>
          <w:szCs w:val="24"/>
        </w:rPr>
        <w:t>pri ktorých</w:t>
      </w:r>
      <w:r>
        <w:rPr>
          <w:rFonts w:ascii="Times New Roman" w:eastAsia="Calibri" w:hAnsi="Times New Roman" w:cs="Times New Roman"/>
          <w:sz w:val="24"/>
          <w:szCs w:val="24"/>
        </w:rPr>
        <w:t xml:space="preserve"> neexistuje pochybnosť o ich závažnosti a významnom negatívnom dopade na finančnú situáciu </w:t>
      </w:r>
      <w:r w:rsidR="00D845C1">
        <w:rPr>
          <w:rFonts w:ascii="Times New Roman" w:eastAsia="Calibri" w:hAnsi="Times New Roman" w:cs="Times New Roman"/>
          <w:sz w:val="24"/>
          <w:szCs w:val="24"/>
        </w:rPr>
        <w:t>sporiteľa</w:t>
      </w:r>
      <w:r>
        <w:rPr>
          <w:rFonts w:ascii="Times New Roman" w:eastAsia="Calibri" w:hAnsi="Times New Roman" w:cs="Times New Roman"/>
          <w:sz w:val="24"/>
          <w:szCs w:val="24"/>
        </w:rPr>
        <w:t xml:space="preserve"> z dôvody stratu príjmu.</w:t>
      </w:r>
    </w:p>
    <w:p w14:paraId="2163FF11" w14:textId="77777777" w:rsidR="00670315"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Vzhľadom na skutočnosť, že poskytovateľmi sú finančné inštitúcie, ktoré nemajú vo svojej kompetencii posudzovanie zdravotného stavu </w:t>
      </w:r>
      <w:r w:rsidR="00D845C1">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navrhuje sa, aby definícia podmienok nepriaznivého zdravotného stavu bola naviazaná na iné právne normy a podmienku preukázania tejto skutočnosti </w:t>
      </w:r>
      <w:r w:rsidR="00D845C1">
        <w:rPr>
          <w:rFonts w:ascii="Times New Roman" w:eastAsia="Calibri" w:hAnsi="Times New Roman" w:cs="Times New Roman"/>
          <w:sz w:val="24"/>
          <w:szCs w:val="24"/>
        </w:rPr>
        <w:t>sporiteľom</w:t>
      </w:r>
      <w:r w:rsidRPr="00F410B9">
        <w:rPr>
          <w:rFonts w:ascii="Times New Roman" w:eastAsia="Calibri" w:hAnsi="Times New Roman" w:cs="Times New Roman"/>
          <w:sz w:val="24"/>
          <w:szCs w:val="24"/>
        </w:rPr>
        <w:t xml:space="preserve">. Nepriaznivý zdravotný stav, ktorým je invalidita z dôvodu poklesu schopnosti vykonávať zárobkovú činnosť o viac ako 70 %, je definovaná zákonom č. 461/2003 Z. z. o sociálnom poistení v znení neskorších predpisov. Dlhodobo nepriaznivý zdravotný stav, ktorým je ťažké zdravotné postihnutie, je definovaný zákonom č. 447/2008 Z. z. o peňažných príspevkoch na kompenzáciu ťažkého zdravotného postihnutia a o zmene a doplnení niektorých zákonov v znení neskorších predpisov. Pri oboch stavoch môže byť </w:t>
      </w:r>
      <w:r w:rsidR="00D845C1">
        <w:rPr>
          <w:rFonts w:ascii="Times New Roman" w:eastAsia="Calibri" w:hAnsi="Times New Roman" w:cs="Times New Roman"/>
          <w:sz w:val="24"/>
          <w:szCs w:val="24"/>
        </w:rPr>
        <w:t>sporiteľovi</w:t>
      </w:r>
      <w:r w:rsidRPr="00F410B9">
        <w:rPr>
          <w:rFonts w:ascii="Times New Roman" w:eastAsia="Calibri" w:hAnsi="Times New Roman" w:cs="Times New Roman"/>
          <w:sz w:val="24"/>
          <w:szCs w:val="24"/>
        </w:rPr>
        <w:t xml:space="preserve"> vyplatený naakumulovaný majetok </w:t>
      </w:r>
      <w:r w:rsidR="00190C10">
        <w:rPr>
          <w:rFonts w:ascii="Times New Roman" w:eastAsia="Calibri" w:hAnsi="Times New Roman" w:cs="Times New Roman"/>
          <w:sz w:val="24"/>
          <w:szCs w:val="24"/>
        </w:rPr>
        <w:t xml:space="preserve">formou programového výberu alebo </w:t>
      </w:r>
      <w:r w:rsidRPr="00F410B9">
        <w:rPr>
          <w:rFonts w:ascii="Times New Roman" w:eastAsia="Calibri" w:hAnsi="Times New Roman" w:cs="Times New Roman"/>
          <w:sz w:val="24"/>
          <w:szCs w:val="24"/>
        </w:rPr>
        <w:t>aj v jednej splátke</w:t>
      </w:r>
      <w:r>
        <w:rPr>
          <w:rFonts w:ascii="Times New Roman" w:eastAsia="Calibri" w:hAnsi="Times New Roman" w:cs="Times New Roman"/>
          <w:sz w:val="24"/>
          <w:szCs w:val="24"/>
        </w:rPr>
        <w:t>,</w:t>
      </w:r>
      <w:r w:rsidRPr="00F410B9">
        <w:rPr>
          <w:rFonts w:ascii="Times New Roman" w:eastAsia="Calibri" w:hAnsi="Times New Roman" w:cs="Times New Roman"/>
          <w:sz w:val="24"/>
          <w:szCs w:val="24"/>
        </w:rPr>
        <w:t xml:space="preserve"> a to </w:t>
      </w:r>
      <w:r w:rsidR="002E779A">
        <w:rPr>
          <w:rFonts w:ascii="Times New Roman" w:eastAsia="Calibri" w:hAnsi="Times New Roman" w:cs="Times New Roman"/>
          <w:sz w:val="24"/>
          <w:szCs w:val="24"/>
        </w:rPr>
        <w:t xml:space="preserve">v závislosti od toho akú formu výplaty sporiteľ preferuje a uvedie v </w:t>
      </w:r>
      <w:r w:rsidRPr="00F410B9">
        <w:rPr>
          <w:rFonts w:ascii="Times New Roman" w:eastAsia="Calibri" w:hAnsi="Times New Roman" w:cs="Times New Roman"/>
          <w:sz w:val="24"/>
          <w:szCs w:val="24"/>
        </w:rPr>
        <w:t>žiadosti</w:t>
      </w:r>
      <w:r w:rsidR="002E779A">
        <w:rPr>
          <w:rFonts w:ascii="Times New Roman" w:eastAsia="Calibri" w:hAnsi="Times New Roman" w:cs="Times New Roman"/>
          <w:sz w:val="24"/>
          <w:szCs w:val="24"/>
        </w:rPr>
        <w:t>. Sporiteľ musí</w:t>
      </w:r>
      <w:r>
        <w:rPr>
          <w:rFonts w:ascii="Times New Roman" w:eastAsia="Calibri" w:hAnsi="Times New Roman" w:cs="Times New Roman"/>
          <w:sz w:val="24"/>
          <w:szCs w:val="24"/>
        </w:rPr>
        <w:t xml:space="preserve"> </w:t>
      </w:r>
      <w:r w:rsidR="002E779A">
        <w:rPr>
          <w:rFonts w:ascii="Times New Roman" w:eastAsia="Calibri" w:hAnsi="Times New Roman" w:cs="Times New Roman"/>
          <w:sz w:val="24"/>
          <w:szCs w:val="24"/>
        </w:rPr>
        <w:t xml:space="preserve">zároveň vznik tejto </w:t>
      </w:r>
      <w:r>
        <w:rPr>
          <w:rFonts w:ascii="Times New Roman" w:eastAsia="Calibri" w:hAnsi="Times New Roman" w:cs="Times New Roman"/>
          <w:sz w:val="24"/>
          <w:szCs w:val="24"/>
        </w:rPr>
        <w:t xml:space="preserve">skutočnosť </w:t>
      </w:r>
      <w:r w:rsidR="002E779A">
        <w:rPr>
          <w:rFonts w:ascii="Times New Roman" w:eastAsia="Calibri" w:hAnsi="Times New Roman" w:cs="Times New Roman"/>
          <w:sz w:val="24"/>
          <w:szCs w:val="24"/>
        </w:rPr>
        <w:t>preukázať</w:t>
      </w:r>
      <w:r w:rsidR="002E779A" w:rsidRPr="00F410B9">
        <w:rPr>
          <w:rFonts w:ascii="Times New Roman" w:eastAsia="Calibri" w:hAnsi="Times New Roman" w:cs="Times New Roman"/>
          <w:sz w:val="24"/>
          <w:szCs w:val="24"/>
        </w:rPr>
        <w:t xml:space="preserve"> </w:t>
      </w:r>
      <w:r w:rsidRPr="00F410B9">
        <w:rPr>
          <w:rFonts w:ascii="Times New Roman" w:eastAsia="Calibri" w:hAnsi="Times New Roman" w:cs="Times New Roman"/>
          <w:sz w:val="24"/>
          <w:szCs w:val="24"/>
        </w:rPr>
        <w:t>potvrden</w:t>
      </w:r>
      <w:r>
        <w:rPr>
          <w:rFonts w:ascii="Times New Roman" w:eastAsia="Calibri" w:hAnsi="Times New Roman" w:cs="Times New Roman"/>
          <w:sz w:val="24"/>
          <w:szCs w:val="24"/>
        </w:rPr>
        <w:t>ím</w:t>
      </w:r>
      <w:r w:rsidRPr="00F410B9">
        <w:rPr>
          <w:rFonts w:ascii="Times New Roman" w:eastAsia="Calibri" w:hAnsi="Times New Roman" w:cs="Times New Roman"/>
          <w:sz w:val="24"/>
          <w:szCs w:val="24"/>
        </w:rPr>
        <w:t xml:space="preserve"> od príslušného posudkového lekára. </w:t>
      </w:r>
    </w:p>
    <w:p w14:paraId="4C636746" w14:textId="78D869E9" w:rsidR="00B478C1" w:rsidRPr="00F410B9" w:rsidRDefault="00B478C1" w:rsidP="00B478C1">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sz w:val="24"/>
          <w:szCs w:val="24"/>
        </w:rPr>
        <w:t xml:space="preserve">Osobitne ťažká životná situácia </w:t>
      </w:r>
      <w:r>
        <w:rPr>
          <w:rFonts w:ascii="Times New Roman" w:eastAsia="Calibri" w:hAnsi="Times New Roman" w:cs="Times New Roman"/>
          <w:sz w:val="24"/>
          <w:szCs w:val="24"/>
        </w:rPr>
        <w:t xml:space="preserve">(výpadok príjmu po uplynutí podporného obdobia, prepad do hmotnej núdze) </w:t>
      </w:r>
      <w:r w:rsidRPr="00F410B9">
        <w:rPr>
          <w:rFonts w:ascii="Times New Roman" w:eastAsia="Calibri" w:hAnsi="Times New Roman" w:cs="Times New Roman"/>
          <w:sz w:val="24"/>
          <w:szCs w:val="24"/>
        </w:rPr>
        <w:t xml:space="preserve">môže nastať aj pri strate zárobkovej </w:t>
      </w:r>
      <w:r w:rsidR="00D845C1">
        <w:rPr>
          <w:rFonts w:ascii="Times New Roman" w:eastAsia="Calibri" w:hAnsi="Times New Roman" w:cs="Times New Roman"/>
          <w:sz w:val="24"/>
          <w:szCs w:val="24"/>
        </w:rPr>
        <w:t xml:space="preserve">činnosti v preddôchodkovom veku. Preto sa navrhuje, aby sporiteľ, ktorý </w:t>
      </w:r>
      <w:r w:rsidRPr="00F410B9">
        <w:rPr>
          <w:rFonts w:ascii="Times New Roman" w:eastAsia="Calibri" w:hAnsi="Times New Roman" w:cs="Times New Roman"/>
          <w:sz w:val="24"/>
          <w:szCs w:val="24"/>
        </w:rPr>
        <w:t xml:space="preserve"> </w:t>
      </w:r>
      <w:r w:rsidR="00D845C1" w:rsidRPr="00F410B9">
        <w:rPr>
          <w:rFonts w:ascii="Times New Roman" w:eastAsia="Calibri" w:hAnsi="Times New Roman" w:cs="Times New Roman"/>
          <w:sz w:val="24"/>
          <w:szCs w:val="24"/>
        </w:rPr>
        <w:t>dovŕšil 5</w:t>
      </w:r>
      <w:r w:rsidR="00D845C1">
        <w:rPr>
          <w:rFonts w:ascii="Times New Roman" w:eastAsia="Calibri" w:hAnsi="Times New Roman" w:cs="Times New Roman"/>
          <w:sz w:val="24"/>
          <w:szCs w:val="24"/>
        </w:rPr>
        <w:t>7</w:t>
      </w:r>
      <w:r w:rsidR="00D845C1" w:rsidRPr="00F410B9">
        <w:rPr>
          <w:rFonts w:ascii="Times New Roman" w:eastAsia="Calibri" w:hAnsi="Times New Roman" w:cs="Times New Roman"/>
          <w:sz w:val="24"/>
          <w:szCs w:val="24"/>
        </w:rPr>
        <w:t xml:space="preserve"> rokov</w:t>
      </w:r>
      <w:r w:rsidR="00D845C1" w:rsidRPr="005D2E57">
        <w:rPr>
          <w:rFonts w:ascii="Times New Roman" w:eastAsia="Calibri" w:hAnsi="Times New Roman" w:cs="Times New Roman"/>
          <w:sz w:val="24"/>
          <w:szCs w:val="24"/>
        </w:rPr>
        <w:t xml:space="preserve"> </w:t>
      </w:r>
      <w:r w:rsidR="00D845C1" w:rsidRPr="00F410B9">
        <w:rPr>
          <w:rFonts w:ascii="Times New Roman" w:eastAsia="Calibri" w:hAnsi="Times New Roman" w:cs="Times New Roman"/>
          <w:sz w:val="24"/>
          <w:szCs w:val="24"/>
        </w:rPr>
        <w:t>vek</w:t>
      </w:r>
      <w:r w:rsidR="00D845C1">
        <w:rPr>
          <w:rFonts w:ascii="Times New Roman" w:eastAsia="Calibri" w:hAnsi="Times New Roman" w:cs="Times New Roman"/>
          <w:sz w:val="24"/>
          <w:szCs w:val="24"/>
        </w:rPr>
        <w:t>u</w:t>
      </w:r>
      <w:r w:rsidR="00D845C1" w:rsidRPr="00F410B9">
        <w:rPr>
          <w:rFonts w:ascii="Times New Roman" w:eastAsia="Calibri" w:hAnsi="Times New Roman" w:cs="Times New Roman"/>
          <w:sz w:val="24"/>
          <w:szCs w:val="24"/>
        </w:rPr>
        <w:t xml:space="preserve"> </w:t>
      </w:r>
      <w:r w:rsidR="00D845C1">
        <w:rPr>
          <w:rFonts w:ascii="Times New Roman" w:eastAsia="Calibri" w:hAnsi="Times New Roman" w:cs="Times New Roman"/>
          <w:sz w:val="24"/>
          <w:szCs w:val="24"/>
        </w:rPr>
        <w:t>a</w:t>
      </w:r>
      <w:r w:rsidR="002E779A">
        <w:rPr>
          <w:rFonts w:ascii="Times New Roman" w:eastAsia="Calibri" w:hAnsi="Times New Roman" w:cs="Times New Roman"/>
          <w:sz w:val="24"/>
          <w:szCs w:val="24"/>
        </w:rPr>
        <w:t xml:space="preserve"> je dlhodobo nezamestnaný v zmysle </w:t>
      </w:r>
      <w:r w:rsidR="002E779A" w:rsidRPr="002E779A">
        <w:rPr>
          <w:rFonts w:ascii="Times New Roman" w:eastAsia="Calibri" w:hAnsi="Times New Roman" w:cs="Times New Roman"/>
          <w:sz w:val="24"/>
          <w:szCs w:val="24"/>
        </w:rPr>
        <w:t>zákona č. 5/2004 Z. z. o službách zamestnanosti a o zmene a doplnení niektorých zákonov v znení neskorších predpisov</w:t>
      </w:r>
      <w:r w:rsidR="002E779A">
        <w:rPr>
          <w:rFonts w:ascii="Times New Roman" w:eastAsia="Calibri" w:hAnsi="Times New Roman" w:cs="Times New Roman"/>
          <w:sz w:val="24"/>
          <w:szCs w:val="24"/>
        </w:rPr>
        <w:t>, t. j</w:t>
      </w:r>
      <w:r w:rsidR="002E779A" w:rsidRPr="002E779A">
        <w:rPr>
          <w:rFonts w:ascii="Times New Roman" w:eastAsia="Calibri" w:hAnsi="Times New Roman" w:cs="Times New Roman"/>
          <w:sz w:val="24"/>
          <w:szCs w:val="24"/>
        </w:rPr>
        <w:t>.</w:t>
      </w:r>
      <w:r w:rsidR="002E779A">
        <w:rPr>
          <w:rFonts w:ascii="Times New Roman" w:eastAsia="Calibri" w:hAnsi="Times New Roman" w:cs="Times New Roman"/>
          <w:sz w:val="24"/>
          <w:szCs w:val="24"/>
        </w:rPr>
        <w:t xml:space="preserve"> </w:t>
      </w:r>
      <w:r w:rsidR="00D845C1">
        <w:rPr>
          <w:rFonts w:ascii="Times New Roman" w:eastAsia="Calibri" w:hAnsi="Times New Roman" w:cs="Times New Roman"/>
          <w:sz w:val="24"/>
          <w:szCs w:val="24"/>
        </w:rPr>
        <w:t>je</w:t>
      </w:r>
      <w:r w:rsidRPr="00F410B9">
        <w:rPr>
          <w:rFonts w:ascii="Times New Roman" w:eastAsia="Calibri" w:hAnsi="Times New Roman" w:cs="Times New Roman"/>
          <w:sz w:val="24"/>
          <w:szCs w:val="24"/>
        </w:rPr>
        <w:t xml:space="preserve"> vedený v evidencii uchádzačov o zamestnanie dlhšie ako jeden rok</w:t>
      </w:r>
      <w:r w:rsidR="002E779A">
        <w:rPr>
          <w:rFonts w:ascii="Times New Roman" w:eastAsia="Calibri" w:hAnsi="Times New Roman" w:cs="Times New Roman"/>
          <w:sz w:val="24"/>
          <w:szCs w:val="24"/>
        </w:rPr>
        <w:t>,</w:t>
      </w:r>
      <w:r w:rsidRPr="00F410B9">
        <w:rPr>
          <w:rFonts w:ascii="Times New Roman" w:eastAsia="Calibri" w:hAnsi="Times New Roman" w:cs="Times New Roman"/>
          <w:sz w:val="24"/>
          <w:szCs w:val="24"/>
        </w:rPr>
        <w:t xml:space="preserve"> </w:t>
      </w:r>
      <w:r w:rsidR="00D845C1">
        <w:rPr>
          <w:rFonts w:ascii="Times New Roman" w:eastAsia="Calibri" w:hAnsi="Times New Roman" w:cs="Times New Roman"/>
          <w:sz w:val="24"/>
          <w:szCs w:val="24"/>
        </w:rPr>
        <w:t>mohol úspory čerpať formou</w:t>
      </w:r>
      <w:r w:rsidRPr="00F410B9">
        <w:rPr>
          <w:rFonts w:ascii="Times New Roman" w:eastAsia="Calibri" w:hAnsi="Times New Roman" w:cs="Times New Roman"/>
          <w:sz w:val="24"/>
          <w:szCs w:val="24"/>
        </w:rPr>
        <w:t xml:space="preserve"> programového výberu</w:t>
      </w:r>
      <w:r>
        <w:rPr>
          <w:rFonts w:ascii="Times New Roman" w:eastAsia="Calibri" w:hAnsi="Times New Roman" w:cs="Times New Roman"/>
          <w:sz w:val="24"/>
          <w:szCs w:val="24"/>
        </w:rPr>
        <w:t xml:space="preserve"> (s výnimkou</w:t>
      </w:r>
      <w:r w:rsidR="00C16C28">
        <w:rPr>
          <w:rFonts w:ascii="Times New Roman" w:eastAsia="Calibri" w:hAnsi="Times New Roman" w:cs="Times New Roman"/>
          <w:sz w:val="24"/>
          <w:szCs w:val="24"/>
        </w:rPr>
        <w:t xml:space="preserve"> možnosti vyplatenia</w:t>
      </w:r>
      <w:r>
        <w:rPr>
          <w:rFonts w:ascii="Times New Roman" w:eastAsia="Calibri" w:hAnsi="Times New Roman" w:cs="Times New Roman"/>
          <w:sz w:val="24"/>
          <w:szCs w:val="24"/>
        </w:rPr>
        <w:t xml:space="preserve"> prvej zvýšenej splátky v záujme udržania vyššieho pravidelného príjmu)</w:t>
      </w:r>
      <w:r w:rsidRPr="00F410B9">
        <w:rPr>
          <w:rFonts w:ascii="Times New Roman" w:eastAsia="Calibri" w:hAnsi="Times New Roman" w:cs="Times New Roman"/>
          <w:sz w:val="24"/>
          <w:szCs w:val="24"/>
        </w:rPr>
        <w:t xml:space="preserve">, resp. formou jednorazového vyrovnania, ak výška </w:t>
      </w:r>
      <w:r w:rsidR="00C16C28">
        <w:rPr>
          <w:rFonts w:ascii="Times New Roman" w:eastAsia="Calibri" w:hAnsi="Times New Roman" w:cs="Times New Roman"/>
          <w:sz w:val="24"/>
          <w:szCs w:val="24"/>
        </w:rPr>
        <w:t xml:space="preserve">jeho </w:t>
      </w:r>
      <w:r w:rsidRPr="00F410B9">
        <w:rPr>
          <w:rFonts w:ascii="Times New Roman" w:eastAsia="Calibri" w:hAnsi="Times New Roman" w:cs="Times New Roman"/>
          <w:sz w:val="24"/>
          <w:szCs w:val="24"/>
        </w:rPr>
        <w:t xml:space="preserve">majetku nepresiahne štvornásobok priemernej mesačnej mzdy v hospodárstve Slovenskej republiky za rok, ktorý dva roky predchádza kalendárnemu roku, v ktorom sa jednorazové vyrovnanie vypláca. Aj v tomto prípade sa navrhuje, aby poskytovateľ vyplácal predčasný výber na základe žiadosti </w:t>
      </w:r>
      <w:r w:rsidR="00C16C28">
        <w:rPr>
          <w:rFonts w:ascii="Times New Roman" w:eastAsia="Calibri" w:hAnsi="Times New Roman" w:cs="Times New Roman"/>
          <w:sz w:val="24"/>
          <w:szCs w:val="24"/>
        </w:rPr>
        <w:t>sporiteľa</w:t>
      </w:r>
      <w:r w:rsidRPr="00F410B9">
        <w:rPr>
          <w:rFonts w:ascii="Times New Roman" w:eastAsia="Calibri" w:hAnsi="Times New Roman" w:cs="Times New Roman"/>
          <w:sz w:val="24"/>
          <w:szCs w:val="24"/>
        </w:rPr>
        <w:t xml:space="preserve">, </w:t>
      </w:r>
      <w:r w:rsidR="00C16C28">
        <w:rPr>
          <w:rFonts w:ascii="Times New Roman" w:eastAsia="Calibri" w:hAnsi="Times New Roman" w:cs="Times New Roman"/>
          <w:sz w:val="24"/>
          <w:szCs w:val="24"/>
        </w:rPr>
        <w:lastRenderedPageBreak/>
        <w:t>pričom túto skutočnosť preukáže potvrdením</w:t>
      </w:r>
      <w:r w:rsidRPr="00F410B9">
        <w:rPr>
          <w:rFonts w:ascii="Times New Roman" w:eastAsia="Calibri" w:hAnsi="Times New Roman" w:cs="Times New Roman"/>
          <w:sz w:val="24"/>
          <w:szCs w:val="24"/>
        </w:rPr>
        <w:t xml:space="preserve"> príslušného úradu práce, sociálnych vecí a rodiny.</w:t>
      </w:r>
    </w:p>
    <w:p w14:paraId="1C7DD35B" w14:textId="77777777" w:rsidR="00B478C1" w:rsidRPr="00F410B9" w:rsidRDefault="00B478C1" w:rsidP="00B478C1">
      <w:pPr>
        <w:spacing w:after="0" w:line="240" w:lineRule="auto"/>
        <w:jc w:val="both"/>
        <w:rPr>
          <w:rFonts w:ascii="Times New Roman" w:eastAsia="Calibri" w:hAnsi="Times New Roman" w:cs="Times New Roman"/>
          <w:sz w:val="24"/>
          <w:szCs w:val="24"/>
        </w:rPr>
      </w:pPr>
    </w:p>
    <w:p w14:paraId="0F14F9C2" w14:textId="701F393D" w:rsidR="008F2140" w:rsidRPr="00F410B9" w:rsidRDefault="008F2140" w:rsidP="008F214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 § 10</w:t>
      </w:r>
    </w:p>
    <w:p w14:paraId="60DA8ACC" w14:textId="77777777" w:rsidR="00376AD3" w:rsidRDefault="00086B8C" w:rsidP="008F2140">
      <w:pPr>
        <w:spacing w:after="0" w:line="240" w:lineRule="auto"/>
        <w:jc w:val="both"/>
        <w:rPr>
          <w:rFonts w:ascii="Times New Roman" w:eastAsia="Calibri" w:hAnsi="Times New Roman" w:cs="Times New Roman"/>
          <w:sz w:val="24"/>
          <w:szCs w:val="24"/>
        </w:rPr>
      </w:pPr>
      <w:r w:rsidRPr="008F2140">
        <w:rPr>
          <w:rFonts w:ascii="Times New Roman" w:eastAsia="Calibri" w:hAnsi="Times New Roman" w:cs="Times New Roman"/>
          <w:sz w:val="24"/>
          <w:szCs w:val="24"/>
        </w:rPr>
        <w:t>Nariadenie vyžaduje, aby členské státy určili tzv. príslušný orgán ako orgán, ktorý bude vykonávať právomoci, ktoré nariadenie príslušným orgánom zveruje</w:t>
      </w:r>
      <w:r w:rsidR="00376AD3">
        <w:rPr>
          <w:rFonts w:ascii="Times New Roman" w:eastAsia="Calibri" w:hAnsi="Times New Roman" w:cs="Times New Roman"/>
          <w:sz w:val="24"/>
          <w:szCs w:val="24"/>
        </w:rPr>
        <w:t xml:space="preserve"> (čl. 2 bod 18 nariadenia)</w:t>
      </w:r>
      <w:r w:rsidRPr="008F2140">
        <w:rPr>
          <w:rFonts w:ascii="Times New Roman" w:eastAsia="Calibri" w:hAnsi="Times New Roman" w:cs="Times New Roman"/>
          <w:sz w:val="24"/>
          <w:szCs w:val="24"/>
        </w:rPr>
        <w:t xml:space="preserve">. Navrhuje sa, </w:t>
      </w:r>
      <w:r w:rsidR="00376AD3">
        <w:rPr>
          <w:rFonts w:ascii="Times New Roman" w:eastAsia="Calibri" w:hAnsi="Times New Roman" w:cs="Times New Roman"/>
          <w:sz w:val="24"/>
          <w:szCs w:val="24"/>
        </w:rPr>
        <w:t>aby týmto príslušným orgánom bola Národná banka Slovenska.</w:t>
      </w:r>
      <w:r w:rsidRPr="008F2140">
        <w:rPr>
          <w:rFonts w:ascii="Times New Roman" w:eastAsia="Calibri" w:hAnsi="Times New Roman" w:cs="Times New Roman"/>
          <w:sz w:val="24"/>
          <w:szCs w:val="24"/>
        </w:rPr>
        <w:t xml:space="preserve"> </w:t>
      </w:r>
      <w:r w:rsidR="00376AD3" w:rsidRPr="00376AD3">
        <w:rPr>
          <w:rFonts w:ascii="Times New Roman" w:eastAsia="Calibri" w:hAnsi="Times New Roman" w:cs="Times New Roman"/>
          <w:sz w:val="24"/>
          <w:szCs w:val="24"/>
        </w:rPr>
        <w:t xml:space="preserve">Dňom 1. januára 2006 Národná banka Slovenska na základe rozhodnutia vlády o integrácii dohľadu nad subjektmi finančného trhu začala vykonávať dohľad nad celým finančným trhom v oblasti bankovníctva, kapitálového trhu, poisťovníctva a dôchodkového sporenia. </w:t>
      </w:r>
      <w:r w:rsidR="00376AD3">
        <w:rPr>
          <w:rFonts w:ascii="Times New Roman" w:eastAsia="Calibri" w:hAnsi="Times New Roman" w:cs="Times New Roman"/>
          <w:sz w:val="24"/>
          <w:szCs w:val="24"/>
        </w:rPr>
        <w:t xml:space="preserve">Rovnako je tzv. príslušným orgánom podľa množstva iných nariadení Únie v oblasti finančného trhu a preto jej určenie ako príslušného orgánu je absolútne logické a relevantné. Táto inštitúcia preto bude vykonávať všetky právomoci príslušného orgánu v zmysle nariadenia a to nielen v oblasti dohľadu. </w:t>
      </w:r>
    </w:p>
    <w:p w14:paraId="17D10F04" w14:textId="129AC35A" w:rsidR="00086B8C" w:rsidRPr="008F2140" w:rsidRDefault="00376AD3" w:rsidP="008F21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Vychádzajúc z vyššie uvedeného </w:t>
      </w:r>
      <w:r w:rsidR="00670315">
        <w:rPr>
          <w:rFonts w:ascii="Times New Roman" w:eastAsia="Calibri" w:hAnsi="Times New Roman" w:cs="Times New Roman"/>
          <w:sz w:val="24"/>
          <w:szCs w:val="24"/>
        </w:rPr>
        <w:t xml:space="preserve">nie je </w:t>
      </w:r>
      <w:r>
        <w:rPr>
          <w:rFonts w:ascii="Times New Roman" w:eastAsia="Calibri" w:hAnsi="Times New Roman" w:cs="Times New Roman"/>
          <w:sz w:val="24"/>
          <w:szCs w:val="24"/>
        </w:rPr>
        <w:t xml:space="preserve">potrebné, aby </w:t>
      </w:r>
      <w:r w:rsidR="007A6EED">
        <w:rPr>
          <w:rFonts w:ascii="Times New Roman" w:eastAsia="Calibri" w:hAnsi="Times New Roman" w:cs="Times New Roman"/>
          <w:sz w:val="24"/>
          <w:szCs w:val="24"/>
        </w:rPr>
        <w:t>predkladaný</w:t>
      </w:r>
      <w:r>
        <w:rPr>
          <w:rFonts w:ascii="Times New Roman" w:eastAsia="Calibri" w:hAnsi="Times New Roman" w:cs="Times New Roman"/>
          <w:sz w:val="24"/>
          <w:szCs w:val="24"/>
        </w:rPr>
        <w:t xml:space="preserve"> návrh zákona vymedzil všetky právomoci, ktoré s</w:t>
      </w:r>
      <w:r w:rsidR="007A6EED">
        <w:rPr>
          <w:rFonts w:ascii="Times New Roman" w:eastAsia="Calibri" w:hAnsi="Times New Roman" w:cs="Times New Roman"/>
          <w:sz w:val="24"/>
          <w:szCs w:val="24"/>
        </w:rPr>
        <w:t>ú zverené vnútroštátnym orgánom. J</w:t>
      </w:r>
      <w:r>
        <w:rPr>
          <w:rFonts w:ascii="Times New Roman" w:eastAsia="Calibri" w:hAnsi="Times New Roman" w:cs="Times New Roman"/>
          <w:sz w:val="24"/>
          <w:szCs w:val="24"/>
        </w:rPr>
        <w:t xml:space="preserve">aví sa však ako vhodné výslovne upraviť tie právomoci, ktoré nie sú v nariadení upravené </w:t>
      </w:r>
      <w:r w:rsidR="007A6EED">
        <w:rPr>
          <w:rFonts w:ascii="Times New Roman" w:eastAsia="Calibri" w:hAnsi="Times New Roman" w:cs="Times New Roman"/>
          <w:sz w:val="24"/>
          <w:szCs w:val="24"/>
        </w:rPr>
        <w:t xml:space="preserve">vôbec, resp. nie sú </w:t>
      </w:r>
      <w:r>
        <w:rPr>
          <w:rFonts w:ascii="Times New Roman" w:eastAsia="Calibri" w:hAnsi="Times New Roman" w:cs="Times New Roman"/>
          <w:sz w:val="24"/>
          <w:szCs w:val="24"/>
        </w:rPr>
        <w:t>dostatočne podrobn</w:t>
      </w:r>
      <w:r w:rsidR="007A6EED">
        <w:rPr>
          <w:rFonts w:ascii="Times New Roman" w:eastAsia="Calibri" w:hAnsi="Times New Roman" w:cs="Times New Roman"/>
          <w:sz w:val="24"/>
          <w:szCs w:val="24"/>
        </w:rPr>
        <w:t>é</w:t>
      </w:r>
      <w:r>
        <w:rPr>
          <w:rFonts w:ascii="Times New Roman" w:eastAsia="Calibri" w:hAnsi="Times New Roman" w:cs="Times New Roman"/>
          <w:sz w:val="24"/>
          <w:szCs w:val="24"/>
        </w:rPr>
        <w:t xml:space="preserve"> (informačné povinnosti, </w:t>
      </w:r>
      <w:r w:rsidR="00670315">
        <w:rPr>
          <w:rFonts w:ascii="Times New Roman" w:eastAsia="Calibri" w:hAnsi="Times New Roman" w:cs="Times New Roman"/>
          <w:sz w:val="24"/>
          <w:szCs w:val="24"/>
        </w:rPr>
        <w:t xml:space="preserve">sankcie alebbo </w:t>
      </w:r>
      <w:r w:rsidR="007A6EED">
        <w:rPr>
          <w:rFonts w:ascii="Times New Roman" w:eastAsia="Calibri" w:hAnsi="Times New Roman" w:cs="Times New Roman"/>
          <w:sz w:val="24"/>
          <w:szCs w:val="24"/>
        </w:rPr>
        <w:t>intervenčné opatrenia</w:t>
      </w:r>
      <w:r w:rsidR="004600FA">
        <w:rPr>
          <w:rFonts w:ascii="Times New Roman" w:eastAsia="Calibri" w:hAnsi="Times New Roman" w:cs="Times New Roman"/>
          <w:sz w:val="24"/>
          <w:szCs w:val="24"/>
        </w:rPr>
        <w:t xml:space="preserve"> – čl. III</w:t>
      </w:r>
      <w:r w:rsidR="007A6EED">
        <w:rPr>
          <w:rFonts w:ascii="Times New Roman" w:eastAsia="Calibri" w:hAnsi="Times New Roman" w:cs="Times New Roman"/>
          <w:sz w:val="24"/>
          <w:szCs w:val="24"/>
        </w:rPr>
        <w:t xml:space="preserve">,). </w:t>
      </w:r>
      <w:r w:rsidR="00086B8C" w:rsidRPr="008F2140">
        <w:rPr>
          <w:rFonts w:ascii="Times New Roman" w:eastAsia="Calibri" w:hAnsi="Times New Roman" w:cs="Times New Roman"/>
          <w:sz w:val="24"/>
          <w:szCs w:val="24"/>
        </w:rPr>
        <w:t xml:space="preserve">Zároveň však platí, </w:t>
      </w:r>
      <w:r w:rsidR="007A6EED">
        <w:rPr>
          <w:rFonts w:ascii="Times New Roman" w:eastAsia="Calibri" w:hAnsi="Times New Roman" w:cs="Times New Roman"/>
          <w:sz w:val="24"/>
          <w:szCs w:val="24"/>
        </w:rPr>
        <w:t xml:space="preserve">že Národná banka Slovenska sa </w:t>
      </w:r>
      <w:r w:rsidR="007A6EED" w:rsidRPr="008F2140">
        <w:rPr>
          <w:rFonts w:ascii="Times New Roman" w:eastAsia="Calibri" w:hAnsi="Times New Roman" w:cs="Times New Roman"/>
          <w:sz w:val="24"/>
          <w:szCs w:val="24"/>
        </w:rPr>
        <w:t>pri</w:t>
      </w:r>
      <w:r w:rsidR="00086B8C" w:rsidRPr="008F2140">
        <w:rPr>
          <w:rFonts w:ascii="Times New Roman" w:eastAsia="Calibri" w:hAnsi="Times New Roman" w:cs="Times New Roman"/>
          <w:sz w:val="24"/>
          <w:szCs w:val="24"/>
        </w:rPr>
        <w:t xml:space="preserve"> výkon</w:t>
      </w:r>
      <w:r w:rsidR="007A6EED">
        <w:rPr>
          <w:rFonts w:ascii="Times New Roman" w:eastAsia="Calibri" w:hAnsi="Times New Roman" w:cs="Times New Roman"/>
          <w:sz w:val="24"/>
          <w:szCs w:val="24"/>
        </w:rPr>
        <w:t>e</w:t>
      </w:r>
      <w:r w:rsidR="00086B8C" w:rsidRPr="008F2140">
        <w:rPr>
          <w:rFonts w:ascii="Times New Roman" w:eastAsia="Calibri" w:hAnsi="Times New Roman" w:cs="Times New Roman"/>
          <w:sz w:val="24"/>
          <w:szCs w:val="24"/>
        </w:rPr>
        <w:t xml:space="preserve"> </w:t>
      </w:r>
      <w:r w:rsidR="007A6EED" w:rsidRPr="008F2140">
        <w:rPr>
          <w:rFonts w:ascii="Times New Roman" w:eastAsia="Calibri" w:hAnsi="Times New Roman" w:cs="Times New Roman"/>
          <w:sz w:val="24"/>
          <w:szCs w:val="24"/>
        </w:rPr>
        <w:t>dohľadu</w:t>
      </w:r>
      <w:r w:rsidR="00086B8C" w:rsidRPr="008F2140">
        <w:rPr>
          <w:rFonts w:ascii="Times New Roman" w:eastAsia="Calibri" w:hAnsi="Times New Roman" w:cs="Times New Roman"/>
          <w:sz w:val="24"/>
          <w:szCs w:val="24"/>
        </w:rPr>
        <w:t xml:space="preserve"> </w:t>
      </w:r>
      <w:r w:rsidR="007A6EED">
        <w:rPr>
          <w:rFonts w:ascii="Times New Roman" w:eastAsia="Calibri" w:hAnsi="Times New Roman" w:cs="Times New Roman"/>
          <w:sz w:val="24"/>
          <w:szCs w:val="24"/>
        </w:rPr>
        <w:t>riadi nielen</w:t>
      </w:r>
      <w:r w:rsidR="00086B8C" w:rsidRPr="008F2140">
        <w:rPr>
          <w:rFonts w:ascii="Times New Roman" w:eastAsia="Calibri" w:hAnsi="Times New Roman" w:cs="Times New Roman"/>
          <w:sz w:val="24"/>
          <w:szCs w:val="24"/>
        </w:rPr>
        <w:t xml:space="preserve"> </w:t>
      </w:r>
      <w:r w:rsidR="007A6EED">
        <w:rPr>
          <w:rFonts w:ascii="Times New Roman" w:eastAsia="Calibri" w:hAnsi="Times New Roman" w:cs="Times New Roman"/>
          <w:sz w:val="24"/>
          <w:szCs w:val="24"/>
        </w:rPr>
        <w:t>nariadením</w:t>
      </w:r>
      <w:r w:rsidR="00086B8C" w:rsidRPr="008F2140">
        <w:rPr>
          <w:rFonts w:ascii="Times New Roman" w:eastAsia="Calibri" w:hAnsi="Times New Roman" w:cs="Times New Roman"/>
          <w:sz w:val="24"/>
          <w:szCs w:val="24"/>
        </w:rPr>
        <w:t xml:space="preserve">, </w:t>
      </w:r>
      <w:r w:rsidR="007A6EED" w:rsidRPr="008F2140">
        <w:rPr>
          <w:rFonts w:ascii="Times New Roman" w:eastAsia="Calibri" w:hAnsi="Times New Roman" w:cs="Times New Roman"/>
          <w:sz w:val="24"/>
          <w:szCs w:val="24"/>
        </w:rPr>
        <w:t>predpis</w:t>
      </w:r>
      <w:r w:rsidR="007A6EED">
        <w:rPr>
          <w:rFonts w:ascii="Times New Roman" w:eastAsia="Calibri" w:hAnsi="Times New Roman" w:cs="Times New Roman"/>
          <w:sz w:val="24"/>
          <w:szCs w:val="24"/>
        </w:rPr>
        <w:t>mi</w:t>
      </w:r>
      <w:r w:rsidR="00086B8C" w:rsidRPr="008F2140">
        <w:rPr>
          <w:rFonts w:ascii="Times New Roman" w:eastAsia="Calibri" w:hAnsi="Times New Roman" w:cs="Times New Roman"/>
          <w:sz w:val="24"/>
          <w:szCs w:val="24"/>
        </w:rPr>
        <w:t xml:space="preserve"> </w:t>
      </w:r>
      <w:r w:rsidR="007A6EED">
        <w:rPr>
          <w:rFonts w:ascii="Times New Roman" w:eastAsia="Calibri" w:hAnsi="Times New Roman" w:cs="Times New Roman"/>
          <w:sz w:val="24"/>
          <w:szCs w:val="24"/>
        </w:rPr>
        <w:t>Únie</w:t>
      </w:r>
      <w:r w:rsidR="00086B8C" w:rsidRPr="008F2140">
        <w:rPr>
          <w:rFonts w:ascii="Times New Roman" w:eastAsia="Calibri" w:hAnsi="Times New Roman" w:cs="Times New Roman"/>
          <w:sz w:val="24"/>
          <w:szCs w:val="24"/>
        </w:rPr>
        <w:t xml:space="preserve"> vydanými na jeho </w:t>
      </w:r>
      <w:r w:rsidR="007A6EED" w:rsidRPr="008F2140">
        <w:rPr>
          <w:rFonts w:ascii="Times New Roman" w:eastAsia="Calibri" w:hAnsi="Times New Roman" w:cs="Times New Roman"/>
          <w:sz w:val="24"/>
          <w:szCs w:val="24"/>
        </w:rPr>
        <w:t>základe</w:t>
      </w:r>
      <w:r w:rsidR="00086B8C" w:rsidRPr="008F2140">
        <w:rPr>
          <w:rFonts w:ascii="Times New Roman" w:eastAsia="Calibri" w:hAnsi="Times New Roman" w:cs="Times New Roman"/>
          <w:sz w:val="24"/>
          <w:szCs w:val="24"/>
        </w:rPr>
        <w:t xml:space="preserve"> a </w:t>
      </w:r>
      <w:r w:rsidR="007A6EED" w:rsidRPr="008F2140">
        <w:rPr>
          <w:rFonts w:ascii="Times New Roman" w:eastAsia="Calibri" w:hAnsi="Times New Roman" w:cs="Times New Roman"/>
          <w:sz w:val="24"/>
          <w:szCs w:val="24"/>
        </w:rPr>
        <w:t>týmto</w:t>
      </w:r>
      <w:r w:rsidR="00086B8C" w:rsidRPr="008F2140">
        <w:rPr>
          <w:rFonts w:ascii="Times New Roman" w:eastAsia="Calibri" w:hAnsi="Times New Roman" w:cs="Times New Roman"/>
          <w:sz w:val="24"/>
          <w:szCs w:val="24"/>
        </w:rPr>
        <w:t xml:space="preserve"> </w:t>
      </w:r>
      <w:r w:rsidR="007A6EED" w:rsidRPr="008F2140">
        <w:rPr>
          <w:rFonts w:ascii="Times New Roman" w:eastAsia="Calibri" w:hAnsi="Times New Roman" w:cs="Times New Roman"/>
          <w:sz w:val="24"/>
          <w:szCs w:val="24"/>
        </w:rPr>
        <w:t>zákonom</w:t>
      </w:r>
      <w:r w:rsidR="00086B8C" w:rsidRPr="008F2140">
        <w:rPr>
          <w:rFonts w:ascii="Times New Roman" w:eastAsia="Calibri" w:hAnsi="Times New Roman" w:cs="Times New Roman"/>
          <w:sz w:val="24"/>
          <w:szCs w:val="24"/>
        </w:rPr>
        <w:t xml:space="preserve">, ale </w:t>
      </w:r>
      <w:r w:rsidR="007A6EED">
        <w:rPr>
          <w:rFonts w:ascii="Times New Roman" w:eastAsia="Calibri" w:hAnsi="Times New Roman" w:cs="Times New Roman"/>
          <w:sz w:val="24"/>
          <w:szCs w:val="24"/>
        </w:rPr>
        <w:t>rovnako tak aj</w:t>
      </w:r>
      <w:r w:rsidR="00086B8C" w:rsidRPr="008F2140">
        <w:rPr>
          <w:rFonts w:ascii="Times New Roman" w:eastAsia="Calibri" w:hAnsi="Times New Roman" w:cs="Times New Roman"/>
          <w:sz w:val="24"/>
          <w:szCs w:val="24"/>
        </w:rPr>
        <w:t xml:space="preserve"> </w:t>
      </w:r>
      <w:r w:rsidR="007A6EED" w:rsidRPr="008F2140">
        <w:rPr>
          <w:rFonts w:ascii="Times New Roman" w:eastAsia="Calibri" w:hAnsi="Times New Roman" w:cs="Times New Roman"/>
          <w:sz w:val="24"/>
          <w:szCs w:val="24"/>
        </w:rPr>
        <w:t>príslušnými</w:t>
      </w:r>
      <w:r w:rsidR="00086B8C" w:rsidRPr="008F2140">
        <w:rPr>
          <w:rFonts w:ascii="Times New Roman" w:eastAsia="Calibri" w:hAnsi="Times New Roman" w:cs="Times New Roman"/>
          <w:sz w:val="24"/>
          <w:szCs w:val="24"/>
        </w:rPr>
        <w:t xml:space="preserve"> sektorovými </w:t>
      </w:r>
      <w:r w:rsidR="004600FA">
        <w:rPr>
          <w:rFonts w:ascii="Times New Roman" w:eastAsia="Calibri" w:hAnsi="Times New Roman" w:cs="Times New Roman"/>
          <w:sz w:val="24"/>
          <w:szCs w:val="24"/>
        </w:rPr>
        <w:t xml:space="preserve">zákonmi a osobitným predpisom, ktorý </w:t>
      </w:r>
      <w:r w:rsidR="004600FA" w:rsidRPr="004600FA">
        <w:rPr>
          <w:rFonts w:ascii="Times New Roman" w:eastAsia="Calibri" w:hAnsi="Times New Roman" w:cs="Times New Roman"/>
          <w:sz w:val="24"/>
          <w:szCs w:val="24"/>
        </w:rPr>
        <w:t>upravuje všeobecné pravidlá postupu pri dohľade nad finančným trhom</w:t>
      </w:r>
      <w:r w:rsidR="004600FA">
        <w:rPr>
          <w:rFonts w:ascii="Times New Roman" w:eastAsia="Calibri" w:hAnsi="Times New Roman" w:cs="Times New Roman"/>
          <w:sz w:val="24"/>
          <w:szCs w:val="24"/>
        </w:rPr>
        <w:t>.</w:t>
      </w:r>
    </w:p>
    <w:p w14:paraId="041FB91D" w14:textId="500D44E8" w:rsidR="00086B8C" w:rsidRDefault="00086B8C" w:rsidP="00757E16">
      <w:pPr>
        <w:spacing w:after="0" w:line="240" w:lineRule="auto"/>
        <w:jc w:val="both"/>
        <w:rPr>
          <w:rFonts w:ascii="Times New Roman" w:eastAsia="Calibri" w:hAnsi="Times New Roman" w:cs="Times New Roman"/>
          <w:sz w:val="24"/>
          <w:szCs w:val="24"/>
        </w:rPr>
      </w:pPr>
    </w:p>
    <w:p w14:paraId="025B33BA" w14:textId="4730D550" w:rsidR="0024220C" w:rsidRDefault="0024220C" w:rsidP="00C20793">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b/>
          <w:sz w:val="24"/>
          <w:szCs w:val="24"/>
        </w:rPr>
        <w:t xml:space="preserve">K § </w:t>
      </w:r>
      <w:r w:rsidR="004600FA">
        <w:rPr>
          <w:rFonts w:ascii="Times New Roman" w:eastAsia="Calibri" w:hAnsi="Times New Roman" w:cs="Times New Roman"/>
          <w:b/>
          <w:sz w:val="24"/>
          <w:szCs w:val="24"/>
        </w:rPr>
        <w:t>11</w:t>
      </w:r>
    </w:p>
    <w:p w14:paraId="6F4B2314" w14:textId="0D553D51" w:rsidR="00270E87" w:rsidRDefault="004600FA" w:rsidP="00C207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rámci tohto ustanovenia sa navrhuje doplniť r</w:t>
      </w:r>
      <w:r w:rsidR="00F43868">
        <w:rPr>
          <w:rFonts w:ascii="Times New Roman" w:eastAsia="Calibri" w:hAnsi="Times New Roman" w:cs="Times New Roman"/>
          <w:sz w:val="24"/>
          <w:szCs w:val="24"/>
        </w:rPr>
        <w:t xml:space="preserve">egulačný rámec </w:t>
      </w:r>
      <w:r>
        <w:rPr>
          <w:rFonts w:ascii="Times New Roman" w:eastAsia="Calibri" w:hAnsi="Times New Roman" w:cs="Times New Roman"/>
          <w:sz w:val="24"/>
          <w:szCs w:val="24"/>
        </w:rPr>
        <w:t xml:space="preserve">v oblasti zrušenia registrácie. Nakoľko </w:t>
      </w:r>
      <w:r w:rsidRPr="00243CEE">
        <w:rPr>
          <w:rFonts w:ascii="Times New Roman" w:eastAsia="Calibri" w:hAnsi="Times New Roman" w:cs="Times New Roman"/>
          <w:sz w:val="24"/>
          <w:szCs w:val="24"/>
        </w:rPr>
        <w:t>množstvo situácií, ktoré môžu v súvislosti so zrušením registrácie nastať nie je možné predvídať a ukotviť v zákone, navrhuje sa na úrovni zákona ustanoviť v prípade zrušenia registrácie osobného dôchodkového produktu možnosť prevodu zmlúv sporiteľov na iného poskytovateľa</w:t>
      </w:r>
      <w:r w:rsidR="00243CEE">
        <w:rPr>
          <w:rFonts w:ascii="Times New Roman" w:eastAsia="Calibri" w:hAnsi="Times New Roman" w:cs="Times New Roman"/>
          <w:sz w:val="24"/>
          <w:szCs w:val="24"/>
        </w:rPr>
        <w:t xml:space="preserve">, </w:t>
      </w:r>
      <w:r w:rsidR="00670315">
        <w:rPr>
          <w:rFonts w:ascii="Times New Roman" w:eastAsia="Calibri" w:hAnsi="Times New Roman" w:cs="Times New Roman"/>
          <w:sz w:val="24"/>
          <w:szCs w:val="24"/>
        </w:rPr>
        <w:t xml:space="preserve">a to </w:t>
      </w:r>
      <w:r w:rsidR="00243CEE">
        <w:rPr>
          <w:rFonts w:ascii="Times New Roman" w:eastAsia="Calibri" w:hAnsi="Times New Roman" w:cs="Times New Roman"/>
          <w:sz w:val="24"/>
          <w:szCs w:val="24"/>
        </w:rPr>
        <w:t>za podmienok ustanovených v navrhovanom odseku 2</w:t>
      </w:r>
      <w:r w:rsidRPr="00243CEE">
        <w:rPr>
          <w:rFonts w:ascii="Times New Roman" w:eastAsia="Calibri" w:hAnsi="Times New Roman" w:cs="Times New Roman"/>
          <w:sz w:val="24"/>
          <w:szCs w:val="24"/>
        </w:rPr>
        <w:t>. Nariadenie neustanovuje spôsob</w:t>
      </w:r>
      <w:r w:rsidR="00A5388F">
        <w:rPr>
          <w:rFonts w:ascii="Times New Roman" w:eastAsia="Calibri" w:hAnsi="Times New Roman" w:cs="Times New Roman"/>
          <w:sz w:val="24"/>
          <w:szCs w:val="24"/>
        </w:rPr>
        <w:t>,</w:t>
      </w:r>
      <w:r w:rsidRPr="00243CEE">
        <w:rPr>
          <w:rFonts w:ascii="Times New Roman" w:eastAsia="Calibri" w:hAnsi="Times New Roman" w:cs="Times New Roman"/>
          <w:sz w:val="24"/>
          <w:szCs w:val="24"/>
        </w:rPr>
        <w:t xml:space="preserve"> akým má poskytovateľ, resp. príslušný orgán postupovať, konštatuje výlučne, že všetky zainteresované strany majú vynaložiť maximálne úsilie na zabezpečenie ochrany záujmov sporiteľov</w:t>
      </w:r>
      <w:r w:rsidR="00243CEE" w:rsidRPr="00243CEE">
        <w:rPr>
          <w:rFonts w:ascii="Times New Roman" w:eastAsia="Calibri" w:hAnsi="Times New Roman" w:cs="Times New Roman"/>
          <w:sz w:val="24"/>
          <w:szCs w:val="24"/>
        </w:rPr>
        <w:t xml:space="preserve"> (čl. 8 nariadenia). </w:t>
      </w:r>
      <w:r w:rsidR="0092731E" w:rsidRPr="00243CEE">
        <w:rPr>
          <w:rFonts w:ascii="Times New Roman" w:eastAsia="Calibri" w:hAnsi="Times New Roman" w:cs="Times New Roman"/>
          <w:sz w:val="24"/>
          <w:szCs w:val="24"/>
        </w:rPr>
        <w:t xml:space="preserve"> </w:t>
      </w:r>
      <w:r w:rsidR="00243CEE" w:rsidRPr="00243CEE">
        <w:rPr>
          <w:rFonts w:ascii="Times New Roman" w:eastAsia="Calibri" w:hAnsi="Times New Roman" w:cs="Times New Roman"/>
          <w:sz w:val="24"/>
          <w:szCs w:val="24"/>
        </w:rPr>
        <w:t xml:space="preserve">Na </w:t>
      </w:r>
      <w:r w:rsidR="00243CEE">
        <w:rPr>
          <w:rFonts w:ascii="Times New Roman" w:eastAsia="Calibri" w:hAnsi="Times New Roman" w:cs="Times New Roman"/>
          <w:sz w:val="24"/>
          <w:szCs w:val="24"/>
        </w:rPr>
        <w:t>p</w:t>
      </w:r>
      <w:r w:rsidR="00243CEE" w:rsidRPr="00243CEE">
        <w:rPr>
          <w:rFonts w:ascii="Times New Roman" w:eastAsia="Calibri" w:hAnsi="Times New Roman" w:cs="Times New Roman"/>
          <w:sz w:val="24"/>
          <w:szCs w:val="24"/>
        </w:rPr>
        <w:t>rípady</w:t>
      </w:r>
      <w:r w:rsidR="0092731E" w:rsidRPr="00243CEE">
        <w:rPr>
          <w:rFonts w:ascii="Times New Roman" w:eastAsia="Calibri" w:hAnsi="Times New Roman" w:cs="Times New Roman"/>
          <w:sz w:val="24"/>
          <w:szCs w:val="24"/>
        </w:rPr>
        <w:t xml:space="preserve">, </w:t>
      </w:r>
      <w:r w:rsidR="00243CEE" w:rsidRPr="00243CEE">
        <w:rPr>
          <w:rFonts w:ascii="Times New Roman" w:eastAsia="Calibri" w:hAnsi="Times New Roman" w:cs="Times New Roman"/>
          <w:sz w:val="24"/>
          <w:szCs w:val="24"/>
        </w:rPr>
        <w:t>ktoré</w:t>
      </w:r>
      <w:r w:rsidR="0092731E" w:rsidRPr="00243CEE">
        <w:rPr>
          <w:rFonts w:ascii="Times New Roman" w:eastAsia="Calibri" w:hAnsi="Times New Roman" w:cs="Times New Roman"/>
          <w:sz w:val="24"/>
          <w:szCs w:val="24"/>
        </w:rPr>
        <w:t xml:space="preserve"> nebude možn</w:t>
      </w:r>
      <w:r w:rsidR="00243CEE">
        <w:rPr>
          <w:rFonts w:ascii="Times New Roman" w:eastAsia="Calibri" w:hAnsi="Times New Roman" w:cs="Times New Roman"/>
          <w:sz w:val="24"/>
          <w:szCs w:val="24"/>
        </w:rPr>
        <w:t>é uspokojivo vyriešiť</w:t>
      </w:r>
      <w:r w:rsidR="0092731E" w:rsidRPr="00243CEE">
        <w:rPr>
          <w:rFonts w:ascii="Times New Roman" w:eastAsia="Calibri" w:hAnsi="Times New Roman" w:cs="Times New Roman"/>
          <w:sz w:val="24"/>
          <w:szCs w:val="24"/>
        </w:rPr>
        <w:t xml:space="preserve"> </w:t>
      </w:r>
      <w:r w:rsidR="00243CEE">
        <w:rPr>
          <w:rFonts w:ascii="Times New Roman" w:eastAsia="Calibri" w:hAnsi="Times New Roman" w:cs="Times New Roman"/>
          <w:sz w:val="24"/>
          <w:szCs w:val="24"/>
        </w:rPr>
        <w:t>podľa pravidiel obsiahnutých v sektorových zákonoch</w:t>
      </w:r>
      <w:r w:rsidR="0092731E" w:rsidRPr="00243CEE">
        <w:rPr>
          <w:rFonts w:ascii="Times New Roman" w:eastAsia="Calibri" w:hAnsi="Times New Roman" w:cs="Times New Roman"/>
          <w:sz w:val="24"/>
          <w:szCs w:val="24"/>
        </w:rPr>
        <w:t>,</w:t>
      </w:r>
      <w:r w:rsidR="00243CEE">
        <w:rPr>
          <w:rFonts w:ascii="Times New Roman" w:eastAsia="Calibri" w:hAnsi="Times New Roman" w:cs="Times New Roman"/>
          <w:sz w:val="24"/>
          <w:szCs w:val="24"/>
        </w:rPr>
        <w:t xml:space="preserve"> sa</w:t>
      </w:r>
      <w:r w:rsidR="0092731E" w:rsidRPr="00243CEE">
        <w:rPr>
          <w:rFonts w:ascii="Times New Roman" w:eastAsia="Calibri" w:hAnsi="Times New Roman" w:cs="Times New Roman"/>
          <w:sz w:val="24"/>
          <w:szCs w:val="24"/>
        </w:rPr>
        <w:t xml:space="preserve"> bude </w:t>
      </w:r>
      <w:r w:rsidR="00243CEE">
        <w:rPr>
          <w:rFonts w:ascii="Times New Roman" w:eastAsia="Calibri" w:hAnsi="Times New Roman" w:cs="Times New Roman"/>
          <w:sz w:val="24"/>
          <w:szCs w:val="24"/>
        </w:rPr>
        <w:t>vzťahovať navrhované všeobecné pravidlo</w:t>
      </w:r>
      <w:r w:rsidR="0092731E" w:rsidRPr="00243CEE">
        <w:rPr>
          <w:rFonts w:ascii="Times New Roman" w:eastAsia="Calibri" w:hAnsi="Times New Roman" w:cs="Times New Roman"/>
          <w:sz w:val="24"/>
          <w:szCs w:val="24"/>
        </w:rPr>
        <w:t xml:space="preserve">. </w:t>
      </w:r>
      <w:r w:rsidR="00243CEE">
        <w:rPr>
          <w:rFonts w:ascii="Times New Roman" w:eastAsia="Calibri" w:hAnsi="Times New Roman" w:cs="Times New Roman"/>
          <w:sz w:val="24"/>
          <w:szCs w:val="24"/>
        </w:rPr>
        <w:t xml:space="preserve">Ak by došlo k postupu uvedenému </w:t>
      </w:r>
      <w:r w:rsidR="00670315">
        <w:rPr>
          <w:rFonts w:ascii="Times New Roman" w:eastAsia="Calibri" w:hAnsi="Times New Roman" w:cs="Times New Roman"/>
          <w:sz w:val="24"/>
          <w:szCs w:val="24"/>
        </w:rPr>
        <w:t>navrhovanom ustanovení</w:t>
      </w:r>
      <w:r w:rsidR="00243CEE">
        <w:rPr>
          <w:rFonts w:ascii="Times New Roman" w:eastAsia="Calibri" w:hAnsi="Times New Roman" w:cs="Times New Roman"/>
          <w:sz w:val="24"/>
          <w:szCs w:val="24"/>
        </w:rPr>
        <w:t>, nebude tým dotknuté právo sporiteľa zmeniť poskytovateľa individuálne.</w:t>
      </w:r>
    </w:p>
    <w:p w14:paraId="508B512E" w14:textId="14E6FD30" w:rsidR="00243CEE" w:rsidRDefault="00243CEE" w:rsidP="00C20793">
      <w:pPr>
        <w:spacing w:after="0" w:line="240" w:lineRule="auto"/>
        <w:jc w:val="both"/>
        <w:rPr>
          <w:rFonts w:ascii="Times New Roman" w:eastAsia="Calibri" w:hAnsi="Times New Roman" w:cs="Times New Roman"/>
          <w:sz w:val="24"/>
          <w:szCs w:val="24"/>
        </w:rPr>
      </w:pPr>
    </w:p>
    <w:p w14:paraId="1E135164" w14:textId="64226358" w:rsidR="00243CEE" w:rsidRDefault="00243CEE" w:rsidP="00243CEE">
      <w:pPr>
        <w:spacing w:after="0" w:line="240" w:lineRule="auto"/>
        <w:jc w:val="both"/>
        <w:rPr>
          <w:rFonts w:ascii="Times New Roman" w:eastAsia="Calibri" w:hAnsi="Times New Roman" w:cs="Times New Roman"/>
          <w:sz w:val="24"/>
          <w:szCs w:val="24"/>
        </w:rPr>
      </w:pPr>
      <w:r w:rsidRPr="00F410B9">
        <w:rPr>
          <w:rFonts w:ascii="Times New Roman" w:eastAsia="Calibri" w:hAnsi="Times New Roman" w:cs="Times New Roman"/>
          <w:b/>
          <w:sz w:val="24"/>
          <w:szCs w:val="24"/>
        </w:rPr>
        <w:t xml:space="preserve">K § </w:t>
      </w:r>
      <w:r>
        <w:rPr>
          <w:rFonts w:ascii="Times New Roman" w:eastAsia="Calibri" w:hAnsi="Times New Roman" w:cs="Times New Roman"/>
          <w:b/>
          <w:sz w:val="24"/>
          <w:szCs w:val="24"/>
        </w:rPr>
        <w:t>12</w:t>
      </w:r>
    </w:p>
    <w:p w14:paraId="5980052A" w14:textId="463551F7" w:rsidR="0092731E" w:rsidRPr="00243CEE" w:rsidRDefault="007E65E7" w:rsidP="00C207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Funkčný a výkonný</w:t>
      </w:r>
      <w:r w:rsidR="0092731E" w:rsidRPr="00243CEE">
        <w:rPr>
          <w:rFonts w:ascii="Times New Roman" w:eastAsia="Calibri" w:hAnsi="Times New Roman" w:cs="Times New Roman"/>
          <w:sz w:val="24"/>
          <w:szCs w:val="24"/>
        </w:rPr>
        <w:t xml:space="preserve"> </w:t>
      </w:r>
      <w:r w:rsidRPr="00243CEE">
        <w:rPr>
          <w:rFonts w:ascii="Times New Roman" w:eastAsia="Calibri" w:hAnsi="Times New Roman" w:cs="Times New Roman"/>
          <w:sz w:val="24"/>
          <w:szCs w:val="24"/>
        </w:rPr>
        <w:t>dohlaď</w:t>
      </w:r>
      <w:r w:rsidR="0092731E" w:rsidRPr="00243CEE">
        <w:rPr>
          <w:rFonts w:ascii="Times New Roman" w:eastAsia="Calibri" w:hAnsi="Times New Roman" w:cs="Times New Roman"/>
          <w:sz w:val="24"/>
          <w:szCs w:val="24"/>
        </w:rPr>
        <w:t xml:space="preserve"> </w:t>
      </w:r>
      <w:r>
        <w:rPr>
          <w:rFonts w:ascii="Times New Roman" w:eastAsia="Calibri" w:hAnsi="Times New Roman" w:cs="Times New Roman"/>
          <w:sz w:val="24"/>
          <w:szCs w:val="24"/>
        </w:rPr>
        <w:t>zahŕňa aj ukladanie opatrení na nápravu a sankcií</w:t>
      </w:r>
      <w:r w:rsidR="0092731E" w:rsidRPr="00243CEE">
        <w:rPr>
          <w:rFonts w:ascii="Times New Roman" w:eastAsia="Calibri" w:hAnsi="Times New Roman" w:cs="Times New Roman"/>
          <w:sz w:val="24"/>
          <w:szCs w:val="24"/>
        </w:rPr>
        <w:t>.</w:t>
      </w:r>
      <w:r>
        <w:rPr>
          <w:rFonts w:ascii="Times New Roman" w:eastAsia="Calibri" w:hAnsi="Times New Roman" w:cs="Times New Roman"/>
          <w:sz w:val="24"/>
          <w:szCs w:val="24"/>
        </w:rPr>
        <w:t xml:space="preserve"> V nadväznosti na ustanovenia nariadenia </w:t>
      </w:r>
      <w:r w:rsidR="00787B09">
        <w:rPr>
          <w:rFonts w:ascii="Times New Roman" w:eastAsia="Calibri" w:hAnsi="Times New Roman" w:cs="Times New Roman"/>
          <w:sz w:val="24"/>
          <w:szCs w:val="24"/>
        </w:rPr>
        <w:t xml:space="preserve">(čl. 67 nariadenia) </w:t>
      </w:r>
      <w:r>
        <w:rPr>
          <w:rFonts w:ascii="Times New Roman" w:eastAsia="Calibri" w:hAnsi="Times New Roman" w:cs="Times New Roman"/>
          <w:sz w:val="24"/>
          <w:szCs w:val="24"/>
        </w:rPr>
        <w:t xml:space="preserve">sa navrhuje ustanoviť rámec </w:t>
      </w:r>
      <w:r w:rsidR="00A8101A">
        <w:rPr>
          <w:rFonts w:ascii="Times New Roman" w:eastAsia="Calibri" w:hAnsi="Times New Roman" w:cs="Times New Roman"/>
          <w:sz w:val="24"/>
          <w:szCs w:val="24"/>
        </w:rPr>
        <w:t>sankcií a opatrení na nápravu priamo v tomto návrhu zákona, ak poskytovateľ, distribútor celoeurópskeho osobného dôchodkového produktu a depozitár, resp. osoby, ktoré bez náležitého oprávnenia vykonávajú činnosť</w:t>
      </w:r>
      <w:r w:rsidR="00670315">
        <w:rPr>
          <w:rFonts w:ascii="Times New Roman" w:eastAsia="Calibri" w:hAnsi="Times New Roman" w:cs="Times New Roman"/>
          <w:sz w:val="24"/>
          <w:szCs w:val="24"/>
        </w:rPr>
        <w:t>,</w:t>
      </w:r>
      <w:r w:rsidR="00A8101A">
        <w:rPr>
          <w:rFonts w:ascii="Times New Roman" w:eastAsia="Calibri" w:hAnsi="Times New Roman" w:cs="Times New Roman"/>
          <w:sz w:val="24"/>
          <w:szCs w:val="24"/>
        </w:rPr>
        <w:t xml:space="preserve"> porušia ustanovenia tohto zákona</w:t>
      </w:r>
      <w:r w:rsidR="00670315" w:rsidRPr="00670315">
        <w:rPr>
          <w:rFonts w:ascii="Times New Roman" w:eastAsia="Calibri" w:hAnsi="Times New Roman" w:cs="Times New Roman"/>
          <w:sz w:val="24"/>
          <w:szCs w:val="24"/>
        </w:rPr>
        <w:t xml:space="preserve"> </w:t>
      </w:r>
      <w:r w:rsidR="00670315">
        <w:rPr>
          <w:rFonts w:ascii="Times New Roman" w:eastAsia="Calibri" w:hAnsi="Times New Roman" w:cs="Times New Roman"/>
          <w:sz w:val="24"/>
          <w:szCs w:val="24"/>
        </w:rPr>
        <w:t>alebo</w:t>
      </w:r>
      <w:r w:rsidR="00A8101A">
        <w:rPr>
          <w:rFonts w:ascii="Times New Roman" w:eastAsia="Calibri" w:hAnsi="Times New Roman" w:cs="Times New Roman"/>
          <w:sz w:val="24"/>
          <w:szCs w:val="24"/>
        </w:rPr>
        <w:t xml:space="preserve"> nariadenia vykonávajú svoju činnosť. </w:t>
      </w:r>
      <w:r w:rsidR="00670315">
        <w:rPr>
          <w:rFonts w:ascii="Times New Roman" w:eastAsia="Calibri" w:hAnsi="Times New Roman" w:cs="Times New Roman"/>
          <w:sz w:val="24"/>
          <w:szCs w:val="24"/>
        </w:rPr>
        <w:t>Rozsah sankcií je ustanovený v súlade s čl. 67 ods. 3 nariadenia.</w:t>
      </w:r>
    </w:p>
    <w:p w14:paraId="4CCEEDB8" w14:textId="3C2BCDD3" w:rsidR="0092731E" w:rsidRPr="00243CEE" w:rsidRDefault="00A8101A" w:rsidP="00C207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Navrhuje sa zakotviť aj povinnosť Národnej banky Slovenska uverejniť </w:t>
      </w:r>
      <w:r w:rsidRPr="00E65114">
        <w:rPr>
          <w:rFonts w:ascii="Times New Roman" w:hAnsi="Times New Roman" w:cs="Times New Roman"/>
          <w:bCs/>
          <w:sz w:val="24"/>
          <w:szCs w:val="24"/>
        </w:rPr>
        <w:t>výrok vykonateľného rozhodnutia o uložení sankcie</w:t>
      </w:r>
      <w:r>
        <w:rPr>
          <w:rFonts w:ascii="Times New Roman" w:hAnsi="Times New Roman" w:cs="Times New Roman"/>
          <w:bCs/>
          <w:sz w:val="24"/>
          <w:szCs w:val="24"/>
        </w:rPr>
        <w:t xml:space="preserve"> (</w:t>
      </w:r>
      <w:r w:rsidR="0092731E" w:rsidRPr="00243CEE">
        <w:rPr>
          <w:rFonts w:ascii="Times New Roman" w:eastAsia="Calibri" w:hAnsi="Times New Roman" w:cs="Times New Roman"/>
          <w:sz w:val="24"/>
          <w:szCs w:val="24"/>
        </w:rPr>
        <w:t xml:space="preserve">čl. 69 </w:t>
      </w:r>
      <w:r>
        <w:rPr>
          <w:rFonts w:ascii="Times New Roman" w:eastAsia="Calibri" w:hAnsi="Times New Roman" w:cs="Times New Roman"/>
          <w:sz w:val="24"/>
          <w:szCs w:val="24"/>
        </w:rPr>
        <w:t>nariadenia)</w:t>
      </w:r>
      <w:r w:rsidR="0092731E" w:rsidRPr="00243CEE">
        <w:rPr>
          <w:rFonts w:ascii="Times New Roman" w:eastAsia="Calibri" w:hAnsi="Times New Roman" w:cs="Times New Roman"/>
          <w:sz w:val="24"/>
          <w:szCs w:val="24"/>
        </w:rPr>
        <w:t xml:space="preserve">. </w:t>
      </w:r>
    </w:p>
    <w:p w14:paraId="5A53749E" w14:textId="1D85A79B" w:rsidR="00243CEE" w:rsidRDefault="00243CEE" w:rsidP="00C20793">
      <w:pPr>
        <w:spacing w:after="0" w:line="240" w:lineRule="auto"/>
        <w:jc w:val="both"/>
        <w:rPr>
          <w:rFonts w:ascii="Times New Roman" w:hAnsi="Times New Roman" w:cs="Times New Roman"/>
          <w:b/>
          <w:sz w:val="24"/>
          <w:szCs w:val="24"/>
        </w:rPr>
      </w:pPr>
    </w:p>
    <w:p w14:paraId="2B7B9E7B" w14:textId="59D2FB06" w:rsidR="003A14D9" w:rsidRDefault="003A14D9" w:rsidP="00C207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13</w:t>
      </w:r>
    </w:p>
    <w:p w14:paraId="7EC66E62" w14:textId="0AA9050E" w:rsidR="003A14D9" w:rsidRPr="00243CEE" w:rsidRDefault="003A14D9" w:rsidP="003A14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Európska regulácia </w:t>
      </w:r>
      <w:r w:rsidRPr="00243CEE">
        <w:rPr>
          <w:rFonts w:ascii="Times New Roman" w:eastAsia="Calibri" w:hAnsi="Times New Roman" w:cs="Times New Roman"/>
          <w:sz w:val="24"/>
          <w:szCs w:val="24"/>
        </w:rPr>
        <w:t xml:space="preserve">vyžaduje, aby </w:t>
      </w:r>
      <w:r>
        <w:rPr>
          <w:rFonts w:ascii="Times New Roman" w:eastAsia="Calibri" w:hAnsi="Times New Roman" w:cs="Times New Roman"/>
          <w:sz w:val="24"/>
          <w:szCs w:val="24"/>
        </w:rPr>
        <w:t xml:space="preserve">poskytovatelia </w:t>
      </w:r>
      <w:r w:rsidRPr="00243CEE">
        <w:rPr>
          <w:rFonts w:ascii="Times New Roman" w:eastAsia="Calibri" w:hAnsi="Times New Roman" w:cs="Times New Roman"/>
          <w:sz w:val="24"/>
          <w:szCs w:val="24"/>
        </w:rPr>
        <w:t>poskytovali príslušnému orgánu informácie potrebné pr</w:t>
      </w:r>
      <w:r w:rsidR="003042E5">
        <w:rPr>
          <w:rFonts w:ascii="Times New Roman" w:eastAsia="Calibri" w:hAnsi="Times New Roman" w:cs="Times New Roman"/>
          <w:sz w:val="24"/>
          <w:szCs w:val="24"/>
        </w:rPr>
        <w:t>e</w:t>
      </w:r>
      <w:r w:rsidRPr="00243CEE">
        <w:rPr>
          <w:rFonts w:ascii="Times New Roman" w:eastAsia="Calibri" w:hAnsi="Times New Roman" w:cs="Times New Roman"/>
          <w:sz w:val="24"/>
          <w:szCs w:val="24"/>
        </w:rPr>
        <w:t xml:space="preserve"> výkon jeho právomocí (</w:t>
      </w:r>
      <w:r>
        <w:rPr>
          <w:rFonts w:ascii="Times New Roman" w:eastAsia="Calibri" w:hAnsi="Times New Roman" w:cs="Times New Roman"/>
          <w:sz w:val="24"/>
          <w:szCs w:val="24"/>
        </w:rPr>
        <w:t>najmä</w:t>
      </w:r>
      <w:r w:rsidRPr="00243CEE">
        <w:rPr>
          <w:rFonts w:ascii="Times New Roman" w:eastAsia="Calibri" w:hAnsi="Times New Roman" w:cs="Times New Roman"/>
          <w:sz w:val="24"/>
          <w:szCs w:val="24"/>
        </w:rPr>
        <w:t xml:space="preserve"> čl. 40 </w:t>
      </w:r>
      <w:r>
        <w:rPr>
          <w:rFonts w:ascii="Times New Roman" w:eastAsia="Calibri" w:hAnsi="Times New Roman" w:cs="Times New Roman"/>
          <w:sz w:val="24"/>
          <w:szCs w:val="24"/>
        </w:rPr>
        <w:t xml:space="preserve">nariadenia a </w:t>
      </w:r>
      <w:r w:rsidRPr="003A14D9">
        <w:rPr>
          <w:rFonts w:ascii="Times New Roman" w:eastAsia="Calibri" w:hAnsi="Times New Roman" w:cs="Times New Roman"/>
          <w:sz w:val="24"/>
          <w:szCs w:val="24"/>
        </w:rPr>
        <w:t>Vykonávacie nariadenie Komisie (EÚ) 2021/897 zo 4. marca 2021, ktorým sa stanovujú vykonávacie technické predpisy na uplatňovanie nariadenia Európskeho parlamentu a Rady (EÚ) 2019/1238, pokiaľ ide o formát oznamovania príslušným orgánom dohľadu a spoluprácu a výmenu informác</w:t>
      </w:r>
      <w:r>
        <w:rPr>
          <w:rFonts w:ascii="Times New Roman" w:eastAsia="Calibri" w:hAnsi="Times New Roman" w:cs="Times New Roman"/>
          <w:sz w:val="24"/>
          <w:szCs w:val="24"/>
        </w:rPr>
        <w:t>ií medzi príslušnými orgánmi</w:t>
      </w:r>
      <w:r w:rsidRPr="00243CEE">
        <w:rPr>
          <w:rFonts w:ascii="Times New Roman" w:eastAsia="Calibri" w:hAnsi="Times New Roman" w:cs="Times New Roman"/>
          <w:sz w:val="24"/>
          <w:szCs w:val="24"/>
        </w:rPr>
        <w:t xml:space="preserve">). </w:t>
      </w:r>
      <w:r>
        <w:rPr>
          <w:rFonts w:ascii="Times New Roman" w:eastAsia="Calibri" w:hAnsi="Times New Roman" w:cs="Times New Roman"/>
          <w:sz w:val="24"/>
          <w:szCs w:val="24"/>
        </w:rPr>
        <w:t>Ide o pravidelnú</w:t>
      </w:r>
      <w:r w:rsidRPr="00243CEE">
        <w:rPr>
          <w:rFonts w:ascii="Times New Roman" w:eastAsia="Calibri" w:hAnsi="Times New Roman" w:cs="Times New Roman"/>
          <w:sz w:val="24"/>
          <w:szCs w:val="24"/>
        </w:rPr>
        <w:t xml:space="preserve"> informačn</w:t>
      </w:r>
      <w:r>
        <w:rPr>
          <w:rFonts w:ascii="Times New Roman" w:eastAsia="Calibri" w:hAnsi="Times New Roman" w:cs="Times New Roman"/>
          <w:sz w:val="24"/>
          <w:szCs w:val="24"/>
        </w:rPr>
        <w:t>ú</w:t>
      </w:r>
      <w:r w:rsidRPr="00243CEE">
        <w:rPr>
          <w:rFonts w:ascii="Times New Roman" w:eastAsia="Calibri" w:hAnsi="Times New Roman" w:cs="Times New Roman"/>
          <w:sz w:val="24"/>
          <w:szCs w:val="24"/>
        </w:rPr>
        <w:t xml:space="preserve"> </w:t>
      </w:r>
      <w:r w:rsidR="003042E5" w:rsidRPr="00243CEE">
        <w:rPr>
          <w:rFonts w:ascii="Times New Roman" w:eastAsia="Calibri" w:hAnsi="Times New Roman" w:cs="Times New Roman"/>
          <w:sz w:val="24"/>
          <w:szCs w:val="24"/>
        </w:rPr>
        <w:t>povinnosť</w:t>
      </w:r>
      <w:r w:rsidRPr="00243CEE">
        <w:rPr>
          <w:rFonts w:ascii="Times New Roman" w:eastAsia="Calibri" w:hAnsi="Times New Roman" w:cs="Times New Roman"/>
          <w:sz w:val="24"/>
          <w:szCs w:val="24"/>
        </w:rPr>
        <w:t xml:space="preserve"> a </w:t>
      </w:r>
      <w:r w:rsidR="003042E5" w:rsidRPr="00243CEE">
        <w:rPr>
          <w:rFonts w:ascii="Times New Roman" w:eastAsia="Calibri" w:hAnsi="Times New Roman" w:cs="Times New Roman"/>
          <w:sz w:val="24"/>
          <w:szCs w:val="24"/>
        </w:rPr>
        <w:t>poskytovan</w:t>
      </w:r>
      <w:r w:rsidR="003042E5">
        <w:rPr>
          <w:rFonts w:ascii="Times New Roman" w:eastAsia="Calibri" w:hAnsi="Times New Roman" w:cs="Times New Roman"/>
          <w:sz w:val="24"/>
          <w:szCs w:val="24"/>
        </w:rPr>
        <w:t>ie</w:t>
      </w:r>
      <w:r w:rsidRPr="00243CEE">
        <w:rPr>
          <w:rFonts w:ascii="Times New Roman" w:eastAsia="Calibri" w:hAnsi="Times New Roman" w:cs="Times New Roman"/>
          <w:sz w:val="24"/>
          <w:szCs w:val="24"/>
        </w:rPr>
        <w:t xml:space="preserve"> </w:t>
      </w:r>
      <w:r w:rsidR="003042E5">
        <w:rPr>
          <w:rFonts w:ascii="Times New Roman" w:eastAsia="Calibri" w:hAnsi="Times New Roman" w:cs="Times New Roman"/>
          <w:sz w:val="24"/>
          <w:szCs w:val="24"/>
        </w:rPr>
        <w:t>informácií</w:t>
      </w:r>
      <w:r w:rsidRPr="00243CEE">
        <w:rPr>
          <w:rFonts w:ascii="Times New Roman" w:eastAsia="Calibri" w:hAnsi="Times New Roman" w:cs="Times New Roman"/>
          <w:sz w:val="24"/>
          <w:szCs w:val="24"/>
        </w:rPr>
        <w:t xml:space="preserve"> </w:t>
      </w:r>
      <w:r w:rsidR="003042E5">
        <w:rPr>
          <w:rFonts w:ascii="Times New Roman" w:eastAsia="Calibri" w:hAnsi="Times New Roman" w:cs="Times New Roman"/>
          <w:sz w:val="24"/>
          <w:szCs w:val="24"/>
        </w:rPr>
        <w:t>na základe výzvy orgánu dohľadu.</w:t>
      </w:r>
      <w:r w:rsidRPr="00243CEE">
        <w:rPr>
          <w:rFonts w:ascii="Times New Roman" w:eastAsia="Calibri" w:hAnsi="Times New Roman" w:cs="Times New Roman"/>
          <w:sz w:val="24"/>
          <w:szCs w:val="24"/>
        </w:rPr>
        <w:t xml:space="preserve"> </w:t>
      </w:r>
      <w:r w:rsidR="00913DBD">
        <w:rPr>
          <w:rFonts w:ascii="Times New Roman" w:eastAsia="Calibri" w:hAnsi="Times New Roman" w:cs="Times New Roman"/>
          <w:sz w:val="24"/>
          <w:szCs w:val="24"/>
        </w:rPr>
        <w:t>Ako vhodné</w:t>
      </w:r>
      <w:r w:rsidRPr="00243CEE">
        <w:rPr>
          <w:rFonts w:ascii="Times New Roman" w:eastAsia="Calibri" w:hAnsi="Times New Roman" w:cs="Times New Roman"/>
          <w:sz w:val="24"/>
          <w:szCs w:val="24"/>
        </w:rPr>
        <w:t xml:space="preserve"> </w:t>
      </w:r>
      <w:r w:rsidR="003042E5">
        <w:rPr>
          <w:rFonts w:ascii="Times New Roman" w:eastAsia="Calibri" w:hAnsi="Times New Roman" w:cs="Times New Roman"/>
          <w:sz w:val="24"/>
          <w:szCs w:val="24"/>
        </w:rPr>
        <w:t xml:space="preserve">sa javí </w:t>
      </w:r>
      <w:r w:rsidR="00913DBD">
        <w:rPr>
          <w:rFonts w:ascii="Times New Roman" w:eastAsia="Calibri" w:hAnsi="Times New Roman" w:cs="Times New Roman"/>
          <w:sz w:val="24"/>
          <w:szCs w:val="24"/>
        </w:rPr>
        <w:t>uplatňovať unifikovanú</w:t>
      </w:r>
      <w:r w:rsidRPr="00243CEE">
        <w:rPr>
          <w:rFonts w:ascii="Times New Roman" w:eastAsia="Calibri" w:hAnsi="Times New Roman" w:cs="Times New Roman"/>
          <w:sz w:val="24"/>
          <w:szCs w:val="24"/>
        </w:rPr>
        <w:t xml:space="preserve"> informačn</w:t>
      </w:r>
      <w:r w:rsidR="003042E5">
        <w:rPr>
          <w:rFonts w:ascii="Times New Roman" w:eastAsia="Calibri" w:hAnsi="Times New Roman" w:cs="Times New Roman"/>
          <w:sz w:val="24"/>
          <w:szCs w:val="24"/>
        </w:rPr>
        <w:t>ú</w:t>
      </w:r>
      <w:r w:rsidRPr="00243CEE">
        <w:rPr>
          <w:rFonts w:ascii="Times New Roman" w:eastAsia="Calibri" w:hAnsi="Times New Roman" w:cs="Times New Roman"/>
          <w:sz w:val="24"/>
          <w:szCs w:val="24"/>
        </w:rPr>
        <w:t xml:space="preserve"> </w:t>
      </w:r>
      <w:r w:rsidR="003042E5" w:rsidRPr="00243CEE">
        <w:rPr>
          <w:rFonts w:ascii="Times New Roman" w:eastAsia="Calibri" w:hAnsi="Times New Roman" w:cs="Times New Roman"/>
          <w:sz w:val="24"/>
          <w:szCs w:val="24"/>
        </w:rPr>
        <w:t>povinnosť</w:t>
      </w:r>
      <w:r w:rsidRPr="00243CEE">
        <w:rPr>
          <w:rFonts w:ascii="Times New Roman" w:eastAsia="Calibri" w:hAnsi="Times New Roman" w:cs="Times New Roman"/>
          <w:sz w:val="24"/>
          <w:szCs w:val="24"/>
        </w:rPr>
        <w:t xml:space="preserve"> </w:t>
      </w:r>
      <w:r w:rsidR="003042E5">
        <w:rPr>
          <w:rFonts w:ascii="Times New Roman" w:eastAsia="Calibri" w:hAnsi="Times New Roman" w:cs="Times New Roman"/>
          <w:sz w:val="24"/>
          <w:szCs w:val="24"/>
        </w:rPr>
        <w:t>aj</w:t>
      </w:r>
      <w:r w:rsidRPr="00243CEE">
        <w:rPr>
          <w:rFonts w:ascii="Times New Roman" w:eastAsia="Calibri" w:hAnsi="Times New Roman" w:cs="Times New Roman"/>
          <w:sz w:val="24"/>
          <w:szCs w:val="24"/>
        </w:rPr>
        <w:t xml:space="preserve"> na </w:t>
      </w:r>
      <w:r w:rsidR="003042E5" w:rsidRPr="00243CEE">
        <w:rPr>
          <w:rFonts w:ascii="Times New Roman" w:eastAsia="Calibri" w:hAnsi="Times New Roman" w:cs="Times New Roman"/>
          <w:sz w:val="24"/>
          <w:szCs w:val="24"/>
        </w:rPr>
        <w:t>distribútor</w:t>
      </w:r>
      <w:r w:rsidR="003042E5">
        <w:rPr>
          <w:rFonts w:ascii="Times New Roman" w:eastAsia="Calibri" w:hAnsi="Times New Roman" w:cs="Times New Roman"/>
          <w:sz w:val="24"/>
          <w:szCs w:val="24"/>
        </w:rPr>
        <w:t>a</w:t>
      </w:r>
      <w:r w:rsidRPr="00243CEE">
        <w:rPr>
          <w:rFonts w:ascii="Times New Roman" w:eastAsia="Calibri" w:hAnsi="Times New Roman" w:cs="Times New Roman"/>
          <w:sz w:val="24"/>
          <w:szCs w:val="24"/>
        </w:rPr>
        <w:t xml:space="preserve"> a</w:t>
      </w:r>
      <w:r w:rsidR="00E563BC">
        <w:rPr>
          <w:rFonts w:ascii="Times New Roman" w:eastAsia="Calibri" w:hAnsi="Times New Roman" w:cs="Times New Roman"/>
          <w:sz w:val="24"/>
          <w:szCs w:val="24"/>
        </w:rPr>
        <w:t> </w:t>
      </w:r>
      <w:r w:rsidR="003042E5">
        <w:rPr>
          <w:rFonts w:ascii="Times New Roman" w:eastAsia="Calibri" w:hAnsi="Times New Roman" w:cs="Times New Roman"/>
          <w:sz w:val="24"/>
          <w:szCs w:val="24"/>
        </w:rPr>
        <w:t>depozitára</w:t>
      </w:r>
      <w:r w:rsidR="00E563BC">
        <w:rPr>
          <w:rFonts w:ascii="Times New Roman" w:eastAsia="Calibri" w:hAnsi="Times New Roman" w:cs="Times New Roman"/>
          <w:sz w:val="24"/>
          <w:szCs w:val="24"/>
        </w:rPr>
        <w:t xml:space="preserve"> ako podstatné články pri vykonávaní celoeurópskeho osobného dôchodkového produktu</w:t>
      </w:r>
      <w:r w:rsidR="003042E5">
        <w:rPr>
          <w:rFonts w:ascii="Times New Roman" w:eastAsia="Calibri" w:hAnsi="Times New Roman" w:cs="Times New Roman"/>
          <w:sz w:val="24"/>
          <w:szCs w:val="24"/>
        </w:rPr>
        <w:t>. Národná banka Slovenska sa zároveň splnomocňuje na vydanie opatrenia, v ktorom bude môcť ustanoviť r</w:t>
      </w:r>
      <w:r w:rsidR="003042E5" w:rsidRPr="002A1A11">
        <w:rPr>
          <w:rFonts w:ascii="Times New Roman" w:hAnsi="Times New Roman" w:cs="Times New Roman"/>
          <w:bCs/>
          <w:sz w:val="24"/>
          <w:szCs w:val="24"/>
        </w:rPr>
        <w:t>ozsah, formu, lehoty a spôsob poskytovania informácií</w:t>
      </w:r>
      <w:r w:rsidR="003042E5">
        <w:rPr>
          <w:rFonts w:ascii="Times New Roman" w:eastAsia="Calibri" w:hAnsi="Times New Roman" w:cs="Times New Roman"/>
          <w:sz w:val="24"/>
          <w:szCs w:val="24"/>
        </w:rPr>
        <w:t xml:space="preserve">, a to </w:t>
      </w:r>
      <w:r w:rsidRPr="00243CEE">
        <w:rPr>
          <w:rFonts w:ascii="Times New Roman" w:eastAsia="Calibri" w:hAnsi="Times New Roman" w:cs="Times New Roman"/>
          <w:sz w:val="24"/>
          <w:szCs w:val="24"/>
        </w:rPr>
        <w:t xml:space="preserve">v </w:t>
      </w:r>
      <w:r w:rsidR="003042E5" w:rsidRPr="00243CEE">
        <w:rPr>
          <w:rFonts w:ascii="Times New Roman" w:eastAsia="Calibri" w:hAnsi="Times New Roman" w:cs="Times New Roman"/>
          <w:sz w:val="24"/>
          <w:szCs w:val="24"/>
        </w:rPr>
        <w:t>nadväznosti</w:t>
      </w:r>
      <w:r w:rsidRPr="00243CEE">
        <w:rPr>
          <w:rFonts w:ascii="Times New Roman" w:eastAsia="Calibri" w:hAnsi="Times New Roman" w:cs="Times New Roman"/>
          <w:sz w:val="24"/>
          <w:szCs w:val="24"/>
        </w:rPr>
        <w:t xml:space="preserve"> na </w:t>
      </w:r>
      <w:r w:rsidR="003042E5">
        <w:rPr>
          <w:rFonts w:ascii="Times New Roman" w:eastAsia="Calibri" w:hAnsi="Times New Roman" w:cs="Times New Roman"/>
          <w:sz w:val="24"/>
          <w:szCs w:val="24"/>
        </w:rPr>
        <w:t>európsku reguláciu</w:t>
      </w:r>
      <w:r w:rsidRPr="00243CEE">
        <w:rPr>
          <w:rFonts w:ascii="Times New Roman" w:eastAsia="Calibri" w:hAnsi="Times New Roman" w:cs="Times New Roman"/>
          <w:sz w:val="24"/>
          <w:szCs w:val="24"/>
        </w:rPr>
        <w:t>.</w:t>
      </w:r>
      <w:r w:rsidR="003042E5">
        <w:rPr>
          <w:rFonts w:ascii="Times New Roman" w:eastAsia="Calibri" w:hAnsi="Times New Roman" w:cs="Times New Roman"/>
          <w:sz w:val="24"/>
          <w:szCs w:val="24"/>
        </w:rPr>
        <w:t xml:space="preserve"> Povinnosť poskytovať informácie Národnej banke Slovenska podľa iných sektorových zákonov a osobitných predpisov týmto ustanovením nebude dotknutá. </w:t>
      </w:r>
    </w:p>
    <w:p w14:paraId="37CBCA72" w14:textId="20224498" w:rsidR="003A14D9" w:rsidRDefault="003A14D9" w:rsidP="00C20793">
      <w:pPr>
        <w:spacing w:after="0" w:line="240" w:lineRule="auto"/>
        <w:jc w:val="both"/>
        <w:rPr>
          <w:rFonts w:ascii="Times New Roman" w:hAnsi="Times New Roman" w:cs="Times New Roman"/>
          <w:b/>
          <w:sz w:val="24"/>
          <w:szCs w:val="24"/>
        </w:rPr>
      </w:pPr>
    </w:p>
    <w:p w14:paraId="322040FC" w14:textId="4EDA33C5" w:rsidR="003A14D9" w:rsidRDefault="003A14D9" w:rsidP="007320C5">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14</w:t>
      </w:r>
    </w:p>
    <w:p w14:paraId="2B854E47" w14:textId="4CA3D5FE" w:rsidR="003042E5" w:rsidRDefault="003042E5" w:rsidP="007320C5">
      <w:pPr>
        <w:keepNext/>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zmysle </w:t>
      </w:r>
      <w:r w:rsidRPr="003042E5">
        <w:rPr>
          <w:rFonts w:ascii="Times New Roman" w:eastAsia="Calibri" w:hAnsi="Times New Roman" w:cs="Times New Roman"/>
          <w:sz w:val="24"/>
          <w:szCs w:val="24"/>
        </w:rPr>
        <w:t xml:space="preserve">čl. 3 </w:t>
      </w:r>
      <w:r>
        <w:rPr>
          <w:rFonts w:ascii="Times New Roman" w:eastAsia="Calibri" w:hAnsi="Times New Roman" w:cs="Times New Roman"/>
          <w:sz w:val="24"/>
          <w:szCs w:val="24"/>
        </w:rPr>
        <w:t xml:space="preserve">nariadenia </w:t>
      </w:r>
      <w:r w:rsidRPr="003042E5">
        <w:rPr>
          <w:rFonts w:ascii="Times New Roman" w:eastAsia="Calibri" w:hAnsi="Times New Roman" w:cs="Times New Roman"/>
          <w:sz w:val="24"/>
          <w:szCs w:val="24"/>
        </w:rPr>
        <w:t xml:space="preserve">je registrácia, vytváranie, distribúcia a dohľad nad </w:t>
      </w:r>
      <w:r>
        <w:rPr>
          <w:rFonts w:ascii="Times New Roman" w:eastAsia="Calibri" w:hAnsi="Times New Roman" w:cs="Times New Roman"/>
          <w:sz w:val="24"/>
          <w:szCs w:val="24"/>
        </w:rPr>
        <w:t>celoeurópskym osobným dôchodkovým produktom</w:t>
      </w:r>
      <w:r w:rsidRPr="003042E5">
        <w:rPr>
          <w:rFonts w:ascii="Times New Roman" w:eastAsia="Calibri" w:hAnsi="Times New Roman" w:cs="Times New Roman"/>
          <w:sz w:val="24"/>
          <w:szCs w:val="24"/>
        </w:rPr>
        <w:t xml:space="preserve"> upravená samotným nariadením a vo veciach neupravených nariadením </w:t>
      </w:r>
      <w:r w:rsidR="00E563BC">
        <w:rPr>
          <w:rFonts w:ascii="Times New Roman" w:eastAsia="Calibri" w:hAnsi="Times New Roman" w:cs="Times New Roman"/>
          <w:sz w:val="24"/>
          <w:szCs w:val="24"/>
        </w:rPr>
        <w:t>sa postupuje podľa p</w:t>
      </w:r>
      <w:r w:rsidRPr="003042E5">
        <w:rPr>
          <w:rFonts w:ascii="Times New Roman" w:eastAsia="Calibri" w:hAnsi="Times New Roman" w:cs="Times New Roman"/>
          <w:sz w:val="24"/>
          <w:szCs w:val="24"/>
        </w:rPr>
        <w:t>ríslušného sektorového práva Únie, vrátane príslušn</w:t>
      </w:r>
      <w:r w:rsidR="00E563BC">
        <w:rPr>
          <w:rFonts w:ascii="Times New Roman" w:eastAsia="Calibri" w:hAnsi="Times New Roman" w:cs="Times New Roman"/>
          <w:sz w:val="24"/>
          <w:szCs w:val="24"/>
        </w:rPr>
        <w:t xml:space="preserve">ých delegovaných </w:t>
      </w:r>
      <w:r w:rsidRPr="003042E5">
        <w:rPr>
          <w:rFonts w:ascii="Times New Roman" w:eastAsia="Calibri" w:hAnsi="Times New Roman" w:cs="Times New Roman"/>
          <w:sz w:val="24"/>
          <w:szCs w:val="24"/>
        </w:rPr>
        <w:t>a vykonávacích aktov,</w:t>
      </w:r>
      <w:r w:rsidR="00E563BC">
        <w:rPr>
          <w:rFonts w:ascii="Times New Roman" w:eastAsia="Calibri" w:hAnsi="Times New Roman" w:cs="Times New Roman"/>
          <w:sz w:val="24"/>
          <w:szCs w:val="24"/>
        </w:rPr>
        <w:t xml:space="preserve"> </w:t>
      </w:r>
      <w:r w:rsidRPr="003042E5">
        <w:rPr>
          <w:rFonts w:ascii="Times New Roman" w:eastAsia="Calibri" w:hAnsi="Times New Roman" w:cs="Times New Roman"/>
          <w:sz w:val="24"/>
          <w:szCs w:val="24"/>
        </w:rPr>
        <w:t>právnych predpisov prijatých členskými štátmi na vykonávanie príslušného sektorového práva Únie, ďalších vnútroštátnych právnych predpisov členských štátov, ktoré upravujú</w:t>
      </w:r>
      <w:r w:rsidR="00E563BC">
        <w:rPr>
          <w:rFonts w:ascii="Times New Roman" w:eastAsia="Calibri" w:hAnsi="Times New Roman" w:cs="Times New Roman"/>
          <w:sz w:val="24"/>
          <w:szCs w:val="24"/>
        </w:rPr>
        <w:t xml:space="preserve"> celoeurópsky osobný dôchodkový produkt. </w:t>
      </w:r>
    </w:p>
    <w:p w14:paraId="44555933" w14:textId="0A678758" w:rsidR="00E563BC" w:rsidRPr="003042E5" w:rsidRDefault="00E563BC" w:rsidP="003042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zmysle uvedeného bolo formulované aj toto navrhované ustanovenie.</w:t>
      </w:r>
    </w:p>
    <w:p w14:paraId="45F5080B" w14:textId="77777777" w:rsidR="003042E5" w:rsidRPr="008F2140" w:rsidRDefault="003042E5" w:rsidP="003A14D9">
      <w:pPr>
        <w:spacing w:after="0" w:line="240" w:lineRule="auto"/>
        <w:jc w:val="both"/>
        <w:rPr>
          <w:rFonts w:ascii="Times New Roman" w:eastAsia="Calibri" w:hAnsi="Times New Roman" w:cs="Times New Roman"/>
          <w:sz w:val="24"/>
          <w:szCs w:val="24"/>
        </w:rPr>
      </w:pPr>
    </w:p>
    <w:p w14:paraId="50B62C77" w14:textId="7C04AC50" w:rsidR="00FD4241" w:rsidRPr="00F410B9" w:rsidRDefault="00FD4241" w:rsidP="00C20793">
      <w:pPr>
        <w:spacing w:after="0" w:line="240" w:lineRule="auto"/>
        <w:jc w:val="both"/>
        <w:rPr>
          <w:rFonts w:ascii="Times New Roman" w:hAnsi="Times New Roman" w:cs="Times New Roman"/>
          <w:b/>
          <w:sz w:val="24"/>
          <w:szCs w:val="24"/>
        </w:rPr>
      </w:pPr>
      <w:r w:rsidRPr="00F410B9">
        <w:rPr>
          <w:rFonts w:ascii="Times New Roman" w:hAnsi="Times New Roman" w:cs="Times New Roman"/>
          <w:b/>
          <w:sz w:val="24"/>
          <w:szCs w:val="24"/>
        </w:rPr>
        <w:t xml:space="preserve">K Čl. </w:t>
      </w:r>
      <w:r w:rsidR="00243CEE">
        <w:rPr>
          <w:rFonts w:ascii="Times New Roman" w:hAnsi="Times New Roman" w:cs="Times New Roman"/>
          <w:b/>
          <w:sz w:val="24"/>
          <w:szCs w:val="24"/>
        </w:rPr>
        <w:t>II</w:t>
      </w:r>
      <w:r w:rsidRPr="00F410B9">
        <w:rPr>
          <w:rFonts w:ascii="Times New Roman" w:hAnsi="Times New Roman" w:cs="Times New Roman"/>
          <w:b/>
          <w:sz w:val="24"/>
          <w:szCs w:val="24"/>
        </w:rPr>
        <w:t xml:space="preserve"> (zákon č. 595/2003 Z. z.)</w:t>
      </w:r>
    </w:p>
    <w:p w14:paraId="6BB19983" w14:textId="77777777" w:rsidR="00FD4241" w:rsidRPr="00F410B9" w:rsidRDefault="00FD4241" w:rsidP="00C20793">
      <w:pPr>
        <w:spacing w:after="0" w:line="240" w:lineRule="auto"/>
        <w:jc w:val="both"/>
        <w:rPr>
          <w:rFonts w:ascii="Times New Roman" w:hAnsi="Times New Roman" w:cs="Times New Roman"/>
          <w:b/>
          <w:sz w:val="24"/>
          <w:szCs w:val="24"/>
        </w:rPr>
      </w:pPr>
    </w:p>
    <w:p w14:paraId="486CDCC9" w14:textId="3CD7515C" w:rsidR="00FD4241" w:rsidRPr="00F410B9" w:rsidRDefault="00510915" w:rsidP="00C207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w:t>
      </w:r>
      <w:r w:rsidR="00476A94">
        <w:rPr>
          <w:rFonts w:ascii="Times New Roman" w:hAnsi="Times New Roman" w:cs="Times New Roman"/>
          <w:b/>
          <w:sz w:val="24"/>
          <w:szCs w:val="24"/>
        </w:rPr>
        <w:t xml:space="preserve"> </w:t>
      </w:r>
      <w:r>
        <w:rPr>
          <w:rFonts w:ascii="Times New Roman" w:hAnsi="Times New Roman" w:cs="Times New Roman"/>
          <w:b/>
          <w:sz w:val="24"/>
          <w:szCs w:val="24"/>
        </w:rPr>
        <w:t>1 a 2</w:t>
      </w:r>
    </w:p>
    <w:p w14:paraId="7F5A337A" w14:textId="29FEFD87" w:rsidR="00B20CB9" w:rsidRPr="00F410B9" w:rsidRDefault="00FD4241" w:rsidP="00B20CB9">
      <w:pPr>
        <w:spacing w:after="0" w:line="240" w:lineRule="auto"/>
        <w:jc w:val="both"/>
        <w:rPr>
          <w:rFonts w:ascii="Times New Roman" w:hAnsi="Times New Roman" w:cs="Times New Roman"/>
          <w:bCs/>
          <w:sz w:val="24"/>
          <w:szCs w:val="24"/>
        </w:rPr>
      </w:pPr>
      <w:r w:rsidRPr="00F410B9">
        <w:rPr>
          <w:rFonts w:ascii="Times New Roman" w:hAnsi="Times New Roman" w:cs="Times New Roman"/>
          <w:sz w:val="24"/>
          <w:szCs w:val="24"/>
        </w:rPr>
        <w:t xml:space="preserve">Účelom </w:t>
      </w:r>
      <w:r w:rsidR="00E563BC">
        <w:rPr>
          <w:rFonts w:ascii="Times New Roman" w:hAnsi="Times New Roman" w:cs="Times New Roman"/>
          <w:sz w:val="24"/>
          <w:szCs w:val="24"/>
        </w:rPr>
        <w:t xml:space="preserve">celoeurópskeho </w:t>
      </w:r>
      <w:r w:rsidRPr="00F410B9">
        <w:rPr>
          <w:rFonts w:ascii="Times New Roman" w:hAnsi="Times New Roman" w:cs="Times New Roman"/>
          <w:sz w:val="24"/>
          <w:szCs w:val="24"/>
        </w:rPr>
        <w:t xml:space="preserve">osobného dôchodkového produktu je zabezpečiť príjem pre účastníka po dovŕšení </w:t>
      </w:r>
      <w:r w:rsidR="004835E0">
        <w:rPr>
          <w:rFonts w:ascii="Times New Roman" w:hAnsi="Times New Roman" w:cs="Times New Roman"/>
          <w:sz w:val="24"/>
          <w:szCs w:val="24"/>
        </w:rPr>
        <w:t xml:space="preserve">dôchodkového </w:t>
      </w:r>
      <w:r w:rsidRPr="00F410B9">
        <w:rPr>
          <w:rFonts w:ascii="Times New Roman" w:hAnsi="Times New Roman" w:cs="Times New Roman"/>
          <w:sz w:val="24"/>
          <w:szCs w:val="24"/>
        </w:rPr>
        <w:t>veku alebo ak mu vznikol nárok na výplatu starobného dôchodku, resp.</w:t>
      </w:r>
      <w:r w:rsidR="00510915">
        <w:rPr>
          <w:rFonts w:ascii="Times New Roman" w:hAnsi="Times New Roman" w:cs="Times New Roman"/>
          <w:sz w:val="24"/>
          <w:szCs w:val="24"/>
        </w:rPr>
        <w:t> </w:t>
      </w:r>
      <w:r w:rsidRPr="00F410B9">
        <w:rPr>
          <w:rFonts w:ascii="Times New Roman" w:hAnsi="Times New Roman" w:cs="Times New Roman"/>
          <w:sz w:val="24"/>
          <w:szCs w:val="24"/>
        </w:rPr>
        <w:t>predčasného starobného dôchodk</w:t>
      </w:r>
      <w:r w:rsidR="00C80BFE" w:rsidRPr="00F410B9">
        <w:rPr>
          <w:rFonts w:ascii="Times New Roman" w:hAnsi="Times New Roman" w:cs="Times New Roman"/>
          <w:sz w:val="24"/>
          <w:szCs w:val="24"/>
        </w:rPr>
        <w:t>u podľa zákona č. 461/2003 Z. z</w:t>
      </w:r>
      <w:r w:rsidRPr="00F410B9">
        <w:rPr>
          <w:rFonts w:ascii="Times New Roman" w:hAnsi="Times New Roman" w:cs="Times New Roman"/>
          <w:sz w:val="24"/>
          <w:szCs w:val="24"/>
        </w:rPr>
        <w:t>.</w:t>
      </w:r>
      <w:r w:rsidR="00925E8A">
        <w:rPr>
          <w:rFonts w:ascii="Times New Roman" w:hAnsi="Times New Roman" w:cs="Times New Roman"/>
          <w:sz w:val="24"/>
          <w:szCs w:val="24"/>
        </w:rPr>
        <w:t xml:space="preserve"> </w:t>
      </w:r>
      <w:r w:rsidRPr="00F410B9">
        <w:rPr>
          <w:rFonts w:ascii="Times New Roman" w:hAnsi="Times New Roman" w:cs="Times New Roman"/>
          <w:sz w:val="24"/>
          <w:szCs w:val="24"/>
        </w:rPr>
        <w:t>Preto sa navrhuje</w:t>
      </w:r>
      <w:r w:rsidR="00F00C89">
        <w:rPr>
          <w:rFonts w:ascii="Times New Roman" w:hAnsi="Times New Roman" w:cs="Times New Roman"/>
          <w:sz w:val="24"/>
          <w:szCs w:val="24"/>
        </w:rPr>
        <w:t>, aby</w:t>
      </w:r>
      <w:r w:rsidRPr="00F410B9">
        <w:rPr>
          <w:rFonts w:ascii="Times New Roman" w:hAnsi="Times New Roman" w:cs="Times New Roman"/>
          <w:sz w:val="24"/>
          <w:szCs w:val="24"/>
        </w:rPr>
        <w:t xml:space="preserve"> dávky </w:t>
      </w:r>
      <w:r w:rsidR="00534FC2" w:rsidRPr="00F410B9">
        <w:rPr>
          <w:rFonts w:ascii="Times New Roman" w:hAnsi="Times New Roman" w:cs="Times New Roman"/>
          <w:sz w:val="24"/>
          <w:szCs w:val="24"/>
        </w:rPr>
        <w:t>vyplácané v súlade s podmienkami ustanovenými v zákone o</w:t>
      </w:r>
      <w:r w:rsidR="00E563BC">
        <w:rPr>
          <w:rFonts w:ascii="Times New Roman" w:hAnsi="Times New Roman" w:cs="Times New Roman"/>
          <w:sz w:val="24"/>
          <w:szCs w:val="24"/>
        </w:rPr>
        <w:t xml:space="preserve"> celoeurópskom</w:t>
      </w:r>
      <w:r w:rsidR="00534FC2" w:rsidRPr="00F410B9">
        <w:rPr>
          <w:rFonts w:ascii="Times New Roman" w:hAnsi="Times New Roman" w:cs="Times New Roman"/>
          <w:sz w:val="24"/>
          <w:szCs w:val="24"/>
        </w:rPr>
        <w:t xml:space="preserve"> osobnom </w:t>
      </w:r>
      <w:r w:rsidRPr="00F410B9">
        <w:rPr>
          <w:rFonts w:ascii="Times New Roman" w:hAnsi="Times New Roman" w:cs="Times New Roman"/>
          <w:sz w:val="24"/>
          <w:szCs w:val="24"/>
        </w:rPr>
        <w:t>dôchodkov</w:t>
      </w:r>
      <w:r w:rsidR="00534FC2" w:rsidRPr="00F410B9">
        <w:rPr>
          <w:rFonts w:ascii="Times New Roman" w:hAnsi="Times New Roman" w:cs="Times New Roman"/>
          <w:sz w:val="24"/>
          <w:szCs w:val="24"/>
        </w:rPr>
        <w:t>om</w:t>
      </w:r>
      <w:r w:rsidRPr="00F410B9">
        <w:rPr>
          <w:rFonts w:ascii="Times New Roman" w:hAnsi="Times New Roman" w:cs="Times New Roman"/>
          <w:sz w:val="24"/>
          <w:szCs w:val="24"/>
        </w:rPr>
        <w:t xml:space="preserve"> produkt</w:t>
      </w:r>
      <w:r w:rsidR="00534FC2" w:rsidRPr="00F410B9">
        <w:rPr>
          <w:rFonts w:ascii="Times New Roman" w:hAnsi="Times New Roman" w:cs="Times New Roman"/>
          <w:sz w:val="24"/>
          <w:szCs w:val="24"/>
        </w:rPr>
        <w:t>e</w:t>
      </w:r>
      <w:r w:rsidRPr="00F410B9">
        <w:rPr>
          <w:rFonts w:ascii="Times New Roman" w:hAnsi="Times New Roman" w:cs="Times New Roman"/>
          <w:sz w:val="24"/>
          <w:szCs w:val="24"/>
        </w:rPr>
        <w:t xml:space="preserve"> </w:t>
      </w:r>
      <w:r w:rsidR="009B0A1E">
        <w:rPr>
          <w:rFonts w:ascii="Times New Roman" w:hAnsi="Times New Roman" w:cs="Times New Roman"/>
          <w:sz w:val="24"/>
          <w:szCs w:val="24"/>
        </w:rPr>
        <w:t xml:space="preserve">boli zdaniteľným príjmom a </w:t>
      </w:r>
      <w:r w:rsidR="00F00C89" w:rsidRPr="00F410B9">
        <w:rPr>
          <w:rFonts w:ascii="Times New Roman" w:hAnsi="Times New Roman" w:cs="Times New Roman"/>
          <w:sz w:val="24"/>
          <w:szCs w:val="24"/>
        </w:rPr>
        <w:t>považova</w:t>
      </w:r>
      <w:r w:rsidR="00F00C89">
        <w:rPr>
          <w:rFonts w:ascii="Times New Roman" w:hAnsi="Times New Roman" w:cs="Times New Roman"/>
          <w:sz w:val="24"/>
          <w:szCs w:val="24"/>
        </w:rPr>
        <w:t xml:space="preserve">li sa </w:t>
      </w:r>
      <w:r w:rsidRPr="00F410B9">
        <w:rPr>
          <w:rFonts w:ascii="Times New Roman" w:hAnsi="Times New Roman" w:cs="Times New Roman"/>
          <w:sz w:val="24"/>
          <w:szCs w:val="24"/>
        </w:rPr>
        <w:t>za príj</w:t>
      </w:r>
      <w:r w:rsidR="009B0A1E">
        <w:rPr>
          <w:rFonts w:ascii="Times New Roman" w:hAnsi="Times New Roman" w:cs="Times New Roman"/>
          <w:sz w:val="24"/>
          <w:szCs w:val="24"/>
        </w:rPr>
        <w:t>e</w:t>
      </w:r>
      <w:r w:rsidRPr="00F410B9">
        <w:rPr>
          <w:rFonts w:ascii="Times New Roman" w:hAnsi="Times New Roman" w:cs="Times New Roman"/>
          <w:sz w:val="24"/>
          <w:szCs w:val="24"/>
        </w:rPr>
        <w:t>m z kapitálového majetku</w:t>
      </w:r>
      <w:r w:rsidR="00925E8A">
        <w:rPr>
          <w:rFonts w:ascii="Times New Roman" w:hAnsi="Times New Roman" w:cs="Times New Roman"/>
          <w:sz w:val="24"/>
          <w:szCs w:val="24"/>
        </w:rPr>
        <w:t>,</w:t>
      </w:r>
      <w:r w:rsidRPr="00F410B9">
        <w:rPr>
          <w:rFonts w:ascii="Times New Roman" w:hAnsi="Times New Roman" w:cs="Times New Roman"/>
          <w:sz w:val="24"/>
          <w:szCs w:val="24"/>
        </w:rPr>
        <w:t xml:space="preserve"> rovnako ako </w:t>
      </w:r>
      <w:r w:rsidR="00A5388F">
        <w:rPr>
          <w:rFonts w:ascii="Times New Roman" w:hAnsi="Times New Roman" w:cs="Times New Roman"/>
          <w:sz w:val="24"/>
          <w:szCs w:val="24"/>
        </w:rPr>
        <w:t xml:space="preserve">sa </w:t>
      </w:r>
      <w:r w:rsidR="0050746F">
        <w:rPr>
          <w:rFonts w:ascii="Times New Roman" w:hAnsi="Times New Roman" w:cs="Times New Roman"/>
          <w:sz w:val="24"/>
          <w:szCs w:val="24"/>
        </w:rPr>
        <w:t>v súčasnosti</w:t>
      </w:r>
      <w:r w:rsidRPr="00F410B9">
        <w:rPr>
          <w:rFonts w:ascii="Times New Roman" w:hAnsi="Times New Roman" w:cs="Times New Roman"/>
          <w:sz w:val="24"/>
          <w:szCs w:val="24"/>
        </w:rPr>
        <w:t xml:space="preserve"> za takýto príjem </w:t>
      </w:r>
      <w:r w:rsidR="0050746F">
        <w:rPr>
          <w:rFonts w:ascii="Times New Roman" w:hAnsi="Times New Roman" w:cs="Times New Roman"/>
          <w:sz w:val="24"/>
          <w:szCs w:val="24"/>
        </w:rPr>
        <w:t>považujú</w:t>
      </w:r>
      <w:r w:rsidRPr="00F410B9">
        <w:rPr>
          <w:rFonts w:ascii="Times New Roman" w:hAnsi="Times New Roman" w:cs="Times New Roman"/>
          <w:sz w:val="24"/>
          <w:szCs w:val="24"/>
        </w:rPr>
        <w:t xml:space="preserve"> dávky z doplnkového dôchodkového spor</w:t>
      </w:r>
      <w:r w:rsidR="00E563BC">
        <w:rPr>
          <w:rFonts w:ascii="Times New Roman" w:hAnsi="Times New Roman" w:cs="Times New Roman"/>
          <w:sz w:val="24"/>
          <w:szCs w:val="24"/>
        </w:rPr>
        <w:t>enia, ktoré je z hľadiska účelu obdobným produktom</w:t>
      </w:r>
      <w:r w:rsidR="00B20CB9">
        <w:rPr>
          <w:rFonts w:ascii="Times New Roman" w:hAnsi="Times New Roman" w:cs="Times New Roman"/>
          <w:sz w:val="24"/>
          <w:szCs w:val="24"/>
        </w:rPr>
        <w:t xml:space="preserve"> (z</w:t>
      </w:r>
      <w:r w:rsidR="00B20CB9" w:rsidRPr="00F410B9">
        <w:rPr>
          <w:rFonts w:ascii="Times New Roman" w:hAnsi="Times New Roman" w:cs="Times New Roman"/>
          <w:bCs/>
          <w:sz w:val="24"/>
          <w:szCs w:val="24"/>
        </w:rPr>
        <w:t xml:space="preserve">ákladom </w:t>
      </w:r>
      <w:r w:rsidR="00B20CB9">
        <w:rPr>
          <w:rFonts w:ascii="Times New Roman" w:hAnsi="Times New Roman" w:cs="Times New Roman"/>
          <w:bCs/>
          <w:sz w:val="24"/>
          <w:szCs w:val="24"/>
        </w:rPr>
        <w:t>dane bude</w:t>
      </w:r>
      <w:r w:rsidR="00B20CB9" w:rsidRPr="00F410B9">
        <w:rPr>
          <w:rFonts w:ascii="Times New Roman" w:hAnsi="Times New Roman" w:cs="Times New Roman"/>
          <w:bCs/>
          <w:sz w:val="24"/>
          <w:szCs w:val="24"/>
        </w:rPr>
        <w:t xml:space="preserve"> plnenie znížené o zaplatené príspevky).</w:t>
      </w:r>
    </w:p>
    <w:p w14:paraId="135EE679" w14:textId="698DC8B8" w:rsidR="00FD4241" w:rsidRPr="00F410B9" w:rsidRDefault="00FD4241" w:rsidP="00C20793">
      <w:pPr>
        <w:spacing w:after="0" w:line="240" w:lineRule="auto"/>
        <w:jc w:val="both"/>
        <w:rPr>
          <w:rFonts w:ascii="Times New Roman" w:hAnsi="Times New Roman" w:cs="Times New Roman"/>
          <w:sz w:val="24"/>
          <w:szCs w:val="24"/>
        </w:rPr>
      </w:pPr>
    </w:p>
    <w:p w14:paraId="695BFE31" w14:textId="420ED265" w:rsidR="00FD4241" w:rsidRPr="00F410B9" w:rsidRDefault="00FD4241" w:rsidP="00C20793">
      <w:pPr>
        <w:spacing w:after="0" w:line="240" w:lineRule="auto"/>
        <w:jc w:val="both"/>
        <w:rPr>
          <w:rFonts w:ascii="Times New Roman" w:hAnsi="Times New Roman" w:cs="Times New Roman"/>
          <w:b/>
          <w:sz w:val="24"/>
          <w:szCs w:val="24"/>
        </w:rPr>
      </w:pPr>
      <w:r w:rsidRPr="00F410B9">
        <w:rPr>
          <w:rFonts w:ascii="Times New Roman" w:hAnsi="Times New Roman" w:cs="Times New Roman"/>
          <w:b/>
          <w:sz w:val="24"/>
          <w:szCs w:val="24"/>
        </w:rPr>
        <w:t>K bod</w:t>
      </w:r>
      <w:r w:rsidR="00F00C89">
        <w:rPr>
          <w:rFonts w:ascii="Times New Roman" w:hAnsi="Times New Roman" w:cs="Times New Roman"/>
          <w:b/>
          <w:sz w:val="24"/>
          <w:szCs w:val="24"/>
        </w:rPr>
        <w:t>u</w:t>
      </w:r>
      <w:r w:rsidRPr="00F410B9">
        <w:rPr>
          <w:rFonts w:ascii="Times New Roman" w:hAnsi="Times New Roman" w:cs="Times New Roman"/>
          <w:b/>
          <w:sz w:val="24"/>
          <w:szCs w:val="24"/>
        </w:rPr>
        <w:t xml:space="preserve"> </w:t>
      </w:r>
      <w:r w:rsidR="00B95F7B">
        <w:rPr>
          <w:rFonts w:ascii="Times New Roman" w:hAnsi="Times New Roman" w:cs="Times New Roman"/>
          <w:b/>
          <w:sz w:val="24"/>
          <w:szCs w:val="24"/>
        </w:rPr>
        <w:t>3</w:t>
      </w:r>
      <w:r w:rsidR="004D2CF2" w:rsidRPr="00F410B9">
        <w:rPr>
          <w:rFonts w:ascii="Times New Roman" w:hAnsi="Times New Roman" w:cs="Times New Roman"/>
          <w:b/>
          <w:sz w:val="24"/>
          <w:szCs w:val="24"/>
        </w:rPr>
        <w:t xml:space="preserve"> </w:t>
      </w:r>
    </w:p>
    <w:p w14:paraId="09338535" w14:textId="25B0F7D9" w:rsidR="00FD4241" w:rsidRPr="00F410B9" w:rsidRDefault="00FD4241" w:rsidP="00C20793">
      <w:pPr>
        <w:spacing w:after="0" w:line="240" w:lineRule="auto"/>
        <w:jc w:val="both"/>
        <w:rPr>
          <w:rFonts w:ascii="Times New Roman" w:hAnsi="Times New Roman" w:cs="Times New Roman"/>
          <w:bCs/>
          <w:sz w:val="24"/>
          <w:szCs w:val="24"/>
        </w:rPr>
      </w:pPr>
      <w:r w:rsidRPr="00F410B9">
        <w:rPr>
          <w:rFonts w:ascii="Times New Roman" w:hAnsi="Times New Roman" w:cs="Times New Roman"/>
          <w:bCs/>
          <w:sz w:val="24"/>
          <w:szCs w:val="24"/>
        </w:rPr>
        <w:t xml:space="preserve">Podľa aktuálne platnej legislatívy sú príspevky na doplnkové dôchodkové sporenie pre daňovníka nezdaniteľnou časťou základu dane a je možné odpočítať ich od základu dane najviac do výšky 180 eur za rok. </w:t>
      </w:r>
      <w:r w:rsidR="00E563BC">
        <w:rPr>
          <w:rFonts w:ascii="Times New Roman" w:hAnsi="Times New Roman" w:cs="Times New Roman"/>
          <w:bCs/>
          <w:sz w:val="24"/>
          <w:szCs w:val="24"/>
        </w:rPr>
        <w:t xml:space="preserve">V nadväznosti na odporúčanie komisie sa </w:t>
      </w:r>
      <w:r w:rsidR="00C80BFE" w:rsidRPr="00F410B9">
        <w:rPr>
          <w:rFonts w:ascii="Times New Roman" w:hAnsi="Times New Roman" w:cs="Times New Roman"/>
          <w:bCs/>
          <w:sz w:val="24"/>
          <w:szCs w:val="24"/>
        </w:rPr>
        <w:t>preto</w:t>
      </w:r>
      <w:r w:rsidR="00E563BC">
        <w:rPr>
          <w:rFonts w:ascii="Times New Roman" w:hAnsi="Times New Roman" w:cs="Times New Roman"/>
          <w:bCs/>
          <w:sz w:val="24"/>
          <w:szCs w:val="24"/>
        </w:rPr>
        <w:t xml:space="preserve"> navrhuje</w:t>
      </w:r>
      <w:r w:rsidR="00C80BFE" w:rsidRPr="00F410B9">
        <w:rPr>
          <w:rFonts w:ascii="Times New Roman" w:hAnsi="Times New Roman" w:cs="Times New Roman"/>
          <w:bCs/>
          <w:sz w:val="24"/>
          <w:szCs w:val="24"/>
        </w:rPr>
        <w:t>, aby</w:t>
      </w:r>
      <w:r w:rsidRPr="00F410B9">
        <w:rPr>
          <w:rFonts w:ascii="Times New Roman" w:hAnsi="Times New Roman" w:cs="Times New Roman"/>
          <w:bCs/>
          <w:sz w:val="24"/>
          <w:szCs w:val="24"/>
        </w:rPr>
        <w:t xml:space="preserve"> </w:t>
      </w:r>
      <w:r w:rsidR="00C80BFE" w:rsidRPr="00F410B9">
        <w:rPr>
          <w:rFonts w:ascii="Times New Roman" w:hAnsi="Times New Roman" w:cs="Times New Roman"/>
          <w:bCs/>
          <w:sz w:val="24"/>
          <w:szCs w:val="24"/>
        </w:rPr>
        <w:t xml:space="preserve">nárok na </w:t>
      </w:r>
      <w:r w:rsidRPr="00F410B9">
        <w:rPr>
          <w:rFonts w:ascii="Times New Roman" w:hAnsi="Times New Roman" w:cs="Times New Roman"/>
          <w:bCs/>
          <w:sz w:val="24"/>
          <w:szCs w:val="24"/>
        </w:rPr>
        <w:t>odpočítateľn</w:t>
      </w:r>
      <w:r w:rsidR="00C80BFE" w:rsidRPr="00F410B9">
        <w:rPr>
          <w:rFonts w:ascii="Times New Roman" w:hAnsi="Times New Roman" w:cs="Times New Roman"/>
          <w:bCs/>
          <w:sz w:val="24"/>
          <w:szCs w:val="24"/>
        </w:rPr>
        <w:t>ú</w:t>
      </w:r>
      <w:r w:rsidRPr="00F410B9">
        <w:rPr>
          <w:rFonts w:ascii="Times New Roman" w:hAnsi="Times New Roman" w:cs="Times New Roman"/>
          <w:bCs/>
          <w:sz w:val="24"/>
          <w:szCs w:val="24"/>
        </w:rPr>
        <w:t xml:space="preserve"> položk</w:t>
      </w:r>
      <w:r w:rsidR="00C80BFE" w:rsidRPr="00F410B9">
        <w:rPr>
          <w:rFonts w:ascii="Times New Roman" w:hAnsi="Times New Roman" w:cs="Times New Roman"/>
          <w:bCs/>
          <w:sz w:val="24"/>
          <w:szCs w:val="24"/>
        </w:rPr>
        <w:t xml:space="preserve">u mali </w:t>
      </w:r>
      <w:r w:rsidR="00510915">
        <w:rPr>
          <w:rFonts w:ascii="Times New Roman" w:hAnsi="Times New Roman" w:cs="Times New Roman"/>
          <w:bCs/>
          <w:sz w:val="24"/>
          <w:szCs w:val="24"/>
        </w:rPr>
        <w:t xml:space="preserve">aj </w:t>
      </w:r>
      <w:r w:rsidR="00E563BC">
        <w:rPr>
          <w:rFonts w:ascii="Times New Roman" w:hAnsi="Times New Roman" w:cs="Times New Roman"/>
          <w:bCs/>
          <w:sz w:val="24"/>
          <w:szCs w:val="24"/>
        </w:rPr>
        <w:t>sporitelia</w:t>
      </w:r>
      <w:r w:rsidR="00476A94">
        <w:rPr>
          <w:rFonts w:ascii="Times New Roman" w:hAnsi="Times New Roman" w:cs="Times New Roman"/>
          <w:bCs/>
          <w:sz w:val="24"/>
          <w:szCs w:val="24"/>
        </w:rPr>
        <w:t xml:space="preserve"> prostredníctvom </w:t>
      </w:r>
      <w:r w:rsidR="00E563BC">
        <w:rPr>
          <w:rFonts w:ascii="Times New Roman" w:hAnsi="Times New Roman" w:cs="Times New Roman"/>
          <w:bCs/>
          <w:sz w:val="24"/>
          <w:szCs w:val="24"/>
        </w:rPr>
        <w:t xml:space="preserve">celoeurópskeho </w:t>
      </w:r>
      <w:r w:rsidR="00476A94">
        <w:rPr>
          <w:rFonts w:ascii="Times New Roman" w:hAnsi="Times New Roman" w:cs="Times New Roman"/>
          <w:bCs/>
          <w:sz w:val="24"/>
          <w:szCs w:val="24"/>
        </w:rPr>
        <w:t>osobného dôchodkového produktu</w:t>
      </w:r>
      <w:r w:rsidR="00510915">
        <w:rPr>
          <w:rFonts w:ascii="Times New Roman" w:hAnsi="Times New Roman" w:cs="Times New Roman"/>
          <w:bCs/>
          <w:sz w:val="24"/>
          <w:szCs w:val="24"/>
        </w:rPr>
        <w:t>.</w:t>
      </w:r>
    </w:p>
    <w:p w14:paraId="1889E8D8" w14:textId="0BED13B0" w:rsidR="00FD4241" w:rsidRPr="00F410B9" w:rsidRDefault="00FD4241" w:rsidP="00C20793">
      <w:pPr>
        <w:spacing w:after="0" w:line="240" w:lineRule="auto"/>
        <w:jc w:val="both"/>
        <w:rPr>
          <w:rFonts w:ascii="Times New Roman" w:hAnsi="Times New Roman" w:cs="Times New Roman"/>
          <w:bCs/>
          <w:sz w:val="24"/>
          <w:szCs w:val="24"/>
        </w:rPr>
      </w:pPr>
      <w:r w:rsidRPr="00F410B9">
        <w:rPr>
          <w:rFonts w:ascii="Times New Roman" w:hAnsi="Times New Roman" w:cs="Times New Roman"/>
          <w:bCs/>
          <w:sz w:val="24"/>
          <w:szCs w:val="24"/>
        </w:rPr>
        <w:t xml:space="preserve">Vzhľadom na to, že daňovník môže mať uzatvorených viacero </w:t>
      </w:r>
      <w:r w:rsidR="00C80BFE" w:rsidRPr="00F410B9">
        <w:rPr>
          <w:rFonts w:ascii="Times New Roman" w:hAnsi="Times New Roman" w:cs="Times New Roman"/>
          <w:bCs/>
          <w:sz w:val="24"/>
          <w:szCs w:val="24"/>
        </w:rPr>
        <w:t>zmluvných vzťahov</w:t>
      </w:r>
      <w:r w:rsidRPr="00F410B9">
        <w:rPr>
          <w:rFonts w:ascii="Times New Roman" w:hAnsi="Times New Roman" w:cs="Times New Roman"/>
          <w:bCs/>
          <w:sz w:val="24"/>
          <w:szCs w:val="24"/>
        </w:rPr>
        <w:t>, či už u jedného alebo viacerých poskytovateľov</w:t>
      </w:r>
      <w:r w:rsidR="00E563BC">
        <w:rPr>
          <w:rFonts w:ascii="Times New Roman" w:hAnsi="Times New Roman" w:cs="Times New Roman"/>
          <w:bCs/>
          <w:sz w:val="24"/>
          <w:szCs w:val="24"/>
        </w:rPr>
        <w:t xml:space="preserve"> (doplnkového dôchodkového sporenia, resp. celoeurópskeho osobného dôchodkového produktu)</w:t>
      </w:r>
      <w:r w:rsidRPr="00F410B9">
        <w:rPr>
          <w:rFonts w:ascii="Times New Roman" w:hAnsi="Times New Roman" w:cs="Times New Roman"/>
          <w:bCs/>
          <w:sz w:val="24"/>
          <w:szCs w:val="24"/>
        </w:rPr>
        <w:t>, navrhuje sa, aby bolo možné príspevky daňovníka preukázateľne zaplatené v zdaňovacom období odpočí</w:t>
      </w:r>
      <w:r w:rsidRPr="00F410B9">
        <w:rPr>
          <w:rFonts w:ascii="Times New Roman" w:hAnsi="Times New Roman" w:cs="Times New Roman"/>
          <w:bCs/>
          <w:sz w:val="24"/>
          <w:szCs w:val="24"/>
        </w:rPr>
        <w:lastRenderedPageBreak/>
        <w:t>tať od základu dane do výšky 180 eur v úhrne.</w:t>
      </w:r>
      <w:r w:rsidR="007E65E7">
        <w:rPr>
          <w:rFonts w:ascii="Times New Roman" w:hAnsi="Times New Roman" w:cs="Times New Roman"/>
          <w:bCs/>
          <w:sz w:val="24"/>
          <w:szCs w:val="24"/>
        </w:rPr>
        <w:t xml:space="preserve"> Podmienku, aby </w:t>
      </w:r>
      <w:r w:rsidR="00632DA1">
        <w:rPr>
          <w:rFonts w:ascii="Times New Roman" w:hAnsi="Times New Roman" w:cs="Times New Roman"/>
          <w:bCs/>
          <w:sz w:val="24"/>
          <w:szCs w:val="24"/>
        </w:rPr>
        <w:t xml:space="preserve">daňovník </w:t>
      </w:r>
      <w:r w:rsidR="007E65E7">
        <w:rPr>
          <w:rFonts w:ascii="Times New Roman" w:hAnsi="Times New Roman" w:cs="Times New Roman"/>
          <w:bCs/>
          <w:sz w:val="24"/>
          <w:szCs w:val="24"/>
        </w:rPr>
        <w:t xml:space="preserve">nemal súčasne uzatvorenú účastnícku zmluvu s dávkovým plánom </w:t>
      </w:r>
      <w:r w:rsidR="00A5388F">
        <w:rPr>
          <w:rFonts w:ascii="Times New Roman" w:hAnsi="Times New Roman" w:cs="Times New Roman"/>
          <w:bCs/>
          <w:sz w:val="24"/>
          <w:szCs w:val="24"/>
        </w:rPr>
        <w:t xml:space="preserve">sa </w:t>
      </w:r>
      <w:r w:rsidR="007E65E7">
        <w:rPr>
          <w:rFonts w:ascii="Times New Roman" w:hAnsi="Times New Roman" w:cs="Times New Roman"/>
          <w:bCs/>
          <w:sz w:val="24"/>
          <w:szCs w:val="24"/>
        </w:rPr>
        <w:t>navrhuje zachovať</w:t>
      </w:r>
      <w:r w:rsidR="00632DA1">
        <w:rPr>
          <w:rFonts w:ascii="Times New Roman" w:hAnsi="Times New Roman" w:cs="Times New Roman"/>
          <w:bCs/>
          <w:sz w:val="24"/>
          <w:szCs w:val="24"/>
        </w:rPr>
        <w:t xml:space="preserve"> aj </w:t>
      </w:r>
      <w:r w:rsidR="00B20CB9">
        <w:rPr>
          <w:rFonts w:ascii="Times New Roman" w:hAnsi="Times New Roman" w:cs="Times New Roman"/>
          <w:bCs/>
          <w:sz w:val="24"/>
          <w:szCs w:val="24"/>
        </w:rPr>
        <w:t>v prípade</w:t>
      </w:r>
      <w:r w:rsidR="00632DA1">
        <w:rPr>
          <w:rFonts w:ascii="Times New Roman" w:hAnsi="Times New Roman" w:cs="Times New Roman"/>
          <w:bCs/>
          <w:sz w:val="24"/>
          <w:szCs w:val="24"/>
        </w:rPr>
        <w:t xml:space="preserve"> </w:t>
      </w:r>
      <w:r w:rsidR="00B20CB9">
        <w:rPr>
          <w:rFonts w:ascii="Times New Roman" w:hAnsi="Times New Roman" w:cs="Times New Roman"/>
          <w:bCs/>
          <w:sz w:val="24"/>
          <w:szCs w:val="24"/>
        </w:rPr>
        <w:t>sporiteľa so zmluvou o celoeurópskom osobnom dôchodkovom produkte</w:t>
      </w:r>
      <w:r w:rsidR="007E65E7">
        <w:rPr>
          <w:rFonts w:ascii="Times New Roman" w:hAnsi="Times New Roman" w:cs="Times New Roman"/>
          <w:bCs/>
          <w:sz w:val="24"/>
          <w:szCs w:val="24"/>
        </w:rPr>
        <w:t>.</w:t>
      </w:r>
    </w:p>
    <w:p w14:paraId="19A92F04" w14:textId="77777777" w:rsidR="00FD4241" w:rsidRPr="00F410B9" w:rsidRDefault="00FD4241" w:rsidP="00C20793">
      <w:pPr>
        <w:spacing w:after="0" w:line="240" w:lineRule="auto"/>
        <w:jc w:val="both"/>
        <w:rPr>
          <w:rFonts w:ascii="Times New Roman" w:hAnsi="Times New Roman" w:cs="Times New Roman"/>
          <w:b/>
          <w:sz w:val="24"/>
          <w:szCs w:val="24"/>
        </w:rPr>
      </w:pPr>
    </w:p>
    <w:p w14:paraId="0F7F21A7" w14:textId="49D94F69" w:rsidR="00546898" w:rsidRPr="00F410B9" w:rsidRDefault="00546898" w:rsidP="00546898">
      <w:pPr>
        <w:spacing w:after="0" w:line="240" w:lineRule="auto"/>
        <w:jc w:val="both"/>
        <w:rPr>
          <w:rFonts w:ascii="Times New Roman" w:hAnsi="Times New Roman" w:cs="Times New Roman"/>
          <w:b/>
          <w:sz w:val="24"/>
          <w:szCs w:val="24"/>
        </w:rPr>
      </w:pPr>
      <w:r w:rsidRPr="00F410B9">
        <w:rPr>
          <w:rFonts w:ascii="Times New Roman" w:hAnsi="Times New Roman" w:cs="Times New Roman"/>
          <w:b/>
          <w:sz w:val="24"/>
          <w:szCs w:val="24"/>
        </w:rPr>
        <w:t>K</w:t>
      </w:r>
      <w:r>
        <w:rPr>
          <w:rFonts w:ascii="Times New Roman" w:hAnsi="Times New Roman" w:cs="Times New Roman"/>
          <w:b/>
          <w:sz w:val="24"/>
          <w:szCs w:val="24"/>
        </w:rPr>
        <w:t> </w:t>
      </w:r>
      <w:r w:rsidRPr="00F410B9">
        <w:rPr>
          <w:rFonts w:ascii="Times New Roman" w:hAnsi="Times New Roman" w:cs="Times New Roman"/>
          <w:b/>
          <w:sz w:val="24"/>
          <w:szCs w:val="24"/>
        </w:rPr>
        <w:t>bod</w:t>
      </w:r>
      <w:r>
        <w:rPr>
          <w:rFonts w:ascii="Times New Roman" w:hAnsi="Times New Roman" w:cs="Times New Roman"/>
          <w:b/>
          <w:sz w:val="24"/>
          <w:szCs w:val="24"/>
        </w:rPr>
        <w:t xml:space="preserve">u </w:t>
      </w:r>
      <w:r w:rsidR="007E65E7">
        <w:rPr>
          <w:rFonts w:ascii="Times New Roman" w:hAnsi="Times New Roman" w:cs="Times New Roman"/>
          <w:b/>
          <w:sz w:val="24"/>
          <w:szCs w:val="24"/>
        </w:rPr>
        <w:t>4</w:t>
      </w:r>
    </w:p>
    <w:p w14:paraId="7942B74E" w14:textId="1438A1CF" w:rsidR="00546898" w:rsidRDefault="00546898" w:rsidP="00B95F7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kontexte doplnenia </w:t>
      </w:r>
      <w:r w:rsidR="007E65E7">
        <w:rPr>
          <w:rFonts w:ascii="Times New Roman" w:hAnsi="Times New Roman" w:cs="Times New Roman"/>
          <w:bCs/>
          <w:sz w:val="24"/>
          <w:szCs w:val="24"/>
        </w:rPr>
        <w:t>sporiteľov</w:t>
      </w:r>
      <w:r>
        <w:rPr>
          <w:rFonts w:ascii="Times New Roman" w:hAnsi="Times New Roman" w:cs="Times New Roman"/>
          <w:bCs/>
          <w:sz w:val="24"/>
          <w:szCs w:val="24"/>
        </w:rPr>
        <w:t xml:space="preserve"> so zmluvou o</w:t>
      </w:r>
      <w:r w:rsidR="007E65E7">
        <w:rPr>
          <w:rFonts w:ascii="Times New Roman" w:hAnsi="Times New Roman" w:cs="Times New Roman"/>
          <w:bCs/>
          <w:sz w:val="24"/>
          <w:szCs w:val="24"/>
        </w:rPr>
        <w:t xml:space="preserve"> celoeurópskom </w:t>
      </w:r>
      <w:r>
        <w:rPr>
          <w:rFonts w:ascii="Times New Roman" w:hAnsi="Times New Roman" w:cs="Times New Roman"/>
          <w:bCs/>
          <w:sz w:val="24"/>
          <w:szCs w:val="24"/>
        </w:rPr>
        <w:t xml:space="preserve">osobnom dôchodkovom produkte do § 11 je nevyhnutné doplniť </w:t>
      </w:r>
      <w:r w:rsidR="007E65E7">
        <w:rPr>
          <w:rFonts w:ascii="Times New Roman" w:hAnsi="Times New Roman" w:cs="Times New Roman"/>
          <w:bCs/>
          <w:sz w:val="24"/>
          <w:szCs w:val="24"/>
        </w:rPr>
        <w:t xml:space="preserve">toto </w:t>
      </w:r>
      <w:r>
        <w:rPr>
          <w:rFonts w:ascii="Times New Roman" w:hAnsi="Times New Roman" w:cs="Times New Roman"/>
          <w:bCs/>
          <w:sz w:val="24"/>
          <w:szCs w:val="24"/>
        </w:rPr>
        <w:t>ustanovenie tak, aby sa preukázanie nároku na zníženie základu dane vzťahovalo aj na tento nový produkt.</w:t>
      </w:r>
    </w:p>
    <w:p w14:paraId="61674AAB" w14:textId="77777777" w:rsidR="00546898" w:rsidRPr="00F410B9" w:rsidRDefault="00546898" w:rsidP="00B95F7B">
      <w:pPr>
        <w:spacing w:after="0" w:line="240" w:lineRule="auto"/>
        <w:jc w:val="both"/>
        <w:rPr>
          <w:rFonts w:ascii="Times New Roman" w:hAnsi="Times New Roman" w:cs="Times New Roman"/>
          <w:bCs/>
          <w:sz w:val="24"/>
          <w:szCs w:val="24"/>
        </w:rPr>
      </w:pPr>
    </w:p>
    <w:p w14:paraId="70A602F1" w14:textId="0ECCFB69" w:rsidR="00FD4241" w:rsidRPr="00F410B9" w:rsidRDefault="00FD4241" w:rsidP="00C20793">
      <w:pPr>
        <w:spacing w:after="0" w:line="240" w:lineRule="auto"/>
        <w:jc w:val="both"/>
        <w:rPr>
          <w:rFonts w:ascii="Times New Roman" w:hAnsi="Times New Roman" w:cs="Times New Roman"/>
          <w:b/>
          <w:sz w:val="24"/>
          <w:szCs w:val="24"/>
        </w:rPr>
      </w:pPr>
      <w:r w:rsidRPr="00F410B9">
        <w:rPr>
          <w:rFonts w:ascii="Times New Roman" w:hAnsi="Times New Roman" w:cs="Times New Roman"/>
          <w:b/>
          <w:sz w:val="24"/>
          <w:szCs w:val="24"/>
        </w:rPr>
        <w:t xml:space="preserve">K bodu </w:t>
      </w:r>
      <w:r w:rsidR="007E65E7">
        <w:rPr>
          <w:rFonts w:ascii="Times New Roman" w:hAnsi="Times New Roman" w:cs="Times New Roman"/>
          <w:b/>
          <w:sz w:val="24"/>
          <w:szCs w:val="24"/>
        </w:rPr>
        <w:t>5</w:t>
      </w:r>
      <w:r w:rsidR="004D2CF2" w:rsidRPr="00F410B9">
        <w:rPr>
          <w:rFonts w:ascii="Times New Roman" w:hAnsi="Times New Roman" w:cs="Times New Roman"/>
          <w:b/>
          <w:sz w:val="24"/>
          <w:szCs w:val="24"/>
        </w:rPr>
        <w:t xml:space="preserve"> </w:t>
      </w:r>
    </w:p>
    <w:p w14:paraId="41E0368A" w14:textId="75CF5F54" w:rsidR="0061079B" w:rsidRPr="00F410B9" w:rsidRDefault="007E65E7" w:rsidP="00C2079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 nadväznosti na novelizačný bod 1 a 2 sa n</w:t>
      </w:r>
      <w:r w:rsidR="00FD4241" w:rsidRPr="00F410B9">
        <w:rPr>
          <w:rFonts w:ascii="Times New Roman" w:hAnsi="Times New Roman" w:cs="Times New Roman"/>
          <w:bCs/>
          <w:sz w:val="24"/>
          <w:szCs w:val="24"/>
        </w:rPr>
        <w:t xml:space="preserve">avrhuje, aby sa daň z dávok </w:t>
      </w:r>
      <w:r w:rsidR="006806E9" w:rsidRPr="00F410B9">
        <w:rPr>
          <w:rFonts w:ascii="Times New Roman" w:hAnsi="Times New Roman" w:cs="Times New Roman"/>
          <w:bCs/>
          <w:sz w:val="24"/>
          <w:szCs w:val="24"/>
        </w:rPr>
        <w:t>poskytovaných na základe návrhu zákona</w:t>
      </w:r>
      <w:r w:rsidR="00FD4241" w:rsidRPr="00F410B9">
        <w:rPr>
          <w:rFonts w:ascii="Times New Roman" w:hAnsi="Times New Roman" w:cs="Times New Roman"/>
          <w:bCs/>
          <w:sz w:val="24"/>
          <w:szCs w:val="24"/>
        </w:rPr>
        <w:t xml:space="preserve"> </w:t>
      </w:r>
      <w:r w:rsidR="0061079B">
        <w:rPr>
          <w:rFonts w:ascii="Times New Roman" w:hAnsi="Times New Roman" w:cs="Times New Roman"/>
          <w:bCs/>
          <w:sz w:val="24"/>
          <w:szCs w:val="24"/>
        </w:rPr>
        <w:t>o</w:t>
      </w:r>
      <w:r>
        <w:rPr>
          <w:rFonts w:ascii="Times New Roman" w:hAnsi="Times New Roman" w:cs="Times New Roman"/>
          <w:bCs/>
          <w:sz w:val="24"/>
          <w:szCs w:val="24"/>
        </w:rPr>
        <w:t xml:space="preserve"> celoeurópskom </w:t>
      </w:r>
      <w:r w:rsidR="0061079B">
        <w:rPr>
          <w:rFonts w:ascii="Times New Roman" w:hAnsi="Times New Roman" w:cs="Times New Roman"/>
          <w:bCs/>
          <w:sz w:val="24"/>
          <w:szCs w:val="24"/>
        </w:rPr>
        <w:t xml:space="preserve">osobnom dôchodkovom produkte </w:t>
      </w:r>
      <w:r>
        <w:rPr>
          <w:rFonts w:ascii="Times New Roman" w:hAnsi="Times New Roman" w:cs="Times New Roman"/>
          <w:bCs/>
          <w:sz w:val="24"/>
          <w:szCs w:val="24"/>
        </w:rPr>
        <w:t>vyberala zrážkou.</w:t>
      </w:r>
    </w:p>
    <w:p w14:paraId="14AE637F" w14:textId="77777777" w:rsidR="00FD4241" w:rsidRPr="00F410B9" w:rsidRDefault="00FD4241" w:rsidP="00C20793">
      <w:pPr>
        <w:spacing w:after="0" w:line="240" w:lineRule="auto"/>
        <w:jc w:val="both"/>
        <w:rPr>
          <w:rFonts w:ascii="Times New Roman" w:eastAsia="Calibri" w:hAnsi="Times New Roman" w:cs="Times New Roman"/>
          <w:b/>
          <w:sz w:val="24"/>
          <w:szCs w:val="24"/>
        </w:rPr>
      </w:pPr>
    </w:p>
    <w:p w14:paraId="7BB226E1" w14:textId="3EC009D7" w:rsidR="00E20E86" w:rsidRPr="00E82C78" w:rsidRDefault="00E20E86" w:rsidP="00E20E86">
      <w:pPr>
        <w:spacing w:after="0" w:line="240" w:lineRule="auto"/>
        <w:jc w:val="both"/>
        <w:rPr>
          <w:rFonts w:ascii="Times New Roman" w:eastAsia="Calibri" w:hAnsi="Times New Roman" w:cs="Times New Roman"/>
          <w:b/>
          <w:sz w:val="24"/>
          <w:szCs w:val="24"/>
        </w:rPr>
      </w:pPr>
      <w:r w:rsidRPr="00E82C78">
        <w:rPr>
          <w:rFonts w:ascii="Times New Roman" w:eastAsia="Calibri" w:hAnsi="Times New Roman" w:cs="Times New Roman"/>
          <w:b/>
          <w:sz w:val="24"/>
          <w:szCs w:val="24"/>
        </w:rPr>
        <w:t xml:space="preserve">K Čl. </w:t>
      </w:r>
      <w:r w:rsidR="00AF62F6">
        <w:rPr>
          <w:rFonts w:ascii="Times New Roman" w:eastAsia="Calibri" w:hAnsi="Times New Roman" w:cs="Times New Roman"/>
          <w:b/>
          <w:sz w:val="24"/>
          <w:szCs w:val="24"/>
        </w:rPr>
        <w:t>III</w:t>
      </w:r>
      <w:r w:rsidR="00AF62F6" w:rsidRPr="00E82C78">
        <w:rPr>
          <w:rFonts w:ascii="Times New Roman" w:eastAsia="Calibri" w:hAnsi="Times New Roman" w:cs="Times New Roman"/>
          <w:b/>
          <w:sz w:val="24"/>
          <w:szCs w:val="24"/>
        </w:rPr>
        <w:t xml:space="preserve"> </w:t>
      </w:r>
    </w:p>
    <w:p w14:paraId="64E6C98C" w14:textId="58479E98" w:rsidR="0041704E" w:rsidRPr="00F43868" w:rsidRDefault="0041704E" w:rsidP="004170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nadväznosti na doplnenie regulačného rámca pre celoeurópsky osobný dôchodkový produkt v návrhu zákona v čl. I (§ </w:t>
      </w:r>
      <w:r w:rsidR="00243CEE">
        <w:rPr>
          <w:rFonts w:ascii="Times New Roman" w:eastAsia="Calibri" w:hAnsi="Times New Roman" w:cs="Times New Roman"/>
          <w:sz w:val="24"/>
          <w:szCs w:val="24"/>
        </w:rPr>
        <w:t>10</w:t>
      </w:r>
      <w:r>
        <w:rPr>
          <w:rFonts w:ascii="Times New Roman" w:eastAsia="Calibri" w:hAnsi="Times New Roman" w:cs="Times New Roman"/>
          <w:sz w:val="24"/>
          <w:szCs w:val="24"/>
        </w:rPr>
        <w:t xml:space="preserve"> až </w:t>
      </w:r>
      <w:r w:rsidR="00243CEE">
        <w:rPr>
          <w:rFonts w:ascii="Times New Roman" w:eastAsia="Calibri" w:hAnsi="Times New Roman" w:cs="Times New Roman"/>
          <w:sz w:val="24"/>
          <w:szCs w:val="24"/>
        </w:rPr>
        <w:t>13</w:t>
      </w:r>
      <w:r>
        <w:rPr>
          <w:rFonts w:ascii="Times New Roman" w:eastAsia="Calibri" w:hAnsi="Times New Roman" w:cs="Times New Roman"/>
          <w:sz w:val="24"/>
          <w:szCs w:val="24"/>
        </w:rPr>
        <w:t>) bolo nevyhnutné doplniť aj intervenčné právomoci  Národnej banky Slovenska</w:t>
      </w:r>
      <w:r w:rsidRPr="00417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aby </w:t>
      </w:r>
      <w:r w:rsidR="00BD2086">
        <w:rPr>
          <w:rFonts w:ascii="Times New Roman" w:eastAsia="Calibri" w:hAnsi="Times New Roman" w:cs="Times New Roman"/>
          <w:sz w:val="24"/>
          <w:szCs w:val="24"/>
        </w:rPr>
        <w:t>(</w:t>
      </w:r>
      <w:r>
        <w:rPr>
          <w:rFonts w:ascii="Times New Roman" w:eastAsia="Calibri" w:hAnsi="Times New Roman" w:cs="Times New Roman"/>
          <w:sz w:val="24"/>
          <w:szCs w:val="24"/>
        </w:rPr>
        <w:t>a</w:t>
      </w:r>
      <w:r w:rsidRPr="0041704E">
        <w:rPr>
          <w:rFonts w:ascii="Times New Roman" w:eastAsia="Calibri" w:hAnsi="Times New Roman" w:cs="Times New Roman"/>
          <w:sz w:val="24"/>
          <w:szCs w:val="24"/>
        </w:rPr>
        <w:t>k sú splnené podmienky</w:t>
      </w:r>
      <w:r>
        <w:rPr>
          <w:rFonts w:ascii="Times New Roman" w:eastAsia="Calibri" w:hAnsi="Times New Roman" w:cs="Times New Roman"/>
          <w:sz w:val="24"/>
          <w:szCs w:val="24"/>
        </w:rPr>
        <w:t xml:space="preserve"> nariadenia</w:t>
      </w:r>
      <w:r w:rsidR="00BD2086">
        <w:rPr>
          <w:rFonts w:ascii="Times New Roman" w:eastAsia="Calibri" w:hAnsi="Times New Roman" w:cs="Times New Roman"/>
          <w:sz w:val="24"/>
          <w:szCs w:val="24"/>
        </w:rPr>
        <w:t>)</w:t>
      </w:r>
      <w:r w:rsidR="00A5388F">
        <w:rPr>
          <w:rFonts w:ascii="Times New Roman" w:eastAsia="Calibri" w:hAnsi="Times New Roman" w:cs="Times New Roman"/>
          <w:sz w:val="24"/>
          <w:szCs w:val="24"/>
        </w:rPr>
        <w:t>,</w:t>
      </w:r>
      <w:r>
        <w:rPr>
          <w:rFonts w:ascii="Times New Roman" w:eastAsia="Calibri" w:hAnsi="Times New Roman" w:cs="Times New Roman"/>
          <w:sz w:val="24"/>
          <w:szCs w:val="24"/>
        </w:rPr>
        <w:t xml:space="preserve"> bol orgán dohľadu</w:t>
      </w:r>
      <w:r w:rsidRPr="0041704E">
        <w:rPr>
          <w:rFonts w:ascii="Times New Roman" w:eastAsia="Calibri" w:hAnsi="Times New Roman" w:cs="Times New Roman"/>
          <w:sz w:val="24"/>
          <w:szCs w:val="24"/>
        </w:rPr>
        <w:t xml:space="preserve"> </w:t>
      </w:r>
      <w:r>
        <w:rPr>
          <w:rFonts w:ascii="Times New Roman" w:eastAsia="Calibri" w:hAnsi="Times New Roman" w:cs="Times New Roman"/>
          <w:sz w:val="24"/>
          <w:szCs w:val="24"/>
        </w:rPr>
        <w:t>oprávnený</w:t>
      </w:r>
      <w:r w:rsidRPr="0041704E">
        <w:rPr>
          <w:rFonts w:ascii="Times New Roman" w:eastAsia="Calibri" w:hAnsi="Times New Roman" w:cs="Times New Roman"/>
          <w:sz w:val="24"/>
          <w:szCs w:val="24"/>
        </w:rPr>
        <w:t xml:space="preserve"> preventívne uložiť zákaz alebo obmedzenie </w:t>
      </w:r>
      <w:r>
        <w:rPr>
          <w:rFonts w:ascii="Times New Roman" w:eastAsia="Calibri" w:hAnsi="Times New Roman" w:cs="Times New Roman"/>
          <w:sz w:val="24"/>
          <w:szCs w:val="24"/>
        </w:rPr>
        <w:t xml:space="preserve">vo vzťahu k </w:t>
      </w:r>
      <w:r w:rsidRPr="0041704E">
        <w:rPr>
          <w:rFonts w:ascii="Times New Roman" w:eastAsia="Calibri" w:hAnsi="Times New Roman" w:cs="Times New Roman"/>
          <w:sz w:val="24"/>
          <w:szCs w:val="24"/>
        </w:rPr>
        <w:t>ponúkan</w:t>
      </w:r>
      <w:r>
        <w:rPr>
          <w:rFonts w:ascii="Times New Roman" w:eastAsia="Calibri" w:hAnsi="Times New Roman" w:cs="Times New Roman"/>
          <w:sz w:val="24"/>
          <w:szCs w:val="24"/>
        </w:rPr>
        <w:t>iu</w:t>
      </w:r>
      <w:r w:rsidRPr="0041704E">
        <w:rPr>
          <w:rFonts w:ascii="Times New Roman" w:eastAsia="Calibri" w:hAnsi="Times New Roman" w:cs="Times New Roman"/>
          <w:sz w:val="24"/>
          <w:szCs w:val="24"/>
        </w:rPr>
        <w:t xml:space="preserve">, </w:t>
      </w:r>
      <w:r>
        <w:rPr>
          <w:rFonts w:ascii="Times New Roman" w:eastAsia="Calibri" w:hAnsi="Times New Roman" w:cs="Times New Roman"/>
          <w:sz w:val="24"/>
          <w:szCs w:val="24"/>
        </w:rPr>
        <w:t>distribúcii</w:t>
      </w:r>
      <w:r w:rsidRPr="0041704E">
        <w:rPr>
          <w:rFonts w:ascii="Times New Roman" w:eastAsia="Calibri" w:hAnsi="Times New Roman" w:cs="Times New Roman"/>
          <w:sz w:val="24"/>
          <w:szCs w:val="24"/>
        </w:rPr>
        <w:t xml:space="preserve"> alebo </w:t>
      </w:r>
      <w:r>
        <w:rPr>
          <w:rFonts w:ascii="Times New Roman" w:eastAsia="Calibri" w:hAnsi="Times New Roman" w:cs="Times New Roman"/>
          <w:sz w:val="24"/>
          <w:szCs w:val="24"/>
        </w:rPr>
        <w:t>predaju</w:t>
      </w:r>
      <w:r w:rsidRPr="0041704E">
        <w:rPr>
          <w:rFonts w:ascii="Times New Roman" w:eastAsia="Calibri" w:hAnsi="Times New Roman" w:cs="Times New Roman"/>
          <w:sz w:val="24"/>
          <w:szCs w:val="24"/>
        </w:rPr>
        <w:t xml:space="preserve"> </w:t>
      </w:r>
      <w:r w:rsidR="00243CEE">
        <w:rPr>
          <w:rFonts w:ascii="Times New Roman" w:eastAsia="Calibri" w:hAnsi="Times New Roman" w:cs="Times New Roman"/>
          <w:sz w:val="24"/>
          <w:szCs w:val="24"/>
        </w:rPr>
        <w:t>celoeurópskeho osobného dôchodkového produktu</w:t>
      </w:r>
      <w:r>
        <w:rPr>
          <w:rFonts w:ascii="Times New Roman" w:eastAsia="Calibri" w:hAnsi="Times New Roman" w:cs="Times New Roman"/>
          <w:sz w:val="24"/>
          <w:szCs w:val="24"/>
        </w:rPr>
        <w:t xml:space="preserve"> </w:t>
      </w:r>
      <w:r w:rsidRPr="0041704E">
        <w:rPr>
          <w:rFonts w:ascii="Times New Roman" w:eastAsia="Calibri" w:hAnsi="Times New Roman" w:cs="Times New Roman"/>
          <w:sz w:val="24"/>
          <w:szCs w:val="24"/>
        </w:rPr>
        <w:t xml:space="preserve">sporiteľovi. </w:t>
      </w:r>
    </w:p>
    <w:p w14:paraId="3196FCBF" w14:textId="7E3B07F8" w:rsidR="00E20E86" w:rsidRDefault="00E20E86" w:rsidP="00C20793">
      <w:pPr>
        <w:spacing w:after="0" w:line="240" w:lineRule="auto"/>
        <w:jc w:val="both"/>
        <w:rPr>
          <w:rFonts w:ascii="Times New Roman" w:hAnsi="Times New Roman" w:cs="Times New Roman"/>
          <w:b/>
          <w:bCs/>
          <w:sz w:val="24"/>
          <w:szCs w:val="24"/>
        </w:rPr>
      </w:pPr>
    </w:p>
    <w:p w14:paraId="4D6935BB" w14:textId="39FE2E0C" w:rsidR="00AD14B9" w:rsidRPr="00AD14B9" w:rsidRDefault="00AD14B9" w:rsidP="00C207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Čl. </w:t>
      </w:r>
      <w:r w:rsidR="00DB0886">
        <w:rPr>
          <w:rFonts w:ascii="Times New Roman" w:hAnsi="Times New Roman" w:cs="Times New Roman"/>
          <w:b/>
          <w:bCs/>
          <w:sz w:val="24"/>
          <w:szCs w:val="24"/>
        </w:rPr>
        <w:t>I</w:t>
      </w:r>
      <w:r w:rsidR="00DF468F">
        <w:rPr>
          <w:rFonts w:ascii="Times New Roman" w:hAnsi="Times New Roman" w:cs="Times New Roman"/>
          <w:b/>
          <w:bCs/>
          <w:sz w:val="24"/>
          <w:szCs w:val="24"/>
        </w:rPr>
        <w:t>V</w:t>
      </w:r>
    </w:p>
    <w:p w14:paraId="490B3C9F" w14:textId="594543E8" w:rsidR="00FD4241" w:rsidRDefault="0041704E" w:rsidP="00C207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Účinnosť ustanovení, ktoré sa týkajú celoeurópskeho osobného dôchodkového produktu </w:t>
      </w:r>
      <w:r w:rsidR="004B3D16">
        <w:rPr>
          <w:rFonts w:ascii="Times New Roman" w:eastAsia="Calibri" w:hAnsi="Times New Roman" w:cs="Times New Roman"/>
          <w:sz w:val="24"/>
          <w:szCs w:val="24"/>
        </w:rPr>
        <w:t xml:space="preserve">(Čl. I a III) </w:t>
      </w:r>
      <w:r>
        <w:rPr>
          <w:rFonts w:ascii="Times New Roman" w:eastAsia="Calibri" w:hAnsi="Times New Roman" w:cs="Times New Roman"/>
          <w:sz w:val="24"/>
          <w:szCs w:val="24"/>
        </w:rPr>
        <w:t xml:space="preserve">sa navrhuje </w:t>
      </w:r>
      <w:r w:rsidR="00BD2086">
        <w:rPr>
          <w:rFonts w:ascii="Times New Roman" w:eastAsia="Calibri" w:hAnsi="Times New Roman" w:cs="Times New Roman"/>
          <w:sz w:val="24"/>
          <w:szCs w:val="24"/>
        </w:rPr>
        <w:t xml:space="preserve">dňom vyhlásenia, nakoľko nariadenie sa začne uplatňovať 22. marca 2022. </w:t>
      </w:r>
      <w:r w:rsidR="004B3D16">
        <w:rPr>
          <w:rFonts w:ascii="Times New Roman" w:eastAsia="Calibri" w:hAnsi="Times New Roman" w:cs="Times New Roman"/>
          <w:sz w:val="24"/>
          <w:szCs w:val="24"/>
        </w:rPr>
        <w:t>Účinnosť Čl. II, ktorý sa týka daňového režimu,</w:t>
      </w:r>
      <w:r w:rsidR="00BD2086">
        <w:rPr>
          <w:rFonts w:ascii="Times New Roman" w:eastAsia="Calibri" w:hAnsi="Times New Roman" w:cs="Times New Roman"/>
          <w:sz w:val="24"/>
          <w:szCs w:val="24"/>
        </w:rPr>
        <w:t xml:space="preserve"> </w:t>
      </w:r>
      <w:r>
        <w:rPr>
          <w:rFonts w:ascii="Times New Roman" w:eastAsia="Calibri" w:hAnsi="Times New Roman" w:cs="Times New Roman"/>
          <w:sz w:val="24"/>
          <w:szCs w:val="24"/>
        </w:rPr>
        <w:t>sa navrhuje</w:t>
      </w:r>
      <w:r w:rsidR="00BD2086">
        <w:rPr>
          <w:rFonts w:ascii="Times New Roman" w:eastAsia="Calibri" w:hAnsi="Times New Roman" w:cs="Times New Roman"/>
          <w:sz w:val="24"/>
          <w:szCs w:val="24"/>
        </w:rPr>
        <w:t xml:space="preserve"> </w:t>
      </w:r>
      <w:r w:rsidR="00AD14B9">
        <w:rPr>
          <w:rFonts w:ascii="Times New Roman" w:eastAsia="Calibri" w:hAnsi="Times New Roman" w:cs="Times New Roman"/>
          <w:sz w:val="24"/>
          <w:szCs w:val="24"/>
        </w:rPr>
        <w:t>od 1. januára 2023.</w:t>
      </w:r>
    </w:p>
    <w:sectPr w:rsidR="00FD42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48BB" w14:textId="77777777" w:rsidR="00433D25" w:rsidRDefault="00433D25" w:rsidP="004D2CF2">
      <w:pPr>
        <w:spacing w:after="0" w:line="240" w:lineRule="auto"/>
      </w:pPr>
      <w:r>
        <w:separator/>
      </w:r>
    </w:p>
  </w:endnote>
  <w:endnote w:type="continuationSeparator" w:id="0">
    <w:p w14:paraId="6763D8E5" w14:textId="77777777" w:rsidR="00433D25" w:rsidRDefault="00433D25" w:rsidP="004D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9B7EC" w14:textId="77777777" w:rsidR="00433D25" w:rsidRDefault="00433D25" w:rsidP="004D2CF2">
      <w:pPr>
        <w:spacing w:after="0" w:line="240" w:lineRule="auto"/>
      </w:pPr>
      <w:r>
        <w:separator/>
      </w:r>
    </w:p>
  </w:footnote>
  <w:footnote w:type="continuationSeparator" w:id="0">
    <w:p w14:paraId="54AEB4E7" w14:textId="77777777" w:rsidR="00433D25" w:rsidRDefault="00433D25" w:rsidP="004D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67A5B"/>
    <w:multiLevelType w:val="hybridMultilevel"/>
    <w:tmpl w:val="45344542"/>
    <w:lvl w:ilvl="0" w:tplc="12162AAA">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0C"/>
    <w:rsid w:val="00007E5B"/>
    <w:rsid w:val="00010AB3"/>
    <w:rsid w:val="00011450"/>
    <w:rsid w:val="000170EB"/>
    <w:rsid w:val="00055FF8"/>
    <w:rsid w:val="00071801"/>
    <w:rsid w:val="00072A9C"/>
    <w:rsid w:val="00086B8C"/>
    <w:rsid w:val="00090A0B"/>
    <w:rsid w:val="00090E2A"/>
    <w:rsid w:val="000A44DF"/>
    <w:rsid w:val="000D08E0"/>
    <w:rsid w:val="000E0D71"/>
    <w:rsid w:val="000E6DE2"/>
    <w:rsid w:val="000F1232"/>
    <w:rsid w:val="00117209"/>
    <w:rsid w:val="00127EC3"/>
    <w:rsid w:val="001366D8"/>
    <w:rsid w:val="00144487"/>
    <w:rsid w:val="00145377"/>
    <w:rsid w:val="00160BA1"/>
    <w:rsid w:val="001675A4"/>
    <w:rsid w:val="00171E14"/>
    <w:rsid w:val="0017392C"/>
    <w:rsid w:val="001838BB"/>
    <w:rsid w:val="00184DB8"/>
    <w:rsid w:val="00190C10"/>
    <w:rsid w:val="00194E02"/>
    <w:rsid w:val="00196326"/>
    <w:rsid w:val="001A649F"/>
    <w:rsid w:val="001B4D40"/>
    <w:rsid w:val="001B5B75"/>
    <w:rsid w:val="001D0458"/>
    <w:rsid w:val="001E5230"/>
    <w:rsid w:val="001E6B1B"/>
    <w:rsid w:val="001E7D8B"/>
    <w:rsid w:val="00202924"/>
    <w:rsid w:val="00205813"/>
    <w:rsid w:val="00217E91"/>
    <w:rsid w:val="0022293B"/>
    <w:rsid w:val="002313E5"/>
    <w:rsid w:val="0023284A"/>
    <w:rsid w:val="0024220C"/>
    <w:rsid w:val="00243CEE"/>
    <w:rsid w:val="00270E87"/>
    <w:rsid w:val="00272367"/>
    <w:rsid w:val="00273DB2"/>
    <w:rsid w:val="0027638A"/>
    <w:rsid w:val="0028116E"/>
    <w:rsid w:val="00284E10"/>
    <w:rsid w:val="00296D44"/>
    <w:rsid w:val="002B5CC0"/>
    <w:rsid w:val="002D5770"/>
    <w:rsid w:val="002D7B41"/>
    <w:rsid w:val="002E779A"/>
    <w:rsid w:val="003042E5"/>
    <w:rsid w:val="00330840"/>
    <w:rsid w:val="00364D50"/>
    <w:rsid w:val="00365F34"/>
    <w:rsid w:val="00376AD3"/>
    <w:rsid w:val="003A14D9"/>
    <w:rsid w:val="003A4C89"/>
    <w:rsid w:val="003D3226"/>
    <w:rsid w:val="003D6DBB"/>
    <w:rsid w:val="003E6579"/>
    <w:rsid w:val="0041704E"/>
    <w:rsid w:val="00433D25"/>
    <w:rsid w:val="00456746"/>
    <w:rsid w:val="004600FA"/>
    <w:rsid w:val="0046287D"/>
    <w:rsid w:val="00467B28"/>
    <w:rsid w:val="00476A94"/>
    <w:rsid w:val="004835E0"/>
    <w:rsid w:val="00483AFA"/>
    <w:rsid w:val="004930FE"/>
    <w:rsid w:val="00493F01"/>
    <w:rsid w:val="00497685"/>
    <w:rsid w:val="004B3D16"/>
    <w:rsid w:val="004D2CF2"/>
    <w:rsid w:val="004F115E"/>
    <w:rsid w:val="0050746F"/>
    <w:rsid w:val="00510915"/>
    <w:rsid w:val="005308F1"/>
    <w:rsid w:val="00534252"/>
    <w:rsid w:val="00534FC2"/>
    <w:rsid w:val="00546898"/>
    <w:rsid w:val="005549A8"/>
    <w:rsid w:val="0055774F"/>
    <w:rsid w:val="00562561"/>
    <w:rsid w:val="005700BA"/>
    <w:rsid w:val="005778E6"/>
    <w:rsid w:val="005B676B"/>
    <w:rsid w:val="005C203A"/>
    <w:rsid w:val="005C3DEB"/>
    <w:rsid w:val="005C7383"/>
    <w:rsid w:val="005D2E57"/>
    <w:rsid w:val="005D4BBB"/>
    <w:rsid w:val="005E1F83"/>
    <w:rsid w:val="005E5763"/>
    <w:rsid w:val="005F2E20"/>
    <w:rsid w:val="0061079B"/>
    <w:rsid w:val="00632DA1"/>
    <w:rsid w:val="00644373"/>
    <w:rsid w:val="006542AD"/>
    <w:rsid w:val="00670315"/>
    <w:rsid w:val="00672445"/>
    <w:rsid w:val="006806E9"/>
    <w:rsid w:val="00685601"/>
    <w:rsid w:val="00695671"/>
    <w:rsid w:val="006B3A59"/>
    <w:rsid w:val="006C237C"/>
    <w:rsid w:val="006D2026"/>
    <w:rsid w:val="006D6CA5"/>
    <w:rsid w:val="006E1F9B"/>
    <w:rsid w:val="006E4864"/>
    <w:rsid w:val="006F0F76"/>
    <w:rsid w:val="006F37F4"/>
    <w:rsid w:val="006F3922"/>
    <w:rsid w:val="006F7629"/>
    <w:rsid w:val="0070392D"/>
    <w:rsid w:val="007320C5"/>
    <w:rsid w:val="00750731"/>
    <w:rsid w:val="007554F2"/>
    <w:rsid w:val="00757E16"/>
    <w:rsid w:val="00767503"/>
    <w:rsid w:val="00787B09"/>
    <w:rsid w:val="007A6EED"/>
    <w:rsid w:val="007C21AF"/>
    <w:rsid w:val="007E5BA9"/>
    <w:rsid w:val="007E65E7"/>
    <w:rsid w:val="007F2259"/>
    <w:rsid w:val="00827324"/>
    <w:rsid w:val="00846AE2"/>
    <w:rsid w:val="00853C7D"/>
    <w:rsid w:val="0086107F"/>
    <w:rsid w:val="00892AF5"/>
    <w:rsid w:val="008A15FC"/>
    <w:rsid w:val="008A4A8F"/>
    <w:rsid w:val="008C2D8D"/>
    <w:rsid w:val="008D5D0A"/>
    <w:rsid w:val="008E4FB6"/>
    <w:rsid w:val="008F2140"/>
    <w:rsid w:val="008F789E"/>
    <w:rsid w:val="00901FAE"/>
    <w:rsid w:val="0090290C"/>
    <w:rsid w:val="00904993"/>
    <w:rsid w:val="00907B10"/>
    <w:rsid w:val="00913DBD"/>
    <w:rsid w:val="00914B3B"/>
    <w:rsid w:val="00925E8A"/>
    <w:rsid w:val="0092731E"/>
    <w:rsid w:val="00942D86"/>
    <w:rsid w:val="009624F7"/>
    <w:rsid w:val="00993716"/>
    <w:rsid w:val="009977A6"/>
    <w:rsid w:val="009B0A1E"/>
    <w:rsid w:val="009B78E1"/>
    <w:rsid w:val="009D6B36"/>
    <w:rsid w:val="009D769A"/>
    <w:rsid w:val="00A00A88"/>
    <w:rsid w:val="00A136A1"/>
    <w:rsid w:val="00A210AA"/>
    <w:rsid w:val="00A33BB1"/>
    <w:rsid w:val="00A5388F"/>
    <w:rsid w:val="00A56605"/>
    <w:rsid w:val="00A612A4"/>
    <w:rsid w:val="00A64D55"/>
    <w:rsid w:val="00A64FAF"/>
    <w:rsid w:val="00A7183E"/>
    <w:rsid w:val="00A80F79"/>
    <w:rsid w:val="00A8101A"/>
    <w:rsid w:val="00A81471"/>
    <w:rsid w:val="00A939B1"/>
    <w:rsid w:val="00AB2ED4"/>
    <w:rsid w:val="00AD14B9"/>
    <w:rsid w:val="00AD2F81"/>
    <w:rsid w:val="00AD63DB"/>
    <w:rsid w:val="00AF62F6"/>
    <w:rsid w:val="00B20CB9"/>
    <w:rsid w:val="00B432A9"/>
    <w:rsid w:val="00B43FCE"/>
    <w:rsid w:val="00B44388"/>
    <w:rsid w:val="00B478C1"/>
    <w:rsid w:val="00B624DE"/>
    <w:rsid w:val="00B820F9"/>
    <w:rsid w:val="00B843E9"/>
    <w:rsid w:val="00B928EC"/>
    <w:rsid w:val="00B95F7B"/>
    <w:rsid w:val="00B970C0"/>
    <w:rsid w:val="00BB2DE0"/>
    <w:rsid w:val="00BB475F"/>
    <w:rsid w:val="00BC3F58"/>
    <w:rsid w:val="00BC787F"/>
    <w:rsid w:val="00BD122E"/>
    <w:rsid w:val="00BD2086"/>
    <w:rsid w:val="00C033A3"/>
    <w:rsid w:val="00C16C28"/>
    <w:rsid w:val="00C20793"/>
    <w:rsid w:val="00C304FB"/>
    <w:rsid w:val="00C4685B"/>
    <w:rsid w:val="00C61751"/>
    <w:rsid w:val="00C700E7"/>
    <w:rsid w:val="00C7503D"/>
    <w:rsid w:val="00C80BFE"/>
    <w:rsid w:val="00CB4097"/>
    <w:rsid w:val="00CC12D0"/>
    <w:rsid w:val="00CC1A8A"/>
    <w:rsid w:val="00CD5DFC"/>
    <w:rsid w:val="00CE2B4E"/>
    <w:rsid w:val="00CF481B"/>
    <w:rsid w:val="00D0423C"/>
    <w:rsid w:val="00D0661A"/>
    <w:rsid w:val="00D213F5"/>
    <w:rsid w:val="00D300B0"/>
    <w:rsid w:val="00D37108"/>
    <w:rsid w:val="00D5751A"/>
    <w:rsid w:val="00D60E21"/>
    <w:rsid w:val="00D65B8C"/>
    <w:rsid w:val="00D74CAC"/>
    <w:rsid w:val="00D845C1"/>
    <w:rsid w:val="00D84A46"/>
    <w:rsid w:val="00D949D2"/>
    <w:rsid w:val="00DB0886"/>
    <w:rsid w:val="00DC75D0"/>
    <w:rsid w:val="00DF468F"/>
    <w:rsid w:val="00E11A26"/>
    <w:rsid w:val="00E17FE2"/>
    <w:rsid w:val="00E20E86"/>
    <w:rsid w:val="00E511ED"/>
    <w:rsid w:val="00E53A02"/>
    <w:rsid w:val="00E542B2"/>
    <w:rsid w:val="00E5616C"/>
    <w:rsid w:val="00E563BC"/>
    <w:rsid w:val="00E6350E"/>
    <w:rsid w:val="00E800FF"/>
    <w:rsid w:val="00E82C78"/>
    <w:rsid w:val="00E851DD"/>
    <w:rsid w:val="00E875CD"/>
    <w:rsid w:val="00EA33A8"/>
    <w:rsid w:val="00EA365A"/>
    <w:rsid w:val="00EE29E6"/>
    <w:rsid w:val="00EE34F3"/>
    <w:rsid w:val="00EE6363"/>
    <w:rsid w:val="00EF3D63"/>
    <w:rsid w:val="00F00C89"/>
    <w:rsid w:val="00F03824"/>
    <w:rsid w:val="00F22153"/>
    <w:rsid w:val="00F309F4"/>
    <w:rsid w:val="00F30FB9"/>
    <w:rsid w:val="00F410B9"/>
    <w:rsid w:val="00F43868"/>
    <w:rsid w:val="00F47C83"/>
    <w:rsid w:val="00F57B63"/>
    <w:rsid w:val="00F903C8"/>
    <w:rsid w:val="00F909E3"/>
    <w:rsid w:val="00F96D12"/>
    <w:rsid w:val="00F978F8"/>
    <w:rsid w:val="00FC263A"/>
    <w:rsid w:val="00FD252F"/>
    <w:rsid w:val="00FD4241"/>
    <w:rsid w:val="00FF7344"/>
    <w:rsid w:val="00FF75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5487"/>
  <w15:chartTrackingRefBased/>
  <w15:docId w15:val="{F1C4F980-BB89-42D2-B35D-8A2CBF5A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4220C"/>
    <w:rPr>
      <w:sz w:val="16"/>
      <w:szCs w:val="16"/>
    </w:rPr>
  </w:style>
  <w:style w:type="paragraph" w:styleId="Textkomentra">
    <w:name w:val="annotation text"/>
    <w:basedOn w:val="Normlny"/>
    <w:link w:val="TextkomentraChar"/>
    <w:uiPriority w:val="99"/>
    <w:semiHidden/>
    <w:unhideWhenUsed/>
    <w:rsid w:val="0024220C"/>
    <w:pPr>
      <w:spacing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semiHidden/>
    <w:rsid w:val="0024220C"/>
    <w:rPr>
      <w:rFonts w:ascii="Times New Roman" w:hAnsi="Times New Roman" w:cs="Times New Roman"/>
      <w:sz w:val="20"/>
      <w:szCs w:val="20"/>
    </w:rPr>
  </w:style>
  <w:style w:type="paragraph" w:styleId="Textbubliny">
    <w:name w:val="Balloon Text"/>
    <w:basedOn w:val="Normlny"/>
    <w:link w:val="TextbublinyChar"/>
    <w:uiPriority w:val="99"/>
    <w:semiHidden/>
    <w:unhideWhenUsed/>
    <w:rsid w:val="0024220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220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C80BFE"/>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C80BFE"/>
    <w:rPr>
      <w:rFonts w:ascii="Times New Roman" w:hAnsi="Times New Roman" w:cs="Times New Roman"/>
      <w:b/>
      <w:bCs/>
      <w:sz w:val="20"/>
      <w:szCs w:val="20"/>
    </w:rPr>
  </w:style>
  <w:style w:type="paragraph" w:styleId="Odsekzoznamu">
    <w:name w:val="List Paragraph"/>
    <w:basedOn w:val="Normlny"/>
    <w:uiPriority w:val="34"/>
    <w:qFormat/>
    <w:rsid w:val="0070392D"/>
    <w:pPr>
      <w:ind w:left="720"/>
      <w:contextualSpacing/>
    </w:pPr>
  </w:style>
  <w:style w:type="character" w:styleId="Hypertextovprepojenie">
    <w:name w:val="Hyperlink"/>
    <w:basedOn w:val="Predvolenpsmoodseku"/>
    <w:uiPriority w:val="99"/>
    <w:semiHidden/>
    <w:unhideWhenUsed/>
    <w:rsid w:val="001E5230"/>
    <w:rPr>
      <w:color w:val="0000FF"/>
      <w:u w:val="single"/>
    </w:rPr>
  </w:style>
  <w:style w:type="paragraph" w:styleId="Revzia">
    <w:name w:val="Revision"/>
    <w:hidden/>
    <w:uiPriority w:val="99"/>
    <w:semiHidden/>
    <w:rsid w:val="00090A0B"/>
    <w:pPr>
      <w:spacing w:after="0" w:line="240" w:lineRule="auto"/>
    </w:pPr>
  </w:style>
  <w:style w:type="paragraph" w:styleId="Hlavika">
    <w:name w:val="header"/>
    <w:basedOn w:val="Normlny"/>
    <w:link w:val="HlavikaChar"/>
    <w:uiPriority w:val="99"/>
    <w:unhideWhenUsed/>
    <w:rsid w:val="004D2C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2CF2"/>
  </w:style>
  <w:style w:type="paragraph" w:styleId="Pta">
    <w:name w:val="footer"/>
    <w:basedOn w:val="Normlny"/>
    <w:link w:val="PtaChar"/>
    <w:uiPriority w:val="99"/>
    <w:unhideWhenUsed/>
    <w:rsid w:val="004D2CF2"/>
    <w:pPr>
      <w:tabs>
        <w:tab w:val="center" w:pos="4536"/>
        <w:tab w:val="right" w:pos="9072"/>
      </w:tabs>
      <w:spacing w:after="0" w:line="240" w:lineRule="auto"/>
    </w:pPr>
  </w:style>
  <w:style w:type="character" w:customStyle="1" w:styleId="PtaChar">
    <w:name w:val="Päta Char"/>
    <w:basedOn w:val="Predvolenpsmoodseku"/>
    <w:link w:val="Pta"/>
    <w:uiPriority w:val="99"/>
    <w:rsid w:val="004D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372">
      <w:bodyDiv w:val="1"/>
      <w:marLeft w:val="0"/>
      <w:marRight w:val="0"/>
      <w:marTop w:val="0"/>
      <w:marBottom w:val="0"/>
      <w:divBdr>
        <w:top w:val="none" w:sz="0" w:space="0" w:color="auto"/>
        <w:left w:val="none" w:sz="0" w:space="0" w:color="auto"/>
        <w:bottom w:val="none" w:sz="0" w:space="0" w:color="auto"/>
        <w:right w:val="none" w:sz="0" w:space="0" w:color="auto"/>
      </w:divBdr>
    </w:div>
    <w:div w:id="251857587">
      <w:bodyDiv w:val="1"/>
      <w:marLeft w:val="0"/>
      <w:marRight w:val="0"/>
      <w:marTop w:val="0"/>
      <w:marBottom w:val="0"/>
      <w:divBdr>
        <w:top w:val="none" w:sz="0" w:space="0" w:color="auto"/>
        <w:left w:val="none" w:sz="0" w:space="0" w:color="auto"/>
        <w:bottom w:val="none" w:sz="0" w:space="0" w:color="auto"/>
        <w:right w:val="none" w:sz="0" w:space="0" w:color="auto"/>
      </w:divBdr>
    </w:div>
    <w:div w:id="692531756">
      <w:bodyDiv w:val="1"/>
      <w:marLeft w:val="0"/>
      <w:marRight w:val="0"/>
      <w:marTop w:val="0"/>
      <w:marBottom w:val="0"/>
      <w:divBdr>
        <w:top w:val="none" w:sz="0" w:space="0" w:color="auto"/>
        <w:left w:val="none" w:sz="0" w:space="0" w:color="auto"/>
        <w:bottom w:val="none" w:sz="0" w:space="0" w:color="auto"/>
        <w:right w:val="none" w:sz="0" w:space="0" w:color="auto"/>
      </w:divBdr>
    </w:div>
    <w:div w:id="997801516">
      <w:bodyDiv w:val="1"/>
      <w:marLeft w:val="0"/>
      <w:marRight w:val="0"/>
      <w:marTop w:val="0"/>
      <w:marBottom w:val="0"/>
      <w:divBdr>
        <w:top w:val="none" w:sz="0" w:space="0" w:color="auto"/>
        <w:left w:val="none" w:sz="0" w:space="0" w:color="auto"/>
        <w:bottom w:val="none" w:sz="0" w:space="0" w:color="auto"/>
        <w:right w:val="none" w:sz="0" w:space="0" w:color="auto"/>
      </w:divBdr>
    </w:div>
    <w:div w:id="1116557486">
      <w:bodyDiv w:val="1"/>
      <w:marLeft w:val="0"/>
      <w:marRight w:val="0"/>
      <w:marTop w:val="0"/>
      <w:marBottom w:val="0"/>
      <w:divBdr>
        <w:top w:val="none" w:sz="0" w:space="0" w:color="auto"/>
        <w:left w:val="none" w:sz="0" w:space="0" w:color="auto"/>
        <w:bottom w:val="none" w:sz="0" w:space="0" w:color="auto"/>
        <w:right w:val="none" w:sz="0" w:space="0" w:color="auto"/>
      </w:divBdr>
    </w:div>
    <w:div w:id="1164737120">
      <w:bodyDiv w:val="1"/>
      <w:marLeft w:val="0"/>
      <w:marRight w:val="0"/>
      <w:marTop w:val="0"/>
      <w:marBottom w:val="0"/>
      <w:divBdr>
        <w:top w:val="none" w:sz="0" w:space="0" w:color="auto"/>
        <w:left w:val="none" w:sz="0" w:space="0" w:color="auto"/>
        <w:bottom w:val="none" w:sz="0" w:space="0" w:color="auto"/>
        <w:right w:val="none" w:sz="0" w:space="0" w:color="auto"/>
      </w:divBdr>
    </w:div>
    <w:div w:id="1283809393">
      <w:bodyDiv w:val="1"/>
      <w:marLeft w:val="0"/>
      <w:marRight w:val="0"/>
      <w:marTop w:val="0"/>
      <w:marBottom w:val="0"/>
      <w:divBdr>
        <w:top w:val="none" w:sz="0" w:space="0" w:color="auto"/>
        <w:left w:val="none" w:sz="0" w:space="0" w:color="auto"/>
        <w:bottom w:val="none" w:sz="0" w:space="0" w:color="auto"/>
        <w:right w:val="none" w:sz="0" w:space="0" w:color="auto"/>
      </w:divBdr>
    </w:div>
    <w:div w:id="1604924070">
      <w:bodyDiv w:val="1"/>
      <w:marLeft w:val="0"/>
      <w:marRight w:val="0"/>
      <w:marTop w:val="0"/>
      <w:marBottom w:val="0"/>
      <w:divBdr>
        <w:top w:val="none" w:sz="0" w:space="0" w:color="auto"/>
        <w:left w:val="none" w:sz="0" w:space="0" w:color="auto"/>
        <w:bottom w:val="none" w:sz="0" w:space="0" w:color="auto"/>
        <w:right w:val="none" w:sz="0" w:space="0" w:color="auto"/>
      </w:divBdr>
    </w:div>
    <w:div w:id="20733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5E56-1AAD-42A8-BE2E-1EA89D87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14456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 Fujdová</dc:creator>
  <cp:keywords/>
  <dc:description/>
  <cp:lastModifiedBy>Cebulakova Monika</cp:lastModifiedBy>
  <cp:revision>2</cp:revision>
  <dcterms:created xsi:type="dcterms:W3CDTF">2022-01-05T09:34:00Z</dcterms:created>
  <dcterms:modified xsi:type="dcterms:W3CDTF">2022-01-05T09:34:00Z</dcterms:modified>
</cp:coreProperties>
</file>