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95" w:rsidRPr="00F807B6" w:rsidRDefault="00223395" w:rsidP="00223395">
      <w:pPr>
        <w:spacing w:after="120" w:line="276" w:lineRule="auto"/>
        <w:contextualSpacing/>
        <w:jc w:val="center"/>
      </w:pPr>
      <w:bookmarkStart w:id="0" w:name="_GoBack"/>
      <w:bookmarkEnd w:id="0"/>
      <w:r w:rsidRPr="00F807B6">
        <w:rPr>
          <w:b/>
          <w:bCs/>
          <w:spacing w:val="30"/>
        </w:rPr>
        <w:t>DOLOŽKA</w:t>
      </w:r>
    </w:p>
    <w:p w:rsidR="00223395" w:rsidRPr="00F807B6" w:rsidRDefault="00223395" w:rsidP="00223395">
      <w:pPr>
        <w:spacing w:after="120" w:line="276" w:lineRule="auto"/>
        <w:contextualSpacing/>
        <w:jc w:val="center"/>
        <w:rPr>
          <w:b/>
          <w:bCs/>
        </w:rPr>
      </w:pPr>
      <w:r w:rsidRPr="00F807B6">
        <w:rPr>
          <w:b/>
          <w:bCs/>
        </w:rPr>
        <w:t>vybraných vplyvov</w:t>
      </w:r>
    </w:p>
    <w:p w:rsidR="00223395" w:rsidRPr="00F807B6" w:rsidRDefault="00223395" w:rsidP="00223395">
      <w:pPr>
        <w:spacing w:after="120" w:line="276" w:lineRule="auto"/>
        <w:jc w:val="center"/>
      </w:pPr>
    </w:p>
    <w:p w:rsidR="00223395" w:rsidRPr="00F807B6" w:rsidRDefault="00223395" w:rsidP="00223395">
      <w:pPr>
        <w:spacing w:after="120" w:line="276" w:lineRule="auto"/>
        <w:jc w:val="both"/>
      </w:pPr>
      <w:r w:rsidRPr="00F807B6">
        <w:rPr>
          <w:b/>
          <w:bCs/>
        </w:rPr>
        <w:t>A.1.</w:t>
      </w:r>
      <w:r w:rsidRPr="00F807B6">
        <w:rPr>
          <w:b/>
          <w:bCs/>
          <w:spacing w:val="70"/>
        </w:rPr>
        <w:t xml:space="preserve"> </w:t>
      </w:r>
      <w:r w:rsidRPr="00F807B6">
        <w:rPr>
          <w:b/>
          <w:bCs/>
        </w:rPr>
        <w:t>Názov</w:t>
      </w:r>
      <w:r w:rsidRPr="00F807B6">
        <w:rPr>
          <w:b/>
          <w:bCs/>
          <w:spacing w:val="70"/>
        </w:rPr>
        <w:t xml:space="preserve"> </w:t>
      </w:r>
      <w:r w:rsidRPr="00F807B6">
        <w:rPr>
          <w:b/>
          <w:bCs/>
        </w:rPr>
        <w:t>materiálu:</w:t>
      </w:r>
      <w:r w:rsidRPr="00F807B6">
        <w:rPr>
          <w:b/>
          <w:bCs/>
          <w:spacing w:val="70"/>
        </w:rPr>
        <w:t xml:space="preserve"> </w:t>
      </w:r>
      <w:r w:rsidRPr="00F807B6">
        <w:t>návrh zákona, ktorým sa dopĺňa zákon č. 576/2004 Z. z. o zdravotnej starostlivosti, službách súvisiacich s poskytovaním zdravotnej starostlivosti a o zmene a doplnení niektorých zákonov v znení neskorších predpisov</w:t>
      </w:r>
    </w:p>
    <w:p w:rsidR="00223395" w:rsidRPr="00F807B6" w:rsidRDefault="00223395" w:rsidP="00223395">
      <w:pPr>
        <w:spacing w:after="120" w:line="276" w:lineRule="auto"/>
        <w:rPr>
          <w:i/>
          <w:iCs/>
        </w:rPr>
      </w:pPr>
      <w:r w:rsidRPr="00F807B6">
        <w:rPr>
          <w:b/>
          <w:bCs/>
        </w:rPr>
        <w:t>Termín začatia a ukončenia PPK:</w:t>
      </w:r>
      <w:r w:rsidRPr="00F807B6">
        <w:t xml:space="preserve"> </w:t>
      </w:r>
      <w:r w:rsidRPr="00F807B6">
        <w:rPr>
          <w:i/>
          <w:iCs/>
        </w:rPr>
        <w:t>bezpredmetné</w:t>
      </w:r>
    </w:p>
    <w:p w:rsidR="00223395" w:rsidRPr="00F807B6" w:rsidRDefault="00223395" w:rsidP="00223395">
      <w:pPr>
        <w:pStyle w:val="Normlnywebov"/>
        <w:spacing w:before="0" w:beforeAutospacing="0" w:after="120" w:afterAutospacing="0" w:line="276" w:lineRule="auto"/>
        <w:jc w:val="both"/>
        <w:rPr>
          <w:color w:val="000000"/>
        </w:rPr>
      </w:pPr>
      <w:r w:rsidRPr="00F807B6">
        <w:rPr>
          <w:b/>
          <w:bCs/>
          <w:color w:val="000000"/>
        </w:rPr>
        <w:t>A.2. Vplyvy:</w:t>
      </w:r>
    </w:p>
    <w:tbl>
      <w:tblPr>
        <w:tblW w:w="9118" w:type="dxa"/>
        <w:tblInd w:w="-14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2"/>
        <w:gridCol w:w="1179"/>
        <w:gridCol w:w="1229"/>
      </w:tblGrid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Žiadne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</w:pPr>
            <w:r w:rsidRPr="00F807B6">
              <w:rPr>
                <w:color w:val="000000"/>
              </w:rPr>
              <w:t> Negatívne </w:t>
            </w:r>
          </w:p>
        </w:tc>
      </w:tr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223395" w:rsidRPr="00F807B6" w:rsidTr="007B49F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6. Vplyvy na </w:t>
            </w:r>
            <w:r w:rsidRPr="005D650F">
              <w:t>manželstvo, rodičovstvo a rodinu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395" w:rsidRPr="00F807B6" w:rsidRDefault="00223395" w:rsidP="007B49F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</w:tbl>
    <w:p w:rsidR="00223395" w:rsidRPr="00F807B6" w:rsidRDefault="00223395" w:rsidP="00223395">
      <w:pPr>
        <w:spacing w:after="120" w:line="276" w:lineRule="auto"/>
      </w:pPr>
      <w:r w:rsidRPr="00F807B6">
        <w:rPr>
          <w:b/>
          <w:bCs/>
        </w:rPr>
        <w:t>A.3. Poznámky</w:t>
      </w:r>
    </w:p>
    <w:p w:rsidR="00223395" w:rsidRPr="001A0F89" w:rsidRDefault="00223395" w:rsidP="00223395">
      <w:pPr>
        <w:ind w:firstLine="708"/>
        <w:jc w:val="both"/>
        <w:rPr>
          <w:i/>
          <w:iCs/>
          <w:color w:val="000000"/>
        </w:rPr>
      </w:pPr>
      <w:r w:rsidRPr="001A0F89">
        <w:rPr>
          <w:i/>
          <w:iCs/>
        </w:rPr>
        <w:t>Pozitívne vplyvy na manželstvo, rodičovstvo a rodinu možno badať v tom, že prítomnosť blízkej osoby pri poskytovaní zdravotnej starostlivosti</w:t>
      </w:r>
      <w:r w:rsidRPr="0071180A">
        <w:rPr>
          <w:rStyle w:val="awspan"/>
          <w:i/>
          <w:iCs/>
          <w:color w:val="000000"/>
        </w:rPr>
        <w:t xml:space="preserve"> pacientovi s ťažkým zdravotným postihnutím je veľmi prospešná. Pozitívne pôsobí predovšetkým na jeho celkovú psychickú pohodu a ovplyvňuje aj úspešnosť liečby.</w:t>
      </w:r>
    </w:p>
    <w:p w:rsidR="00223395" w:rsidRPr="00787F25" w:rsidRDefault="00223395" w:rsidP="00223395">
      <w:pPr>
        <w:spacing w:after="120" w:line="276" w:lineRule="auto"/>
        <w:ind w:firstLine="708"/>
        <w:jc w:val="both"/>
        <w:rPr>
          <w:i/>
          <w:iCs/>
        </w:rPr>
      </w:pPr>
    </w:p>
    <w:p w:rsidR="00223395" w:rsidRPr="00F807B6" w:rsidRDefault="00223395" w:rsidP="00223395">
      <w:pPr>
        <w:spacing w:after="120" w:line="276" w:lineRule="auto"/>
      </w:pPr>
      <w:r w:rsidRPr="00F807B6">
        <w:rPr>
          <w:b/>
          <w:bCs/>
        </w:rPr>
        <w:t>A.4. Alternatívne riešenia</w:t>
      </w:r>
    </w:p>
    <w:p w:rsidR="00223395" w:rsidRPr="00F807B6" w:rsidRDefault="00223395" w:rsidP="00223395">
      <w:pPr>
        <w:spacing w:after="120" w:line="276" w:lineRule="auto"/>
      </w:pPr>
      <w:r w:rsidRPr="00F807B6">
        <w:rPr>
          <w:i/>
          <w:iCs/>
        </w:rPr>
        <w:t>bezpredmetné</w:t>
      </w:r>
    </w:p>
    <w:p w:rsidR="00223395" w:rsidRPr="00F807B6" w:rsidRDefault="00223395" w:rsidP="00223395">
      <w:pPr>
        <w:spacing w:after="120" w:line="276" w:lineRule="auto"/>
      </w:pPr>
      <w:r w:rsidRPr="00F807B6">
        <w:rPr>
          <w:b/>
          <w:bCs/>
        </w:rPr>
        <w:t xml:space="preserve"> A.5. Stanovisko gestorov</w:t>
      </w:r>
    </w:p>
    <w:p w:rsidR="00223395" w:rsidRPr="0071180A" w:rsidRDefault="00223395" w:rsidP="00223395">
      <w:pPr>
        <w:spacing w:after="120" w:line="276" w:lineRule="auto"/>
        <w:ind w:firstLine="708"/>
        <w:jc w:val="both"/>
        <w:rPr>
          <w:bCs/>
          <w:i/>
          <w:iCs/>
        </w:rPr>
      </w:pPr>
      <w:r w:rsidRPr="0071180A">
        <w:rPr>
          <w:rStyle w:val="awspan"/>
          <w:i/>
          <w:iCs/>
        </w:rPr>
        <w:t>Návrh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zákona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bol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zaslaný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na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vyjadrenie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Ministerstvu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financií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SR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a stanovisko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tohto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ministerstva tvorí súčasť predkladaného materiálu.</w:t>
      </w:r>
    </w:p>
    <w:p w:rsidR="007D65E0" w:rsidRDefault="007D65E0"/>
    <w:sectPr w:rsidR="007D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2"/>
    <w:rsid w:val="001F0462"/>
    <w:rsid w:val="00223395"/>
    <w:rsid w:val="007D65E0"/>
    <w:rsid w:val="00C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A333-852B-46C9-AF6E-AFDB52DC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223395"/>
  </w:style>
  <w:style w:type="paragraph" w:styleId="Normlnywebov">
    <w:name w:val="Normal (Web)"/>
    <w:basedOn w:val="Normlny"/>
    <w:unhideWhenUsed/>
    <w:qFormat/>
    <w:rsid w:val="002233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Gajdosova</dc:creator>
  <cp:keywords/>
  <dc:description/>
  <cp:lastModifiedBy>Ďurejová Barbora</cp:lastModifiedBy>
  <cp:revision>2</cp:revision>
  <dcterms:created xsi:type="dcterms:W3CDTF">2022-03-08T13:29:00Z</dcterms:created>
  <dcterms:modified xsi:type="dcterms:W3CDTF">2022-03-08T13:29:00Z</dcterms:modified>
</cp:coreProperties>
</file>