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1EEC" w14:textId="77777777" w:rsidR="0015517B" w:rsidRPr="00FD7537" w:rsidRDefault="0015517B" w:rsidP="0015517B">
      <w:pPr>
        <w:jc w:val="center"/>
        <w:rPr>
          <w:b/>
          <w:bCs/>
        </w:rPr>
      </w:pPr>
      <w:r w:rsidRPr="00FD7537">
        <w:rPr>
          <w:b/>
          <w:bCs/>
        </w:rPr>
        <w:t>Dôvodová správa</w:t>
      </w:r>
    </w:p>
    <w:p w14:paraId="749E1687" w14:textId="77777777" w:rsidR="0015517B" w:rsidRPr="00FD7537" w:rsidRDefault="0015517B" w:rsidP="0015517B">
      <w:pPr>
        <w:jc w:val="center"/>
        <w:outlineLvl w:val="0"/>
      </w:pPr>
    </w:p>
    <w:p w14:paraId="6FD32E3A" w14:textId="77777777" w:rsidR="0015517B" w:rsidRPr="00FD7537" w:rsidRDefault="0015517B" w:rsidP="0015517B">
      <w:pPr>
        <w:jc w:val="both"/>
        <w:rPr>
          <w:b/>
          <w:bCs/>
        </w:rPr>
      </w:pPr>
    </w:p>
    <w:p w14:paraId="13A16A93" w14:textId="77777777" w:rsidR="0015517B" w:rsidRPr="00FD7537" w:rsidRDefault="0015517B" w:rsidP="0015517B">
      <w:pPr>
        <w:pStyle w:val="Nadpis5"/>
        <w:spacing w:before="0"/>
        <w:rPr>
          <w:rFonts w:ascii="Times New Roman" w:hAnsi="Times New Roman" w:cs="Times New Roman"/>
          <w:b/>
          <w:color w:val="auto"/>
        </w:rPr>
      </w:pPr>
      <w:r w:rsidRPr="00FD7537">
        <w:rPr>
          <w:rFonts w:ascii="Times New Roman" w:hAnsi="Times New Roman" w:cs="Times New Roman"/>
          <w:b/>
          <w:color w:val="auto"/>
        </w:rPr>
        <w:t>A. Všeobecná časť</w:t>
      </w:r>
    </w:p>
    <w:p w14:paraId="3282347D" w14:textId="77777777" w:rsidR="0015517B" w:rsidRPr="00FD7537" w:rsidRDefault="0015517B" w:rsidP="0015517B">
      <w:pPr>
        <w:pStyle w:val="Default"/>
        <w:jc w:val="both"/>
        <w:rPr>
          <w:color w:val="auto"/>
        </w:rPr>
      </w:pPr>
    </w:p>
    <w:p w14:paraId="482463E5" w14:textId="070FCA8B" w:rsidR="0015517B" w:rsidRPr="00FD7537" w:rsidRDefault="0015517B" w:rsidP="0015517B">
      <w:pPr>
        <w:ind w:firstLine="708"/>
        <w:jc w:val="both"/>
        <w:rPr>
          <w:bCs/>
        </w:rPr>
      </w:pPr>
      <w:r w:rsidRPr="00FD7537">
        <w:rPr>
          <w:shd w:val="clear" w:color="auto" w:fill="FFFFFF"/>
        </w:rPr>
        <w:t xml:space="preserve">Návrh zákona predkladá Ministerstvo hospodárstva Slovenskej republiky. Dôvodom predloženia novely zákona č. 144/2013 Z. z. </w:t>
      </w:r>
      <w:r w:rsidRPr="00FD7537">
        <w:t xml:space="preserve">o obchodovaní s určenými výrobkami, ktorých držba sa obmedzuje z bezpečnostných dôvodov a ktorým sa mení zákon Národnej rady Slovenskej republiky č. 145/1995 Z. z. o správnych poplatkoch v znení neskorších predpisov </w:t>
      </w:r>
      <w:r w:rsidR="000C0085">
        <w:t xml:space="preserve">v znení neskorších predpisov </w:t>
      </w:r>
      <w:bookmarkStart w:id="0" w:name="_GoBack"/>
      <w:bookmarkEnd w:id="0"/>
      <w:r w:rsidR="000C0085" w:rsidRPr="000C0085">
        <w:t xml:space="preserve">a o zmene a doplnení niektorých zákonov </w:t>
      </w:r>
      <w:r w:rsidRPr="00FD7537">
        <w:rPr>
          <w:bCs/>
        </w:rPr>
        <w:t>je zaktualizovanie a zjednodušenie právnej úpravy pre potreby praxe pri udeľovaní a používaní licencií na obchodovanie s určenými výrobkami, ktorých držba sa obmedzuje z bezpečnostných dôvodov v rámci členských štátov Európskej únie, ako aj štátov mimo územia Európskej únie.</w:t>
      </w:r>
    </w:p>
    <w:p w14:paraId="371922C8" w14:textId="77777777" w:rsidR="0015517B" w:rsidRPr="00FD7537" w:rsidRDefault="0015517B" w:rsidP="0015517B">
      <w:pPr>
        <w:ind w:firstLine="708"/>
        <w:jc w:val="both"/>
        <w:rPr>
          <w:bCs/>
        </w:rPr>
      </w:pPr>
    </w:p>
    <w:p w14:paraId="5A581D49" w14:textId="33FA8419" w:rsidR="0015517B" w:rsidRPr="00FD7537" w:rsidRDefault="005A447A" w:rsidP="005A447A">
      <w:pPr>
        <w:ind w:firstLine="708"/>
        <w:jc w:val="both"/>
      </w:pPr>
      <w:r w:rsidRPr="00FD7537">
        <w:rPr>
          <w:bCs/>
        </w:rPr>
        <w:t xml:space="preserve">Súčasná právna úprava </w:t>
      </w:r>
      <w:r w:rsidR="00814D30" w:rsidRPr="00FD7537">
        <w:rPr>
          <w:bCs/>
        </w:rPr>
        <w:t xml:space="preserve">spôsobuje </w:t>
      </w:r>
      <w:r w:rsidRPr="00FD7537">
        <w:rPr>
          <w:bCs/>
        </w:rPr>
        <w:t xml:space="preserve">v niektorých aspektoch </w:t>
      </w:r>
      <w:r w:rsidR="000963ED" w:rsidRPr="00FD7537">
        <w:rPr>
          <w:bCs/>
        </w:rPr>
        <w:t>aplikačné problémy</w:t>
      </w:r>
      <w:r w:rsidR="00B2480C" w:rsidRPr="00FD7537">
        <w:rPr>
          <w:bCs/>
        </w:rPr>
        <w:t>. K</w:t>
      </w:r>
      <w:r w:rsidR="00A3143D" w:rsidRPr="00FD7537">
        <w:rPr>
          <w:bCs/>
        </w:rPr>
        <w:t>eďže sa týka zahraničného obchodu, je potrebné reagovať na problémy spôsobujúce ťažkosti slovenským podnikateľom napr. pri vývoze určených výrobkov do tretích krajín. Tieto ťažkosti znižujú ich konkurencieschopnosť</w:t>
      </w:r>
      <w:r w:rsidR="00B2480C" w:rsidRPr="00FD7537">
        <w:rPr>
          <w:bCs/>
        </w:rPr>
        <w:t xml:space="preserve"> v porovnaní so zahraničnými obchodníkmi</w:t>
      </w:r>
      <w:r w:rsidR="00A3143D" w:rsidRPr="00FD7537">
        <w:rPr>
          <w:bCs/>
        </w:rPr>
        <w:t>.</w:t>
      </w:r>
      <w:r w:rsidRPr="00FD7537">
        <w:t xml:space="preserve"> </w:t>
      </w:r>
      <w:r w:rsidR="00A3143D" w:rsidRPr="00FD7537">
        <w:t>C</w:t>
      </w:r>
      <w:r w:rsidRPr="00FD7537">
        <w:t>ieľom</w:t>
      </w:r>
      <w:r w:rsidR="0015517B" w:rsidRPr="00FD7537">
        <w:t xml:space="preserve"> </w:t>
      </w:r>
      <w:r w:rsidR="00A3143D" w:rsidRPr="00FD7537">
        <w:t xml:space="preserve">navrhovanej právnej úpravy </w:t>
      </w:r>
      <w:r w:rsidR="0015517B" w:rsidRPr="00FD7537">
        <w:t>je</w:t>
      </w:r>
      <w:r w:rsidR="00A3143D" w:rsidRPr="00FD7537">
        <w:t xml:space="preserve"> preto</w:t>
      </w:r>
      <w:r w:rsidR="0015517B" w:rsidRPr="00FD7537">
        <w:t xml:space="preserve"> odstrán</w:t>
      </w:r>
      <w:r w:rsidR="00A3143D" w:rsidRPr="00FD7537">
        <w:t>enie</w:t>
      </w:r>
      <w:r w:rsidR="0015517B" w:rsidRPr="00FD7537">
        <w:t xml:space="preserve"> problém</w:t>
      </w:r>
      <w:r w:rsidR="00A3143D" w:rsidRPr="00FD7537">
        <w:t>ov</w:t>
      </w:r>
      <w:r w:rsidR="0015517B" w:rsidRPr="00FD7537">
        <w:t xml:space="preserve"> aplikačnej praxe pri obchodovaní s určenými výrobkami, ktorých držba sa obmedzuje z bezpečnostných dôvodov, </w:t>
      </w:r>
      <w:proofErr w:type="spellStart"/>
      <w:r w:rsidR="0015517B" w:rsidRPr="00FD7537">
        <w:t>debyrokratiz</w:t>
      </w:r>
      <w:r w:rsidR="00A3143D" w:rsidRPr="00FD7537">
        <w:t>ácia</w:t>
      </w:r>
      <w:proofErr w:type="spellEnd"/>
      <w:r w:rsidR="0015517B" w:rsidRPr="00FD7537">
        <w:t xml:space="preserve"> licenčn</w:t>
      </w:r>
      <w:r w:rsidR="00A3143D" w:rsidRPr="00FD7537">
        <w:t>ého</w:t>
      </w:r>
      <w:r w:rsidR="0015517B" w:rsidRPr="00FD7537">
        <w:t xml:space="preserve"> proces</w:t>
      </w:r>
      <w:r w:rsidR="00A3143D" w:rsidRPr="00FD7537">
        <w:t>u</w:t>
      </w:r>
      <w:r w:rsidR="0015517B" w:rsidRPr="00FD7537">
        <w:t xml:space="preserve">, napríklad odstránením povinnosti predkladať niektoré prílohy k žiadostiam o udelenie licencií, úpravou náležitostí tzv. </w:t>
      </w:r>
      <w:proofErr w:type="spellStart"/>
      <w:r w:rsidR="0015517B" w:rsidRPr="00FD7537">
        <w:t>antireexportnej</w:t>
      </w:r>
      <w:proofErr w:type="spellEnd"/>
      <w:r w:rsidR="0015517B" w:rsidRPr="00FD7537">
        <w:t xml:space="preserve"> doložky,  vyčlenením vývozu a transferu pyrotechniky z územia Slovenskej republiky z licenčného konania, </w:t>
      </w:r>
      <w:r w:rsidR="0015517B" w:rsidRPr="00FD7537">
        <w:rPr>
          <w:szCs w:val="20"/>
        </w:rPr>
        <w:t>skrátením lehoty na udelenie licencie</w:t>
      </w:r>
      <w:r w:rsidR="0015517B" w:rsidRPr="00FD7537">
        <w:t xml:space="preserve">. Zmena napomôže zvýšeniu konkurencieschopnosti podnikateľských subjektov obchodujúcich s určenými výrobkami v zahraničí.  </w:t>
      </w:r>
    </w:p>
    <w:p w14:paraId="01685011" w14:textId="77777777" w:rsidR="0015517B" w:rsidRPr="00FD7537" w:rsidRDefault="0015517B" w:rsidP="0015517B">
      <w:pPr>
        <w:autoSpaceDE w:val="0"/>
        <w:autoSpaceDN w:val="0"/>
        <w:adjustRightInd w:val="0"/>
        <w:jc w:val="both"/>
        <w:rPr>
          <w:bCs/>
        </w:rPr>
      </w:pPr>
      <w:r w:rsidRPr="00FD7537">
        <w:rPr>
          <w:bCs/>
        </w:rPr>
        <w:tab/>
      </w:r>
    </w:p>
    <w:p w14:paraId="19D447C9" w14:textId="77777777" w:rsidR="0015517B" w:rsidRPr="00FD7537" w:rsidRDefault="0015517B" w:rsidP="0015517B">
      <w:pPr>
        <w:autoSpaceDE w:val="0"/>
        <w:autoSpaceDN w:val="0"/>
        <w:adjustRightInd w:val="0"/>
        <w:jc w:val="both"/>
        <w:rPr>
          <w:bCs/>
        </w:rPr>
      </w:pPr>
      <w:r w:rsidRPr="00FD7537">
        <w:rPr>
          <w:bCs/>
        </w:rPr>
        <w:tab/>
        <w:t xml:space="preserve">Návrh novely zákona nebude mať vplyv na rozpočet verejnej správy, podnikateľské prostredie, nebude mať sociálne vplyvy, ani vplyv na životné prostredie, na informatizáciu spoločnosti, na služby verejnej správy pre občana, ani na manželstvo, rodičovstvo a rodinu.  </w:t>
      </w:r>
    </w:p>
    <w:p w14:paraId="7FD2B8EB" w14:textId="77777777" w:rsidR="0015517B" w:rsidRPr="00FD7537" w:rsidRDefault="0015517B" w:rsidP="0015517B">
      <w:pPr>
        <w:autoSpaceDE w:val="0"/>
        <w:autoSpaceDN w:val="0"/>
        <w:adjustRightInd w:val="0"/>
        <w:jc w:val="both"/>
        <w:rPr>
          <w:bCs/>
        </w:rPr>
      </w:pPr>
    </w:p>
    <w:p w14:paraId="520CFEFA" w14:textId="77777777" w:rsidR="0015517B" w:rsidRPr="00FD7537" w:rsidRDefault="0015517B" w:rsidP="0015517B">
      <w:pPr>
        <w:autoSpaceDE w:val="0"/>
        <w:autoSpaceDN w:val="0"/>
        <w:adjustRightInd w:val="0"/>
        <w:ind w:firstLine="708"/>
        <w:jc w:val="both"/>
        <w:rPr>
          <w:bCs/>
        </w:rPr>
      </w:pPr>
      <w:r w:rsidRPr="00FD7537">
        <w:rPr>
          <w:bCs/>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14:paraId="579E98C2" w14:textId="77777777" w:rsidR="0015517B" w:rsidRPr="00FD7537" w:rsidRDefault="0015517B" w:rsidP="0015517B"/>
    <w:p w14:paraId="7A571F71" w14:textId="77777777" w:rsidR="0015517B" w:rsidRPr="00FD7537" w:rsidRDefault="0015517B" w:rsidP="0015517B">
      <w:pPr>
        <w:ind w:firstLine="708"/>
        <w:rPr>
          <w:rFonts w:eastAsia="Calibri"/>
          <w:b/>
          <w:lang w:eastAsia="en-US"/>
        </w:rPr>
      </w:pPr>
      <w:r w:rsidRPr="00FD7537">
        <w:rPr>
          <w:b/>
        </w:rPr>
        <w:br w:type="page"/>
      </w:r>
    </w:p>
    <w:p w14:paraId="7B5E3180" w14:textId="77777777" w:rsidR="0015517B" w:rsidRPr="00FD7537" w:rsidRDefault="0015517B" w:rsidP="0015517B">
      <w:pPr>
        <w:jc w:val="center"/>
        <w:rPr>
          <w:b/>
          <w:bCs/>
        </w:rPr>
      </w:pPr>
      <w:r w:rsidRPr="00FD7537">
        <w:rPr>
          <w:b/>
          <w:bCs/>
        </w:rPr>
        <w:lastRenderedPageBreak/>
        <w:t>Dôvodová správa</w:t>
      </w:r>
    </w:p>
    <w:p w14:paraId="679DFAA7" w14:textId="77777777" w:rsidR="0015517B" w:rsidRPr="00FD7537" w:rsidRDefault="0015517B" w:rsidP="0015517B">
      <w:pPr>
        <w:jc w:val="center"/>
        <w:outlineLvl w:val="0"/>
      </w:pPr>
    </w:p>
    <w:p w14:paraId="32A5BBF3" w14:textId="77777777" w:rsidR="0015517B" w:rsidRPr="00FD7537" w:rsidRDefault="0015517B" w:rsidP="0015517B">
      <w:pPr>
        <w:jc w:val="both"/>
        <w:rPr>
          <w:b/>
          <w:bCs/>
        </w:rPr>
      </w:pPr>
    </w:p>
    <w:p w14:paraId="1B28269B" w14:textId="77777777" w:rsidR="0015517B" w:rsidRPr="00FD7537" w:rsidRDefault="0015517B" w:rsidP="0015517B">
      <w:pPr>
        <w:pStyle w:val="Nadpis5"/>
        <w:spacing w:before="0"/>
        <w:jc w:val="both"/>
        <w:rPr>
          <w:rFonts w:ascii="Times New Roman" w:hAnsi="Times New Roman" w:cs="Times New Roman"/>
          <w:b/>
          <w:color w:val="auto"/>
        </w:rPr>
      </w:pPr>
      <w:r w:rsidRPr="00FD7537">
        <w:rPr>
          <w:rFonts w:ascii="Times New Roman" w:hAnsi="Times New Roman" w:cs="Times New Roman"/>
          <w:b/>
          <w:color w:val="auto"/>
        </w:rPr>
        <w:t>B. Osobitná časť</w:t>
      </w:r>
    </w:p>
    <w:p w14:paraId="6E5DCD2A" w14:textId="77777777" w:rsidR="0015517B" w:rsidRPr="00FD7537" w:rsidRDefault="0015517B" w:rsidP="0015517B">
      <w:pPr>
        <w:jc w:val="both"/>
        <w:outlineLvl w:val="0"/>
      </w:pPr>
    </w:p>
    <w:p w14:paraId="1F94C1B1" w14:textId="77777777" w:rsidR="0015517B" w:rsidRPr="00FD7537" w:rsidRDefault="0015517B" w:rsidP="0015517B">
      <w:r w:rsidRPr="00FD7537">
        <w:rPr>
          <w:b/>
          <w:u w:val="single"/>
        </w:rPr>
        <w:t>K čl. I</w:t>
      </w:r>
    </w:p>
    <w:p w14:paraId="28D7597A" w14:textId="77777777" w:rsidR="0015517B" w:rsidRPr="00FD7537" w:rsidRDefault="0015517B" w:rsidP="0015517B"/>
    <w:p w14:paraId="68905D4F" w14:textId="77777777" w:rsidR="0015517B" w:rsidRPr="00FD7537" w:rsidRDefault="0015517B" w:rsidP="0015517B">
      <w:pPr>
        <w:jc w:val="both"/>
        <w:rPr>
          <w:b/>
        </w:rPr>
      </w:pPr>
      <w:r w:rsidRPr="00FD7537">
        <w:rPr>
          <w:b/>
        </w:rPr>
        <w:t>K bodu 1</w:t>
      </w:r>
    </w:p>
    <w:p w14:paraId="05587E30" w14:textId="77777777" w:rsidR="0015517B" w:rsidRPr="00FD7537" w:rsidRDefault="0015517B" w:rsidP="0015517B">
      <w:pPr>
        <w:jc w:val="both"/>
      </w:pPr>
    </w:p>
    <w:p w14:paraId="2EEDACCA" w14:textId="77777777" w:rsidR="0015517B" w:rsidRPr="00FD7537" w:rsidRDefault="0015517B" w:rsidP="00FD7537">
      <w:pPr>
        <w:ind w:firstLine="708"/>
        <w:jc w:val="both"/>
      </w:pPr>
      <w:r w:rsidRPr="00FD7537">
        <w:t>Navrhované ustanovenie zosúlaďuje znenie negatívnej pôsobnosti zákona s terminológiou zákonov č. 392/2011 Z. z. o obchodovaní s výrobkami obranného priemyslu a o zmene a doplnení niektorých zákonov a č. 39/2011 Z. z. o položkách s dvojakým použitím a o zmene zákona Národnej rady Slovenskej republiky č</w:t>
      </w:r>
      <w:hyperlink r:id="rId5" w:tooltip="Odkaz na predpis alebo ustanovenie" w:history="1">
        <w:r w:rsidRPr="00FD7537">
          <w:rPr>
            <w:rStyle w:val="Hypertextovprepojenie"/>
            <w:color w:val="auto"/>
            <w:u w:val="none"/>
          </w:rPr>
          <w:t>. 145/1995 Z. z</w:t>
        </w:r>
      </w:hyperlink>
      <w:r w:rsidRPr="00FD7537">
        <w:t>. o správnych poplatkoch v znení neskorších predpisov</w:t>
      </w:r>
      <w:r w:rsidR="007307CB" w:rsidRPr="00FD7537">
        <w:t xml:space="preserve"> v znení neskorších predpisov</w:t>
      </w:r>
      <w:r w:rsidRPr="00FD7537">
        <w:t xml:space="preserve">. </w:t>
      </w:r>
    </w:p>
    <w:p w14:paraId="6F0A8172" w14:textId="77777777" w:rsidR="0015517B" w:rsidRPr="00FD7537" w:rsidRDefault="0015517B" w:rsidP="0015517B">
      <w:pPr>
        <w:jc w:val="both"/>
      </w:pPr>
    </w:p>
    <w:p w14:paraId="0114D7DF" w14:textId="77777777" w:rsidR="0015517B" w:rsidRPr="00FD7537" w:rsidRDefault="0015517B" w:rsidP="0015517B">
      <w:pPr>
        <w:jc w:val="both"/>
        <w:rPr>
          <w:b/>
        </w:rPr>
      </w:pPr>
      <w:r w:rsidRPr="00FD7537">
        <w:rPr>
          <w:b/>
        </w:rPr>
        <w:t>K</w:t>
      </w:r>
      <w:r w:rsidR="00B63A31" w:rsidRPr="00FD7537">
        <w:rPr>
          <w:b/>
        </w:rPr>
        <w:t> </w:t>
      </w:r>
      <w:r w:rsidRPr="00FD7537">
        <w:rPr>
          <w:b/>
        </w:rPr>
        <w:t>bod</w:t>
      </w:r>
      <w:r w:rsidR="00B63A31" w:rsidRPr="00FD7537">
        <w:rPr>
          <w:b/>
        </w:rPr>
        <w:t xml:space="preserve">u </w:t>
      </w:r>
      <w:r w:rsidRPr="00FD7537">
        <w:rPr>
          <w:b/>
        </w:rPr>
        <w:t xml:space="preserve">2 </w:t>
      </w:r>
    </w:p>
    <w:p w14:paraId="17AA3764" w14:textId="77777777" w:rsidR="0015517B" w:rsidRPr="00FD7537" w:rsidRDefault="0015517B" w:rsidP="0015517B">
      <w:pPr>
        <w:jc w:val="both"/>
        <w:rPr>
          <w:b/>
        </w:rPr>
      </w:pPr>
    </w:p>
    <w:p w14:paraId="781BC5B4" w14:textId="77777777" w:rsidR="0015517B" w:rsidRPr="00FD7537" w:rsidRDefault="0015517B" w:rsidP="0015517B">
      <w:pPr>
        <w:jc w:val="both"/>
      </w:pPr>
      <w:r w:rsidRPr="00FD7537">
        <w:t>Poznámky pod čiarou k odkazom sa menia podľa aktuálnej právnej úpravy.</w:t>
      </w:r>
    </w:p>
    <w:p w14:paraId="5C7C6F94" w14:textId="77777777" w:rsidR="0015517B" w:rsidRPr="00FD7537" w:rsidRDefault="0015517B" w:rsidP="0015517B">
      <w:pPr>
        <w:jc w:val="both"/>
      </w:pPr>
    </w:p>
    <w:p w14:paraId="57C5E995" w14:textId="77777777" w:rsidR="00FD7537" w:rsidRDefault="00FD7537" w:rsidP="0015517B">
      <w:pPr>
        <w:jc w:val="both"/>
        <w:rPr>
          <w:b/>
        </w:rPr>
      </w:pPr>
    </w:p>
    <w:p w14:paraId="53B2CEE0" w14:textId="1CCBF6C0" w:rsidR="0015517B" w:rsidRPr="00FD7537" w:rsidRDefault="0015517B" w:rsidP="0015517B">
      <w:pPr>
        <w:jc w:val="both"/>
        <w:rPr>
          <w:b/>
        </w:rPr>
      </w:pPr>
      <w:r w:rsidRPr="00FD7537">
        <w:rPr>
          <w:b/>
        </w:rPr>
        <w:t xml:space="preserve">K bodu </w:t>
      </w:r>
      <w:r w:rsidR="00A87FBD" w:rsidRPr="00FD7537">
        <w:rPr>
          <w:b/>
        </w:rPr>
        <w:t>3</w:t>
      </w:r>
    </w:p>
    <w:p w14:paraId="0DB747A9" w14:textId="77777777" w:rsidR="0015517B" w:rsidRPr="00FD7537" w:rsidRDefault="0015517B" w:rsidP="0015517B">
      <w:pPr>
        <w:jc w:val="both"/>
        <w:rPr>
          <w:b/>
        </w:rPr>
      </w:pPr>
    </w:p>
    <w:p w14:paraId="4B44E188" w14:textId="77777777" w:rsidR="0015517B" w:rsidRPr="00FD7537" w:rsidRDefault="0015517B" w:rsidP="0015517B">
      <w:pPr>
        <w:jc w:val="both"/>
      </w:pPr>
      <w:r w:rsidRPr="00FD7537">
        <w:t>Poznámka pod čiarou k odkazu sa mení podľa aktuálnej právnej úpravy.</w:t>
      </w:r>
    </w:p>
    <w:p w14:paraId="2C8CEEA8" w14:textId="77777777" w:rsidR="0015517B" w:rsidRPr="00FD7537" w:rsidRDefault="0015517B" w:rsidP="0015517B">
      <w:pPr>
        <w:jc w:val="both"/>
      </w:pPr>
    </w:p>
    <w:p w14:paraId="35AC6B1D" w14:textId="00BCD630" w:rsidR="006926AD" w:rsidRPr="00FD7537" w:rsidRDefault="0015517B" w:rsidP="0015517B">
      <w:pPr>
        <w:jc w:val="both"/>
        <w:rPr>
          <w:b/>
        </w:rPr>
      </w:pPr>
      <w:r w:rsidRPr="00FD7537">
        <w:rPr>
          <w:b/>
        </w:rPr>
        <w:t>K</w:t>
      </w:r>
      <w:r w:rsidR="007332F8" w:rsidRPr="00FD7537">
        <w:rPr>
          <w:b/>
        </w:rPr>
        <w:t> </w:t>
      </w:r>
      <w:r w:rsidRPr="00FD7537">
        <w:rPr>
          <w:b/>
        </w:rPr>
        <w:t>bod</w:t>
      </w:r>
      <w:r w:rsidR="007332F8" w:rsidRPr="00FD7537">
        <w:rPr>
          <w:b/>
        </w:rPr>
        <w:t xml:space="preserve">om </w:t>
      </w:r>
      <w:r w:rsidR="00A87FBD" w:rsidRPr="00FD7537">
        <w:rPr>
          <w:b/>
        </w:rPr>
        <w:t>4</w:t>
      </w:r>
      <w:r w:rsidR="006926AD" w:rsidRPr="00FD7537">
        <w:rPr>
          <w:b/>
        </w:rPr>
        <w:t xml:space="preserve"> </w:t>
      </w:r>
      <w:r w:rsidR="007332F8" w:rsidRPr="00FD7537">
        <w:rPr>
          <w:b/>
        </w:rPr>
        <w:t>a</w:t>
      </w:r>
      <w:r w:rsidR="006926AD" w:rsidRPr="00FD7537">
        <w:rPr>
          <w:b/>
        </w:rPr>
        <w:t> </w:t>
      </w:r>
      <w:r w:rsidR="00A87FBD" w:rsidRPr="00FD7537">
        <w:rPr>
          <w:b/>
        </w:rPr>
        <w:t>5</w:t>
      </w:r>
    </w:p>
    <w:p w14:paraId="32960756" w14:textId="77777777" w:rsidR="006926AD" w:rsidRPr="00FD7537" w:rsidRDefault="006926AD" w:rsidP="0015517B">
      <w:pPr>
        <w:jc w:val="both"/>
        <w:rPr>
          <w:b/>
        </w:rPr>
      </w:pPr>
    </w:p>
    <w:p w14:paraId="40A432E0" w14:textId="77777777" w:rsidR="006926AD" w:rsidRPr="00FD7537" w:rsidRDefault="006926AD" w:rsidP="00FD7537">
      <w:pPr>
        <w:ind w:firstLine="708"/>
        <w:jc w:val="both"/>
      </w:pPr>
      <w:r w:rsidRPr="00FD7537">
        <w:t xml:space="preserve">Legislatívno-technická úprava </w:t>
      </w:r>
      <w:proofErr w:type="spellStart"/>
      <w:r w:rsidRPr="00FD7537">
        <w:t>obsolétnych</w:t>
      </w:r>
      <w:proofErr w:type="spellEnd"/>
      <w:r w:rsidRPr="00FD7537">
        <w:t xml:space="preserve"> odkazov z dôvodu zániku účinnosti nariadenia (ES) č. 450/2008. </w:t>
      </w:r>
    </w:p>
    <w:p w14:paraId="7640A3E6" w14:textId="4A783000" w:rsidR="006926AD" w:rsidRPr="00FD7537" w:rsidRDefault="006926AD" w:rsidP="0015517B">
      <w:pPr>
        <w:jc w:val="both"/>
        <w:rPr>
          <w:b/>
        </w:rPr>
      </w:pPr>
    </w:p>
    <w:p w14:paraId="7FD65D04" w14:textId="272E4EE1" w:rsidR="00A87FBD" w:rsidRPr="00FD7537" w:rsidRDefault="00A87FBD" w:rsidP="0015517B">
      <w:pPr>
        <w:jc w:val="both"/>
        <w:rPr>
          <w:b/>
        </w:rPr>
      </w:pPr>
      <w:r w:rsidRPr="00FD7537">
        <w:rPr>
          <w:b/>
        </w:rPr>
        <w:t>K bodu 6</w:t>
      </w:r>
    </w:p>
    <w:p w14:paraId="3694E614" w14:textId="094B6D07" w:rsidR="00A87FBD" w:rsidRPr="00FD7537" w:rsidRDefault="00A87FBD" w:rsidP="0015517B">
      <w:pPr>
        <w:jc w:val="both"/>
        <w:rPr>
          <w:b/>
        </w:rPr>
      </w:pPr>
    </w:p>
    <w:p w14:paraId="2DA25E44" w14:textId="05796D02" w:rsidR="00A87FBD" w:rsidRPr="00FD7537" w:rsidRDefault="00A87FBD" w:rsidP="00FD7537">
      <w:pPr>
        <w:ind w:firstLine="708"/>
        <w:jc w:val="both"/>
      </w:pPr>
      <w:r w:rsidRPr="00FD7537">
        <w:t>Dopĺňa sa definícia určeného výrobku</w:t>
      </w:r>
      <w:r w:rsidR="00564F09" w:rsidRPr="00FD7537">
        <w:t>, ktorý má neobchodný charakter, zohľadniac možnosť zmeny definície zavedenej príslušnými colnými predpismi Európskej únie a s cieľom precizovania právnej úpravy.</w:t>
      </w:r>
    </w:p>
    <w:p w14:paraId="2A9D90FF" w14:textId="77777777" w:rsidR="00A87FBD" w:rsidRPr="00FD7537" w:rsidRDefault="00A87FBD" w:rsidP="0015517B">
      <w:pPr>
        <w:jc w:val="both"/>
        <w:rPr>
          <w:b/>
        </w:rPr>
      </w:pPr>
    </w:p>
    <w:p w14:paraId="28DC974E" w14:textId="516CD832" w:rsidR="0015517B" w:rsidRPr="00FD7537" w:rsidRDefault="006926AD" w:rsidP="0015517B">
      <w:pPr>
        <w:jc w:val="both"/>
        <w:rPr>
          <w:b/>
        </w:rPr>
      </w:pPr>
      <w:r w:rsidRPr="00FD7537">
        <w:rPr>
          <w:b/>
        </w:rPr>
        <w:t xml:space="preserve">K bodu </w:t>
      </w:r>
      <w:r w:rsidR="00B63A31" w:rsidRPr="00FD7537">
        <w:rPr>
          <w:b/>
        </w:rPr>
        <w:t>7</w:t>
      </w:r>
      <w:r w:rsidRPr="00FD7537">
        <w:rPr>
          <w:b/>
        </w:rPr>
        <w:t xml:space="preserve"> </w:t>
      </w:r>
    </w:p>
    <w:p w14:paraId="31A562C7" w14:textId="77777777" w:rsidR="0015517B" w:rsidRPr="00FD7537" w:rsidRDefault="0015517B" w:rsidP="0015517B">
      <w:pPr>
        <w:jc w:val="both"/>
        <w:rPr>
          <w:b/>
        </w:rPr>
      </w:pPr>
    </w:p>
    <w:p w14:paraId="30CB4529" w14:textId="77777777" w:rsidR="0015517B" w:rsidRPr="00FD7537" w:rsidRDefault="0015517B" w:rsidP="0015517B">
      <w:pPr>
        <w:jc w:val="both"/>
      </w:pPr>
      <w:r w:rsidRPr="00FD7537">
        <w:t>Upravuje sa definícia konečného užívateľa tak, aby bola táto zosúladená s </w:t>
      </w:r>
      <w:proofErr w:type="spellStart"/>
      <w:r w:rsidRPr="00FD7537">
        <w:t>ust</w:t>
      </w:r>
      <w:proofErr w:type="spellEnd"/>
      <w:r w:rsidRPr="00FD7537">
        <w:t>. § 6 ods. 5 a 6.</w:t>
      </w:r>
    </w:p>
    <w:p w14:paraId="0128F9B5" w14:textId="77777777" w:rsidR="0015517B" w:rsidRPr="00FD7537" w:rsidRDefault="0015517B" w:rsidP="0015517B">
      <w:pPr>
        <w:jc w:val="both"/>
      </w:pPr>
    </w:p>
    <w:p w14:paraId="1C0056FE" w14:textId="77777777" w:rsidR="0015517B" w:rsidRPr="00FD7537" w:rsidRDefault="0015517B" w:rsidP="0015517B">
      <w:pPr>
        <w:jc w:val="both"/>
        <w:rPr>
          <w:b/>
        </w:rPr>
      </w:pPr>
      <w:r w:rsidRPr="00FD7537">
        <w:rPr>
          <w:b/>
        </w:rPr>
        <w:t xml:space="preserve">K bodu </w:t>
      </w:r>
      <w:r w:rsidR="00B63A31" w:rsidRPr="00FD7537">
        <w:rPr>
          <w:b/>
        </w:rPr>
        <w:t>8</w:t>
      </w:r>
    </w:p>
    <w:p w14:paraId="541617A1" w14:textId="77777777" w:rsidR="0015517B" w:rsidRPr="00FD7537" w:rsidRDefault="0015517B" w:rsidP="0015517B">
      <w:pPr>
        <w:jc w:val="both"/>
      </w:pPr>
    </w:p>
    <w:p w14:paraId="6E955A28" w14:textId="77777777" w:rsidR="0015517B" w:rsidRPr="00FD7537" w:rsidRDefault="0015517B" w:rsidP="00FD7537">
      <w:pPr>
        <w:ind w:firstLine="708"/>
        <w:jc w:val="both"/>
      </w:pPr>
      <w:r w:rsidRPr="00FD7537">
        <w:t>Upresňuje sa druh transferu, na ktorý nie je potrebná licencia, s odkazom na výnimku stanovenú v písm. f) tohto ustanovenia.</w:t>
      </w:r>
    </w:p>
    <w:p w14:paraId="72B0B0CE" w14:textId="77777777" w:rsidR="0015517B" w:rsidRPr="00FD7537" w:rsidRDefault="0015517B" w:rsidP="0015517B">
      <w:pPr>
        <w:jc w:val="both"/>
      </w:pPr>
    </w:p>
    <w:p w14:paraId="627AA00D" w14:textId="0B2B6F46" w:rsidR="0015517B" w:rsidRPr="00FD7537" w:rsidRDefault="0015517B" w:rsidP="0015517B">
      <w:pPr>
        <w:jc w:val="both"/>
        <w:rPr>
          <w:b/>
        </w:rPr>
      </w:pPr>
      <w:r w:rsidRPr="00FD7537">
        <w:rPr>
          <w:b/>
        </w:rPr>
        <w:t xml:space="preserve">K bodu </w:t>
      </w:r>
      <w:r w:rsidR="006C0C0A" w:rsidRPr="00FD7537">
        <w:rPr>
          <w:b/>
        </w:rPr>
        <w:t>9</w:t>
      </w:r>
    </w:p>
    <w:p w14:paraId="155AF256" w14:textId="77777777" w:rsidR="0015517B" w:rsidRPr="00FD7537" w:rsidRDefault="0015517B" w:rsidP="0015517B">
      <w:pPr>
        <w:jc w:val="both"/>
      </w:pPr>
    </w:p>
    <w:p w14:paraId="5D0F7806" w14:textId="09B25980" w:rsidR="0015517B" w:rsidRPr="00FD7537" w:rsidRDefault="0015517B" w:rsidP="00FD7537">
      <w:pPr>
        <w:ind w:firstLine="708"/>
        <w:jc w:val="both"/>
      </w:pPr>
      <w:r w:rsidRPr="00FD7537">
        <w:t>Vývoz a transfer pyrotechni</w:t>
      </w:r>
      <w:r w:rsidR="00256221" w:rsidRPr="00FD7537">
        <w:t>ckých výrobkov</w:t>
      </w:r>
      <w:r w:rsidRPr="00FD7537">
        <w:t xml:space="preserve"> z územia SR sa vyníma z licenčného konania z dôvodu zvýšenia konkurencieschopnosti slovenských podnikateľských subjektov v zahraničí. Táto zmena je možná,  keďže jej nebráni žiadny legislatívny dôvod.</w:t>
      </w:r>
      <w:r w:rsidR="00A95E75" w:rsidRPr="00FD7537">
        <w:t xml:space="preserve"> </w:t>
      </w:r>
      <w:r w:rsidRPr="00FD7537">
        <w:t>Poznámka pod čiarou k odkazu sa mení podľa aktuálnej právnej úpravy.</w:t>
      </w:r>
    </w:p>
    <w:p w14:paraId="357C7385" w14:textId="77777777" w:rsidR="0015517B" w:rsidRPr="00FD7537" w:rsidRDefault="0015517B" w:rsidP="0015517B">
      <w:pPr>
        <w:jc w:val="both"/>
      </w:pPr>
    </w:p>
    <w:p w14:paraId="62068169" w14:textId="77777777" w:rsidR="00FD7537" w:rsidRDefault="00FD7537" w:rsidP="0015517B">
      <w:pPr>
        <w:jc w:val="both"/>
        <w:rPr>
          <w:b/>
        </w:rPr>
      </w:pPr>
    </w:p>
    <w:p w14:paraId="02687A08" w14:textId="0FB9B2A1" w:rsidR="0015517B" w:rsidRPr="00FD7537" w:rsidRDefault="0015517B" w:rsidP="0015517B">
      <w:pPr>
        <w:jc w:val="both"/>
        <w:rPr>
          <w:b/>
        </w:rPr>
      </w:pPr>
      <w:r w:rsidRPr="00FD7537">
        <w:rPr>
          <w:b/>
        </w:rPr>
        <w:lastRenderedPageBreak/>
        <w:t>K bodu 1</w:t>
      </w:r>
      <w:r w:rsidR="006C0C0A" w:rsidRPr="00FD7537">
        <w:rPr>
          <w:b/>
        </w:rPr>
        <w:t>0</w:t>
      </w:r>
    </w:p>
    <w:p w14:paraId="7D1E27AB" w14:textId="77777777" w:rsidR="0015517B" w:rsidRPr="00FD7537" w:rsidRDefault="0015517B" w:rsidP="0015517B">
      <w:pPr>
        <w:jc w:val="both"/>
      </w:pPr>
    </w:p>
    <w:p w14:paraId="08E4D61E" w14:textId="6342AB76" w:rsidR="0015517B" w:rsidRPr="00FD7537" w:rsidRDefault="0015517B" w:rsidP="00FD7537">
      <w:pPr>
        <w:ind w:firstLine="708"/>
        <w:jc w:val="both"/>
      </w:pPr>
      <w:r w:rsidRPr="00FD7537">
        <w:t xml:space="preserve">Okrem vydávania vyhlásenia o konečnom použití určených výrobkov prax vyžaduje aj vydávanie medzinárodného dovozného certifikátu upravené v § 13. </w:t>
      </w:r>
    </w:p>
    <w:p w14:paraId="4DF70534" w14:textId="77777777" w:rsidR="0015517B" w:rsidRPr="00FD7537" w:rsidRDefault="0015517B" w:rsidP="0015517B">
      <w:pPr>
        <w:jc w:val="both"/>
        <w:rPr>
          <w:b/>
        </w:rPr>
      </w:pPr>
    </w:p>
    <w:p w14:paraId="188F8099" w14:textId="0FB8BC51" w:rsidR="0015517B" w:rsidRPr="00FD7537" w:rsidRDefault="0015517B" w:rsidP="0015517B">
      <w:pPr>
        <w:jc w:val="both"/>
        <w:rPr>
          <w:b/>
        </w:rPr>
      </w:pPr>
      <w:r w:rsidRPr="00FD7537">
        <w:rPr>
          <w:b/>
        </w:rPr>
        <w:t>K bodu 1</w:t>
      </w:r>
      <w:r w:rsidR="006C0C0A" w:rsidRPr="00FD7537">
        <w:rPr>
          <w:b/>
        </w:rPr>
        <w:t>1</w:t>
      </w:r>
    </w:p>
    <w:p w14:paraId="544525DA" w14:textId="77777777" w:rsidR="0015517B" w:rsidRPr="00FD7537" w:rsidRDefault="0015517B" w:rsidP="0015517B">
      <w:pPr>
        <w:jc w:val="both"/>
        <w:rPr>
          <w:b/>
        </w:rPr>
      </w:pPr>
    </w:p>
    <w:p w14:paraId="7BCA05D7" w14:textId="77777777" w:rsidR="0015517B" w:rsidRPr="00FD7537" w:rsidRDefault="0015517B" w:rsidP="00FD7537">
      <w:pPr>
        <w:ind w:firstLine="708"/>
        <w:jc w:val="both"/>
      </w:pPr>
      <w:r w:rsidRPr="00FD7537">
        <w:t xml:space="preserve">Navrhuje sa </w:t>
      </w:r>
      <w:r w:rsidR="00DD3A5E" w:rsidRPr="00FD7537">
        <w:t>s</w:t>
      </w:r>
      <w:r w:rsidRPr="00FD7537">
        <w:t>presnenie znenia z dôvodu potreby zdôraznenia skutočnosti, že licencia môže byť udelená až po splnení všetkých obsahových požiadaviek na žiadosť a jej prílohy.</w:t>
      </w:r>
    </w:p>
    <w:p w14:paraId="104F0DA8" w14:textId="77777777" w:rsidR="0015517B" w:rsidRPr="00FD7537" w:rsidRDefault="0015517B" w:rsidP="0015517B">
      <w:pPr>
        <w:jc w:val="both"/>
        <w:rPr>
          <w:b/>
        </w:rPr>
      </w:pPr>
    </w:p>
    <w:p w14:paraId="43CBA5F2" w14:textId="3D1D18DD" w:rsidR="0015517B" w:rsidRPr="00FD7537" w:rsidRDefault="0015517B" w:rsidP="0015517B">
      <w:pPr>
        <w:jc w:val="both"/>
        <w:rPr>
          <w:b/>
        </w:rPr>
      </w:pPr>
      <w:r w:rsidRPr="00FD7537">
        <w:rPr>
          <w:b/>
        </w:rPr>
        <w:t>K bodu 1</w:t>
      </w:r>
      <w:r w:rsidR="006C0C0A" w:rsidRPr="00FD7537">
        <w:rPr>
          <w:b/>
        </w:rPr>
        <w:t>2</w:t>
      </w:r>
    </w:p>
    <w:p w14:paraId="76AA0C6D" w14:textId="77777777" w:rsidR="0015517B" w:rsidRPr="00FD7537" w:rsidRDefault="0015517B" w:rsidP="0015517B">
      <w:pPr>
        <w:jc w:val="both"/>
        <w:rPr>
          <w:b/>
        </w:rPr>
      </w:pPr>
    </w:p>
    <w:p w14:paraId="74ABB7CB" w14:textId="77777777" w:rsidR="0015517B" w:rsidRPr="00FD7537" w:rsidRDefault="0015517B" w:rsidP="00FD7537">
      <w:pPr>
        <w:ind w:firstLine="708"/>
        <w:jc w:val="both"/>
      </w:pPr>
      <w:r w:rsidRPr="00FD7537">
        <w:t>Doplnenie doby platnosti licencie najviac na jeden rok vychádza z aplikačnej praxe a je navrhovaná v súlade s výnosom Ministerstva hospodárstva Slovenskej republiky č. 3/2013.</w:t>
      </w:r>
    </w:p>
    <w:p w14:paraId="7AB6CCDF" w14:textId="77777777" w:rsidR="0015517B" w:rsidRPr="00FD7537" w:rsidRDefault="0015517B" w:rsidP="0015517B">
      <w:pPr>
        <w:jc w:val="both"/>
      </w:pPr>
    </w:p>
    <w:p w14:paraId="51DE7707" w14:textId="204F9AEC" w:rsidR="0015517B" w:rsidRPr="00FD7537" w:rsidRDefault="0015517B" w:rsidP="0015517B">
      <w:pPr>
        <w:jc w:val="both"/>
        <w:rPr>
          <w:b/>
        </w:rPr>
      </w:pPr>
      <w:r w:rsidRPr="00FD7537">
        <w:rPr>
          <w:b/>
        </w:rPr>
        <w:t>K bodu 1</w:t>
      </w:r>
      <w:r w:rsidR="006C0C0A" w:rsidRPr="00FD7537">
        <w:rPr>
          <w:b/>
        </w:rPr>
        <w:t>3</w:t>
      </w:r>
    </w:p>
    <w:p w14:paraId="5E8936A9" w14:textId="77777777" w:rsidR="0015517B" w:rsidRPr="00FD7537" w:rsidRDefault="0015517B" w:rsidP="0015517B">
      <w:pPr>
        <w:jc w:val="both"/>
      </w:pPr>
    </w:p>
    <w:p w14:paraId="5102D98B" w14:textId="77777777" w:rsidR="0015517B" w:rsidRPr="00FD7537" w:rsidRDefault="0015517B" w:rsidP="00FD7537">
      <w:pPr>
        <w:ind w:firstLine="708"/>
        <w:jc w:val="both"/>
      </w:pPr>
      <w:r w:rsidRPr="00FD7537">
        <w:t>Požiadavka uviesť v žiadosti adresu priestorov, v ktorých žiadateľ skladuje alebo bude skladovať určené výrobky, sa prenáša do prílohy k žiadosti podľa odseku 4 písm. b).</w:t>
      </w:r>
    </w:p>
    <w:p w14:paraId="756095C4" w14:textId="77777777" w:rsidR="0015517B" w:rsidRPr="00FD7537" w:rsidRDefault="0015517B" w:rsidP="00FD7537">
      <w:pPr>
        <w:ind w:firstLine="708"/>
        <w:jc w:val="both"/>
      </w:pPr>
      <w:r w:rsidRPr="00FD7537">
        <w:t xml:space="preserve">Požiadavka uviesť v žiadosti množstvo pyrotechnickej </w:t>
      </w:r>
      <w:proofErr w:type="spellStart"/>
      <w:r w:rsidRPr="00FD7537">
        <w:t>zlože</w:t>
      </w:r>
      <w:proofErr w:type="spellEnd"/>
      <w:r w:rsidRPr="00FD7537">
        <w:t xml:space="preserve"> nachádzajúcej sa v určenom výrobku v hmotnostnej jednotke sa presúva do odseku 8, ktorý upravuje prílohy k žiadosti o udelenie licencie na transfer, dovoz alebo vývoz pyrotechnických výrobkov.</w:t>
      </w:r>
    </w:p>
    <w:p w14:paraId="155E6C1A" w14:textId="77777777" w:rsidR="0015517B" w:rsidRPr="00FD7537" w:rsidRDefault="0015517B" w:rsidP="0015517B">
      <w:pPr>
        <w:jc w:val="both"/>
      </w:pPr>
    </w:p>
    <w:p w14:paraId="6265EA80" w14:textId="28F711E6" w:rsidR="0015517B" w:rsidRPr="00FD7537" w:rsidRDefault="0015517B" w:rsidP="0015517B">
      <w:pPr>
        <w:jc w:val="both"/>
        <w:rPr>
          <w:b/>
        </w:rPr>
      </w:pPr>
      <w:r w:rsidRPr="00FD7537">
        <w:rPr>
          <w:b/>
        </w:rPr>
        <w:t>K bodu 1</w:t>
      </w:r>
      <w:r w:rsidR="006C0C0A" w:rsidRPr="00FD7537">
        <w:rPr>
          <w:b/>
        </w:rPr>
        <w:t>4</w:t>
      </w:r>
    </w:p>
    <w:p w14:paraId="7AE20E28" w14:textId="77777777" w:rsidR="0015517B" w:rsidRPr="00FD7537" w:rsidRDefault="0015517B" w:rsidP="0015517B">
      <w:pPr>
        <w:jc w:val="both"/>
      </w:pPr>
    </w:p>
    <w:p w14:paraId="4D4616AE" w14:textId="77777777" w:rsidR="0015517B" w:rsidRPr="00FD7537" w:rsidRDefault="0015517B" w:rsidP="00FD7537">
      <w:pPr>
        <w:ind w:firstLine="708"/>
        <w:jc w:val="both"/>
      </w:pPr>
      <w:r w:rsidRPr="00FD7537">
        <w:t>Náležitosť žiadosti obsahujúca dátum vyhotovenia žiadosti a podpis žiadateľa sa rozširuje o meno a priezvisko z dôvodu lepšej identifikácie a kontroly, či žiadosť bola podpísaná oprávnenou osobou.</w:t>
      </w:r>
    </w:p>
    <w:p w14:paraId="14E0FEAF" w14:textId="77777777" w:rsidR="0015517B" w:rsidRPr="00FD7537" w:rsidRDefault="0015517B" w:rsidP="0015517B">
      <w:pPr>
        <w:jc w:val="both"/>
      </w:pPr>
    </w:p>
    <w:p w14:paraId="16974184" w14:textId="297666F1" w:rsidR="0015517B" w:rsidRPr="00FD7537" w:rsidRDefault="0015517B" w:rsidP="0015517B">
      <w:pPr>
        <w:jc w:val="both"/>
        <w:rPr>
          <w:b/>
        </w:rPr>
      </w:pPr>
      <w:r w:rsidRPr="00FD7537">
        <w:rPr>
          <w:b/>
        </w:rPr>
        <w:t>K bodu 1</w:t>
      </w:r>
      <w:r w:rsidR="006C0C0A" w:rsidRPr="00FD7537">
        <w:rPr>
          <w:b/>
        </w:rPr>
        <w:t>5</w:t>
      </w:r>
    </w:p>
    <w:p w14:paraId="43B9126F" w14:textId="77777777" w:rsidR="0015517B" w:rsidRPr="00FD7537" w:rsidRDefault="0015517B" w:rsidP="0015517B">
      <w:pPr>
        <w:jc w:val="both"/>
      </w:pPr>
    </w:p>
    <w:p w14:paraId="2E050FFB" w14:textId="3E5802D8" w:rsidR="0015517B" w:rsidRPr="00FD7537" w:rsidRDefault="0015517B" w:rsidP="00FD7537">
      <w:pPr>
        <w:ind w:firstLine="708"/>
        <w:jc w:val="both"/>
      </w:pPr>
      <w:r w:rsidRPr="00FD7537">
        <w:t>Zmena súvisí s bodom 1</w:t>
      </w:r>
      <w:r w:rsidR="006C0C0A" w:rsidRPr="00FD7537">
        <w:t>3</w:t>
      </w:r>
      <w:r w:rsidRPr="00FD7537">
        <w:t xml:space="preserve"> – požiadavka uviesť v žiadosti adresu priestorov, v ktorých žiadateľ skladuje alebo bude skladovať určené výrobky sa prenáša z náležitostí samotnej žiadosti medzi jej prílohy.</w:t>
      </w:r>
    </w:p>
    <w:p w14:paraId="1342D9FE" w14:textId="77777777" w:rsidR="0015517B" w:rsidRPr="00FD7537" w:rsidRDefault="0015517B" w:rsidP="0015517B">
      <w:pPr>
        <w:jc w:val="both"/>
      </w:pPr>
    </w:p>
    <w:p w14:paraId="06B19588" w14:textId="5171E365" w:rsidR="0015517B" w:rsidRPr="00FD7537" w:rsidRDefault="0015517B" w:rsidP="0015517B">
      <w:pPr>
        <w:jc w:val="both"/>
        <w:rPr>
          <w:b/>
        </w:rPr>
      </w:pPr>
      <w:r w:rsidRPr="00FD7537">
        <w:rPr>
          <w:b/>
        </w:rPr>
        <w:t>K bodu 1</w:t>
      </w:r>
      <w:r w:rsidR="006C0C0A" w:rsidRPr="00FD7537">
        <w:rPr>
          <w:b/>
        </w:rPr>
        <w:t>6</w:t>
      </w:r>
    </w:p>
    <w:p w14:paraId="65C234FB" w14:textId="77777777" w:rsidR="0015517B" w:rsidRPr="00FD7537" w:rsidRDefault="0015517B" w:rsidP="0015517B">
      <w:pPr>
        <w:jc w:val="both"/>
      </w:pPr>
    </w:p>
    <w:p w14:paraId="66777253" w14:textId="77777777" w:rsidR="0015517B" w:rsidRPr="00FD7537" w:rsidRDefault="0015517B" w:rsidP="00FD7537">
      <w:pPr>
        <w:ind w:firstLine="708"/>
        <w:jc w:val="both"/>
      </w:pPr>
      <w:r w:rsidRPr="00FD7537">
        <w:t>V odseku 4 sa navrhuje upustiť od požiadavky, aby prílohou žiadosti o udelenie licencie bolo potvrdenie zhody vydané autorizovanou osobou alebo certifikát vydaný notifikovanou osobou.</w:t>
      </w:r>
    </w:p>
    <w:p w14:paraId="0F69BEA2" w14:textId="77777777" w:rsidR="0015517B" w:rsidRPr="00FD7537" w:rsidRDefault="0015517B" w:rsidP="0015517B">
      <w:pPr>
        <w:jc w:val="both"/>
      </w:pPr>
    </w:p>
    <w:p w14:paraId="66C31694" w14:textId="192D8C1C" w:rsidR="0015517B" w:rsidRPr="00FD7537" w:rsidRDefault="0015517B" w:rsidP="0015517B">
      <w:pPr>
        <w:jc w:val="both"/>
        <w:rPr>
          <w:b/>
        </w:rPr>
      </w:pPr>
      <w:r w:rsidRPr="00FD7537">
        <w:rPr>
          <w:b/>
        </w:rPr>
        <w:t>K bodu  1</w:t>
      </w:r>
      <w:r w:rsidR="006C0C0A" w:rsidRPr="00FD7537">
        <w:rPr>
          <w:b/>
        </w:rPr>
        <w:t>7</w:t>
      </w:r>
    </w:p>
    <w:p w14:paraId="654621C7" w14:textId="3E8AF793" w:rsidR="0015517B" w:rsidRPr="00FD7537" w:rsidRDefault="0015517B" w:rsidP="0015517B">
      <w:pPr>
        <w:jc w:val="both"/>
      </w:pPr>
    </w:p>
    <w:p w14:paraId="69439FEE" w14:textId="65CB1155" w:rsidR="006C0C0A" w:rsidRPr="00FD7537" w:rsidRDefault="00066DC8" w:rsidP="00FD7537">
      <w:pPr>
        <w:ind w:firstLine="708"/>
        <w:jc w:val="both"/>
      </w:pPr>
      <w:r w:rsidRPr="00FD7537">
        <w:t>Upravuje sa a precizuje úvodná veta § 6 ods. 5 a 6 z dôvodu, že mnohé štáty vystavujú predmetný doklad na obdobie dlhšie než je jeho časová platnosť upravená zákonom, čo v praxi spôsobuje aplikačné a výkladové problémy.</w:t>
      </w:r>
    </w:p>
    <w:p w14:paraId="30F13825" w14:textId="77777777" w:rsidR="00066DC8" w:rsidRPr="00FD7537" w:rsidRDefault="00066DC8" w:rsidP="00066DC8">
      <w:pPr>
        <w:jc w:val="both"/>
      </w:pPr>
    </w:p>
    <w:p w14:paraId="4295CED3" w14:textId="77777777" w:rsidR="00FD7537" w:rsidRDefault="00FD7537" w:rsidP="006C0C0A">
      <w:pPr>
        <w:jc w:val="both"/>
        <w:rPr>
          <w:b/>
        </w:rPr>
      </w:pPr>
    </w:p>
    <w:p w14:paraId="759DD774" w14:textId="7310BF7B" w:rsidR="006C0C0A" w:rsidRPr="00FD7537" w:rsidRDefault="006C0C0A" w:rsidP="006C0C0A">
      <w:pPr>
        <w:jc w:val="both"/>
        <w:rPr>
          <w:b/>
        </w:rPr>
      </w:pPr>
      <w:r w:rsidRPr="00FD7537">
        <w:rPr>
          <w:b/>
        </w:rPr>
        <w:t>K bodu  18</w:t>
      </w:r>
    </w:p>
    <w:p w14:paraId="2655C3EB" w14:textId="77777777" w:rsidR="006C0C0A" w:rsidRPr="00FD7537" w:rsidRDefault="006C0C0A" w:rsidP="0015517B">
      <w:pPr>
        <w:jc w:val="both"/>
      </w:pPr>
    </w:p>
    <w:p w14:paraId="38F1B520" w14:textId="27B35878" w:rsidR="00202D40" w:rsidRPr="00FD7537" w:rsidRDefault="0015517B" w:rsidP="00FD7537">
      <w:pPr>
        <w:ind w:firstLine="708"/>
        <w:jc w:val="both"/>
      </w:pPr>
      <w:r w:rsidRPr="00FD7537">
        <w:t xml:space="preserve">Navrhuje sa zmena znenia tzv. </w:t>
      </w:r>
      <w:proofErr w:type="spellStart"/>
      <w:r w:rsidRPr="00FD7537">
        <w:t>antireexportnej</w:t>
      </w:r>
      <w:proofErr w:type="spellEnd"/>
      <w:r w:rsidRPr="00FD7537">
        <w:t xml:space="preserve"> doložky. V porovnaní s aktuálnym znením táto doložka už nebude musieť v každom prípade obsahovať zákaz ďalšieho vývozu </w:t>
      </w:r>
      <w:r w:rsidRPr="00FD7537">
        <w:lastRenderedPageBreak/>
        <w:t xml:space="preserve">určených výrobkov bez súhlasu ministerstva. Štandardne bude vyhlásenie o konečnom použití obsahovať tzv. </w:t>
      </w:r>
      <w:proofErr w:type="spellStart"/>
      <w:r w:rsidRPr="00FD7537">
        <w:t>antireexportnú</w:t>
      </w:r>
      <w:proofErr w:type="spellEnd"/>
      <w:r w:rsidRPr="00FD7537">
        <w:t xml:space="preserve"> doložku zakazujúcu ďalší vývoz určených výrobkov bez súhlasu príslušného štátneho orgánu štátu konečného užívateľa a iba v prípade, ak o to ministerstvo požiada, bude potrebná doložka zakazujúca ďalší vývoz určených výrobkov bez jeho súhlasu. </w:t>
      </w:r>
    </w:p>
    <w:p w14:paraId="13ADA94B" w14:textId="0188AB73" w:rsidR="00202D40" w:rsidRPr="00FD7537" w:rsidRDefault="00202D40" w:rsidP="00202D40">
      <w:pPr>
        <w:jc w:val="both"/>
      </w:pPr>
      <w:r w:rsidRPr="00FD7537">
        <w:t xml:space="preserve">Tzv. </w:t>
      </w:r>
      <w:proofErr w:type="spellStart"/>
      <w:r w:rsidRPr="00FD7537">
        <w:t>antireexportná</w:t>
      </w:r>
      <w:proofErr w:type="spellEnd"/>
      <w:r w:rsidRPr="00FD7537">
        <w:t xml:space="preserve"> doložka bude rozšírená aj o možnosť doložky, podľa ktorej by daný určený výrobok nebol zo štátu konečného užívateľa ďalej vôbec vyvezený. Z aplikačnej praxe vyplýva, že niektoré štátne orgány uvádzajú vo svojich dokumentoch, že určené výrobky nebudú ďalej vyvezené bez podmieňovania uvedeného akýmkoľvek súhlasom príslušného štátneho orgánu.</w:t>
      </w:r>
    </w:p>
    <w:p w14:paraId="419BDE58" w14:textId="77777777" w:rsidR="00202D40" w:rsidRPr="00FD7537" w:rsidRDefault="00202D40" w:rsidP="0015517B">
      <w:pPr>
        <w:jc w:val="both"/>
      </w:pPr>
    </w:p>
    <w:p w14:paraId="36DCD5C7" w14:textId="77777777" w:rsidR="00FD7537" w:rsidRDefault="0015517B" w:rsidP="00FD7537">
      <w:pPr>
        <w:ind w:firstLine="708"/>
        <w:jc w:val="both"/>
      </w:pPr>
      <w:r w:rsidRPr="00FD7537">
        <w:t>Navrhovaná úprava by mala odstrániť problémy v</w:t>
      </w:r>
      <w:r w:rsidR="008732C4" w:rsidRPr="00FD7537">
        <w:t> </w:t>
      </w:r>
      <w:r w:rsidRPr="00FD7537">
        <w:t>praxi</w:t>
      </w:r>
      <w:r w:rsidR="008732C4" w:rsidRPr="00FD7537">
        <w:t xml:space="preserve"> a bariéry vo vzťahu k podnikateľskej verejnosti</w:t>
      </w:r>
      <w:r w:rsidRPr="00FD7537">
        <w:t>, ak v niektorých krajinách príslušný štátny orgán krajiny konečného užívateľa takúto doložku nechce potvrdiť.</w:t>
      </w:r>
      <w:r w:rsidR="00922B4E" w:rsidRPr="00FD7537">
        <w:t xml:space="preserve"> Následkom prijatia navrhovanej úpravy bude väčšia flexibilita pri udeľovaní licencií s ohľadom na krajinu konečného použitia určených výrobkov a posilnenie </w:t>
      </w:r>
      <w:r w:rsidR="009B0E97" w:rsidRPr="00FD7537">
        <w:t>konkurencieschopnosti slovenských podnikateľov v tom zmysle, že praktická prekážka podľa súčasného znenia predmetného ustanovenia nezabráni v realizácii zahraničných obchodných transakcií.</w:t>
      </w:r>
      <w:r w:rsidR="0035244C" w:rsidRPr="00FD7537">
        <w:t xml:space="preserve"> </w:t>
      </w:r>
    </w:p>
    <w:p w14:paraId="6CA8CE21" w14:textId="77777777" w:rsidR="00FD7537" w:rsidRDefault="00FD7537" w:rsidP="00FD7537">
      <w:pPr>
        <w:jc w:val="both"/>
      </w:pPr>
    </w:p>
    <w:p w14:paraId="3FC33BDE" w14:textId="67DB8C78" w:rsidR="0015517B" w:rsidRPr="00FD7537" w:rsidRDefault="0015517B" w:rsidP="00FD7537">
      <w:pPr>
        <w:jc w:val="both"/>
        <w:rPr>
          <w:b/>
        </w:rPr>
      </w:pPr>
      <w:r w:rsidRPr="00FD7537">
        <w:rPr>
          <w:b/>
        </w:rPr>
        <w:t xml:space="preserve">K bodu </w:t>
      </w:r>
      <w:r w:rsidR="00B63A31" w:rsidRPr="00FD7537">
        <w:rPr>
          <w:b/>
        </w:rPr>
        <w:t>19</w:t>
      </w:r>
    </w:p>
    <w:p w14:paraId="3FDC91FC" w14:textId="77777777" w:rsidR="0015517B" w:rsidRPr="00FD7537" w:rsidRDefault="0015517B" w:rsidP="0015517B">
      <w:pPr>
        <w:jc w:val="both"/>
      </w:pPr>
    </w:p>
    <w:p w14:paraId="0BD93E53" w14:textId="77777777" w:rsidR="0015517B" w:rsidRPr="00FD7537" w:rsidRDefault="0015517B" w:rsidP="00FD7537">
      <w:pPr>
        <w:ind w:firstLine="708"/>
        <w:jc w:val="both"/>
      </w:pPr>
      <w:r w:rsidRPr="00FD7537">
        <w:t xml:space="preserve">Navrhovaná zmena korešponduje s bodom 18, v tomto bode je obdobne upravený obsah tzv. </w:t>
      </w:r>
      <w:proofErr w:type="spellStart"/>
      <w:r w:rsidRPr="00FD7537">
        <w:t>antireexportnej</w:t>
      </w:r>
      <w:proofErr w:type="spellEnd"/>
      <w:r w:rsidRPr="00FD7537">
        <w:t xml:space="preserve"> doložky pri transferoch určených výrobkov z územia Slovenskej republiky na územie iného členského štátu Európskej únie.</w:t>
      </w:r>
    </w:p>
    <w:p w14:paraId="2838BE76" w14:textId="77777777" w:rsidR="0015517B" w:rsidRPr="00FD7537" w:rsidRDefault="0015517B" w:rsidP="0015517B">
      <w:pPr>
        <w:jc w:val="both"/>
      </w:pPr>
    </w:p>
    <w:p w14:paraId="23EF7336" w14:textId="77777777" w:rsidR="0015517B" w:rsidRPr="00FD7537" w:rsidRDefault="0015517B" w:rsidP="0015517B">
      <w:pPr>
        <w:jc w:val="both"/>
        <w:rPr>
          <w:b/>
        </w:rPr>
      </w:pPr>
      <w:r w:rsidRPr="00FD7537">
        <w:rPr>
          <w:b/>
        </w:rPr>
        <w:t>K bod</w:t>
      </w:r>
      <w:r w:rsidR="00D36CDE" w:rsidRPr="00FD7537">
        <w:rPr>
          <w:b/>
        </w:rPr>
        <w:t>u</w:t>
      </w:r>
      <w:r w:rsidRPr="00FD7537">
        <w:rPr>
          <w:b/>
        </w:rPr>
        <w:t xml:space="preserve"> </w:t>
      </w:r>
      <w:r w:rsidR="006926AD" w:rsidRPr="00FD7537">
        <w:rPr>
          <w:b/>
        </w:rPr>
        <w:t>2</w:t>
      </w:r>
      <w:r w:rsidR="00B63A31" w:rsidRPr="00FD7537">
        <w:rPr>
          <w:b/>
        </w:rPr>
        <w:t>0</w:t>
      </w:r>
      <w:r w:rsidRPr="00FD7537">
        <w:rPr>
          <w:b/>
        </w:rPr>
        <w:t xml:space="preserve"> </w:t>
      </w:r>
    </w:p>
    <w:p w14:paraId="342396E4" w14:textId="77777777" w:rsidR="0015517B" w:rsidRPr="00FD7537" w:rsidRDefault="0015517B" w:rsidP="0015517B">
      <w:pPr>
        <w:jc w:val="both"/>
      </w:pPr>
    </w:p>
    <w:p w14:paraId="54606C1D" w14:textId="296CEE15" w:rsidR="0015517B" w:rsidRPr="00FD7537" w:rsidRDefault="0015517B" w:rsidP="00FD7537">
      <w:pPr>
        <w:ind w:firstLine="708"/>
        <w:jc w:val="both"/>
      </w:pPr>
      <w:r w:rsidRPr="00FD7537">
        <w:t>Upravuje sa zoznam príloh k žiadostiam o udelenie licencie na výbušniny a pyrotechnické výrobky tak, že sa vypúšťa doklad oprávňujúci podnikať s určenými výrobkami. Potvrdenie o existencii platného povolenia na nadobúdanie týchto určených výrobkov bude ministerstvo získavať od Hlavného banského úradu, na základe údaja poskytnutého žiadateľom o čísle povolenia na odber výbušnín a výbušných predmetov a o príslušnom obvodnom banskom úrade, ktorý povolenie vydal. Poznámky pod čiarou k odkazom sa menia podľa aktuálnej právnej úpravy.</w:t>
      </w:r>
    </w:p>
    <w:p w14:paraId="122072B9" w14:textId="77777777" w:rsidR="0015517B" w:rsidRPr="00FD7537" w:rsidRDefault="0015517B" w:rsidP="0015517B">
      <w:pPr>
        <w:jc w:val="both"/>
      </w:pPr>
    </w:p>
    <w:p w14:paraId="01DDE30D" w14:textId="77777777" w:rsidR="0015517B" w:rsidRPr="00FD7537" w:rsidRDefault="0015517B" w:rsidP="0015517B">
      <w:pPr>
        <w:jc w:val="both"/>
        <w:rPr>
          <w:b/>
        </w:rPr>
      </w:pPr>
      <w:r w:rsidRPr="00FD7537">
        <w:rPr>
          <w:b/>
        </w:rPr>
        <w:t>K bodu 2</w:t>
      </w:r>
      <w:r w:rsidR="00D36CDE" w:rsidRPr="00FD7537">
        <w:rPr>
          <w:b/>
        </w:rPr>
        <w:t>1</w:t>
      </w:r>
    </w:p>
    <w:p w14:paraId="385C13E8" w14:textId="77777777" w:rsidR="0015517B" w:rsidRPr="00FD7537" w:rsidRDefault="0015517B" w:rsidP="0015517B">
      <w:pPr>
        <w:jc w:val="both"/>
      </w:pPr>
    </w:p>
    <w:p w14:paraId="3F748F3D" w14:textId="77777777" w:rsidR="0015517B" w:rsidRPr="00FD7537" w:rsidRDefault="0015517B" w:rsidP="00FD7537">
      <w:pPr>
        <w:ind w:firstLine="708"/>
        <w:jc w:val="both"/>
      </w:pPr>
      <w:r w:rsidRPr="00FD7537">
        <w:t xml:space="preserve">Navrhuje sa terminologické </w:t>
      </w:r>
      <w:r w:rsidR="00BA10C4" w:rsidRPr="00FD7537">
        <w:t>s</w:t>
      </w:r>
      <w:r w:rsidRPr="00FD7537">
        <w:t>presnenie povinnosti (z doterajšej možnosti) žiadateľa podať žiadosť o udelenie licencie upravenej v tomto ustanovení.</w:t>
      </w:r>
    </w:p>
    <w:p w14:paraId="75A7ED79" w14:textId="77777777" w:rsidR="0015517B" w:rsidRPr="00FD7537" w:rsidRDefault="0015517B" w:rsidP="0015517B">
      <w:pPr>
        <w:jc w:val="both"/>
      </w:pPr>
    </w:p>
    <w:p w14:paraId="464E44C0" w14:textId="77777777" w:rsidR="0015517B" w:rsidRPr="00FD7537" w:rsidRDefault="0015517B" w:rsidP="0015517B">
      <w:pPr>
        <w:jc w:val="both"/>
        <w:rPr>
          <w:b/>
        </w:rPr>
      </w:pPr>
      <w:r w:rsidRPr="00FD7537">
        <w:rPr>
          <w:b/>
        </w:rPr>
        <w:t>K bodu 2</w:t>
      </w:r>
      <w:r w:rsidR="00D36CDE" w:rsidRPr="00FD7537">
        <w:rPr>
          <w:b/>
        </w:rPr>
        <w:t>2</w:t>
      </w:r>
    </w:p>
    <w:p w14:paraId="43B05516" w14:textId="77777777" w:rsidR="0015517B" w:rsidRPr="00FD7537" w:rsidRDefault="0015517B" w:rsidP="0015517B">
      <w:pPr>
        <w:jc w:val="both"/>
      </w:pPr>
    </w:p>
    <w:p w14:paraId="5EBD16F0" w14:textId="3CA5D3E2" w:rsidR="0015517B" w:rsidRPr="00FD7537" w:rsidRDefault="0015517B" w:rsidP="00FD7537">
      <w:pPr>
        <w:ind w:firstLine="708"/>
        <w:jc w:val="both"/>
      </w:pPr>
      <w:r w:rsidRPr="00FD7537">
        <w:t xml:space="preserve">Upresňuje sa forma a obsah stanoviska orgánu  kontroly, ktoré má byť buď súhlasné alebo nesúhlasné a má byť výsledkom posúdenia žiadosti orgánom kontroly z hľadiska jeho zákonných kompetencií. Na základe doplnenia </w:t>
      </w:r>
      <w:r w:rsidR="00C12BCA" w:rsidRPr="00FD7537">
        <w:t xml:space="preserve">§ 7 ods. 1 podľa tohto </w:t>
      </w:r>
      <w:r w:rsidRPr="00FD7537">
        <w:t>bod</w:t>
      </w:r>
      <w:r w:rsidR="00C12BCA" w:rsidRPr="00FD7537">
        <w:t>u</w:t>
      </w:r>
      <w:r w:rsidRPr="00FD7537">
        <w:t xml:space="preserve"> sa navrhuje aj doplnenie poznámky pod čiarou k predmetného odkazu.</w:t>
      </w:r>
      <w:r w:rsidR="00713838" w:rsidRPr="00FD7537">
        <w:t xml:space="preserve"> Stanovuje sa povinnosť ministerstva predložiť ministerstvu zahraničných vecí a európskych záležitostí spolu so žiadosťou o stanovisko kópiu dokumentu so všetkými náležitosťami podľa § 6 ods. 5 alebo § 6 ods. 6, ktoré sú potrebné na zaujatie stanoviska zo zahraničnopolitického hľadiska.</w:t>
      </w:r>
    </w:p>
    <w:p w14:paraId="1725EF40" w14:textId="77777777" w:rsidR="0015517B" w:rsidRPr="00FD7537" w:rsidRDefault="0015517B" w:rsidP="0015517B">
      <w:pPr>
        <w:jc w:val="both"/>
      </w:pPr>
    </w:p>
    <w:p w14:paraId="67C21C7E" w14:textId="77777777" w:rsidR="00FD7537" w:rsidRDefault="00FD7537" w:rsidP="0015517B">
      <w:pPr>
        <w:jc w:val="both"/>
        <w:rPr>
          <w:b/>
        </w:rPr>
      </w:pPr>
    </w:p>
    <w:p w14:paraId="39703C3A" w14:textId="77777777" w:rsidR="00FD7537" w:rsidRDefault="00FD7537" w:rsidP="0015517B">
      <w:pPr>
        <w:jc w:val="both"/>
        <w:rPr>
          <w:b/>
        </w:rPr>
      </w:pPr>
    </w:p>
    <w:p w14:paraId="5BB97389" w14:textId="77777777" w:rsidR="00FD7537" w:rsidRDefault="00FD7537" w:rsidP="0015517B">
      <w:pPr>
        <w:jc w:val="both"/>
        <w:rPr>
          <w:b/>
        </w:rPr>
      </w:pPr>
    </w:p>
    <w:p w14:paraId="25CDDE9D" w14:textId="77777777" w:rsidR="00FD7537" w:rsidRDefault="00FD7537" w:rsidP="0015517B">
      <w:pPr>
        <w:jc w:val="both"/>
        <w:rPr>
          <w:b/>
        </w:rPr>
      </w:pPr>
    </w:p>
    <w:p w14:paraId="2558199B" w14:textId="74922622" w:rsidR="0015517B" w:rsidRPr="00FD7537" w:rsidRDefault="0015517B" w:rsidP="0015517B">
      <w:pPr>
        <w:jc w:val="both"/>
        <w:rPr>
          <w:b/>
        </w:rPr>
      </w:pPr>
      <w:r w:rsidRPr="00FD7537">
        <w:rPr>
          <w:b/>
        </w:rPr>
        <w:lastRenderedPageBreak/>
        <w:t>K bodu 2</w:t>
      </w:r>
      <w:r w:rsidR="00D36CDE" w:rsidRPr="00FD7537">
        <w:rPr>
          <w:b/>
        </w:rPr>
        <w:t>3</w:t>
      </w:r>
    </w:p>
    <w:p w14:paraId="3FDB215B" w14:textId="77777777" w:rsidR="0015517B" w:rsidRPr="00FD7537" w:rsidRDefault="0015517B" w:rsidP="0015517B">
      <w:pPr>
        <w:jc w:val="both"/>
      </w:pPr>
    </w:p>
    <w:p w14:paraId="549B75ED" w14:textId="77777777" w:rsidR="0015517B" w:rsidRPr="00FD7537" w:rsidRDefault="0015517B" w:rsidP="00FD7537">
      <w:pPr>
        <w:ind w:firstLine="708"/>
        <w:jc w:val="both"/>
      </w:pPr>
      <w:r w:rsidRPr="00FD7537">
        <w:t>Navrhuje sa doplnenie ustanovenia týkajúce sa obsahu stanoviska, aby náležite odôvodnené stanovisko plnilo účel daný zákonom a bolo relevantným podkladom pre rozhodnutie ministerstva o udelení licencie alebo zamietnutí žiadosti o jej udelenie.</w:t>
      </w:r>
    </w:p>
    <w:p w14:paraId="6B07E514" w14:textId="77777777" w:rsidR="0015517B" w:rsidRPr="00FD7537" w:rsidRDefault="0015517B" w:rsidP="0015517B">
      <w:pPr>
        <w:jc w:val="both"/>
      </w:pPr>
    </w:p>
    <w:p w14:paraId="28EC2442" w14:textId="77777777" w:rsidR="0015517B" w:rsidRPr="00FD7537" w:rsidRDefault="0015517B" w:rsidP="0015517B">
      <w:pPr>
        <w:jc w:val="both"/>
        <w:rPr>
          <w:b/>
        </w:rPr>
      </w:pPr>
      <w:r w:rsidRPr="00FD7537">
        <w:rPr>
          <w:b/>
        </w:rPr>
        <w:t>K bodu 2</w:t>
      </w:r>
      <w:r w:rsidR="00D36CDE" w:rsidRPr="00FD7537">
        <w:rPr>
          <w:b/>
        </w:rPr>
        <w:t>4</w:t>
      </w:r>
    </w:p>
    <w:p w14:paraId="0637B259" w14:textId="77777777" w:rsidR="0015517B" w:rsidRPr="00FD7537" w:rsidRDefault="0015517B" w:rsidP="0015517B">
      <w:pPr>
        <w:jc w:val="both"/>
      </w:pPr>
    </w:p>
    <w:p w14:paraId="21C1C6EB" w14:textId="77777777" w:rsidR="0015517B" w:rsidRPr="00FD7537" w:rsidRDefault="0015517B" w:rsidP="00FD7537">
      <w:pPr>
        <w:ind w:firstLine="708"/>
        <w:jc w:val="both"/>
      </w:pPr>
      <w:r w:rsidRPr="00FD7537">
        <w:t xml:space="preserve">Navrhuje sa </w:t>
      </w:r>
      <w:r w:rsidR="00BA10C4" w:rsidRPr="00FD7537">
        <w:t>s</w:t>
      </w:r>
      <w:r w:rsidRPr="00FD7537">
        <w:t>presnenie upovedomenia zo strany orgánu kontroly ministerstvu s potrebnou písomnou formou, ktoré zabezpečí predvídateľnosť priebehu správneho konania o udelenie licencie.</w:t>
      </w:r>
    </w:p>
    <w:p w14:paraId="21F8DCE5" w14:textId="77777777" w:rsidR="0015517B" w:rsidRPr="00FD7537" w:rsidRDefault="0015517B" w:rsidP="0015517B">
      <w:pPr>
        <w:jc w:val="both"/>
      </w:pPr>
    </w:p>
    <w:p w14:paraId="633F0785" w14:textId="77777777" w:rsidR="0015517B" w:rsidRPr="00FD7537" w:rsidRDefault="0015517B" w:rsidP="0015517B">
      <w:pPr>
        <w:jc w:val="both"/>
        <w:rPr>
          <w:b/>
        </w:rPr>
      </w:pPr>
      <w:r w:rsidRPr="00FD7537">
        <w:rPr>
          <w:b/>
        </w:rPr>
        <w:t>K bodu 2</w:t>
      </w:r>
      <w:r w:rsidR="00D36CDE" w:rsidRPr="00FD7537">
        <w:rPr>
          <w:b/>
        </w:rPr>
        <w:t>5</w:t>
      </w:r>
    </w:p>
    <w:p w14:paraId="04105A5A" w14:textId="77777777" w:rsidR="0015517B" w:rsidRPr="00FD7537" w:rsidRDefault="0015517B" w:rsidP="0015517B">
      <w:pPr>
        <w:jc w:val="both"/>
      </w:pPr>
    </w:p>
    <w:p w14:paraId="0266EACB" w14:textId="77777777" w:rsidR="0015517B" w:rsidRPr="00FD7537" w:rsidRDefault="0015517B" w:rsidP="00FD7537">
      <w:pPr>
        <w:ind w:firstLine="708"/>
        <w:jc w:val="both"/>
      </w:pPr>
      <w:r w:rsidRPr="00FD7537">
        <w:t>Navrhuje sa skrátenie lehoty ministerstva na rozhodnutie o žiadosti o udelenie licencie z 60 pracovných na 60 kalendárnych dní.</w:t>
      </w:r>
    </w:p>
    <w:p w14:paraId="414A14C9" w14:textId="77777777" w:rsidR="0015517B" w:rsidRPr="00FD7537" w:rsidRDefault="0015517B" w:rsidP="0015517B">
      <w:pPr>
        <w:jc w:val="both"/>
      </w:pPr>
    </w:p>
    <w:p w14:paraId="520C2ED9" w14:textId="77777777" w:rsidR="0015517B" w:rsidRPr="00FD7537" w:rsidRDefault="0015517B" w:rsidP="0015517B">
      <w:pPr>
        <w:jc w:val="both"/>
        <w:rPr>
          <w:b/>
        </w:rPr>
      </w:pPr>
      <w:r w:rsidRPr="00FD7537">
        <w:rPr>
          <w:b/>
        </w:rPr>
        <w:t>K bod</w:t>
      </w:r>
      <w:r w:rsidR="00363306" w:rsidRPr="00FD7537">
        <w:rPr>
          <w:b/>
        </w:rPr>
        <w:t>u</w:t>
      </w:r>
      <w:r w:rsidRPr="00FD7537">
        <w:rPr>
          <w:b/>
        </w:rPr>
        <w:t xml:space="preserve"> </w:t>
      </w:r>
      <w:r w:rsidR="00A95E75" w:rsidRPr="00FD7537">
        <w:rPr>
          <w:b/>
        </w:rPr>
        <w:t>2</w:t>
      </w:r>
      <w:r w:rsidR="00D36CDE" w:rsidRPr="00FD7537">
        <w:rPr>
          <w:b/>
        </w:rPr>
        <w:t>6</w:t>
      </w:r>
      <w:r w:rsidRPr="00FD7537">
        <w:rPr>
          <w:b/>
        </w:rPr>
        <w:t xml:space="preserve"> </w:t>
      </w:r>
    </w:p>
    <w:p w14:paraId="386E24C8" w14:textId="77777777" w:rsidR="0015517B" w:rsidRPr="00FD7537" w:rsidRDefault="0015517B" w:rsidP="0015517B">
      <w:pPr>
        <w:jc w:val="both"/>
      </w:pPr>
    </w:p>
    <w:p w14:paraId="7485E059" w14:textId="77777777" w:rsidR="0015517B" w:rsidRPr="00FD7537" w:rsidRDefault="0015517B" w:rsidP="00FD7537">
      <w:pPr>
        <w:ind w:firstLine="708"/>
        <w:jc w:val="both"/>
      </w:pPr>
      <w:r w:rsidRPr="00FD7537">
        <w:t xml:space="preserve">Upresňujú sa náležitosti žiadosti o povolenie na transfer výbušnín pomocou odkazu na </w:t>
      </w:r>
      <w:r w:rsidR="00796E41" w:rsidRPr="00FD7537">
        <w:t>osobitné predpisy</w:t>
      </w:r>
      <w:r w:rsidRPr="00FD7537">
        <w:t>.</w:t>
      </w:r>
    </w:p>
    <w:p w14:paraId="4EFCB26A" w14:textId="77777777" w:rsidR="0015517B" w:rsidRPr="00FD7537" w:rsidRDefault="0015517B" w:rsidP="0015517B">
      <w:pPr>
        <w:jc w:val="both"/>
        <w:rPr>
          <w:b/>
        </w:rPr>
      </w:pPr>
    </w:p>
    <w:p w14:paraId="4F555E8E" w14:textId="77777777" w:rsidR="0015517B" w:rsidRPr="00FD7537" w:rsidRDefault="0015517B" w:rsidP="0015517B">
      <w:pPr>
        <w:jc w:val="both"/>
        <w:rPr>
          <w:b/>
        </w:rPr>
      </w:pPr>
      <w:r w:rsidRPr="00FD7537">
        <w:rPr>
          <w:b/>
        </w:rPr>
        <w:t xml:space="preserve">K bodu </w:t>
      </w:r>
      <w:r w:rsidR="00363306" w:rsidRPr="00FD7537">
        <w:rPr>
          <w:b/>
        </w:rPr>
        <w:t>2</w:t>
      </w:r>
      <w:r w:rsidR="00D36CDE" w:rsidRPr="00FD7537">
        <w:rPr>
          <w:b/>
        </w:rPr>
        <w:t>7</w:t>
      </w:r>
    </w:p>
    <w:p w14:paraId="19194375" w14:textId="77777777" w:rsidR="0015517B" w:rsidRPr="00FD7537" w:rsidRDefault="0015517B" w:rsidP="0015517B">
      <w:pPr>
        <w:rPr>
          <w:b/>
        </w:rPr>
      </w:pPr>
    </w:p>
    <w:p w14:paraId="793D991F" w14:textId="77777777" w:rsidR="0015517B" w:rsidRPr="00FD7537" w:rsidRDefault="0015517B" w:rsidP="00FD7537">
      <w:pPr>
        <w:ind w:firstLine="708"/>
        <w:jc w:val="both"/>
      </w:pPr>
      <w:r w:rsidRPr="00FD7537">
        <w:t xml:space="preserve">Ustanovuje sa povinnosť žiadateľa z dôvodu určitosti ním podanej žiadosti ju odôvodniť s poukazom na dôvody uvedené v odseku 1. Uvedené je potrebné pre zabezpečenie súladu s § 10 ods. 1 písm. g). </w:t>
      </w:r>
    </w:p>
    <w:p w14:paraId="4B282E40" w14:textId="77777777" w:rsidR="0015517B" w:rsidRPr="00FD7537" w:rsidRDefault="0015517B" w:rsidP="0015517B">
      <w:pPr>
        <w:jc w:val="both"/>
      </w:pPr>
    </w:p>
    <w:p w14:paraId="5F832DFB" w14:textId="77777777" w:rsidR="0015517B" w:rsidRPr="00FD7537" w:rsidRDefault="0015517B" w:rsidP="0015517B">
      <w:pPr>
        <w:jc w:val="both"/>
        <w:rPr>
          <w:b/>
        </w:rPr>
      </w:pPr>
      <w:r w:rsidRPr="00FD7537">
        <w:rPr>
          <w:b/>
        </w:rPr>
        <w:t xml:space="preserve">K bodu </w:t>
      </w:r>
      <w:r w:rsidR="00B63A31" w:rsidRPr="00FD7537">
        <w:rPr>
          <w:b/>
        </w:rPr>
        <w:t>2</w:t>
      </w:r>
      <w:r w:rsidR="00D36CDE" w:rsidRPr="00FD7537">
        <w:rPr>
          <w:b/>
        </w:rPr>
        <w:t>8</w:t>
      </w:r>
    </w:p>
    <w:p w14:paraId="4687E321" w14:textId="77777777" w:rsidR="00363306" w:rsidRPr="00FD7537" w:rsidRDefault="00363306" w:rsidP="0015517B">
      <w:pPr>
        <w:jc w:val="both"/>
      </w:pPr>
    </w:p>
    <w:p w14:paraId="662146DF" w14:textId="56052932" w:rsidR="0015517B" w:rsidRPr="00FD7537" w:rsidRDefault="0015517B" w:rsidP="00FD7537">
      <w:pPr>
        <w:ind w:firstLine="708"/>
        <w:jc w:val="both"/>
      </w:pPr>
      <w:r w:rsidRPr="00FD7537">
        <w:t>Upresňuje sa dôvod zamietnutia žiadosti doplnením dôvodu vyplývajúceho z rozhodnutia orgánov Európskej únie</w:t>
      </w:r>
      <w:r w:rsidRPr="00FD7537">
        <w:rPr>
          <w:b/>
        </w:rPr>
        <w:t xml:space="preserve">. </w:t>
      </w:r>
      <w:r w:rsidR="00636221" w:rsidRPr="00FD7537">
        <w:t>Dopĺňa sa</w:t>
      </w:r>
      <w:r w:rsidR="00636221" w:rsidRPr="00FD7537">
        <w:rPr>
          <w:b/>
        </w:rPr>
        <w:t xml:space="preserve"> </w:t>
      </w:r>
      <w:r w:rsidR="00636221" w:rsidRPr="00FD7537">
        <w:t>odkaz na</w:t>
      </w:r>
      <w:r w:rsidR="00E334CE" w:rsidRPr="00FD7537">
        <w:rPr>
          <w:b/>
        </w:rPr>
        <w:t xml:space="preserve"> </w:t>
      </w:r>
      <w:r w:rsidR="00E334CE" w:rsidRPr="00FD7537">
        <w:t>konkrétne ustanovenie právneho aktu Európskej únie, z ktorého vyplýva povinnosť ministerstva zamietnuť žiadosť o udelenie licencie alebo žiadosť o zmenu licencie.</w:t>
      </w:r>
      <w:r w:rsidR="00636221" w:rsidRPr="00FD7537">
        <w:t xml:space="preserve">  </w:t>
      </w:r>
    </w:p>
    <w:p w14:paraId="25A8C9B5" w14:textId="77777777" w:rsidR="0015517B" w:rsidRPr="00FD7537" w:rsidRDefault="0015517B" w:rsidP="0015517B">
      <w:pPr>
        <w:jc w:val="both"/>
        <w:rPr>
          <w:b/>
        </w:rPr>
      </w:pPr>
    </w:p>
    <w:p w14:paraId="574EDF6C" w14:textId="77777777" w:rsidR="0015517B" w:rsidRPr="00FD7537" w:rsidRDefault="0015517B" w:rsidP="0015517B">
      <w:pPr>
        <w:jc w:val="both"/>
        <w:rPr>
          <w:b/>
        </w:rPr>
      </w:pPr>
      <w:r w:rsidRPr="00FD7537">
        <w:rPr>
          <w:b/>
        </w:rPr>
        <w:t xml:space="preserve">K bodu </w:t>
      </w:r>
      <w:r w:rsidR="00D36CDE" w:rsidRPr="00FD7537">
        <w:rPr>
          <w:b/>
        </w:rPr>
        <w:t>29</w:t>
      </w:r>
    </w:p>
    <w:p w14:paraId="07DE14B2" w14:textId="77777777" w:rsidR="0015517B" w:rsidRPr="00FD7537" w:rsidRDefault="0015517B" w:rsidP="0015517B">
      <w:pPr>
        <w:jc w:val="both"/>
      </w:pPr>
    </w:p>
    <w:p w14:paraId="6DCC97B3" w14:textId="77777777" w:rsidR="0015517B" w:rsidRPr="00FD7537" w:rsidRDefault="0015517B" w:rsidP="0015517B">
      <w:pPr>
        <w:jc w:val="both"/>
      </w:pPr>
      <w:r w:rsidRPr="00FD7537">
        <w:t>Dôvod zamietnutia žiadosti sa upresňuje v súlade s návrhom zmeny v bode 32.</w:t>
      </w:r>
    </w:p>
    <w:p w14:paraId="5CE4A037" w14:textId="77777777" w:rsidR="0015517B" w:rsidRPr="00FD7537" w:rsidRDefault="0015517B" w:rsidP="0015517B">
      <w:pPr>
        <w:jc w:val="both"/>
      </w:pPr>
    </w:p>
    <w:p w14:paraId="49E3574A" w14:textId="77777777" w:rsidR="0015517B" w:rsidRPr="00FD7537" w:rsidRDefault="0015517B" w:rsidP="0015517B">
      <w:pPr>
        <w:jc w:val="both"/>
        <w:rPr>
          <w:b/>
        </w:rPr>
      </w:pPr>
      <w:r w:rsidRPr="00FD7537">
        <w:rPr>
          <w:b/>
        </w:rPr>
        <w:t>K bodu 3</w:t>
      </w:r>
      <w:r w:rsidR="00D36CDE" w:rsidRPr="00FD7537">
        <w:rPr>
          <w:b/>
        </w:rPr>
        <w:t>0</w:t>
      </w:r>
    </w:p>
    <w:p w14:paraId="31988EA5" w14:textId="77777777" w:rsidR="0015517B" w:rsidRPr="00FD7537" w:rsidRDefault="0015517B" w:rsidP="0015517B">
      <w:pPr>
        <w:jc w:val="both"/>
      </w:pPr>
    </w:p>
    <w:p w14:paraId="44A524D6" w14:textId="77777777" w:rsidR="0015517B" w:rsidRPr="00FD7537" w:rsidRDefault="0015517B" w:rsidP="00FD7537">
      <w:pPr>
        <w:ind w:firstLine="708"/>
        <w:jc w:val="both"/>
      </w:pPr>
      <w:r w:rsidRPr="00FD7537">
        <w:t xml:space="preserve">Dopĺňa sa dôvod zamietnutia žiadosti o udelenie licencie pre prípad, ak predmetom podanej žiadosti nie sú určené výrobky, obchodovanie s ktorými je upravené týmto zákonom. </w:t>
      </w:r>
    </w:p>
    <w:p w14:paraId="0E82F7DE" w14:textId="77777777" w:rsidR="0015517B" w:rsidRPr="00FD7537" w:rsidRDefault="0015517B" w:rsidP="0015517B">
      <w:pPr>
        <w:jc w:val="both"/>
      </w:pPr>
    </w:p>
    <w:p w14:paraId="516BB61F" w14:textId="77777777" w:rsidR="0015517B" w:rsidRPr="00FD7537" w:rsidRDefault="0015517B" w:rsidP="0015517B">
      <w:pPr>
        <w:jc w:val="both"/>
        <w:rPr>
          <w:b/>
        </w:rPr>
      </w:pPr>
      <w:r w:rsidRPr="00FD7537">
        <w:rPr>
          <w:b/>
        </w:rPr>
        <w:t>K bodu 3</w:t>
      </w:r>
      <w:r w:rsidR="00D36CDE" w:rsidRPr="00FD7537">
        <w:rPr>
          <w:b/>
        </w:rPr>
        <w:t>1</w:t>
      </w:r>
    </w:p>
    <w:p w14:paraId="2C369F20" w14:textId="77777777" w:rsidR="0015517B" w:rsidRPr="00FD7537" w:rsidRDefault="0015517B" w:rsidP="0015517B">
      <w:pPr>
        <w:jc w:val="both"/>
      </w:pPr>
    </w:p>
    <w:p w14:paraId="46835CA0" w14:textId="77777777" w:rsidR="0015517B" w:rsidRPr="00FD7537" w:rsidRDefault="0015517B" w:rsidP="00FD7537">
      <w:pPr>
        <w:ind w:firstLine="708"/>
        <w:jc w:val="both"/>
      </w:pPr>
      <w:r w:rsidRPr="00FD7537">
        <w:t xml:space="preserve">Z aplikačnej praxe vyplynula potreba </w:t>
      </w:r>
      <w:r w:rsidR="00BA10C4" w:rsidRPr="00FD7537">
        <w:t>s</w:t>
      </w:r>
      <w:r w:rsidRPr="00FD7537">
        <w:t>presniť povinnosť držiteľa licencie vrátiť jej originál v stanovenej lehote alternatívne buď po splnení účelu, na ktorý bola vydaná, alebo po skončení doby jej platnosti, ak uplynula pred splnením účelu. V praxi dochádzalo k nesprávnemu výkladu tohto ustanovenia držiteľmi licencií.</w:t>
      </w:r>
    </w:p>
    <w:p w14:paraId="38854356" w14:textId="77777777" w:rsidR="0015517B" w:rsidRPr="00FD7537" w:rsidRDefault="0015517B" w:rsidP="0015517B">
      <w:pPr>
        <w:jc w:val="both"/>
        <w:rPr>
          <w:bCs/>
        </w:rPr>
      </w:pPr>
    </w:p>
    <w:p w14:paraId="048BD5DE" w14:textId="77777777" w:rsidR="00FD7537" w:rsidRDefault="00FD7537" w:rsidP="0015517B">
      <w:pPr>
        <w:jc w:val="both"/>
        <w:rPr>
          <w:b/>
          <w:bCs/>
        </w:rPr>
      </w:pPr>
    </w:p>
    <w:p w14:paraId="06F62E6C" w14:textId="77777777" w:rsidR="00FD7537" w:rsidRDefault="00FD7537" w:rsidP="0015517B">
      <w:pPr>
        <w:jc w:val="both"/>
        <w:rPr>
          <w:b/>
          <w:bCs/>
        </w:rPr>
      </w:pPr>
    </w:p>
    <w:p w14:paraId="46195F4F" w14:textId="77777777" w:rsidR="00FD7537" w:rsidRDefault="00FD7537" w:rsidP="0015517B">
      <w:pPr>
        <w:jc w:val="both"/>
        <w:rPr>
          <w:b/>
          <w:bCs/>
        </w:rPr>
      </w:pPr>
    </w:p>
    <w:p w14:paraId="6B751295" w14:textId="2D5F8FB8" w:rsidR="0015517B" w:rsidRPr="00FD7537" w:rsidRDefault="0015517B" w:rsidP="0015517B">
      <w:pPr>
        <w:jc w:val="both"/>
        <w:rPr>
          <w:b/>
          <w:bCs/>
        </w:rPr>
      </w:pPr>
      <w:r w:rsidRPr="00FD7537">
        <w:rPr>
          <w:b/>
          <w:bCs/>
        </w:rPr>
        <w:t>K bodu 3</w:t>
      </w:r>
      <w:r w:rsidR="00D36CDE" w:rsidRPr="00FD7537">
        <w:rPr>
          <w:b/>
          <w:bCs/>
        </w:rPr>
        <w:t>2</w:t>
      </w:r>
    </w:p>
    <w:p w14:paraId="0556BDE4" w14:textId="77777777" w:rsidR="0015517B" w:rsidRPr="00FD7537" w:rsidRDefault="0015517B" w:rsidP="0015517B">
      <w:pPr>
        <w:jc w:val="both"/>
        <w:rPr>
          <w:bCs/>
        </w:rPr>
      </w:pPr>
    </w:p>
    <w:p w14:paraId="6BBF8CB2" w14:textId="77777777" w:rsidR="0015517B" w:rsidRPr="00FD7537" w:rsidRDefault="0015517B" w:rsidP="00FD7537">
      <w:pPr>
        <w:ind w:firstLine="708"/>
        <w:jc w:val="both"/>
        <w:rPr>
          <w:bCs/>
        </w:rPr>
      </w:pPr>
      <w:r w:rsidRPr="00FD7537">
        <w:rPr>
          <w:bCs/>
        </w:rPr>
        <w:t>Navrhuje sa z dôvodu znižovania administratívnej a ekologickej záťaže upraviť povinnosť držiteľov licencie zasielať ministerstvu hlásenia o využití licencie elektronicky. Potvrdenie o dodaní množstva určených výrobkov sa nahrádza certifikátom o overení dodávky, čím sa zosúlaďuje predmetné ustanovenie so zákonom č. 392/2011 Z. z. upravujúcim obchodovanie s výrobkami obranného priemyslu.</w:t>
      </w:r>
      <w:r w:rsidR="00363306" w:rsidRPr="00FD7537">
        <w:rPr>
          <w:bCs/>
        </w:rPr>
        <w:t xml:space="preserve"> </w:t>
      </w:r>
      <w:r w:rsidRPr="00FD7537">
        <w:rPr>
          <w:bCs/>
        </w:rPr>
        <w:t>Dopĺňa sa odkaz na legislatívu upravujúcu kvalifikovaný elektronický podpis.</w:t>
      </w:r>
    </w:p>
    <w:p w14:paraId="2E8583B3" w14:textId="77777777" w:rsidR="0015517B" w:rsidRPr="00FD7537" w:rsidRDefault="0015517B" w:rsidP="0015517B">
      <w:pPr>
        <w:jc w:val="both"/>
        <w:rPr>
          <w:bCs/>
        </w:rPr>
      </w:pPr>
    </w:p>
    <w:p w14:paraId="460DDB99" w14:textId="77777777" w:rsidR="0015517B" w:rsidRPr="00FD7537" w:rsidRDefault="0015517B" w:rsidP="0015517B">
      <w:pPr>
        <w:jc w:val="both"/>
        <w:rPr>
          <w:bCs/>
        </w:rPr>
      </w:pPr>
    </w:p>
    <w:p w14:paraId="1CAE61F6" w14:textId="5AAE33B7" w:rsidR="0015517B" w:rsidRPr="00FD7537" w:rsidRDefault="0015517B" w:rsidP="0015517B">
      <w:pPr>
        <w:jc w:val="both"/>
        <w:rPr>
          <w:b/>
          <w:bCs/>
        </w:rPr>
      </w:pPr>
      <w:r w:rsidRPr="00FD7537">
        <w:rPr>
          <w:b/>
          <w:bCs/>
        </w:rPr>
        <w:t xml:space="preserve">K bodu </w:t>
      </w:r>
      <w:r w:rsidR="00363306" w:rsidRPr="00FD7537">
        <w:rPr>
          <w:b/>
          <w:bCs/>
        </w:rPr>
        <w:t>3</w:t>
      </w:r>
      <w:r w:rsidR="00B30253" w:rsidRPr="00FD7537">
        <w:rPr>
          <w:b/>
          <w:bCs/>
        </w:rPr>
        <w:t>3</w:t>
      </w:r>
      <w:r w:rsidR="009A3C40" w:rsidRPr="00FD7537">
        <w:rPr>
          <w:b/>
          <w:bCs/>
        </w:rPr>
        <w:t xml:space="preserve"> </w:t>
      </w:r>
    </w:p>
    <w:p w14:paraId="68F0EAFD" w14:textId="77777777" w:rsidR="0015517B" w:rsidRPr="00FD7537" w:rsidRDefault="0015517B" w:rsidP="0015517B">
      <w:pPr>
        <w:jc w:val="both"/>
        <w:rPr>
          <w:bCs/>
        </w:rPr>
      </w:pPr>
    </w:p>
    <w:p w14:paraId="7D73D6D4" w14:textId="77777777" w:rsidR="0015517B" w:rsidRPr="00FD7537" w:rsidRDefault="0015517B" w:rsidP="00FD7537">
      <w:pPr>
        <w:ind w:firstLine="708"/>
        <w:jc w:val="both"/>
        <w:rPr>
          <w:bCs/>
        </w:rPr>
      </w:pPr>
      <w:r w:rsidRPr="00FD7537">
        <w:rPr>
          <w:bCs/>
        </w:rPr>
        <w:t>Nadpis § 13 sa navrhuje doplniť z dôvodu potreby vydávania medzinárodných dovozných certifikátov pre splnenie požiadaviek žiadateľov potrebných pre uskutočnenie zahraničného obchodu.</w:t>
      </w:r>
      <w:r w:rsidR="009A3C40" w:rsidRPr="00FD7537">
        <w:rPr>
          <w:bCs/>
        </w:rPr>
        <w:t xml:space="preserve"> </w:t>
      </w:r>
      <w:r w:rsidRPr="00FD7537">
        <w:rPr>
          <w:bCs/>
        </w:rPr>
        <w:t>Úprava vydávania vyhlásenia o konečnom použití určených výrobkov a medzinárodného dovozného certifikátu je potrebná s ohľadom na aplikačnú prax a zosúlaďuje sa s úpravou obsiahnutou v zákone č. 392/2011 Z. z. upravujúcom obchodovanie s výrobkami obranného priemyslu.</w:t>
      </w:r>
    </w:p>
    <w:p w14:paraId="60058AEF" w14:textId="77777777" w:rsidR="0015517B" w:rsidRPr="00FD7537" w:rsidRDefault="0015517B" w:rsidP="0015517B">
      <w:pPr>
        <w:jc w:val="both"/>
        <w:rPr>
          <w:bCs/>
        </w:rPr>
      </w:pPr>
    </w:p>
    <w:p w14:paraId="4FAFDFD8" w14:textId="6802E67E" w:rsidR="0015517B" w:rsidRPr="00FD7537" w:rsidRDefault="0015517B" w:rsidP="0015517B">
      <w:pPr>
        <w:jc w:val="both"/>
        <w:rPr>
          <w:b/>
          <w:bCs/>
        </w:rPr>
      </w:pPr>
      <w:r w:rsidRPr="00FD7537">
        <w:rPr>
          <w:b/>
          <w:bCs/>
        </w:rPr>
        <w:t xml:space="preserve">K bodu </w:t>
      </w:r>
      <w:r w:rsidR="00363306" w:rsidRPr="00FD7537">
        <w:rPr>
          <w:b/>
          <w:bCs/>
        </w:rPr>
        <w:t>3</w:t>
      </w:r>
      <w:r w:rsidR="00B30253" w:rsidRPr="00FD7537">
        <w:rPr>
          <w:b/>
          <w:bCs/>
        </w:rPr>
        <w:t>4</w:t>
      </w:r>
    </w:p>
    <w:p w14:paraId="292B4653" w14:textId="77777777" w:rsidR="0015517B" w:rsidRPr="00FD7537" w:rsidRDefault="0015517B" w:rsidP="0015517B">
      <w:pPr>
        <w:jc w:val="both"/>
        <w:rPr>
          <w:bCs/>
        </w:rPr>
      </w:pPr>
    </w:p>
    <w:p w14:paraId="7C35A45B" w14:textId="77777777" w:rsidR="0015517B" w:rsidRPr="00FD7537" w:rsidRDefault="0015517B" w:rsidP="00FD7537">
      <w:pPr>
        <w:spacing w:after="200"/>
        <w:ind w:firstLine="708"/>
        <w:jc w:val="both"/>
      </w:pPr>
      <w:r w:rsidRPr="00FD7537">
        <w:t xml:space="preserve">Doplnenie odseku 2, ktorý ustanovuje, že licencie, povolenia, potvrdenia, vyhlásenia a certifikáty podľa tohto zákona sa vydávajú v štátnom jazyku v listinnej podobe alebo elektronicky je potrebným </w:t>
      </w:r>
      <w:r w:rsidR="00BA10C4" w:rsidRPr="00FD7537">
        <w:t>s</w:t>
      </w:r>
      <w:r w:rsidRPr="00FD7537">
        <w:t>presnením zákonnej úpravy a zároveň predprípravou na budúci prechod na plne elektronickú formu konania.</w:t>
      </w:r>
    </w:p>
    <w:p w14:paraId="30EF3ED4" w14:textId="52516902" w:rsidR="0015517B" w:rsidRPr="00FD7537" w:rsidRDefault="0015517B" w:rsidP="0015517B">
      <w:pPr>
        <w:spacing w:after="200" w:line="276" w:lineRule="auto"/>
        <w:jc w:val="both"/>
        <w:rPr>
          <w:b/>
        </w:rPr>
      </w:pPr>
      <w:r w:rsidRPr="00FD7537">
        <w:rPr>
          <w:b/>
        </w:rPr>
        <w:t xml:space="preserve">K bodu </w:t>
      </w:r>
      <w:r w:rsidR="00363306" w:rsidRPr="00FD7537">
        <w:rPr>
          <w:b/>
        </w:rPr>
        <w:t>3</w:t>
      </w:r>
      <w:r w:rsidR="00B30253" w:rsidRPr="00FD7537">
        <w:rPr>
          <w:b/>
        </w:rPr>
        <w:t>5</w:t>
      </w:r>
    </w:p>
    <w:p w14:paraId="654A29F3" w14:textId="4996898D" w:rsidR="0015517B" w:rsidRPr="00FD7537" w:rsidRDefault="0015517B" w:rsidP="00FD7537">
      <w:pPr>
        <w:spacing w:after="200"/>
        <w:ind w:firstLine="708"/>
        <w:jc w:val="both"/>
      </w:pPr>
      <w:r w:rsidRPr="00FD7537">
        <w:t>Doterajšia úprava, podľa ktorej oznamujú ministerstvu svoje zistenia len v predmetnom ustanovení vymenované orgány kontroly, sa pre potreby aplikačnej praxe rozširuje na všetky orgány kontroly.</w:t>
      </w:r>
      <w:r w:rsidR="00636F50" w:rsidRPr="00FD7537">
        <w:t xml:space="preserve"> Ak by podľa osobitného predpisu oznamovaniu podľa predchádzajúcej vety bránil záujem ním chránený, príslušný orgán kontroly by bol predmetnej povinnosti v tomto prípade zbavený.</w:t>
      </w:r>
    </w:p>
    <w:p w14:paraId="69382E6F" w14:textId="18364786" w:rsidR="0015517B" w:rsidRPr="00FD7537" w:rsidRDefault="0015517B" w:rsidP="0015517B">
      <w:pPr>
        <w:spacing w:after="200" w:line="276" w:lineRule="auto"/>
        <w:jc w:val="both"/>
        <w:rPr>
          <w:b/>
        </w:rPr>
      </w:pPr>
      <w:r w:rsidRPr="00FD7537">
        <w:rPr>
          <w:b/>
        </w:rPr>
        <w:t xml:space="preserve">K bodu </w:t>
      </w:r>
      <w:r w:rsidR="00B63A31" w:rsidRPr="00FD7537">
        <w:rPr>
          <w:b/>
        </w:rPr>
        <w:t>3</w:t>
      </w:r>
      <w:r w:rsidR="00B30253" w:rsidRPr="00FD7537">
        <w:rPr>
          <w:b/>
        </w:rPr>
        <w:t>6</w:t>
      </w:r>
    </w:p>
    <w:p w14:paraId="2B5A4C64" w14:textId="77777777" w:rsidR="0015517B" w:rsidRPr="00FD7537" w:rsidRDefault="0015517B" w:rsidP="00FD7537">
      <w:pPr>
        <w:spacing w:after="200"/>
        <w:ind w:firstLine="708"/>
        <w:jc w:val="both"/>
      </w:pPr>
      <w:r w:rsidRPr="00FD7537">
        <w:t>Možnosť uloženia pokuty za priestupok sa mení na povinnosť ministerstva pokutu uložiť, z dôvodu zosúladenia s ustanoveniami upravujúcimi ukladanie pokuty za iné správne delikty podľa § 19.</w:t>
      </w:r>
    </w:p>
    <w:p w14:paraId="423159AA" w14:textId="619498A0" w:rsidR="0015517B" w:rsidRPr="00FD7537" w:rsidRDefault="0015517B" w:rsidP="0015517B">
      <w:pPr>
        <w:spacing w:after="200" w:line="276" w:lineRule="auto"/>
        <w:jc w:val="both"/>
        <w:rPr>
          <w:b/>
        </w:rPr>
      </w:pPr>
      <w:r w:rsidRPr="00FD7537">
        <w:rPr>
          <w:b/>
        </w:rPr>
        <w:t xml:space="preserve">K bodom </w:t>
      </w:r>
      <w:r w:rsidR="00D36CDE" w:rsidRPr="00FD7537">
        <w:rPr>
          <w:b/>
        </w:rPr>
        <w:t>3</w:t>
      </w:r>
      <w:r w:rsidR="00B30253" w:rsidRPr="00FD7537">
        <w:rPr>
          <w:b/>
        </w:rPr>
        <w:t>7</w:t>
      </w:r>
      <w:r w:rsidRPr="00FD7537">
        <w:rPr>
          <w:b/>
        </w:rPr>
        <w:t xml:space="preserve"> až </w:t>
      </w:r>
      <w:r w:rsidR="009A3C40" w:rsidRPr="00FD7537">
        <w:rPr>
          <w:b/>
        </w:rPr>
        <w:t>4</w:t>
      </w:r>
      <w:r w:rsidR="00B30253" w:rsidRPr="00FD7537">
        <w:rPr>
          <w:b/>
        </w:rPr>
        <w:t>1</w:t>
      </w:r>
    </w:p>
    <w:p w14:paraId="7A49B794" w14:textId="3AD0BA28" w:rsidR="0015517B" w:rsidRPr="00FD7537" w:rsidRDefault="0015517B" w:rsidP="00FD7537">
      <w:pPr>
        <w:spacing w:after="200"/>
        <w:ind w:firstLine="708"/>
        <w:jc w:val="both"/>
      </w:pPr>
      <w:r w:rsidRPr="00FD7537">
        <w:t xml:space="preserve">Vypúšťa sa dolná sadzba pokuty za iné správne delikty, z dôvodu zosúladenia s úpravou ukladania pokuty za priestupky podľa § 18 a zároveň z dôvodu, aby pri ukladaní pokút mohlo ministerstvo zohľadniť objektívnu situáciu sankcionovanej osoby, napr. z dôvodu negatívnych ekonomických dôsledkov pandémie. </w:t>
      </w:r>
      <w:r w:rsidR="00636244" w:rsidRPr="00FD7537">
        <w:t xml:space="preserve">Vypúšťa sa § 19 ods. 2 písm. c) z dôvodu zrušenia  povinnosti, porušenie ktorej je iným správnym deliktom podľa tohto ustanovenia. </w:t>
      </w:r>
      <w:r w:rsidRPr="00FD7537">
        <w:t>Zároveň sa v § 19 ods. 3 písmeno b) opravuje odkaz na § 2 ods. 1 zákona, pričom správne má byť uvedený tretí, nie druhý bod.</w:t>
      </w:r>
    </w:p>
    <w:p w14:paraId="28826FD4" w14:textId="77777777" w:rsidR="00FD7537" w:rsidRDefault="00FD7537" w:rsidP="0015517B">
      <w:pPr>
        <w:spacing w:after="200" w:line="276" w:lineRule="auto"/>
        <w:jc w:val="both"/>
        <w:rPr>
          <w:b/>
        </w:rPr>
      </w:pPr>
    </w:p>
    <w:p w14:paraId="7914AD63" w14:textId="65E1F50A" w:rsidR="0015517B" w:rsidRPr="00FD7537" w:rsidRDefault="0015517B" w:rsidP="0015517B">
      <w:pPr>
        <w:spacing w:after="200" w:line="276" w:lineRule="auto"/>
        <w:jc w:val="both"/>
        <w:rPr>
          <w:b/>
        </w:rPr>
      </w:pPr>
      <w:r w:rsidRPr="00FD7537">
        <w:rPr>
          <w:b/>
        </w:rPr>
        <w:lastRenderedPageBreak/>
        <w:t xml:space="preserve">K bodu </w:t>
      </w:r>
      <w:r w:rsidR="00A95E75" w:rsidRPr="00FD7537">
        <w:rPr>
          <w:b/>
        </w:rPr>
        <w:t>4</w:t>
      </w:r>
      <w:r w:rsidR="00B30253" w:rsidRPr="00FD7537">
        <w:rPr>
          <w:b/>
        </w:rPr>
        <w:t>2</w:t>
      </w:r>
    </w:p>
    <w:p w14:paraId="294C9C49" w14:textId="77777777" w:rsidR="0015517B" w:rsidRPr="00FD7537" w:rsidRDefault="0015517B" w:rsidP="00FD7537">
      <w:pPr>
        <w:spacing w:after="200"/>
        <w:ind w:firstLine="708"/>
        <w:jc w:val="both"/>
      </w:pPr>
      <w:r w:rsidRPr="00FD7537">
        <w:t>Zosúlaďuje sa úprava so zákonom č. 392/2011 Z. z. upravujúcim obchodovanie s výrobkami obranného priemyslu. Pri zamietnutí žiadosti o udelenie licencie alebo zrušení licencie v prípadoch odôvodnených zahraničnopolitickými alebo bezpečnostnými záujmami Slovenskej republiky má byť rozhodnutie odôvodnené iba konštatovaním tejto skutočnosti bez podrobnejšieho opisu, ktorý by mohol narušiť ochranu utajovaných skutočností a ďalej ohroziť uvedené záujmy.</w:t>
      </w:r>
    </w:p>
    <w:p w14:paraId="7B1476F4" w14:textId="29C4C906" w:rsidR="0015517B" w:rsidRPr="00FD7537" w:rsidRDefault="0015517B" w:rsidP="0015517B">
      <w:pPr>
        <w:spacing w:after="200"/>
        <w:jc w:val="both"/>
        <w:rPr>
          <w:b/>
        </w:rPr>
      </w:pPr>
      <w:r w:rsidRPr="00FD7537">
        <w:rPr>
          <w:b/>
        </w:rPr>
        <w:t xml:space="preserve">K bodu </w:t>
      </w:r>
      <w:r w:rsidR="00363306" w:rsidRPr="00FD7537">
        <w:rPr>
          <w:b/>
        </w:rPr>
        <w:t>4</w:t>
      </w:r>
      <w:r w:rsidR="00B30253" w:rsidRPr="00FD7537">
        <w:rPr>
          <w:b/>
        </w:rPr>
        <w:t>3</w:t>
      </w:r>
    </w:p>
    <w:p w14:paraId="5B24780F" w14:textId="77777777" w:rsidR="0015517B" w:rsidRPr="00FD7537" w:rsidRDefault="0015517B" w:rsidP="00FD7537">
      <w:pPr>
        <w:spacing w:after="200"/>
        <w:ind w:firstLine="708"/>
        <w:jc w:val="both"/>
      </w:pPr>
      <w:r w:rsidRPr="00FD7537">
        <w:t xml:space="preserve">Navrhuje sa </w:t>
      </w:r>
      <w:r w:rsidR="00B06481" w:rsidRPr="00FD7537">
        <w:t xml:space="preserve">vypustenie </w:t>
      </w:r>
      <w:r w:rsidRPr="00FD7537">
        <w:t xml:space="preserve">poznámok pod čiarou, keďže sa navrhuje vypustenie ustanovení, ktoré na </w:t>
      </w:r>
      <w:proofErr w:type="spellStart"/>
      <w:r w:rsidRPr="00FD7537">
        <w:t>ne</w:t>
      </w:r>
      <w:proofErr w:type="spellEnd"/>
      <w:r w:rsidRPr="00FD7537">
        <w:t xml:space="preserve"> odkazujú.</w:t>
      </w:r>
    </w:p>
    <w:p w14:paraId="211EB663" w14:textId="01C70146" w:rsidR="00400C79" w:rsidRPr="00FD7537" w:rsidRDefault="00400C79" w:rsidP="0015517B">
      <w:pPr>
        <w:spacing w:after="200"/>
        <w:jc w:val="both"/>
        <w:rPr>
          <w:b/>
        </w:rPr>
      </w:pPr>
      <w:r w:rsidRPr="00FD7537">
        <w:rPr>
          <w:b/>
        </w:rPr>
        <w:t>K</w:t>
      </w:r>
      <w:r w:rsidR="00A238A0" w:rsidRPr="00FD7537">
        <w:rPr>
          <w:b/>
        </w:rPr>
        <w:t> </w:t>
      </w:r>
      <w:r w:rsidRPr="00FD7537">
        <w:rPr>
          <w:b/>
        </w:rPr>
        <w:t>bod</w:t>
      </w:r>
      <w:r w:rsidR="00A238A0" w:rsidRPr="00FD7537">
        <w:rPr>
          <w:b/>
        </w:rPr>
        <w:t xml:space="preserve">om </w:t>
      </w:r>
      <w:r w:rsidRPr="00FD7537">
        <w:rPr>
          <w:b/>
        </w:rPr>
        <w:t>4</w:t>
      </w:r>
      <w:r w:rsidR="00B30253" w:rsidRPr="00FD7537">
        <w:rPr>
          <w:b/>
        </w:rPr>
        <w:t>4</w:t>
      </w:r>
      <w:r w:rsidR="00A238A0" w:rsidRPr="00FD7537">
        <w:rPr>
          <w:b/>
        </w:rPr>
        <w:t xml:space="preserve"> a 4</w:t>
      </w:r>
      <w:r w:rsidR="00B30253" w:rsidRPr="00FD7537">
        <w:rPr>
          <w:b/>
        </w:rPr>
        <w:t>5</w:t>
      </w:r>
    </w:p>
    <w:p w14:paraId="3247ACC3" w14:textId="77777777" w:rsidR="00400C79" w:rsidRPr="00FD7537" w:rsidRDefault="00400C79" w:rsidP="00FD7537">
      <w:pPr>
        <w:spacing w:after="200"/>
        <w:ind w:firstLine="708"/>
        <w:jc w:val="both"/>
        <w:rPr>
          <w:b/>
        </w:rPr>
      </w:pPr>
      <w:r w:rsidRPr="00FD7537">
        <w:t xml:space="preserve">Dopĺňa sa </w:t>
      </w:r>
      <w:r w:rsidR="00A238A0" w:rsidRPr="00FD7537">
        <w:t xml:space="preserve">záverečné ustanovenie a </w:t>
      </w:r>
      <w:r w:rsidRPr="00FD7537">
        <w:t xml:space="preserve">transpozičná príloha k prebratiu smernice </w:t>
      </w:r>
      <w:r w:rsidRPr="00FD7537">
        <w:rPr>
          <w:szCs w:val="19"/>
          <w:lang w:val="cs-CZ"/>
        </w:rPr>
        <w:t xml:space="preserve">2014/28/EÚ </w:t>
      </w:r>
      <w:r w:rsidRPr="00FD7537">
        <w:rPr>
          <w:szCs w:val="19"/>
        </w:rPr>
        <w:t>do právneho poriadku SR.</w:t>
      </w:r>
      <w:r w:rsidRPr="00FD7537">
        <w:rPr>
          <w:szCs w:val="19"/>
          <w:lang w:val="cs-CZ"/>
        </w:rPr>
        <w:t xml:space="preserve"> </w:t>
      </w:r>
    </w:p>
    <w:p w14:paraId="3C6DF29B" w14:textId="77777777" w:rsidR="005A4271" w:rsidRPr="00FD7537" w:rsidRDefault="005A4271" w:rsidP="005A4271">
      <w:r w:rsidRPr="00FD7537">
        <w:rPr>
          <w:b/>
          <w:u w:val="single"/>
        </w:rPr>
        <w:t>K čl. II</w:t>
      </w:r>
    </w:p>
    <w:p w14:paraId="6100F30E" w14:textId="77777777" w:rsidR="005A4271" w:rsidRPr="00FD7537" w:rsidRDefault="005A4271" w:rsidP="005A4271">
      <w:pPr>
        <w:jc w:val="both"/>
      </w:pPr>
    </w:p>
    <w:p w14:paraId="02BB828B" w14:textId="6D72F7C7" w:rsidR="00A238A0" w:rsidRPr="00FD7537" w:rsidRDefault="005A4271" w:rsidP="00FD7537">
      <w:pPr>
        <w:ind w:firstLine="708"/>
        <w:jc w:val="both"/>
        <w:rPr>
          <w:u w:val="single"/>
        </w:rPr>
      </w:pPr>
      <w:r w:rsidRPr="00FD7537">
        <w:t xml:space="preserve">V nadväznosti na </w:t>
      </w:r>
      <w:r w:rsidR="004E2DFF" w:rsidRPr="00FD7537">
        <w:t xml:space="preserve">vypustenie </w:t>
      </w:r>
      <w:r w:rsidRPr="00FD7537">
        <w:t xml:space="preserve">§ 6 ods. 4 písm. c) </w:t>
      </w:r>
      <w:r w:rsidR="004E2DFF" w:rsidRPr="00FD7537">
        <w:t xml:space="preserve">podľa čl. I sa predmetná povinnosť </w:t>
      </w:r>
      <w:r w:rsidRPr="00FD7537">
        <w:t>navrhovanou úpravou presunie do zákona č. 190/2003 Z. z. o strelných zbraniach a strelive a o zmene a doplnení niektorých zákonov v znení neskorších predpisov</w:t>
      </w:r>
      <w:r w:rsidR="004E2DFF" w:rsidRPr="00FD7537">
        <w:t>, konkrétne k ustanoveniam § 47 upravujúcim prepravu zbraní a streliva podnikateľom.</w:t>
      </w:r>
    </w:p>
    <w:p w14:paraId="6E8BCFD5" w14:textId="77777777" w:rsidR="00A238A0" w:rsidRPr="00FD7537" w:rsidRDefault="00A238A0" w:rsidP="00FD7537">
      <w:pPr>
        <w:jc w:val="both"/>
        <w:rPr>
          <w:b/>
          <w:u w:val="single"/>
        </w:rPr>
      </w:pPr>
    </w:p>
    <w:p w14:paraId="04B10736" w14:textId="56E2EEE4" w:rsidR="0015517B" w:rsidRPr="00FD7537" w:rsidRDefault="0015517B" w:rsidP="0015517B">
      <w:r w:rsidRPr="00FD7537">
        <w:rPr>
          <w:b/>
          <w:u w:val="single"/>
        </w:rPr>
        <w:t>K čl. II</w:t>
      </w:r>
      <w:r w:rsidR="005A4271" w:rsidRPr="00FD7537">
        <w:rPr>
          <w:b/>
          <w:u w:val="single"/>
        </w:rPr>
        <w:t>I</w:t>
      </w:r>
    </w:p>
    <w:p w14:paraId="2A57DE24" w14:textId="72DA514D" w:rsidR="005A4271" w:rsidRPr="00FD7537" w:rsidRDefault="005A4271" w:rsidP="0015517B">
      <w:pPr>
        <w:jc w:val="both"/>
      </w:pPr>
    </w:p>
    <w:p w14:paraId="2045FB46" w14:textId="334F8BFA" w:rsidR="0015517B" w:rsidRPr="00FD7537" w:rsidRDefault="0015517B" w:rsidP="0015517B">
      <w:pPr>
        <w:jc w:val="both"/>
      </w:pPr>
      <w:r w:rsidRPr="00FD7537">
        <w:t>Navrhuje sa nadobudnutie účinnosti</w:t>
      </w:r>
      <w:r w:rsidR="00A238A0" w:rsidRPr="00FD7537">
        <w:t xml:space="preserve"> od</w:t>
      </w:r>
      <w:r w:rsidRPr="00FD7537">
        <w:t xml:space="preserve"> 1.</w:t>
      </w:r>
      <w:r w:rsidR="00FD7537" w:rsidRPr="00FD7537">
        <w:t xml:space="preserve"> júla</w:t>
      </w:r>
      <w:r w:rsidRPr="00FD7537">
        <w:t xml:space="preserve"> 2022.</w:t>
      </w:r>
    </w:p>
    <w:sectPr w:rsidR="0015517B" w:rsidRPr="00FD7537" w:rsidSect="0015517B">
      <w:footnotePr>
        <w:numFmt w:val="chicago"/>
      </w:footnotePr>
      <w:pgSz w:w="11906" w:h="16838"/>
      <w:pgMar w:top="1134" w:right="1418" w:bottom="1134" w:left="1418" w:header="510" w:footer="567"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23A7"/>
    <w:multiLevelType w:val="hybridMultilevel"/>
    <w:tmpl w:val="165E74B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DA20DA0"/>
    <w:multiLevelType w:val="hybridMultilevel"/>
    <w:tmpl w:val="43FC8894"/>
    <w:lvl w:ilvl="0" w:tplc="08B09C58">
      <w:start w:val="2"/>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6BC065F7"/>
    <w:multiLevelType w:val="hybridMultilevel"/>
    <w:tmpl w:val="5654582A"/>
    <w:lvl w:ilvl="0" w:tplc="B3205248">
      <w:start w:val="1"/>
      <w:numFmt w:val="decimal"/>
      <w:lvlText w:val="%1."/>
      <w:lvlJc w:val="left"/>
      <w:pPr>
        <w:ind w:left="36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7B"/>
    <w:rsid w:val="0002520E"/>
    <w:rsid w:val="00055227"/>
    <w:rsid w:val="00066DC8"/>
    <w:rsid w:val="000963ED"/>
    <w:rsid w:val="000C0085"/>
    <w:rsid w:val="001050D3"/>
    <w:rsid w:val="001149F7"/>
    <w:rsid w:val="0014487D"/>
    <w:rsid w:val="0015517B"/>
    <w:rsid w:val="00156F3B"/>
    <w:rsid w:val="001F63C9"/>
    <w:rsid w:val="00202D40"/>
    <w:rsid w:val="00256221"/>
    <w:rsid w:val="002F375B"/>
    <w:rsid w:val="003461A4"/>
    <w:rsid w:val="0035244C"/>
    <w:rsid w:val="003547D2"/>
    <w:rsid w:val="00363306"/>
    <w:rsid w:val="00400C79"/>
    <w:rsid w:val="0043142C"/>
    <w:rsid w:val="004B545B"/>
    <w:rsid w:val="004E2DFF"/>
    <w:rsid w:val="005070B6"/>
    <w:rsid w:val="005468BB"/>
    <w:rsid w:val="00564F09"/>
    <w:rsid w:val="00572EE5"/>
    <w:rsid w:val="00575680"/>
    <w:rsid w:val="005A4271"/>
    <w:rsid w:val="005A447A"/>
    <w:rsid w:val="005A528B"/>
    <w:rsid w:val="00636221"/>
    <w:rsid w:val="00636244"/>
    <w:rsid w:val="00636F50"/>
    <w:rsid w:val="006926AD"/>
    <w:rsid w:val="006B42F4"/>
    <w:rsid w:val="006C0C0A"/>
    <w:rsid w:val="006C6398"/>
    <w:rsid w:val="006F5E1A"/>
    <w:rsid w:val="00713838"/>
    <w:rsid w:val="007307CB"/>
    <w:rsid w:val="007332F8"/>
    <w:rsid w:val="00741858"/>
    <w:rsid w:val="0079028F"/>
    <w:rsid w:val="00796E41"/>
    <w:rsid w:val="00814D30"/>
    <w:rsid w:val="00850D3E"/>
    <w:rsid w:val="00857740"/>
    <w:rsid w:val="008732C4"/>
    <w:rsid w:val="00922B4E"/>
    <w:rsid w:val="009A3C40"/>
    <w:rsid w:val="009B0E97"/>
    <w:rsid w:val="009B3C15"/>
    <w:rsid w:val="009F202F"/>
    <w:rsid w:val="00A22C68"/>
    <w:rsid w:val="00A238A0"/>
    <w:rsid w:val="00A3143D"/>
    <w:rsid w:val="00A81E01"/>
    <w:rsid w:val="00A87FBD"/>
    <w:rsid w:val="00A95E75"/>
    <w:rsid w:val="00B06481"/>
    <w:rsid w:val="00B2480C"/>
    <w:rsid w:val="00B30253"/>
    <w:rsid w:val="00B63A31"/>
    <w:rsid w:val="00B814B6"/>
    <w:rsid w:val="00B93121"/>
    <w:rsid w:val="00BA10C4"/>
    <w:rsid w:val="00BB0DEC"/>
    <w:rsid w:val="00BC5731"/>
    <w:rsid w:val="00BD34C2"/>
    <w:rsid w:val="00C12BCA"/>
    <w:rsid w:val="00C13D28"/>
    <w:rsid w:val="00C72285"/>
    <w:rsid w:val="00C85B2E"/>
    <w:rsid w:val="00D0006B"/>
    <w:rsid w:val="00D36CDE"/>
    <w:rsid w:val="00D60ADD"/>
    <w:rsid w:val="00DB7F4C"/>
    <w:rsid w:val="00DD3A5E"/>
    <w:rsid w:val="00E201EC"/>
    <w:rsid w:val="00E334CE"/>
    <w:rsid w:val="00E564FA"/>
    <w:rsid w:val="00E6152E"/>
    <w:rsid w:val="00EB6EEA"/>
    <w:rsid w:val="00FD75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B603"/>
  <w15:docId w15:val="{9CB32E8F-8584-4D77-B984-F0058CF8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17B"/>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15517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15517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15517B"/>
    <w:pPr>
      <w:autoSpaceDE w:val="0"/>
      <w:autoSpaceDN w:val="0"/>
      <w:adjustRightInd w:val="0"/>
      <w:spacing w:after="0" w:line="240" w:lineRule="auto"/>
    </w:pPr>
    <w:rPr>
      <w:rFonts w:ascii="Times New Roman" w:hAnsi="Times New Roman" w:cs="Times New Roman"/>
      <w:color w:val="000000"/>
      <w:sz w:val="24"/>
      <w:szCs w:val="24"/>
    </w:rPr>
  </w:style>
  <w:style w:type="paragraph" w:styleId="Pta">
    <w:name w:val="footer"/>
    <w:basedOn w:val="Normlny"/>
    <w:link w:val="PtaChar"/>
    <w:uiPriority w:val="99"/>
    <w:unhideWhenUsed/>
    <w:rsid w:val="0015517B"/>
    <w:pPr>
      <w:tabs>
        <w:tab w:val="center" w:pos="4536"/>
        <w:tab w:val="right" w:pos="9072"/>
      </w:tabs>
    </w:pPr>
  </w:style>
  <w:style w:type="character" w:customStyle="1" w:styleId="PtaChar">
    <w:name w:val="Päta Char"/>
    <w:basedOn w:val="Predvolenpsmoodseku"/>
    <w:link w:val="Pta"/>
    <w:uiPriority w:val="99"/>
    <w:rsid w:val="0015517B"/>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unhideWhenUsed/>
    <w:rsid w:val="0015517B"/>
    <w:pPr>
      <w:spacing w:before="100" w:beforeAutospacing="1" w:after="100" w:afterAutospacing="1"/>
    </w:pPr>
  </w:style>
  <w:style w:type="character" w:styleId="Hypertextovprepojenie">
    <w:name w:val="Hyperlink"/>
    <w:basedOn w:val="Predvolenpsmoodseku"/>
    <w:uiPriority w:val="99"/>
    <w:unhideWhenUsed/>
    <w:rsid w:val="0015517B"/>
    <w:rPr>
      <w:color w:val="0000FF" w:themeColor="hyperlink"/>
      <w:u w:val="single"/>
    </w:rPr>
  </w:style>
  <w:style w:type="character" w:customStyle="1" w:styleId="NormlnywebovChar">
    <w:name w:val="Normálny (webový) Char"/>
    <w:link w:val="Normlnywebov"/>
    <w:uiPriority w:val="99"/>
    <w:locked/>
    <w:rsid w:val="0015517B"/>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81E01"/>
    <w:rPr>
      <w:sz w:val="16"/>
      <w:szCs w:val="16"/>
    </w:rPr>
  </w:style>
  <w:style w:type="paragraph" w:styleId="Textkomentra">
    <w:name w:val="annotation text"/>
    <w:basedOn w:val="Normlny"/>
    <w:link w:val="TextkomentraChar"/>
    <w:uiPriority w:val="99"/>
    <w:semiHidden/>
    <w:unhideWhenUsed/>
    <w:rsid w:val="00A81E01"/>
    <w:rPr>
      <w:sz w:val="20"/>
      <w:szCs w:val="20"/>
    </w:rPr>
  </w:style>
  <w:style w:type="character" w:customStyle="1" w:styleId="TextkomentraChar">
    <w:name w:val="Text komentára Char"/>
    <w:basedOn w:val="Predvolenpsmoodseku"/>
    <w:link w:val="Textkomentra"/>
    <w:uiPriority w:val="99"/>
    <w:semiHidden/>
    <w:rsid w:val="00A81E0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81E01"/>
    <w:rPr>
      <w:b/>
      <w:bCs/>
    </w:rPr>
  </w:style>
  <w:style w:type="character" w:customStyle="1" w:styleId="PredmetkomentraChar">
    <w:name w:val="Predmet komentára Char"/>
    <w:basedOn w:val="TextkomentraChar"/>
    <w:link w:val="Predmetkomentra"/>
    <w:uiPriority w:val="99"/>
    <w:semiHidden/>
    <w:rsid w:val="00A81E0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81E0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1E0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1995/145/"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2100</Words>
  <Characters>11974</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Ladislav</dc:creator>
  <cp:keywords/>
  <dc:description/>
  <cp:lastModifiedBy>Hajdu Ladislav</cp:lastModifiedBy>
  <cp:revision>3</cp:revision>
  <cp:lastPrinted>2022-03-10T14:32:00Z</cp:lastPrinted>
  <dcterms:created xsi:type="dcterms:W3CDTF">2022-03-09T11:22:00Z</dcterms:created>
  <dcterms:modified xsi:type="dcterms:W3CDTF">2022-03-11T06:14:00Z</dcterms:modified>
</cp:coreProperties>
</file>