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10" w:rsidRPr="00B95134" w:rsidRDefault="00186010" w:rsidP="007F22E3">
      <w:pPr>
        <w:jc w:val="center"/>
        <w:rPr>
          <w:b/>
        </w:rPr>
      </w:pPr>
      <w:bookmarkStart w:id="0" w:name="_GoBack"/>
      <w:bookmarkEnd w:id="0"/>
      <w:r w:rsidRPr="00B95134">
        <w:rPr>
          <w:b/>
        </w:rPr>
        <w:t>Predkladacia správa</w:t>
      </w:r>
    </w:p>
    <w:p w:rsidR="00186010" w:rsidRPr="00B95134" w:rsidRDefault="00186010" w:rsidP="007F22E3">
      <w:pPr>
        <w:jc w:val="center"/>
      </w:pPr>
    </w:p>
    <w:p w:rsidR="00186010" w:rsidRPr="00B95134" w:rsidRDefault="00186010" w:rsidP="007F22E3">
      <w:pPr>
        <w:jc w:val="both"/>
      </w:pPr>
    </w:p>
    <w:p w:rsidR="007F22E3" w:rsidRDefault="00186010" w:rsidP="007F22E3">
      <w:pPr>
        <w:pStyle w:val="Normlnywebov"/>
        <w:spacing w:before="0" w:beforeAutospacing="0" w:after="0" w:afterAutospacing="0"/>
        <w:jc w:val="both"/>
      </w:pPr>
      <w:r w:rsidRPr="00B95134">
        <w:tab/>
      </w:r>
      <w:r w:rsidR="00B401DE">
        <w:t>N</w:t>
      </w:r>
      <w:r w:rsidR="007F22E3">
        <w:t xml:space="preserve">a základe § 70 ods. 2 zákona Národnej rady Slovenskej republiky č. 350/1996 Z. z. o rokovacom poriadku Národnej rady Slovenskej republiky </w:t>
      </w:r>
      <w:r w:rsidR="001A6A37">
        <w:t xml:space="preserve">v znení </w:t>
      </w:r>
      <w:r w:rsidR="00B401DE">
        <w:t>zákona č. 399/2015 Z. z.</w:t>
      </w:r>
      <w:r w:rsidR="00B401DE">
        <w:br/>
      </w:r>
      <w:r w:rsidR="00B401DE" w:rsidRPr="004039DE">
        <w:t xml:space="preserve">a podľa čl. 31 Legislatívnych pravidiel vlády Slovenskej republiky Ministerstvo financií Slovenskej republiky predkladá na rokovanie </w:t>
      </w:r>
      <w:r w:rsidR="00B401DE">
        <w:t xml:space="preserve">Legislatívnej rady </w:t>
      </w:r>
      <w:r w:rsidR="00B401DE" w:rsidRPr="004039DE">
        <w:t xml:space="preserve">vlády Slovenskej republiky </w:t>
      </w:r>
      <w:r w:rsidR="007F22E3">
        <w:t xml:space="preserve">návrh </w:t>
      </w:r>
      <w:r w:rsidR="007E616D">
        <w:t xml:space="preserve">poslancov </w:t>
      </w:r>
      <w:r w:rsidR="007F22E3">
        <w:t xml:space="preserve">Národnej rady Slovenskej republiky </w:t>
      </w:r>
      <w:r w:rsidR="00AB5434">
        <w:t xml:space="preserve">Mariána Viskupiča, Jarmily </w:t>
      </w:r>
      <w:proofErr w:type="spellStart"/>
      <w:r w:rsidR="00AB5434">
        <w:t>Halgašovej</w:t>
      </w:r>
      <w:proofErr w:type="spellEnd"/>
      <w:r w:rsidR="00AB5434">
        <w:t xml:space="preserve"> a </w:t>
      </w:r>
      <w:r w:rsidR="007E616D">
        <w:t xml:space="preserve">Petra </w:t>
      </w:r>
      <w:proofErr w:type="spellStart"/>
      <w:r w:rsidR="00AB5434">
        <w:t>Cmoreja</w:t>
      </w:r>
      <w:proofErr w:type="spellEnd"/>
      <w:r w:rsidR="00AB5434">
        <w:t xml:space="preserve"> </w:t>
      </w:r>
      <w:r w:rsidR="007F22E3">
        <w:t xml:space="preserve">na vydanie zákona, </w:t>
      </w:r>
      <w:r w:rsidR="0036120B">
        <w:t xml:space="preserve">ktorým sa dopĺňa zákon č. </w:t>
      </w:r>
      <w:r w:rsidR="00AB5434">
        <w:t>67</w:t>
      </w:r>
      <w:r w:rsidR="0036120B">
        <w:t>/20</w:t>
      </w:r>
      <w:r w:rsidR="00AB5434">
        <w:t>20</w:t>
      </w:r>
      <w:r w:rsidR="0036120B">
        <w:t xml:space="preserve"> Z. z. o</w:t>
      </w:r>
      <w:r w:rsidR="00AB5434">
        <w:t xml:space="preserve"> niektorých mimoriadnych opatreniach vo finančnej oblasti v súvislosti so šírením nebezpečnej nákazlivej ľudskej choroby COVID-19 </w:t>
      </w:r>
      <w:r w:rsidR="0036120B">
        <w:t xml:space="preserve">v znení </w:t>
      </w:r>
      <w:r w:rsidR="00AB5434">
        <w:t xml:space="preserve">neskorších predpisov </w:t>
      </w:r>
      <w:r w:rsidR="007F22E3">
        <w:t xml:space="preserve">(tlač </w:t>
      </w:r>
      <w:r w:rsidR="00AB5434">
        <w:t>930</w:t>
      </w:r>
      <w:r w:rsidR="007F22E3">
        <w:t>).</w:t>
      </w:r>
    </w:p>
    <w:p w:rsidR="007E616D" w:rsidRDefault="007E616D" w:rsidP="007F22E3">
      <w:pPr>
        <w:pStyle w:val="Zkladntext2"/>
      </w:pPr>
    </w:p>
    <w:p w:rsidR="00983A04" w:rsidRDefault="002754DF" w:rsidP="007E616D">
      <w:pPr>
        <w:pStyle w:val="Zkladntext2"/>
        <w:ind w:firstLine="708"/>
      </w:pPr>
      <w:r>
        <w:t xml:space="preserve">Predmetom návrhu zákona je </w:t>
      </w:r>
      <w:r w:rsidR="008020E6">
        <w:t>z dôvodu zmiernenia negatívnych následkov pandémie na prevádzkovateľov hazardných hier umožniť odklad úhrady odvodov za kalendárny rok 2022 tak, že termíny úhrady odvodov, ktorých splatnosť nastala do 30. apríla 2022, sa posúvajú do konca augusta 2022, a termíny úhrady odvodov, ktorých splatnosť nastane od účinnosti tohto zákona (tejto novely zákona č. 67/2020 Z. z.) do 31. augusta 2022, sa posúvajú do konca decembra 2022.</w:t>
      </w:r>
      <w:r>
        <w:t xml:space="preserve"> </w:t>
      </w:r>
    </w:p>
    <w:p w:rsidR="00983A04" w:rsidRDefault="00983A04" w:rsidP="00437FE0">
      <w:pPr>
        <w:pStyle w:val="Zkladntext2"/>
      </w:pPr>
    </w:p>
    <w:p w:rsidR="000378A6" w:rsidRDefault="000378A6" w:rsidP="00EF5B58">
      <w:pPr>
        <w:pStyle w:val="Zkladntext2"/>
        <w:ind w:firstLine="708"/>
      </w:pPr>
    </w:p>
    <w:p w:rsidR="00551518" w:rsidRDefault="00551518" w:rsidP="00551518">
      <w:pPr>
        <w:pStyle w:val="Zkladntext2"/>
        <w:rPr>
          <w:b/>
        </w:rPr>
      </w:pPr>
      <w:r>
        <w:rPr>
          <w:b/>
        </w:rPr>
        <w:t>Stanovisko:</w:t>
      </w:r>
    </w:p>
    <w:p w:rsidR="00551518" w:rsidRPr="00551518" w:rsidRDefault="00551518" w:rsidP="00551518">
      <w:pPr>
        <w:pStyle w:val="Zkladntext2"/>
        <w:rPr>
          <w:b/>
        </w:rPr>
      </w:pPr>
    </w:p>
    <w:p w:rsidR="000378A6" w:rsidRDefault="000378A6" w:rsidP="00EF5B58">
      <w:pPr>
        <w:pStyle w:val="Normlnywebov"/>
        <w:spacing w:before="0" w:beforeAutospacing="0" w:after="0" w:afterAutospacing="0"/>
        <w:ind w:firstLine="708"/>
        <w:jc w:val="both"/>
      </w:pPr>
      <w:r w:rsidRPr="007F22E3">
        <w:t>Ministerstvo financií S</w:t>
      </w:r>
      <w:r w:rsidR="00EF5B58">
        <w:t xml:space="preserve">lovenskej republiky </w:t>
      </w:r>
      <w:r w:rsidR="00551518">
        <w:t>zaujíma k predloženému poslaneckému  návrhu zákona toto stanovisko:</w:t>
      </w:r>
    </w:p>
    <w:p w:rsidR="000378A6" w:rsidRDefault="000378A6" w:rsidP="00EF5B58">
      <w:pPr>
        <w:pStyle w:val="Zkladntext2"/>
        <w:ind w:firstLine="708"/>
      </w:pPr>
    </w:p>
    <w:p w:rsidR="00EB30A9" w:rsidRPr="002D4946" w:rsidRDefault="000378A6" w:rsidP="00EF5B58">
      <w:pPr>
        <w:pStyle w:val="Zkladntext2"/>
      </w:pPr>
      <w:r w:rsidRPr="00551518">
        <w:t>1. N</w:t>
      </w:r>
      <w:r w:rsidR="00551518" w:rsidRPr="00551518">
        <w:t>avrhovan</w:t>
      </w:r>
      <w:r w:rsidR="008020E6">
        <w:t xml:space="preserve">é </w:t>
      </w:r>
      <w:r w:rsidR="008020E6" w:rsidRPr="002D4946">
        <w:t xml:space="preserve">opatrenie </w:t>
      </w:r>
      <w:r w:rsidR="002D4946" w:rsidRPr="002D4946">
        <w:t>najviac pomôže prevádzkovateľom hazardných hier prevádzkovaných v</w:t>
      </w:r>
      <w:r w:rsidR="002D4946">
        <w:t xml:space="preserve"> kamenných prevádzkach – v </w:t>
      </w:r>
      <w:r w:rsidR="002D4946" w:rsidRPr="002D4946">
        <w:t>herniach a v kasínach, ktorých paušálne odvody sú splatné v apríli a v auguste bežného roka</w:t>
      </w:r>
      <w:r w:rsidR="002D4946">
        <w:t xml:space="preserve"> a ktorých prevádzky boli počas núdzového stavu úplne zatvorené. Odklad úhrady odvodov však bude umožnený všetkým prevádzkovateľom hazardných hier za komerčných podmienok, to znamená, že za obdobie odkladu budú povinní zaplatiť úrok podľa </w:t>
      </w:r>
      <w:r w:rsidR="002D4946" w:rsidRPr="00407A06">
        <w:rPr>
          <w:kern w:val="22"/>
        </w:rPr>
        <w:t>Oznámenia Komisie o revízii spôsobu stanovenia referenčných a diskontných sadzieb</w:t>
      </w:r>
      <w:r w:rsidR="002D4946">
        <w:rPr>
          <w:kern w:val="22"/>
        </w:rPr>
        <w:t>.</w:t>
      </w:r>
      <w:r w:rsidR="00491A5C" w:rsidRPr="002D4946">
        <w:t xml:space="preserve"> </w:t>
      </w:r>
      <w:r w:rsidR="002D4946">
        <w:t xml:space="preserve">Z tohto dôvodu by </w:t>
      </w:r>
      <w:r w:rsidR="002D4946" w:rsidRPr="0061562B">
        <w:t xml:space="preserve">predmetným opatrením nemala byť poskytovaná štátna </w:t>
      </w:r>
      <w:r w:rsidR="002D4946">
        <w:t xml:space="preserve">pomoc </w:t>
      </w:r>
      <w:r w:rsidR="002D4946" w:rsidRPr="0061562B">
        <w:t>ani minimálna pomoc</w:t>
      </w:r>
      <w:r w:rsidR="002D4946">
        <w:t>.</w:t>
      </w:r>
      <w:r w:rsidR="00491A5C" w:rsidRPr="002D4946">
        <w:t xml:space="preserve">  </w:t>
      </w:r>
    </w:p>
    <w:p w:rsidR="00EB30A9" w:rsidRDefault="00EB30A9" w:rsidP="00FD0076">
      <w:pPr>
        <w:pStyle w:val="Zkladntext2"/>
      </w:pPr>
    </w:p>
    <w:p w:rsidR="002D23D5" w:rsidRDefault="00EB30A9" w:rsidP="002D23D5">
      <w:pPr>
        <w:jc w:val="both"/>
      </w:pPr>
      <w:r w:rsidRPr="00551518">
        <w:t xml:space="preserve">2. </w:t>
      </w:r>
      <w:r w:rsidR="002D23D5">
        <w:t xml:space="preserve">Predpokladá sa preto, že odklad úhrady odvodov využijú </w:t>
      </w:r>
      <w:r w:rsidR="00A95F8B">
        <w:t xml:space="preserve">najmä </w:t>
      </w:r>
      <w:r w:rsidR="002D23D5">
        <w:t>tí prevádzkovatelia hazardných hier, ktorí mali absolútny výpadok tržieb z dôvodu zatvorenia prevádzok, v ktorých sa prevádzkujú technické zariadenia, za ktoré sa platia paušálne odvody. V prípade prevádzkovateľov hazardných hier, ktorí prevádzkujú hazardné hry, z prevádzkovania ktorých sa platia percentuálne odvody z pohyblivého základu (väčšinou z hernej istiny) totiž platí, že nižšia intenzita hrania hazardných hier automaticky znamená nižšiu úhradu odvodu, pričom platenie úroku navyše za obdobie odkladu by im zvyšovalo náklady.</w:t>
      </w:r>
    </w:p>
    <w:p w:rsidR="002D23D5" w:rsidRDefault="002D23D5" w:rsidP="002D23D5">
      <w:pPr>
        <w:jc w:val="both"/>
      </w:pPr>
    </w:p>
    <w:p w:rsidR="00EB30A9" w:rsidRDefault="002D23D5" w:rsidP="00FD0076">
      <w:pPr>
        <w:jc w:val="both"/>
      </w:pPr>
      <w:r>
        <w:t xml:space="preserve">3. Z pohľadu porovnania vplyvu odkladu odvodov na cash </w:t>
      </w:r>
      <w:proofErr w:type="spellStart"/>
      <w:r>
        <w:t>flow</w:t>
      </w:r>
      <w:proofErr w:type="spellEnd"/>
      <w:r>
        <w:t xml:space="preserve"> príjmov štátneho rozpočtu a príjmov rozpoč</w:t>
      </w:r>
      <w:r w:rsidR="00A95F8B">
        <w:t xml:space="preserve">tov </w:t>
      </w:r>
      <w:r>
        <w:t>obcí v priebehu roka 2022 (opatrením sa odkladajú tak odvody do štátneho rozpočtu ako aj odvody do rozpočt</w:t>
      </w:r>
      <w:r w:rsidR="00A95F8B">
        <w:t>ov</w:t>
      </w:r>
      <w:r>
        <w:t xml:space="preserve"> obcí) je dôležité uviesť, že odklad odvodov sa z tohto pohľadu dotkne obcí v oveľa menšej miere ako štátneho rozpočtu, pretože druhá splátka paušálnych odvodov do rozpočtov obcí je aj </w:t>
      </w:r>
      <w:r w:rsidR="00167FA2">
        <w:t xml:space="preserve">podľa </w:t>
      </w:r>
      <w:r>
        <w:t xml:space="preserve">systémového zákona – zákona o hazardných hrách </w:t>
      </w:r>
      <w:r w:rsidR="00A95F8B">
        <w:t xml:space="preserve">nastavená </w:t>
      </w:r>
      <w:r>
        <w:t>na koniec decembra príslušného kalendárneho roka.</w:t>
      </w:r>
    </w:p>
    <w:p w:rsidR="00DD12A9" w:rsidRDefault="00DD12A9" w:rsidP="00FD0076">
      <w:pPr>
        <w:ind w:firstLine="708"/>
        <w:jc w:val="both"/>
      </w:pPr>
    </w:p>
    <w:p w:rsidR="00642A23" w:rsidRDefault="00767B2C" w:rsidP="00767B2C">
      <w:pPr>
        <w:jc w:val="both"/>
      </w:pPr>
      <w:r>
        <w:lastRenderedPageBreak/>
        <w:t>4</w:t>
      </w:r>
      <w:r w:rsidR="00EB30A9" w:rsidRPr="00903F27">
        <w:t xml:space="preserve">. </w:t>
      </w:r>
      <w:r>
        <w:t xml:space="preserve">Odklad odvodov nebude mať vplyv na rozpočet verejnej správy ani len z pohľadu cash </w:t>
      </w:r>
      <w:proofErr w:type="spellStart"/>
      <w:r>
        <w:t>flow</w:t>
      </w:r>
      <w:proofErr w:type="spellEnd"/>
      <w:r>
        <w:t xml:space="preserve"> na ročnej báze, pretože hraničný termín na úhradu odvodov zostáva na koniec roka 2022; </w:t>
      </w:r>
      <w:r w:rsidRPr="0015594B">
        <w:t xml:space="preserve">výpadok </w:t>
      </w:r>
      <w:r>
        <w:t xml:space="preserve">príjmov z odvodov však </w:t>
      </w:r>
      <w:r w:rsidRPr="0015594B">
        <w:t>neb</w:t>
      </w:r>
      <w:r>
        <w:t xml:space="preserve">ude </w:t>
      </w:r>
      <w:r w:rsidRPr="0015594B">
        <w:t>žiadn</w:t>
      </w:r>
      <w:r>
        <w:t xml:space="preserve">y </w:t>
      </w:r>
      <w:r w:rsidRPr="0015594B">
        <w:t xml:space="preserve">za predpokladu, že všetci prevádzkovatelia </w:t>
      </w:r>
      <w:r>
        <w:t xml:space="preserve">hazardných hier </w:t>
      </w:r>
      <w:r w:rsidRPr="0015594B">
        <w:t xml:space="preserve">budú schopní uhradiť </w:t>
      </w:r>
      <w:r>
        <w:t xml:space="preserve">odvod </w:t>
      </w:r>
      <w:r w:rsidRPr="0015594B">
        <w:t xml:space="preserve">v plnej výške a žiaden prevádzkovateľ </w:t>
      </w:r>
      <w:r>
        <w:t xml:space="preserve">hazardných hier nepodá návrh na vyhlásenie </w:t>
      </w:r>
      <w:r w:rsidRPr="0015594B">
        <w:t>konkurzu.</w:t>
      </w:r>
    </w:p>
    <w:p w:rsidR="00642A23" w:rsidRDefault="00642A23" w:rsidP="00FD0076">
      <w:pPr>
        <w:pStyle w:val="Zkladntext2"/>
      </w:pPr>
    </w:p>
    <w:p w:rsidR="001B74D1" w:rsidRPr="00903F27" w:rsidRDefault="00642A23" w:rsidP="00FD0076">
      <w:pPr>
        <w:pStyle w:val="Zkladntext2"/>
      </w:pPr>
      <w:r>
        <w:t xml:space="preserve">5. </w:t>
      </w:r>
      <w:r w:rsidR="002D23D5">
        <w:t xml:space="preserve">V dôvodovej správe </w:t>
      </w:r>
      <w:r w:rsidR="00A95F8B">
        <w:t xml:space="preserve">(osobitnej časti) </w:t>
      </w:r>
      <w:r w:rsidR="002D23D5">
        <w:t xml:space="preserve">k návrhu zákona je len potrebné upresniť, že </w:t>
      </w:r>
      <w:r w:rsidR="00A95F8B">
        <w:rPr>
          <w:kern w:val="22"/>
        </w:rPr>
        <w:t xml:space="preserve">doba presahujúca jeden mesiac, počas ktorej je prevádzkovateľ hazardnej hry v omeškaní s úhradou odvodu, a po uplynutí ktorej mu Úrad pre reguláciu hazardných hier môže siahnuť na finančnú zábezpeku podľa § 67 ods. 5 písm. f) prvého bodu zákona o hazardných hrách, sa začne počítať od uplynutia </w:t>
      </w:r>
      <w:r w:rsidR="00A95F8B" w:rsidRPr="00DD485B">
        <w:rPr>
          <w:kern w:val="22"/>
          <w:u w:val="single"/>
        </w:rPr>
        <w:t>príslušnej</w:t>
      </w:r>
      <w:r w:rsidR="00A95F8B">
        <w:rPr>
          <w:kern w:val="22"/>
        </w:rPr>
        <w:t xml:space="preserve"> lehoty na odklad úhrady odvodu podľa písmena a) a</w:t>
      </w:r>
      <w:r w:rsidR="00DD485B">
        <w:rPr>
          <w:kern w:val="22"/>
        </w:rPr>
        <w:t xml:space="preserve"> </w:t>
      </w:r>
      <w:r w:rsidR="00A95F8B">
        <w:rPr>
          <w:kern w:val="22"/>
        </w:rPr>
        <w:t xml:space="preserve">b) ustanovenej v § 30ob ods. 1 tohto zákona (tejto novely zákona č. 67/2020 Z. z.), to znamená od </w:t>
      </w:r>
      <w:r w:rsidR="00DD485B">
        <w:rPr>
          <w:kern w:val="22"/>
        </w:rPr>
        <w:t>1</w:t>
      </w:r>
      <w:r w:rsidR="00A95F8B">
        <w:rPr>
          <w:kern w:val="22"/>
        </w:rPr>
        <w:t>.</w:t>
      </w:r>
      <w:r w:rsidR="00DD485B">
        <w:rPr>
          <w:kern w:val="22"/>
        </w:rPr>
        <w:t xml:space="preserve"> septembra 2022, ak posunutá lehota uplynula 31. augusta 2022 a od 1. januára 2023, </w:t>
      </w:r>
      <w:r w:rsidR="00DD485B" w:rsidRPr="00DD485B">
        <w:rPr>
          <w:kern w:val="22"/>
        </w:rPr>
        <w:t>a</w:t>
      </w:r>
      <w:r w:rsidR="00DD485B">
        <w:rPr>
          <w:kern w:val="22"/>
        </w:rPr>
        <w:t>k posunutá lehota uplynula 31. decembra 2022, a</w:t>
      </w:r>
      <w:r w:rsidR="00DD485B" w:rsidRPr="00DD485B">
        <w:rPr>
          <w:kern w:val="22"/>
        </w:rPr>
        <w:t> </w:t>
      </w:r>
      <w:r w:rsidR="00DD485B" w:rsidRPr="00DD485B">
        <w:rPr>
          <w:kern w:val="22"/>
          <w:u w:val="single"/>
        </w:rPr>
        <w:t>nie</w:t>
      </w:r>
      <w:r w:rsidR="00DD485B" w:rsidRPr="00DD485B">
        <w:rPr>
          <w:kern w:val="22"/>
        </w:rPr>
        <w:t xml:space="preserve"> generálne od 1. januára 2023</w:t>
      </w:r>
      <w:r w:rsidR="00DD485B">
        <w:rPr>
          <w:kern w:val="22"/>
        </w:rPr>
        <w:t>.</w:t>
      </w:r>
      <w:r>
        <w:t xml:space="preserve">  </w:t>
      </w:r>
      <w:r w:rsidR="002C24D8" w:rsidRPr="00903F27">
        <w:t xml:space="preserve"> </w:t>
      </w:r>
    </w:p>
    <w:p w:rsidR="009F483A" w:rsidRDefault="009F483A" w:rsidP="009F483A">
      <w:pPr>
        <w:pStyle w:val="Zkladntext2"/>
        <w:rPr>
          <w:b/>
        </w:rPr>
      </w:pPr>
    </w:p>
    <w:p w:rsidR="009F483A" w:rsidRDefault="009F483A" w:rsidP="009F483A">
      <w:pPr>
        <w:pStyle w:val="Zkladntext2"/>
        <w:rPr>
          <w:b/>
        </w:rPr>
      </w:pPr>
    </w:p>
    <w:p w:rsidR="009F483A" w:rsidRDefault="009F483A" w:rsidP="009F483A">
      <w:pPr>
        <w:pStyle w:val="Zkladntext2"/>
        <w:rPr>
          <w:b/>
        </w:rPr>
      </w:pPr>
      <w:r>
        <w:rPr>
          <w:b/>
        </w:rPr>
        <w:t>Výsledok pripomienkového konania:</w:t>
      </w:r>
    </w:p>
    <w:p w:rsidR="009F483A" w:rsidRDefault="009F483A" w:rsidP="009F483A">
      <w:pPr>
        <w:pStyle w:val="Zkladntext2"/>
      </w:pPr>
    </w:p>
    <w:p w:rsidR="009F483A" w:rsidRDefault="009F483A" w:rsidP="009F483A">
      <w:pPr>
        <w:pStyle w:val="Zkladntext2"/>
        <w:ind w:firstLine="708"/>
      </w:pPr>
      <w:r>
        <w:t>Povinne pripomienkujúce subjekty nepredložili k materiálu žiadnu pripomienku.</w:t>
      </w:r>
    </w:p>
    <w:p w:rsidR="001B74D1" w:rsidRDefault="001B74D1" w:rsidP="00FD0076">
      <w:pPr>
        <w:pStyle w:val="Zkladntext2"/>
      </w:pPr>
    </w:p>
    <w:p w:rsidR="00DD485B" w:rsidRDefault="00DD485B" w:rsidP="00FD0076">
      <w:pPr>
        <w:pStyle w:val="Zkladntext2"/>
      </w:pPr>
    </w:p>
    <w:p w:rsidR="00642A23" w:rsidRDefault="00642A23" w:rsidP="00FD0076">
      <w:pPr>
        <w:pStyle w:val="Zkladntext2"/>
        <w:rPr>
          <w:b/>
        </w:rPr>
      </w:pPr>
      <w:r>
        <w:rPr>
          <w:b/>
        </w:rPr>
        <w:t>Záver:</w:t>
      </w:r>
    </w:p>
    <w:p w:rsidR="00642A23" w:rsidRDefault="00642A23" w:rsidP="00FD0076">
      <w:pPr>
        <w:pStyle w:val="Zkladntext2"/>
        <w:rPr>
          <w:b/>
        </w:rPr>
      </w:pPr>
    </w:p>
    <w:p w:rsidR="00CC6422" w:rsidRPr="00903F27" w:rsidRDefault="00642A23" w:rsidP="00EA485F">
      <w:pPr>
        <w:pStyle w:val="Normlnywebov"/>
        <w:spacing w:before="0" w:beforeAutospacing="0" w:after="0" w:afterAutospacing="0"/>
        <w:ind w:firstLine="708"/>
        <w:jc w:val="both"/>
      </w:pPr>
      <w:r>
        <w:t xml:space="preserve">Na základe vyššie uvedených skutočností </w:t>
      </w:r>
      <w:r w:rsidRPr="007F22E3">
        <w:t>Ministerstvo financií S</w:t>
      </w:r>
      <w:r>
        <w:t xml:space="preserve">lovenskej republiky odporúča vláde Slovenskej republiky vysloviť </w:t>
      </w:r>
      <w:r w:rsidR="00EA485F">
        <w:t xml:space="preserve">súhlas </w:t>
      </w:r>
      <w:r>
        <w:t>s</w:t>
      </w:r>
      <w:r w:rsidR="00EA485F">
        <w:t xml:space="preserve"> predloženým poslaneckým </w:t>
      </w:r>
      <w:r>
        <w:t xml:space="preserve">návrhom </w:t>
      </w:r>
      <w:r w:rsidR="00EA485F">
        <w:t>zákona.</w:t>
      </w:r>
    </w:p>
    <w:sectPr w:rsidR="00CC6422" w:rsidRPr="00903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C616A"/>
    <w:multiLevelType w:val="hybridMultilevel"/>
    <w:tmpl w:val="7C94C18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6D01199B"/>
    <w:multiLevelType w:val="hybridMultilevel"/>
    <w:tmpl w:val="CBD40A0E"/>
    <w:lvl w:ilvl="0" w:tplc="E4A8C2C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22"/>
    <w:rsid w:val="000216B8"/>
    <w:rsid w:val="00033A86"/>
    <w:rsid w:val="000378A6"/>
    <w:rsid w:val="00042E75"/>
    <w:rsid w:val="000A0983"/>
    <w:rsid w:val="000E3A15"/>
    <w:rsid w:val="001553F2"/>
    <w:rsid w:val="00167FA2"/>
    <w:rsid w:val="00186010"/>
    <w:rsid w:val="001A6A37"/>
    <w:rsid w:val="001B74D1"/>
    <w:rsid w:val="001F7B23"/>
    <w:rsid w:val="002372C3"/>
    <w:rsid w:val="00243897"/>
    <w:rsid w:val="002754DF"/>
    <w:rsid w:val="002B6A77"/>
    <w:rsid w:val="002C24D8"/>
    <w:rsid w:val="002D23D5"/>
    <w:rsid w:val="002D4946"/>
    <w:rsid w:val="002E251C"/>
    <w:rsid w:val="0030550D"/>
    <w:rsid w:val="0036120B"/>
    <w:rsid w:val="003818A7"/>
    <w:rsid w:val="003C5D8B"/>
    <w:rsid w:val="003F67BE"/>
    <w:rsid w:val="00406C64"/>
    <w:rsid w:val="00437FE0"/>
    <w:rsid w:val="00457164"/>
    <w:rsid w:val="004802D9"/>
    <w:rsid w:val="00491A5C"/>
    <w:rsid w:val="0049212E"/>
    <w:rsid w:val="004B4915"/>
    <w:rsid w:val="004E20B6"/>
    <w:rsid w:val="004F3E25"/>
    <w:rsid w:val="0053046B"/>
    <w:rsid w:val="00551518"/>
    <w:rsid w:val="00552FDB"/>
    <w:rsid w:val="00591E9B"/>
    <w:rsid w:val="0059522D"/>
    <w:rsid w:val="005A5C05"/>
    <w:rsid w:val="005E3043"/>
    <w:rsid w:val="00604865"/>
    <w:rsid w:val="00642A23"/>
    <w:rsid w:val="00646BF0"/>
    <w:rsid w:val="0068514F"/>
    <w:rsid w:val="006E0501"/>
    <w:rsid w:val="00730C72"/>
    <w:rsid w:val="0074263B"/>
    <w:rsid w:val="00767B2C"/>
    <w:rsid w:val="007B02D8"/>
    <w:rsid w:val="007E2B98"/>
    <w:rsid w:val="007E616D"/>
    <w:rsid w:val="007F22E3"/>
    <w:rsid w:val="007F6EA6"/>
    <w:rsid w:val="008020E6"/>
    <w:rsid w:val="0087373F"/>
    <w:rsid w:val="008C5F6A"/>
    <w:rsid w:val="008D5E12"/>
    <w:rsid w:val="008D7EA1"/>
    <w:rsid w:val="00903F27"/>
    <w:rsid w:val="00966772"/>
    <w:rsid w:val="00983A04"/>
    <w:rsid w:val="009E68A4"/>
    <w:rsid w:val="009F483A"/>
    <w:rsid w:val="00A35915"/>
    <w:rsid w:val="00A86CEC"/>
    <w:rsid w:val="00A95F8B"/>
    <w:rsid w:val="00AA28E7"/>
    <w:rsid w:val="00AB2C32"/>
    <w:rsid w:val="00AB5434"/>
    <w:rsid w:val="00AB7582"/>
    <w:rsid w:val="00AC3529"/>
    <w:rsid w:val="00AE7442"/>
    <w:rsid w:val="00B2341C"/>
    <w:rsid w:val="00B401DE"/>
    <w:rsid w:val="00B42CD4"/>
    <w:rsid w:val="00B71B1B"/>
    <w:rsid w:val="00B7462F"/>
    <w:rsid w:val="00B80103"/>
    <w:rsid w:val="00B95134"/>
    <w:rsid w:val="00BF682B"/>
    <w:rsid w:val="00C03FF4"/>
    <w:rsid w:val="00C427D8"/>
    <w:rsid w:val="00C50D9C"/>
    <w:rsid w:val="00C849DC"/>
    <w:rsid w:val="00CC6422"/>
    <w:rsid w:val="00D32403"/>
    <w:rsid w:val="00DD12A9"/>
    <w:rsid w:val="00DD485B"/>
    <w:rsid w:val="00DF0D85"/>
    <w:rsid w:val="00E653DF"/>
    <w:rsid w:val="00E67177"/>
    <w:rsid w:val="00E90417"/>
    <w:rsid w:val="00EA485F"/>
    <w:rsid w:val="00EB30A9"/>
    <w:rsid w:val="00EF5B58"/>
    <w:rsid w:val="00EF76B4"/>
    <w:rsid w:val="00F27095"/>
    <w:rsid w:val="00F40BF9"/>
    <w:rsid w:val="00F800CE"/>
    <w:rsid w:val="00F81B50"/>
    <w:rsid w:val="00FA309B"/>
    <w:rsid w:val="00FC2512"/>
    <w:rsid w:val="00FD00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A4AF74-3D3A-4820-83D5-E445C73C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6010"/>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0E3A15"/>
    <w:pPr>
      <w:jc w:val="both"/>
    </w:pPr>
  </w:style>
  <w:style w:type="character" w:customStyle="1" w:styleId="Zkladntext2Char">
    <w:name w:val="Základný text 2 Char"/>
    <w:basedOn w:val="Predvolenpsmoodseku"/>
    <w:link w:val="Zkladntext2"/>
    <w:uiPriority w:val="99"/>
    <w:locked/>
    <w:rsid w:val="000E3A15"/>
    <w:rPr>
      <w:rFonts w:cs="Times New Roman"/>
      <w:sz w:val="24"/>
    </w:rPr>
  </w:style>
  <w:style w:type="paragraph" w:styleId="Zarkazkladnhotextu">
    <w:name w:val="Body Text Indent"/>
    <w:basedOn w:val="Normlny"/>
    <w:link w:val="ZarkazkladnhotextuChar"/>
    <w:uiPriority w:val="99"/>
    <w:rsid w:val="0059522D"/>
    <w:pPr>
      <w:spacing w:after="120"/>
      <w:ind w:left="283"/>
    </w:pPr>
  </w:style>
  <w:style w:type="character" w:customStyle="1" w:styleId="ZarkazkladnhotextuChar">
    <w:name w:val="Zarážka základného textu Char"/>
    <w:basedOn w:val="Predvolenpsmoodseku"/>
    <w:link w:val="Zarkazkladnhotextu"/>
    <w:uiPriority w:val="99"/>
    <w:locked/>
    <w:rsid w:val="0059522D"/>
    <w:rPr>
      <w:rFonts w:cs="Times New Roman"/>
      <w:sz w:val="24"/>
      <w:szCs w:val="24"/>
    </w:rPr>
  </w:style>
  <w:style w:type="paragraph" w:styleId="Normlnywebov">
    <w:name w:val="Normal (Web)"/>
    <w:basedOn w:val="Normlny"/>
    <w:uiPriority w:val="99"/>
    <w:unhideWhenUsed/>
    <w:rsid w:val="007F22E3"/>
    <w:pPr>
      <w:spacing w:before="100" w:beforeAutospacing="1" w:after="100" w:afterAutospacing="1"/>
    </w:pPr>
  </w:style>
  <w:style w:type="paragraph" w:styleId="Textbubliny">
    <w:name w:val="Balloon Text"/>
    <w:basedOn w:val="Normlny"/>
    <w:link w:val="TextbublinyChar"/>
    <w:uiPriority w:val="99"/>
    <w:semiHidden/>
    <w:unhideWhenUsed/>
    <w:rsid w:val="008D7EA1"/>
    <w:rPr>
      <w:rFonts w:ascii="Segoe UI" w:hAnsi="Segoe UI" w:cs="Segoe UI"/>
      <w:sz w:val="18"/>
      <w:szCs w:val="18"/>
    </w:rPr>
  </w:style>
  <w:style w:type="character" w:customStyle="1" w:styleId="TextbublinyChar">
    <w:name w:val="Text bubliny Char"/>
    <w:basedOn w:val="Predvolenpsmoodseku"/>
    <w:link w:val="Textbubliny"/>
    <w:uiPriority w:val="99"/>
    <w:semiHidden/>
    <w:rsid w:val="008D7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251489">
      <w:marLeft w:val="0"/>
      <w:marRight w:val="0"/>
      <w:marTop w:val="0"/>
      <w:marBottom w:val="0"/>
      <w:divBdr>
        <w:top w:val="none" w:sz="0" w:space="0" w:color="auto"/>
        <w:left w:val="none" w:sz="0" w:space="0" w:color="auto"/>
        <w:bottom w:val="none" w:sz="0" w:space="0" w:color="auto"/>
        <w:right w:val="none" w:sz="0" w:space="0" w:color="auto"/>
      </w:divBdr>
    </w:div>
    <w:div w:id="1814251490">
      <w:marLeft w:val="0"/>
      <w:marRight w:val="0"/>
      <w:marTop w:val="0"/>
      <w:marBottom w:val="0"/>
      <w:divBdr>
        <w:top w:val="none" w:sz="0" w:space="0" w:color="auto"/>
        <w:left w:val="none" w:sz="0" w:space="0" w:color="auto"/>
        <w:bottom w:val="none" w:sz="0" w:space="0" w:color="auto"/>
        <w:right w:val="none" w:sz="0" w:space="0" w:color="auto"/>
      </w:divBdr>
    </w:div>
    <w:div w:id="1814251491">
      <w:marLeft w:val="0"/>
      <w:marRight w:val="0"/>
      <w:marTop w:val="0"/>
      <w:marBottom w:val="0"/>
      <w:divBdr>
        <w:top w:val="none" w:sz="0" w:space="0" w:color="auto"/>
        <w:left w:val="none" w:sz="0" w:space="0" w:color="auto"/>
        <w:bottom w:val="none" w:sz="0" w:space="0" w:color="auto"/>
        <w:right w:val="none" w:sz="0" w:space="0" w:color="auto"/>
      </w:divBdr>
    </w:div>
    <w:div w:id="20285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subject/>
  <dc:creator>Podolak Marian</dc:creator>
  <cp:keywords/>
  <dc:description/>
  <cp:lastModifiedBy>Droba Gabriel</cp:lastModifiedBy>
  <cp:revision>2</cp:revision>
  <cp:lastPrinted>2019-11-05T15:39:00Z</cp:lastPrinted>
  <dcterms:created xsi:type="dcterms:W3CDTF">2022-04-12T12:08:00Z</dcterms:created>
  <dcterms:modified xsi:type="dcterms:W3CDTF">2022-04-12T12:08:00Z</dcterms:modified>
</cp:coreProperties>
</file>