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42D4A818" w14:textId="77777777" w:rsidR="00222A33" w:rsidRPr="004A2699" w:rsidRDefault="00054C41" w:rsidP="00054C41">
      <w:pPr>
        <w:jc w:val="both"/>
        <w:rPr>
          <w:rFonts w:ascii="Times New Roman" w:eastAsia="Calibri" w:hAnsi="Times New Roman" w:cs="Times New Roman"/>
        </w:rPr>
      </w:pPr>
      <w:r w:rsidRPr="004A2699">
        <w:rPr>
          <w:rFonts w:ascii="Times New Roman" w:eastAsia="Calibri" w:hAnsi="Times New Roman" w:cs="Times New Roman"/>
          <w:b/>
        </w:rPr>
        <w:t>Názov materiálu:</w:t>
      </w:r>
      <w:r w:rsidR="002A0FBD" w:rsidRPr="004A2699">
        <w:rPr>
          <w:rFonts w:ascii="Times New Roman" w:eastAsia="Calibri" w:hAnsi="Times New Roman" w:cs="Times New Roman"/>
          <w:b/>
        </w:rPr>
        <w:t xml:space="preserve"> </w:t>
      </w:r>
      <w:r w:rsidR="002A0FBD" w:rsidRPr="004A2699">
        <w:rPr>
          <w:rFonts w:ascii="Times New Roman" w:eastAsia="Calibri" w:hAnsi="Times New Roman" w:cs="Times New Roman"/>
        </w:rPr>
        <w:t xml:space="preserve">Návrh zákona, ktorým sa mení a dopĺňa zákon č. 305/2013 Z. z. o elektronickej podobe výkonu pôsobnosti orgánov verejnej moci a o zmene a doplnení niektorých zákonov (zákon o e-Governmente) v znení neskorších predpisov a </w:t>
      </w:r>
      <w:r w:rsidR="00222A33" w:rsidRPr="004A2699">
        <w:rPr>
          <w:rFonts w:ascii="Times New Roman" w:eastAsia="Calibri" w:hAnsi="Times New Roman" w:cs="Times New Roman"/>
        </w:rPr>
        <w:t>ktorým sa menia a dopĺňajú niektoré zákony</w:t>
      </w:r>
    </w:p>
    <w:p w14:paraId="36AFBB5F" w14:textId="41223782" w:rsidR="00054C41" w:rsidRPr="004A2699" w:rsidRDefault="00054C41" w:rsidP="00054C41">
      <w:pPr>
        <w:jc w:val="both"/>
        <w:rPr>
          <w:rFonts w:ascii="Times New Roman" w:eastAsia="Calibri" w:hAnsi="Times New Roman" w:cs="Times New Roman"/>
          <w:b/>
        </w:rPr>
      </w:pPr>
      <w:r w:rsidRPr="004A2699">
        <w:rPr>
          <w:rFonts w:ascii="Times New Roman" w:eastAsia="Calibri" w:hAnsi="Times New Roman" w:cs="Times New Roman"/>
          <w:b/>
        </w:rPr>
        <w:t>Predkladateľ:</w:t>
      </w:r>
      <w:r w:rsidR="002A0FBD" w:rsidRPr="004A2699">
        <w:rPr>
          <w:rFonts w:ascii="Times New Roman" w:eastAsia="Calibri" w:hAnsi="Times New Roman" w:cs="Times New Roman"/>
          <w:b/>
        </w:rPr>
        <w:t xml:space="preserve"> </w:t>
      </w:r>
      <w:r w:rsidR="002A0FBD" w:rsidRPr="004A2699">
        <w:rPr>
          <w:rFonts w:ascii="Times New Roman" w:eastAsia="Calibri" w:hAnsi="Times New Roman" w:cs="Times New Roman"/>
        </w:rPr>
        <w:t>Ministerstvo investícií, regionálneho rozvoja a informatizácie S</w:t>
      </w:r>
      <w:r w:rsidR="00222A33" w:rsidRPr="004A2699">
        <w:rPr>
          <w:rFonts w:ascii="Times New Roman" w:eastAsia="Calibri" w:hAnsi="Times New Roman" w:cs="Times New Roman"/>
        </w:rPr>
        <w:t>lovenskej republiky</w:t>
      </w:r>
    </w:p>
    <w:p w14:paraId="4EF29AC2" w14:textId="77777777" w:rsidR="002A0FBD" w:rsidRPr="004A2699" w:rsidRDefault="002A0FBD" w:rsidP="00054C41">
      <w:pPr>
        <w:jc w:val="both"/>
        <w:rPr>
          <w:rFonts w:ascii="Times New Roman" w:eastAsia="Calibri" w:hAnsi="Times New Roman" w:cs="Times New Roman"/>
          <w:b/>
        </w:rPr>
      </w:pPr>
    </w:p>
    <w:p w14:paraId="0EB400DC" w14:textId="77777777" w:rsidR="00054C41" w:rsidRPr="004A2699" w:rsidRDefault="00054C41" w:rsidP="00054C41">
      <w:pPr>
        <w:jc w:val="both"/>
        <w:rPr>
          <w:rFonts w:ascii="Times New Roman" w:eastAsia="Calibri" w:hAnsi="Times New Roman" w:cs="Times New Roman"/>
          <w:b/>
        </w:rPr>
      </w:pPr>
      <w:r w:rsidRPr="004A2699">
        <w:rPr>
          <w:rFonts w:ascii="Times New Roman" w:eastAsia="Calibri" w:hAnsi="Times New Roman" w:cs="Times New Roman"/>
          <w:b/>
        </w:rPr>
        <w:t>3.1 Náklady regulácie</w:t>
      </w:r>
    </w:p>
    <w:p w14:paraId="2A91A721" w14:textId="7347FB75" w:rsidR="00054C41" w:rsidRPr="004A2699" w:rsidRDefault="00054C41" w:rsidP="00C21399">
      <w:pPr>
        <w:tabs>
          <w:tab w:val="left" w:pos="8025"/>
        </w:tabs>
        <w:rPr>
          <w:rFonts w:ascii="Times New Roman" w:eastAsia="Calibri" w:hAnsi="Times New Roman" w:cs="Times New Roman"/>
          <w:bCs/>
          <w:i/>
          <w:iCs/>
        </w:rPr>
      </w:pPr>
      <w:r w:rsidRPr="004A2699">
        <w:rPr>
          <w:rFonts w:ascii="Times New Roman" w:eastAsia="Calibri" w:hAnsi="Times New Roman" w:cs="Times New Roman"/>
          <w:b/>
          <w:i/>
          <w:iCs/>
        </w:rPr>
        <w:t xml:space="preserve">3.1.1 Súhrnná tabuľka nákladov regulácie </w:t>
      </w:r>
      <w:r w:rsidR="00C21399" w:rsidRPr="004A2699">
        <w:rPr>
          <w:rFonts w:ascii="Times New Roman" w:eastAsia="Calibri" w:hAnsi="Times New Roman" w:cs="Times New Roman"/>
          <w:b/>
          <w:i/>
          <w:iCs/>
        </w:rPr>
        <w:tab/>
      </w:r>
    </w:p>
    <w:p w14:paraId="30C56119" w14:textId="77777777" w:rsidR="00054C41" w:rsidRPr="004A2699" w:rsidRDefault="00054C41" w:rsidP="00054C41">
      <w:pPr>
        <w:spacing w:after="0"/>
        <w:jc w:val="both"/>
        <w:rPr>
          <w:rFonts w:ascii="Times New Roman" w:eastAsia="Calibri" w:hAnsi="Times New Roman" w:cs="Times New Roman"/>
          <w:b/>
        </w:rPr>
      </w:pPr>
    </w:p>
    <w:p w14:paraId="1F2ADA32" w14:textId="77777777" w:rsidR="00054C41" w:rsidRPr="004A2699" w:rsidRDefault="00054C41" w:rsidP="00054C41">
      <w:pPr>
        <w:jc w:val="both"/>
        <w:rPr>
          <w:rFonts w:ascii="Times New Roman" w:eastAsia="Calibri" w:hAnsi="Times New Roman" w:cs="Times New Roman"/>
          <w:i/>
        </w:rPr>
      </w:pPr>
      <w:r w:rsidRPr="004A2699">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4A016909" w14:textId="77777777" w:rsidR="00054C41" w:rsidRPr="004A2699" w:rsidRDefault="00054C41" w:rsidP="00054C41">
      <w:pPr>
        <w:jc w:val="both"/>
        <w:rPr>
          <w:rFonts w:ascii="Times New Roman" w:eastAsia="Calibri" w:hAnsi="Times New Roman" w:cs="Times New Roman"/>
          <w:i/>
        </w:rPr>
      </w:pPr>
      <w:r w:rsidRPr="004A2699">
        <w:rPr>
          <w:rFonts w:ascii="Times New Roman" w:eastAsia="Calibri" w:hAnsi="Times New Roman" w:cs="Times New Roman"/>
          <w:i/>
        </w:rPr>
        <w:t xml:space="preserve">Nahraďte rovnakou tabuľkou po vyplnení Kalkulačky nákladov podnikateľského prostredia, ktorá je povinnou prílohou tejto analýzy a nájdete ju na </w:t>
      </w:r>
      <w:hyperlink r:id="rId12" w:history="1">
        <w:r w:rsidRPr="004A2699">
          <w:rPr>
            <w:rFonts w:ascii="Times New Roman" w:eastAsia="Calibri" w:hAnsi="Times New Roman" w:cs="Times New Roman"/>
            <w:i/>
            <w:color w:val="0563C1"/>
            <w:u w:val="single"/>
          </w:rPr>
          <w:t>webovom sídle MH SR</w:t>
        </w:r>
      </w:hyperlink>
      <w:r w:rsidRPr="004A2699">
        <w:rPr>
          <w:rFonts w:ascii="Times New Roman" w:eastAsia="Calibri" w:hAnsi="Times New Roman" w:cs="Times New Roman"/>
          <w:i/>
        </w:rPr>
        <w:t>, (ďalej len „Kalkulačka nákladov“):</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6F70A726" w:rsidR="00054C41" w:rsidRPr="00687845" w:rsidRDefault="00687845" w:rsidP="00142154">
            <w:pPr>
              <w:jc w:val="center"/>
              <w:rPr>
                <w:rFonts w:ascii="Times New Roman" w:eastAsia="Calibri" w:hAnsi="Times New Roman" w:cs="Times New Roman"/>
                <w:b/>
                <w:i/>
                <w:sz w:val="20"/>
              </w:rPr>
            </w:pPr>
            <w:r w:rsidRPr="00687845">
              <w:rPr>
                <w:rFonts w:ascii="Times New Roman" w:eastAsia="Calibri" w:hAnsi="Times New Roman" w:cs="Times New Roman"/>
                <w:b/>
                <w:i/>
                <w:sz w:val="20"/>
              </w:rPr>
              <w:t>76 176,00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34328C7" w:rsidR="00054C41" w:rsidRPr="00895898" w:rsidRDefault="00687845" w:rsidP="00142154">
            <w:pPr>
              <w:jc w:val="center"/>
              <w:rPr>
                <w:rFonts w:ascii="Times New Roman" w:eastAsia="Calibri" w:hAnsi="Times New Roman" w:cs="Times New Roman"/>
                <w:b/>
                <w:i/>
                <w:sz w:val="20"/>
              </w:rPr>
            </w:pPr>
            <w:r>
              <w:rPr>
                <w:rFonts w:ascii="Times New Roman" w:eastAsia="Calibri" w:hAnsi="Times New Roman" w:cs="Times New Roman"/>
                <w:b/>
                <w:i/>
                <w:sz w:val="20"/>
              </w:rPr>
              <w:t>76 176,00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687845" w:rsidRPr="00895898" w14:paraId="5011BAE2" w14:textId="77777777" w:rsidTr="00142154">
        <w:tc>
          <w:tcPr>
            <w:tcW w:w="3681" w:type="dxa"/>
          </w:tcPr>
          <w:p w14:paraId="23438493" w14:textId="77777777" w:rsidR="00687845" w:rsidRPr="00895898" w:rsidRDefault="00687845" w:rsidP="00687845">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687845" w:rsidRPr="00895898" w:rsidRDefault="00687845" w:rsidP="00687845">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CAFCF74" w:rsidR="00687845" w:rsidRPr="00895898" w:rsidRDefault="00687845" w:rsidP="00687845">
            <w:pPr>
              <w:jc w:val="center"/>
              <w:rPr>
                <w:rFonts w:ascii="Times New Roman" w:eastAsia="Calibri" w:hAnsi="Times New Roman" w:cs="Times New Roman"/>
                <w:b/>
                <w:bCs/>
                <w:i/>
                <w:sz w:val="20"/>
              </w:rPr>
            </w:pPr>
            <w:r w:rsidRPr="00687845">
              <w:rPr>
                <w:rFonts w:ascii="Times New Roman" w:eastAsia="Calibri" w:hAnsi="Times New Roman" w:cs="Times New Roman"/>
                <w:b/>
                <w:i/>
                <w:sz w:val="20"/>
              </w:rPr>
              <w:t>76 176,00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3"/>
          <w:footerReference w:type="default" r:id="rId14"/>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4A2699" w:rsidRDefault="00054C41" w:rsidP="00054C41">
      <w:pPr>
        <w:jc w:val="both"/>
        <w:rPr>
          <w:rFonts w:ascii="Times New Roman" w:eastAsia="Calibri" w:hAnsi="Times New Roman" w:cs="Times New Roman"/>
          <w:i/>
        </w:rPr>
      </w:pPr>
      <w:r w:rsidRPr="004A2699">
        <w:rPr>
          <w:rFonts w:ascii="Times New Roman" w:eastAsia="Calibri" w:hAnsi="Times New Roman" w:cs="Times New Roman"/>
          <w:i/>
        </w:rPr>
        <w:t>Tabuľka č. 2: Výpočet vplyvov jednotlivých regulácií (nahraďte rovnakou tabuľkou po vyplnení Kalkulačky nákladov):</w:t>
      </w:r>
    </w:p>
    <w:tbl>
      <w:tblPr>
        <w:tblW w:w="14960" w:type="dxa"/>
        <w:tblInd w:w="-431" w:type="dxa"/>
        <w:tblCellMar>
          <w:left w:w="70" w:type="dxa"/>
          <w:right w:w="70" w:type="dxa"/>
        </w:tblCellMar>
        <w:tblLook w:val="04A0" w:firstRow="1" w:lastRow="0" w:firstColumn="1" w:lastColumn="0" w:noHBand="0" w:noVBand="1"/>
      </w:tblPr>
      <w:tblGrid>
        <w:gridCol w:w="541"/>
        <w:gridCol w:w="2556"/>
        <w:gridCol w:w="831"/>
        <w:gridCol w:w="1082"/>
        <w:gridCol w:w="1231"/>
        <w:gridCol w:w="2825"/>
        <w:gridCol w:w="1228"/>
        <w:gridCol w:w="998"/>
        <w:gridCol w:w="998"/>
        <w:gridCol w:w="804"/>
        <w:gridCol w:w="998"/>
        <w:gridCol w:w="868"/>
      </w:tblGrid>
      <w:tr w:rsidR="00A60D39" w14:paraId="00D5B7C0" w14:textId="77777777" w:rsidTr="00A60D39">
        <w:trPr>
          <w:trHeight w:val="383"/>
        </w:trPr>
        <w:tc>
          <w:tcPr>
            <w:tcW w:w="54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E81D5E5"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P.č.</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F762D1"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 xml:space="preserve">Zrozumiteľný a stručný opis regulácie </w:t>
            </w:r>
            <w:r w:rsidRPr="00A60D39">
              <w:rPr>
                <w:rFonts w:ascii="Times New Roman" w:hAnsi="Times New Roman" w:cs="Times New Roman"/>
                <w:b/>
                <w:bCs/>
                <w:color w:val="000000"/>
                <w:sz w:val="18"/>
                <w:szCs w:val="18"/>
              </w:rPr>
              <w:br/>
              <w:t>(dôvod zvýšenia/zníženia nákladov na PP)</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E96E7B5"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Číslo normy</w:t>
            </w:r>
            <w:r w:rsidRPr="00A60D39">
              <w:rPr>
                <w:rFonts w:ascii="Times New Roman" w:hAnsi="Times New Roman" w:cs="Times New Roman"/>
                <w:b/>
                <w:bCs/>
                <w:color w:val="000000"/>
                <w:sz w:val="18"/>
                <w:szCs w:val="18"/>
              </w:rPr>
              <w:br/>
            </w:r>
            <w:r w:rsidRPr="00A60D39">
              <w:rPr>
                <w:rFonts w:ascii="Times New Roman" w:hAnsi="Times New Roman" w:cs="Times New Roman"/>
                <w:color w:val="000000"/>
                <w:sz w:val="18"/>
                <w:szCs w:val="18"/>
              </w:rPr>
              <w:t>(zákona, vyhlášky a pod.)</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43E74A"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Lokalizácia</w:t>
            </w:r>
            <w:r w:rsidRPr="00A60D39">
              <w:rPr>
                <w:rFonts w:ascii="Times New Roman" w:hAnsi="Times New Roman" w:cs="Times New Roman"/>
                <w:b/>
                <w:bCs/>
                <w:color w:val="000000"/>
                <w:sz w:val="18"/>
                <w:szCs w:val="18"/>
              </w:rPr>
              <w:br/>
              <w:t>(§, ods.)</w:t>
            </w: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E0CE83C"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 xml:space="preserve">Pôvod regulácie: </w:t>
            </w:r>
            <w:r w:rsidRPr="00A60D39">
              <w:rPr>
                <w:rFonts w:ascii="Times New Roman" w:hAnsi="Times New Roman" w:cs="Times New Roman"/>
                <w:b/>
                <w:bCs/>
                <w:color w:val="000000"/>
                <w:sz w:val="18"/>
                <w:szCs w:val="18"/>
              </w:rPr>
              <w:br/>
            </w:r>
            <w:r w:rsidRPr="00A60D39">
              <w:rPr>
                <w:rFonts w:ascii="Times New Roman" w:hAnsi="Times New Roman" w:cs="Times New Roman"/>
                <w:color w:val="000000"/>
                <w:sz w:val="18"/>
                <w:szCs w:val="18"/>
              </w:rPr>
              <w:t>SR/EÚ úplná harm./EÚ harm. s možnosťou voľby</w:t>
            </w:r>
          </w:p>
        </w:tc>
        <w:tc>
          <w:tcPr>
            <w:tcW w:w="2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36246F"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Účinnosť regulácie</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0799D"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Kategória dotk. subjektov</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0E633DB"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 xml:space="preserve">Počet subjektov spolu </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603EC2"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Počet subjektov MSP</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548F63"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Vplyv na 1 podnik. v €</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0DACFF"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Vplyv na kategóriu dotk. subjektov v €</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3B278EB" w14:textId="77777777" w:rsidR="00A60D39" w:rsidRPr="00A60D39" w:rsidRDefault="00A60D39">
            <w:pPr>
              <w:jc w:val="center"/>
              <w:rPr>
                <w:rFonts w:ascii="Times New Roman" w:hAnsi="Times New Roman" w:cs="Times New Roman"/>
                <w:b/>
                <w:bCs/>
                <w:color w:val="000000"/>
                <w:sz w:val="18"/>
                <w:szCs w:val="18"/>
              </w:rPr>
            </w:pPr>
            <w:r w:rsidRPr="00A60D39">
              <w:rPr>
                <w:rFonts w:ascii="Times New Roman" w:hAnsi="Times New Roman" w:cs="Times New Roman"/>
                <w:b/>
                <w:bCs/>
                <w:color w:val="000000"/>
                <w:sz w:val="18"/>
                <w:szCs w:val="18"/>
              </w:rPr>
              <w:t>Druh vplyvu</w:t>
            </w:r>
            <w:r w:rsidRPr="00A60D39">
              <w:rPr>
                <w:rFonts w:ascii="Times New Roman" w:hAnsi="Times New Roman" w:cs="Times New Roman"/>
                <w:b/>
                <w:bCs/>
                <w:color w:val="000000"/>
                <w:sz w:val="18"/>
                <w:szCs w:val="18"/>
              </w:rPr>
              <w:br/>
            </w:r>
            <w:r w:rsidRPr="00A60D39">
              <w:rPr>
                <w:rFonts w:ascii="Times New Roman" w:hAnsi="Times New Roman" w:cs="Times New Roman"/>
                <w:color w:val="000000"/>
                <w:sz w:val="18"/>
                <w:szCs w:val="18"/>
              </w:rPr>
              <w:t xml:space="preserve">In (zvyšuje náklady) / </w:t>
            </w:r>
            <w:r w:rsidRPr="00A60D39">
              <w:rPr>
                <w:rFonts w:ascii="Times New Roman" w:hAnsi="Times New Roman" w:cs="Times New Roman"/>
                <w:color w:val="000000"/>
                <w:sz w:val="18"/>
                <w:szCs w:val="18"/>
              </w:rPr>
              <w:br/>
              <w:t>Out (znižuje náklady)</w:t>
            </w:r>
          </w:p>
        </w:tc>
      </w:tr>
      <w:tr w:rsidR="00A60D39" w14:paraId="6693CB63" w14:textId="77777777" w:rsidTr="00A60D39">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21F6F534" w14:textId="77777777" w:rsidR="00A60D39" w:rsidRPr="00A60D39" w:rsidRDefault="00A60D39">
            <w:pPr>
              <w:rPr>
                <w:rFonts w:ascii="Times New Roman" w:hAnsi="Times New Roman" w:cs="Times New Roman"/>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A298511" w14:textId="77777777" w:rsidR="00A60D39" w:rsidRPr="00A60D39" w:rsidRDefault="00A60D39">
            <w:pPr>
              <w:rPr>
                <w:rFonts w:ascii="Times New Roman" w:hAnsi="Times New Roman" w:cs="Times New Roman"/>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45E28C7E" w14:textId="77777777" w:rsidR="00A60D39" w:rsidRPr="00A60D39" w:rsidRDefault="00A60D39">
            <w:pPr>
              <w:rPr>
                <w:rFonts w:ascii="Times New Roman" w:hAnsi="Times New Roman" w:cs="Times New Roman"/>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1F349F85" w14:textId="77777777" w:rsidR="00A60D39" w:rsidRPr="00A60D39" w:rsidRDefault="00A60D39">
            <w:pPr>
              <w:rPr>
                <w:rFonts w:ascii="Times New Roman" w:hAnsi="Times New Roman" w:cs="Times New Roman"/>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0D8761A" w14:textId="77777777" w:rsidR="00A60D39" w:rsidRPr="00A60D39" w:rsidRDefault="00A60D39">
            <w:pPr>
              <w:rPr>
                <w:rFonts w:ascii="Times New Roman" w:hAnsi="Times New Roman" w:cs="Times New Roman"/>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4B37938B" w14:textId="77777777" w:rsidR="00A60D39" w:rsidRPr="00A60D39" w:rsidRDefault="00A60D39">
            <w:pPr>
              <w:rPr>
                <w:rFonts w:ascii="Times New Roman" w:hAnsi="Times New Roman" w:cs="Times New Roman"/>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2E241C01"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A532A68"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38E9BAB" w14:textId="77777777" w:rsidR="00A60D39" w:rsidRPr="00A60D39" w:rsidRDefault="00A60D39">
            <w:pPr>
              <w:rPr>
                <w:rFonts w:ascii="Times New Roman" w:hAnsi="Times New Roman" w:cs="Times New Roman"/>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30F6B854"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40A33C1" w14:textId="77777777" w:rsidR="00A60D39" w:rsidRPr="00A60D39" w:rsidRDefault="00A60D39">
            <w:pPr>
              <w:rPr>
                <w:rFonts w:ascii="Times New Roman" w:hAnsi="Times New Roman" w:cs="Times New Roman"/>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1670204C" w14:textId="77777777" w:rsidR="00A60D39" w:rsidRPr="00A60D39" w:rsidRDefault="00A60D39">
            <w:pPr>
              <w:rPr>
                <w:rFonts w:ascii="Times New Roman" w:hAnsi="Times New Roman" w:cs="Times New Roman"/>
                <w:b/>
                <w:bCs/>
                <w:color w:val="000000"/>
                <w:sz w:val="18"/>
                <w:szCs w:val="18"/>
              </w:rPr>
            </w:pPr>
          </w:p>
        </w:tc>
      </w:tr>
      <w:tr w:rsidR="00A60D39" w14:paraId="7447908C" w14:textId="77777777" w:rsidTr="00A60D39">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EEE959E" w14:textId="77777777" w:rsidR="00A60D39" w:rsidRPr="00A60D39" w:rsidRDefault="00A60D39">
            <w:pPr>
              <w:rPr>
                <w:rFonts w:ascii="Times New Roman" w:hAnsi="Times New Roman" w:cs="Times New Roman"/>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1EEA385" w14:textId="77777777" w:rsidR="00A60D39" w:rsidRPr="00A60D39" w:rsidRDefault="00A60D39">
            <w:pPr>
              <w:rPr>
                <w:rFonts w:ascii="Times New Roman" w:hAnsi="Times New Roman" w:cs="Times New Roman"/>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2B03E5FB" w14:textId="77777777" w:rsidR="00A60D39" w:rsidRPr="00A60D39" w:rsidRDefault="00A60D39">
            <w:pPr>
              <w:rPr>
                <w:rFonts w:ascii="Times New Roman" w:hAnsi="Times New Roman" w:cs="Times New Roman"/>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4F9A9EA8" w14:textId="77777777" w:rsidR="00A60D39" w:rsidRPr="00A60D39" w:rsidRDefault="00A60D39">
            <w:pPr>
              <w:rPr>
                <w:rFonts w:ascii="Times New Roman" w:hAnsi="Times New Roman" w:cs="Times New Roman"/>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9C57004" w14:textId="77777777" w:rsidR="00A60D39" w:rsidRPr="00A60D39" w:rsidRDefault="00A60D39">
            <w:pPr>
              <w:rPr>
                <w:rFonts w:ascii="Times New Roman" w:hAnsi="Times New Roman" w:cs="Times New Roman"/>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26673341" w14:textId="77777777" w:rsidR="00A60D39" w:rsidRPr="00A60D39" w:rsidRDefault="00A60D39">
            <w:pPr>
              <w:rPr>
                <w:rFonts w:ascii="Times New Roman" w:hAnsi="Times New Roman" w:cs="Times New Roman"/>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60260A5F"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E68BC79"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3133F42" w14:textId="77777777" w:rsidR="00A60D39" w:rsidRPr="00A60D39" w:rsidRDefault="00A60D39">
            <w:pPr>
              <w:rPr>
                <w:rFonts w:ascii="Times New Roman" w:hAnsi="Times New Roman" w:cs="Times New Roman"/>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46E7D87"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DD26083" w14:textId="77777777" w:rsidR="00A60D39" w:rsidRPr="00A60D39" w:rsidRDefault="00A60D39">
            <w:pPr>
              <w:rPr>
                <w:rFonts w:ascii="Times New Roman" w:hAnsi="Times New Roman" w:cs="Times New Roman"/>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3ACD6279" w14:textId="77777777" w:rsidR="00A60D39" w:rsidRPr="00A60D39" w:rsidRDefault="00A60D39">
            <w:pPr>
              <w:rPr>
                <w:rFonts w:ascii="Times New Roman" w:hAnsi="Times New Roman" w:cs="Times New Roman"/>
                <w:b/>
                <w:bCs/>
                <w:color w:val="000000"/>
                <w:sz w:val="18"/>
                <w:szCs w:val="18"/>
              </w:rPr>
            </w:pPr>
          </w:p>
        </w:tc>
      </w:tr>
      <w:tr w:rsidR="00A60D39" w14:paraId="62A12BD8" w14:textId="77777777" w:rsidTr="00A60D39">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78814DD5" w14:textId="77777777" w:rsidR="00A60D39" w:rsidRPr="00A60D39" w:rsidRDefault="00A60D39">
            <w:pPr>
              <w:rPr>
                <w:rFonts w:ascii="Times New Roman" w:hAnsi="Times New Roman" w:cs="Times New Roman"/>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393D1B4" w14:textId="77777777" w:rsidR="00A60D39" w:rsidRPr="00A60D39" w:rsidRDefault="00A60D39">
            <w:pPr>
              <w:rPr>
                <w:rFonts w:ascii="Times New Roman" w:hAnsi="Times New Roman" w:cs="Times New Roman"/>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28E09A78" w14:textId="77777777" w:rsidR="00A60D39" w:rsidRPr="00A60D39" w:rsidRDefault="00A60D39">
            <w:pPr>
              <w:rPr>
                <w:rFonts w:ascii="Times New Roman" w:hAnsi="Times New Roman" w:cs="Times New Roman"/>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4B92AA49" w14:textId="77777777" w:rsidR="00A60D39" w:rsidRPr="00A60D39" w:rsidRDefault="00A60D39">
            <w:pPr>
              <w:rPr>
                <w:rFonts w:ascii="Times New Roman" w:hAnsi="Times New Roman" w:cs="Times New Roman"/>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49B914E" w14:textId="77777777" w:rsidR="00A60D39" w:rsidRPr="00A60D39" w:rsidRDefault="00A60D39">
            <w:pPr>
              <w:rPr>
                <w:rFonts w:ascii="Times New Roman" w:hAnsi="Times New Roman" w:cs="Times New Roman"/>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6F222E8E" w14:textId="77777777" w:rsidR="00A60D39" w:rsidRPr="00A60D39" w:rsidRDefault="00A60D39">
            <w:pPr>
              <w:rPr>
                <w:rFonts w:ascii="Times New Roman" w:hAnsi="Times New Roman" w:cs="Times New Roman"/>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0D60F9E5"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C5F86DA"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7C55008" w14:textId="77777777" w:rsidR="00A60D39" w:rsidRPr="00A60D39" w:rsidRDefault="00A60D39">
            <w:pPr>
              <w:rPr>
                <w:rFonts w:ascii="Times New Roman" w:hAnsi="Times New Roman" w:cs="Times New Roman"/>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79C1FE4"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B8057A0" w14:textId="77777777" w:rsidR="00A60D39" w:rsidRPr="00A60D39" w:rsidRDefault="00A60D39">
            <w:pPr>
              <w:rPr>
                <w:rFonts w:ascii="Times New Roman" w:hAnsi="Times New Roman" w:cs="Times New Roman"/>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15AE8140" w14:textId="77777777" w:rsidR="00A60D39" w:rsidRPr="00A60D39" w:rsidRDefault="00A60D39">
            <w:pPr>
              <w:rPr>
                <w:rFonts w:ascii="Times New Roman" w:hAnsi="Times New Roman" w:cs="Times New Roman"/>
                <w:b/>
                <w:bCs/>
                <w:color w:val="000000"/>
                <w:sz w:val="18"/>
                <w:szCs w:val="18"/>
              </w:rPr>
            </w:pPr>
          </w:p>
        </w:tc>
      </w:tr>
      <w:tr w:rsidR="00A60D39" w14:paraId="3F31CCE4" w14:textId="77777777" w:rsidTr="00A60D39">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5C1BF521" w14:textId="77777777" w:rsidR="00A60D39" w:rsidRPr="00A60D39" w:rsidRDefault="00A60D39">
            <w:pPr>
              <w:rPr>
                <w:rFonts w:ascii="Times New Roman" w:hAnsi="Times New Roman" w:cs="Times New Roman"/>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797CFE6" w14:textId="77777777" w:rsidR="00A60D39" w:rsidRPr="00A60D39" w:rsidRDefault="00A60D39">
            <w:pPr>
              <w:rPr>
                <w:rFonts w:ascii="Times New Roman" w:hAnsi="Times New Roman" w:cs="Times New Roman"/>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560F8D62" w14:textId="77777777" w:rsidR="00A60D39" w:rsidRPr="00A60D39" w:rsidRDefault="00A60D39">
            <w:pPr>
              <w:rPr>
                <w:rFonts w:ascii="Times New Roman" w:hAnsi="Times New Roman" w:cs="Times New Roman"/>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2DAFD8D8" w14:textId="77777777" w:rsidR="00A60D39" w:rsidRPr="00A60D39" w:rsidRDefault="00A60D39">
            <w:pPr>
              <w:rPr>
                <w:rFonts w:ascii="Times New Roman" w:hAnsi="Times New Roman" w:cs="Times New Roman"/>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E1EB40E" w14:textId="77777777" w:rsidR="00A60D39" w:rsidRPr="00A60D39" w:rsidRDefault="00A60D39">
            <w:pPr>
              <w:rPr>
                <w:rFonts w:ascii="Times New Roman" w:hAnsi="Times New Roman" w:cs="Times New Roman"/>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0AEE51E9" w14:textId="77777777" w:rsidR="00A60D39" w:rsidRPr="00A60D39" w:rsidRDefault="00A60D39">
            <w:pPr>
              <w:rPr>
                <w:rFonts w:ascii="Times New Roman" w:hAnsi="Times New Roman" w:cs="Times New Roman"/>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73C8FC6E"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0890F49"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51C18CC" w14:textId="77777777" w:rsidR="00A60D39" w:rsidRPr="00A60D39" w:rsidRDefault="00A60D39">
            <w:pPr>
              <w:rPr>
                <w:rFonts w:ascii="Times New Roman" w:hAnsi="Times New Roman" w:cs="Times New Roman"/>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1F00335"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FB7D6F8" w14:textId="77777777" w:rsidR="00A60D39" w:rsidRPr="00A60D39" w:rsidRDefault="00A60D39">
            <w:pPr>
              <w:rPr>
                <w:rFonts w:ascii="Times New Roman" w:hAnsi="Times New Roman" w:cs="Times New Roman"/>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3ABEA7A2" w14:textId="77777777" w:rsidR="00A60D39" w:rsidRPr="00A60D39" w:rsidRDefault="00A60D39">
            <w:pPr>
              <w:rPr>
                <w:rFonts w:ascii="Times New Roman" w:hAnsi="Times New Roman" w:cs="Times New Roman"/>
                <w:b/>
                <w:bCs/>
                <w:color w:val="000000"/>
                <w:sz w:val="18"/>
                <w:szCs w:val="18"/>
              </w:rPr>
            </w:pPr>
          </w:p>
        </w:tc>
      </w:tr>
      <w:tr w:rsidR="00A60D39" w14:paraId="46A4EB2E" w14:textId="77777777" w:rsidTr="00A60D39">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748E14E7" w14:textId="77777777" w:rsidR="00A60D39" w:rsidRPr="00A60D39" w:rsidRDefault="00A60D39">
            <w:pPr>
              <w:rPr>
                <w:rFonts w:ascii="Times New Roman" w:hAnsi="Times New Roman" w:cs="Times New Roman"/>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9C4C61A" w14:textId="77777777" w:rsidR="00A60D39" w:rsidRPr="00A60D39" w:rsidRDefault="00A60D39">
            <w:pPr>
              <w:rPr>
                <w:rFonts w:ascii="Times New Roman" w:hAnsi="Times New Roman" w:cs="Times New Roman"/>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5CF08160" w14:textId="77777777" w:rsidR="00A60D39" w:rsidRPr="00A60D39" w:rsidRDefault="00A60D39">
            <w:pPr>
              <w:rPr>
                <w:rFonts w:ascii="Times New Roman" w:hAnsi="Times New Roman" w:cs="Times New Roman"/>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11A026FB" w14:textId="77777777" w:rsidR="00A60D39" w:rsidRPr="00A60D39" w:rsidRDefault="00A60D39">
            <w:pPr>
              <w:rPr>
                <w:rFonts w:ascii="Times New Roman" w:hAnsi="Times New Roman" w:cs="Times New Roman"/>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8041C43" w14:textId="77777777" w:rsidR="00A60D39" w:rsidRPr="00A60D39" w:rsidRDefault="00A60D39">
            <w:pPr>
              <w:rPr>
                <w:rFonts w:ascii="Times New Roman" w:hAnsi="Times New Roman" w:cs="Times New Roman"/>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60BD0F34" w14:textId="77777777" w:rsidR="00A60D39" w:rsidRPr="00A60D39" w:rsidRDefault="00A60D39">
            <w:pPr>
              <w:rPr>
                <w:rFonts w:ascii="Times New Roman" w:hAnsi="Times New Roman" w:cs="Times New Roman"/>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FFD2810"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3DF6D66A"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18C69DD" w14:textId="77777777" w:rsidR="00A60D39" w:rsidRPr="00A60D39" w:rsidRDefault="00A60D39">
            <w:pPr>
              <w:rPr>
                <w:rFonts w:ascii="Times New Roman" w:hAnsi="Times New Roman" w:cs="Times New Roman"/>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2C61675" w14:textId="77777777" w:rsidR="00A60D39" w:rsidRPr="00A60D39" w:rsidRDefault="00A60D39">
            <w:pPr>
              <w:rPr>
                <w:rFonts w:ascii="Times New Roman" w:hAnsi="Times New Roman" w:cs="Times New Roman"/>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45851CF" w14:textId="77777777" w:rsidR="00A60D39" w:rsidRPr="00A60D39" w:rsidRDefault="00A60D39">
            <w:pPr>
              <w:rPr>
                <w:rFonts w:ascii="Times New Roman" w:hAnsi="Times New Roman" w:cs="Times New Roman"/>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0B473ABC" w14:textId="77777777" w:rsidR="00A60D39" w:rsidRPr="00A60D39" w:rsidRDefault="00A60D39">
            <w:pPr>
              <w:rPr>
                <w:rFonts w:ascii="Times New Roman" w:hAnsi="Times New Roman" w:cs="Times New Roman"/>
                <w:b/>
                <w:bCs/>
                <w:color w:val="000000"/>
                <w:sz w:val="18"/>
                <w:szCs w:val="18"/>
              </w:rPr>
            </w:pPr>
          </w:p>
        </w:tc>
      </w:tr>
      <w:tr w:rsidR="00A60D39" w14:paraId="45769DF7" w14:textId="77777777" w:rsidTr="00A60D39">
        <w:trPr>
          <w:trHeight w:val="222"/>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FDF15FC"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1</w:t>
            </w:r>
          </w:p>
        </w:tc>
        <w:tc>
          <w:tcPr>
            <w:tcW w:w="2556" w:type="dxa"/>
            <w:tcBorders>
              <w:top w:val="nil"/>
              <w:left w:val="nil"/>
              <w:bottom w:val="single" w:sz="4" w:space="0" w:color="auto"/>
              <w:right w:val="single" w:sz="4" w:space="0" w:color="auto"/>
            </w:tcBorders>
            <w:shd w:val="clear" w:color="auto" w:fill="auto"/>
            <w:vAlign w:val="center"/>
            <w:hideMark/>
          </w:tcPr>
          <w:p w14:paraId="6C5B28F4"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Oprávnenie vykonávať zaručenú konverziu pri výkone bankovej činnosti</w:t>
            </w:r>
          </w:p>
        </w:tc>
        <w:tc>
          <w:tcPr>
            <w:tcW w:w="831" w:type="dxa"/>
            <w:tcBorders>
              <w:top w:val="nil"/>
              <w:left w:val="nil"/>
              <w:bottom w:val="single" w:sz="4" w:space="0" w:color="auto"/>
              <w:right w:val="single" w:sz="4" w:space="0" w:color="auto"/>
            </w:tcBorders>
            <w:shd w:val="clear" w:color="auto" w:fill="auto"/>
            <w:vAlign w:val="center"/>
            <w:hideMark/>
          </w:tcPr>
          <w:p w14:paraId="003F12A1"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305/2013 Z. z.</w:t>
            </w:r>
          </w:p>
        </w:tc>
        <w:tc>
          <w:tcPr>
            <w:tcW w:w="1082" w:type="dxa"/>
            <w:tcBorders>
              <w:top w:val="nil"/>
              <w:left w:val="nil"/>
              <w:bottom w:val="single" w:sz="4" w:space="0" w:color="auto"/>
              <w:right w:val="single" w:sz="4" w:space="0" w:color="auto"/>
            </w:tcBorders>
            <w:shd w:val="clear" w:color="auto" w:fill="auto"/>
            <w:vAlign w:val="center"/>
            <w:hideMark/>
          </w:tcPr>
          <w:p w14:paraId="0EBA52E1"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35 ods. 3 písm. f)</w:t>
            </w:r>
          </w:p>
        </w:tc>
        <w:tc>
          <w:tcPr>
            <w:tcW w:w="1231" w:type="dxa"/>
            <w:tcBorders>
              <w:top w:val="nil"/>
              <w:left w:val="nil"/>
              <w:bottom w:val="single" w:sz="4" w:space="0" w:color="auto"/>
              <w:right w:val="single" w:sz="4" w:space="0" w:color="auto"/>
            </w:tcBorders>
            <w:shd w:val="clear" w:color="auto" w:fill="auto"/>
            <w:vAlign w:val="center"/>
            <w:hideMark/>
          </w:tcPr>
          <w:p w14:paraId="1D0A318C"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SK</w:t>
            </w:r>
          </w:p>
        </w:tc>
        <w:tc>
          <w:tcPr>
            <w:tcW w:w="2825" w:type="dxa"/>
            <w:tcBorders>
              <w:top w:val="nil"/>
              <w:left w:val="nil"/>
              <w:bottom w:val="single" w:sz="4" w:space="0" w:color="auto"/>
              <w:right w:val="single" w:sz="4" w:space="0" w:color="auto"/>
            </w:tcBorders>
            <w:shd w:val="clear" w:color="auto" w:fill="auto"/>
            <w:vAlign w:val="center"/>
            <w:hideMark/>
          </w:tcPr>
          <w:p w14:paraId="2B1B855C"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01.10.22</w:t>
            </w:r>
          </w:p>
        </w:tc>
        <w:tc>
          <w:tcPr>
            <w:tcW w:w="1228" w:type="dxa"/>
            <w:tcBorders>
              <w:top w:val="nil"/>
              <w:left w:val="nil"/>
              <w:bottom w:val="single" w:sz="4" w:space="0" w:color="auto"/>
              <w:right w:val="single" w:sz="4" w:space="0" w:color="auto"/>
            </w:tcBorders>
            <w:shd w:val="clear" w:color="auto" w:fill="auto"/>
            <w:vAlign w:val="center"/>
            <w:hideMark/>
          </w:tcPr>
          <w:p w14:paraId="59D7DAA2"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banka a pobočka zahraničnej banky</w:t>
            </w:r>
          </w:p>
        </w:tc>
        <w:tc>
          <w:tcPr>
            <w:tcW w:w="998" w:type="dxa"/>
            <w:tcBorders>
              <w:top w:val="nil"/>
              <w:left w:val="nil"/>
              <w:bottom w:val="single" w:sz="4" w:space="0" w:color="auto"/>
              <w:right w:val="single" w:sz="4" w:space="0" w:color="auto"/>
            </w:tcBorders>
            <w:shd w:val="clear" w:color="auto" w:fill="auto"/>
            <w:vAlign w:val="center"/>
            <w:hideMark/>
          </w:tcPr>
          <w:p w14:paraId="48EB6C3E" w14:textId="77777777" w:rsidR="00A60D39" w:rsidRPr="00A60D39" w:rsidRDefault="00A60D39">
            <w:pP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971 </w:t>
            </w:r>
          </w:p>
        </w:tc>
        <w:tc>
          <w:tcPr>
            <w:tcW w:w="998" w:type="dxa"/>
            <w:tcBorders>
              <w:top w:val="nil"/>
              <w:left w:val="nil"/>
              <w:bottom w:val="single" w:sz="4" w:space="0" w:color="auto"/>
              <w:right w:val="single" w:sz="4" w:space="0" w:color="auto"/>
            </w:tcBorders>
            <w:shd w:val="clear" w:color="auto" w:fill="auto"/>
            <w:vAlign w:val="center"/>
            <w:hideMark/>
          </w:tcPr>
          <w:p w14:paraId="0AA455E0" w14:textId="77777777" w:rsidR="00A60D39" w:rsidRPr="00A60D39" w:rsidRDefault="00A60D39">
            <w:pP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N </w:t>
            </w:r>
          </w:p>
        </w:tc>
        <w:tc>
          <w:tcPr>
            <w:tcW w:w="804" w:type="dxa"/>
            <w:tcBorders>
              <w:top w:val="nil"/>
              <w:left w:val="nil"/>
              <w:bottom w:val="single" w:sz="4" w:space="0" w:color="auto"/>
              <w:right w:val="single" w:sz="4" w:space="0" w:color="auto"/>
            </w:tcBorders>
            <w:shd w:val="clear" w:color="auto" w:fill="auto"/>
            <w:vAlign w:val="center"/>
            <w:hideMark/>
          </w:tcPr>
          <w:p w14:paraId="5D7F3390"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78</w:t>
            </w:r>
          </w:p>
        </w:tc>
        <w:tc>
          <w:tcPr>
            <w:tcW w:w="998" w:type="dxa"/>
            <w:tcBorders>
              <w:top w:val="nil"/>
              <w:left w:val="nil"/>
              <w:bottom w:val="single" w:sz="4" w:space="0" w:color="auto"/>
              <w:right w:val="single" w:sz="4" w:space="0" w:color="auto"/>
            </w:tcBorders>
            <w:shd w:val="clear" w:color="auto" w:fill="auto"/>
            <w:vAlign w:val="center"/>
            <w:hideMark/>
          </w:tcPr>
          <w:p w14:paraId="73E9F633"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76 176</w:t>
            </w:r>
          </w:p>
        </w:tc>
        <w:tc>
          <w:tcPr>
            <w:tcW w:w="868" w:type="dxa"/>
            <w:tcBorders>
              <w:top w:val="nil"/>
              <w:left w:val="nil"/>
              <w:bottom w:val="single" w:sz="4" w:space="0" w:color="auto"/>
              <w:right w:val="single" w:sz="4" w:space="0" w:color="auto"/>
            </w:tcBorders>
            <w:shd w:val="clear" w:color="auto" w:fill="auto"/>
            <w:vAlign w:val="center"/>
            <w:hideMark/>
          </w:tcPr>
          <w:p w14:paraId="7196E907" w14:textId="77777777"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Out (znižuje náklady)</w:t>
            </w:r>
          </w:p>
        </w:tc>
      </w:tr>
      <w:tr w:rsidR="00A60D39" w14:paraId="4A72F685"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7296E046" w14:textId="39998AE0"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2126CB94" w14:textId="5F829625"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685CA0D7" w14:textId="21B3DDCA"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44933B29" w14:textId="5264DE82"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5F5172AD" w14:textId="5793F40A" w:rsidR="00A60D39" w:rsidRPr="00A60D39" w:rsidRDefault="00A60D39">
            <w:pPr>
              <w:jc w:val="center"/>
              <w:rPr>
                <w:rFonts w:ascii="Times New Roman" w:hAnsi="Times New Roman" w:cs="Times New Roman"/>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52A94E6F" w14:textId="5C157EC2" w:rsidR="00A60D39" w:rsidRPr="00A60D39" w:rsidRDefault="00A60D39">
            <w:pPr>
              <w:jc w:val="cente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4432CE44" w14:textId="29FD21E0"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6C1FEDA7" w14:textId="76C5F517"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1FED0F8A" w14:textId="3A26E1F3" w:rsidR="00A60D39" w:rsidRPr="00A60D39" w:rsidRDefault="00A60D39">
            <w:pP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6479DBF3" w14:textId="68BD0C1C"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31F7E9AC" w14:textId="105D66D2" w:rsidR="00A60D39" w:rsidRPr="00A60D39" w:rsidRDefault="00A60D39">
            <w:pPr>
              <w:jc w:val="cente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0ECC30A6" w14:textId="7555171C"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r>
      <w:tr w:rsidR="00A60D39" w14:paraId="11838568"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7681838" w14:textId="77AA4762"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2F75F642" w14:textId="09D5A0A3"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5B751A9E" w14:textId="436D54D0"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368AF4AB" w14:textId="122808DA"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0BD912B9" w14:textId="4340E98F" w:rsidR="00A60D39" w:rsidRPr="00A60D39" w:rsidRDefault="00A60D39">
            <w:pPr>
              <w:jc w:val="center"/>
              <w:rPr>
                <w:rFonts w:ascii="Times New Roman" w:hAnsi="Times New Roman" w:cs="Times New Roman"/>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21B00B71" w14:textId="372C19AA" w:rsidR="00A60D39" w:rsidRPr="00A60D39" w:rsidRDefault="00A60D39" w:rsidP="00A60D39">
            <w:pP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79B3A56B" w14:textId="47F3651A"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7BDE02FD" w14:textId="6F98F191"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0F258D56" w14:textId="086A2E07"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2EABE599" w14:textId="5E5C69CA"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1393F1C1" w14:textId="32E38940" w:rsidR="00A60D39" w:rsidRPr="00A60D39" w:rsidRDefault="00A60D39">
            <w:pPr>
              <w:jc w:val="cente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2DAE446B" w14:textId="018571AC"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r>
      <w:tr w:rsidR="00A60D39" w14:paraId="5F160BB5"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7DA193A9" w14:textId="6C151BD1"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3AAAB308" w14:textId="65E4F310"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41A2FE77" w14:textId="0DB1B7B2"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2508FCCA" w14:textId="23E37C53"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64D697E3" w14:textId="046CBE89"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c>
          <w:tcPr>
            <w:tcW w:w="2825" w:type="dxa"/>
            <w:tcBorders>
              <w:top w:val="nil"/>
              <w:left w:val="nil"/>
              <w:bottom w:val="single" w:sz="4" w:space="0" w:color="auto"/>
              <w:right w:val="single" w:sz="4" w:space="0" w:color="auto"/>
            </w:tcBorders>
            <w:shd w:val="clear" w:color="auto" w:fill="auto"/>
            <w:vAlign w:val="center"/>
            <w:hideMark/>
          </w:tcPr>
          <w:p w14:paraId="178DDCBF" w14:textId="7F9D0684" w:rsidR="00A60D39" w:rsidRPr="00A60D39" w:rsidRDefault="00A60D39">
            <w:pPr>
              <w:jc w:val="cente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385A59D6" w14:textId="400D9645"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7D354765" w14:textId="297DDDB1"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0000FA09" w14:textId="2FE5049C"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4084E6FD" w14:textId="311954A3"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459E48D6" w14:textId="0173D0D8" w:rsidR="00A60D39" w:rsidRPr="00A60D39" w:rsidRDefault="00A60D39">
            <w:pPr>
              <w:jc w:val="cente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645D01AC" w14:textId="12B31382"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r>
      <w:tr w:rsidR="00A60D39" w14:paraId="7A0FBFD6"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BCC11FE" w14:textId="40C93A7A"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0EDB250D" w14:textId="2BE27593"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08292D3B" w14:textId="3C833F94"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2EB8EB2E" w14:textId="38CA7620"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072306C7" w14:textId="174C32C1" w:rsidR="00A60D39" w:rsidRPr="00A60D39" w:rsidRDefault="00A60D39">
            <w:pPr>
              <w:jc w:val="center"/>
              <w:rPr>
                <w:rFonts w:ascii="Times New Roman" w:hAnsi="Times New Roman" w:cs="Times New Roman"/>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65C7A335" w14:textId="5D00224F" w:rsidR="00A60D39" w:rsidRPr="00A60D39" w:rsidRDefault="00A60D39">
            <w:pPr>
              <w:jc w:val="cente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36CD1AD2" w14:textId="6DBABFD4"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758AB9B6" w14:textId="7C322BD1"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60369A2" w14:textId="4D788567" w:rsidR="00A60D39" w:rsidRPr="00A60D39" w:rsidRDefault="00A60D39">
            <w:pP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A60D39">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2BF8690F" w14:textId="10CB5D41"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73E32BEE" w14:textId="5CC314BD" w:rsidR="00A60D39" w:rsidRPr="00A60D39" w:rsidRDefault="00A60D39">
            <w:pPr>
              <w:jc w:val="cente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6D192E3D" w14:textId="5030F414"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r>
      <w:tr w:rsidR="00A60D39" w14:paraId="78ED0F40"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93F6150" w14:textId="31BEA0BC"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1F851B8C" w14:textId="6432BC4D"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507E8966" w14:textId="33570FF9"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2169E918" w14:textId="701068A9"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77200BCA" w14:textId="26655E6C" w:rsidR="00A60D39" w:rsidRPr="00A60D39" w:rsidRDefault="00A60D39">
            <w:pPr>
              <w:jc w:val="center"/>
              <w:rPr>
                <w:rFonts w:ascii="Times New Roman" w:hAnsi="Times New Roman" w:cs="Times New Roman"/>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23714EED" w14:textId="6B279D59" w:rsidR="00A60D39" w:rsidRPr="00A60D39" w:rsidRDefault="00A60D39">
            <w:pPr>
              <w:jc w:val="cente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4CEDAE64" w14:textId="554E90A7"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548196E" w14:textId="0307B209"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A60D39">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A046867" w14:textId="555171F4"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26261049" w14:textId="4FEBE5C0"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1D4B8455" w14:textId="0F8B657B" w:rsidR="00A60D39" w:rsidRPr="00A60D39" w:rsidRDefault="00A60D39">
            <w:pPr>
              <w:jc w:val="cente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7520731D" w14:textId="339B9691" w:rsidR="00A60D39" w:rsidRPr="00A60D39" w:rsidRDefault="00A60D39">
            <w:pPr>
              <w:jc w:val="center"/>
              <w:rPr>
                <w:rFonts w:ascii="Times New Roman" w:hAnsi="Times New Roman" w:cs="Times New Roman"/>
                <w:color w:val="000000"/>
                <w:sz w:val="18"/>
                <w:szCs w:val="18"/>
              </w:rPr>
            </w:pPr>
          </w:p>
        </w:tc>
      </w:tr>
      <w:tr w:rsidR="00A60D39" w14:paraId="0336A144"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96F03DC" w14:textId="6221CE17" w:rsidR="00A60D39" w:rsidRPr="00A60D39" w:rsidRDefault="00A60D39">
            <w:pPr>
              <w:jc w:val="center"/>
              <w:rPr>
                <w:rFonts w:ascii="Times New Roman" w:hAnsi="Times New Roman" w:cs="Times New Roman"/>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72F3E144" w14:textId="5F4F659D" w:rsidR="00A60D39" w:rsidRPr="00A60D39" w:rsidRDefault="00A60D39">
            <w:pPr>
              <w:jc w:val="center"/>
              <w:rPr>
                <w:rFonts w:ascii="Times New Roman" w:hAnsi="Times New Roman" w:cs="Times New Roman"/>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1115DF73" w14:textId="34A5D499" w:rsidR="00A60D39" w:rsidRPr="00A60D39" w:rsidRDefault="00A60D39">
            <w:pPr>
              <w:jc w:val="center"/>
              <w:rPr>
                <w:rFonts w:ascii="Times New Roman" w:hAnsi="Times New Roman" w:cs="Times New Roman"/>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0F29E811" w14:textId="0A842367" w:rsidR="00A60D39" w:rsidRPr="00A60D39" w:rsidRDefault="00A60D39">
            <w:pPr>
              <w:jc w:val="center"/>
              <w:rPr>
                <w:rFonts w:ascii="Times New Roman" w:hAnsi="Times New Roman" w:cs="Times New Roman"/>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55B88ADF" w14:textId="3131FE9F" w:rsidR="00A60D39" w:rsidRPr="00A60D39" w:rsidRDefault="00A60D39">
            <w:pPr>
              <w:jc w:val="center"/>
              <w:rPr>
                <w:rFonts w:ascii="Times New Roman" w:hAnsi="Times New Roman" w:cs="Times New Roman"/>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23B47DC8" w14:textId="350BDF7A" w:rsidR="00A60D39" w:rsidRPr="00A60D39" w:rsidRDefault="00A60D39">
            <w:pPr>
              <w:jc w:val="center"/>
              <w:rPr>
                <w:rFonts w:ascii="Times New Roman" w:hAnsi="Times New Roman" w:cs="Times New Roman"/>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5E4A234B" w14:textId="17A6841F"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D38D294" w14:textId="1F05B68D"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7F36BE7" w14:textId="2192754E" w:rsidR="00A60D39" w:rsidRPr="00A60D39" w:rsidRDefault="00A60D3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A60D39">
              <w:rPr>
                <w:rFonts w:ascii="Times New Roman" w:hAnsi="Times New Roman" w:cs="Times New Roman"/>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007F6B97" w14:textId="4277123F" w:rsidR="00A60D39" w:rsidRPr="00A60D39" w:rsidRDefault="00A60D39">
            <w:pPr>
              <w:jc w:val="center"/>
              <w:rPr>
                <w:rFonts w:ascii="Times New Roman" w:hAnsi="Times New Roman" w:cs="Times New Roman"/>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334F3E32" w14:textId="758C4BC8" w:rsidR="00A60D39" w:rsidRPr="00A60D39" w:rsidRDefault="00A60D39" w:rsidP="00A60D39">
            <w:pPr>
              <w:rPr>
                <w:rFonts w:ascii="Times New Roman" w:hAnsi="Times New Roman" w:cs="Times New Roman"/>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0211E2CE" w14:textId="1FE726D1" w:rsidR="00A60D39" w:rsidRPr="00A60D39" w:rsidRDefault="00A60D39">
            <w:pPr>
              <w:jc w:val="center"/>
              <w:rPr>
                <w:rFonts w:ascii="Times New Roman" w:hAnsi="Times New Roman" w:cs="Times New Roman"/>
                <w:color w:val="000000"/>
                <w:sz w:val="18"/>
                <w:szCs w:val="18"/>
              </w:rPr>
            </w:pPr>
            <w:r w:rsidRPr="00A60D39">
              <w:rPr>
                <w:rFonts w:ascii="Times New Roman" w:hAnsi="Times New Roman" w:cs="Times New Roman"/>
                <w:color w:val="000000"/>
                <w:sz w:val="18"/>
                <w:szCs w:val="18"/>
              </w:rPr>
              <w:t xml:space="preserve">  </w:t>
            </w:r>
          </w:p>
        </w:tc>
      </w:tr>
      <w:tr w:rsidR="00A60D39" w14:paraId="6AFCEA85" w14:textId="77777777" w:rsidTr="00A60D39">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1D54DCF" w14:textId="11EBA9C6" w:rsidR="00A60D39" w:rsidRDefault="00A60D39">
            <w:pPr>
              <w:jc w:val="center"/>
              <w:rPr>
                <w:color w:val="000000"/>
                <w:sz w:val="20"/>
                <w:szCs w:val="20"/>
              </w:rPr>
            </w:pPr>
          </w:p>
        </w:tc>
        <w:tc>
          <w:tcPr>
            <w:tcW w:w="2556" w:type="dxa"/>
            <w:tcBorders>
              <w:top w:val="nil"/>
              <w:left w:val="nil"/>
              <w:bottom w:val="single" w:sz="4" w:space="0" w:color="auto"/>
              <w:right w:val="single" w:sz="4" w:space="0" w:color="auto"/>
            </w:tcBorders>
            <w:shd w:val="clear" w:color="auto" w:fill="auto"/>
            <w:vAlign w:val="center"/>
            <w:hideMark/>
          </w:tcPr>
          <w:p w14:paraId="4F16FBD0" w14:textId="35A85E42" w:rsidR="00A60D39" w:rsidRDefault="00A60D39">
            <w:pPr>
              <w:jc w:val="center"/>
              <w:rPr>
                <w:color w:val="000000"/>
                <w:sz w:val="20"/>
                <w:szCs w:val="20"/>
              </w:rPr>
            </w:pPr>
          </w:p>
        </w:tc>
        <w:tc>
          <w:tcPr>
            <w:tcW w:w="831" w:type="dxa"/>
            <w:tcBorders>
              <w:top w:val="nil"/>
              <w:left w:val="nil"/>
              <w:bottom w:val="single" w:sz="4" w:space="0" w:color="auto"/>
              <w:right w:val="single" w:sz="4" w:space="0" w:color="auto"/>
            </w:tcBorders>
            <w:shd w:val="clear" w:color="auto" w:fill="auto"/>
            <w:vAlign w:val="center"/>
            <w:hideMark/>
          </w:tcPr>
          <w:p w14:paraId="3FC72D95" w14:textId="05D5E714" w:rsidR="00A60D39" w:rsidRDefault="00A60D39">
            <w:pPr>
              <w:jc w:val="center"/>
              <w:rPr>
                <w:color w:val="00000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14:paraId="572C90DB" w14:textId="3B3FF11E" w:rsidR="00A60D39" w:rsidRDefault="00A60D39">
            <w:pPr>
              <w:jc w:val="center"/>
              <w:rPr>
                <w:color w:val="000000"/>
                <w:sz w:val="20"/>
                <w:szCs w:val="20"/>
              </w:rPr>
            </w:pPr>
          </w:p>
        </w:tc>
        <w:tc>
          <w:tcPr>
            <w:tcW w:w="1231" w:type="dxa"/>
            <w:tcBorders>
              <w:top w:val="nil"/>
              <w:left w:val="nil"/>
              <w:bottom w:val="single" w:sz="4" w:space="0" w:color="auto"/>
              <w:right w:val="single" w:sz="4" w:space="0" w:color="auto"/>
            </w:tcBorders>
            <w:shd w:val="clear" w:color="auto" w:fill="auto"/>
            <w:vAlign w:val="center"/>
            <w:hideMark/>
          </w:tcPr>
          <w:p w14:paraId="63BE18B1" w14:textId="03BA5D7C" w:rsidR="00A60D39" w:rsidRDefault="00A60D39">
            <w:pPr>
              <w:jc w:val="center"/>
              <w:rPr>
                <w:color w:val="000000"/>
                <w:sz w:val="20"/>
                <w:szCs w:val="20"/>
              </w:rPr>
            </w:pPr>
            <w:r>
              <w:rPr>
                <w:color w:val="000000"/>
                <w:sz w:val="20"/>
                <w:szCs w:val="20"/>
              </w:rPr>
              <w:t xml:space="preserve">  </w:t>
            </w:r>
          </w:p>
        </w:tc>
        <w:tc>
          <w:tcPr>
            <w:tcW w:w="2825" w:type="dxa"/>
            <w:tcBorders>
              <w:top w:val="nil"/>
              <w:left w:val="nil"/>
              <w:bottom w:val="single" w:sz="4" w:space="0" w:color="auto"/>
              <w:right w:val="single" w:sz="4" w:space="0" w:color="auto"/>
            </w:tcBorders>
            <w:shd w:val="clear" w:color="auto" w:fill="auto"/>
            <w:vAlign w:val="center"/>
            <w:hideMark/>
          </w:tcPr>
          <w:p w14:paraId="0EC6372A" w14:textId="18A46331" w:rsidR="00A60D39" w:rsidRDefault="00A60D39">
            <w:pPr>
              <w:jc w:val="center"/>
              <w:rPr>
                <w:color w:val="000000"/>
                <w:sz w:val="20"/>
                <w:szCs w:val="20"/>
              </w:rPr>
            </w:pPr>
          </w:p>
        </w:tc>
        <w:tc>
          <w:tcPr>
            <w:tcW w:w="1228" w:type="dxa"/>
            <w:tcBorders>
              <w:top w:val="nil"/>
              <w:left w:val="nil"/>
              <w:bottom w:val="single" w:sz="4" w:space="0" w:color="auto"/>
              <w:right w:val="single" w:sz="4" w:space="0" w:color="auto"/>
            </w:tcBorders>
            <w:shd w:val="clear" w:color="auto" w:fill="auto"/>
            <w:vAlign w:val="center"/>
            <w:hideMark/>
          </w:tcPr>
          <w:p w14:paraId="653EF935" w14:textId="55BE4725" w:rsidR="00A60D39" w:rsidRDefault="00A60D39">
            <w:pPr>
              <w:jc w:val="center"/>
              <w:rPr>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14:paraId="3BEB53E0" w14:textId="1634C345" w:rsidR="00A60D39" w:rsidRDefault="00A60D39">
            <w:pPr>
              <w:rPr>
                <w:color w:val="000000"/>
                <w:sz w:val="20"/>
                <w:szCs w:val="20"/>
              </w:rPr>
            </w:pPr>
            <w:r>
              <w:rPr>
                <w:color w:val="00000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DFD883F" w14:textId="79966D08" w:rsidR="00A60D39" w:rsidRDefault="00A60D39">
            <w:pPr>
              <w:rPr>
                <w:color w:val="000000"/>
                <w:sz w:val="20"/>
                <w:szCs w:val="20"/>
              </w:rPr>
            </w:pPr>
            <w:r>
              <w:rPr>
                <w:color w:val="000000"/>
                <w:sz w:val="20"/>
                <w:szCs w:val="20"/>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1260CADB" w14:textId="38A8754C" w:rsidR="00A60D39" w:rsidRDefault="00A60D39">
            <w:pPr>
              <w:jc w:val="center"/>
              <w:rPr>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14:paraId="2652F19A" w14:textId="64B5E96A" w:rsidR="00A60D39" w:rsidRDefault="00A60D39">
            <w:pPr>
              <w:jc w:val="center"/>
              <w:rPr>
                <w:color w:val="000000"/>
                <w:sz w:val="20"/>
                <w:szCs w:val="20"/>
              </w:rPr>
            </w:pPr>
          </w:p>
        </w:tc>
        <w:tc>
          <w:tcPr>
            <w:tcW w:w="868" w:type="dxa"/>
            <w:tcBorders>
              <w:top w:val="nil"/>
              <w:left w:val="nil"/>
              <w:bottom w:val="single" w:sz="4" w:space="0" w:color="auto"/>
              <w:right w:val="single" w:sz="4" w:space="0" w:color="auto"/>
            </w:tcBorders>
            <w:shd w:val="clear" w:color="auto" w:fill="auto"/>
            <w:vAlign w:val="center"/>
            <w:hideMark/>
          </w:tcPr>
          <w:p w14:paraId="570B63B5" w14:textId="521ABC2B" w:rsidR="00A60D39" w:rsidRDefault="00A60D39">
            <w:pPr>
              <w:jc w:val="center"/>
              <w:rPr>
                <w:color w:val="000000"/>
                <w:sz w:val="20"/>
                <w:szCs w:val="20"/>
              </w:rPr>
            </w:pPr>
            <w:r>
              <w:rPr>
                <w:color w:val="000000"/>
                <w:sz w:val="20"/>
                <w:szCs w:val="20"/>
              </w:rPr>
              <w:t xml:space="preserve">  </w:t>
            </w:r>
          </w:p>
        </w:tc>
      </w:tr>
      <w:tr w:rsidR="00A60D39" w14:paraId="3E17DA6F" w14:textId="77777777" w:rsidTr="00A60D39">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8A9ADFD" w14:textId="77777777" w:rsidR="00A60D39" w:rsidRDefault="00A60D39">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0084A42C" w14:textId="77777777" w:rsidR="00A60D39" w:rsidRDefault="00A60D39">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7B9AD69E" w14:textId="77777777" w:rsidR="00A60D39" w:rsidRDefault="00A60D39">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E2852CC" w14:textId="77777777" w:rsidR="00A60D39" w:rsidRDefault="00A60D39">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6BFD5AF6" w14:textId="77777777" w:rsidR="00A60D39" w:rsidRDefault="00A60D39">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71977D22" w14:textId="77777777" w:rsidR="00A60D39" w:rsidRDefault="00A60D39">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5BA88599"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B1A2F59" w14:textId="77777777" w:rsidR="00A60D39" w:rsidRDefault="00A60D39">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6975155" w14:textId="77777777" w:rsidR="00A60D39" w:rsidRDefault="00A60D39">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56180836"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72FFF3C1" w14:textId="77777777" w:rsidR="00A60D39" w:rsidRDefault="00A60D39">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603721C8" w14:textId="77777777" w:rsidR="00A60D39" w:rsidRDefault="00A60D39">
            <w:pPr>
              <w:jc w:val="center"/>
              <w:rPr>
                <w:color w:val="000000"/>
                <w:sz w:val="20"/>
                <w:szCs w:val="20"/>
              </w:rPr>
            </w:pPr>
          </w:p>
        </w:tc>
      </w:tr>
      <w:tr w:rsidR="00A60D39" w14:paraId="34FD5B99" w14:textId="77777777" w:rsidTr="00A60D39">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65C0652" w14:textId="77777777" w:rsidR="00A60D39" w:rsidRDefault="00A60D39">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736B52E6" w14:textId="77777777" w:rsidR="00A60D39" w:rsidRDefault="00A60D39">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77583CF5" w14:textId="77777777" w:rsidR="00A60D39" w:rsidRDefault="00A60D39">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F278981" w14:textId="77777777" w:rsidR="00A60D39" w:rsidRDefault="00A60D39">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7AD2CF22" w14:textId="77777777" w:rsidR="00A60D39" w:rsidRDefault="00A60D39">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0461512D" w14:textId="77777777" w:rsidR="00A60D39" w:rsidRDefault="00A60D39">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2473EEB6"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0E997AE9" w14:textId="77777777" w:rsidR="00A60D39" w:rsidRDefault="00A60D39">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310CF85D" w14:textId="77777777" w:rsidR="00A60D39" w:rsidRDefault="00A60D39">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59A0D8B5"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0AA67831" w14:textId="77777777" w:rsidR="00A60D39" w:rsidRDefault="00A60D39">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2F5D9A83" w14:textId="77777777" w:rsidR="00A60D39" w:rsidRDefault="00A60D39">
            <w:pPr>
              <w:jc w:val="center"/>
              <w:rPr>
                <w:color w:val="000000"/>
                <w:sz w:val="20"/>
                <w:szCs w:val="20"/>
              </w:rPr>
            </w:pPr>
          </w:p>
        </w:tc>
      </w:tr>
      <w:tr w:rsidR="00A60D39" w14:paraId="3D4F9A77" w14:textId="77777777" w:rsidTr="00A60D39">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9259ECA" w14:textId="77777777" w:rsidR="00A60D39" w:rsidRDefault="00A60D39">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53497423" w14:textId="77777777" w:rsidR="00A60D39" w:rsidRDefault="00A60D39">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43F94ADE" w14:textId="77777777" w:rsidR="00A60D39" w:rsidRDefault="00A60D39">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DB9EC8E" w14:textId="77777777" w:rsidR="00A60D39" w:rsidRDefault="00A60D39">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70B4EF7B" w14:textId="77777777" w:rsidR="00A60D39" w:rsidRDefault="00A60D39">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6854311A" w14:textId="77777777" w:rsidR="00A60D39" w:rsidRDefault="00A60D39">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00EC902F"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0E641778" w14:textId="77777777" w:rsidR="00A60D39" w:rsidRDefault="00A60D39">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30E51982" w14:textId="77777777" w:rsidR="00A60D39" w:rsidRDefault="00A60D39">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60105712" w14:textId="77777777" w:rsidR="00A60D39" w:rsidRDefault="00A60D39">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DE930A1" w14:textId="77777777" w:rsidR="00A60D39" w:rsidRDefault="00A60D39">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25FB85FA" w14:textId="77777777" w:rsidR="00A60D39" w:rsidRDefault="00A60D39">
            <w:pPr>
              <w:jc w:val="center"/>
              <w:rPr>
                <w:color w:val="000000"/>
                <w:sz w:val="20"/>
                <w:szCs w:val="20"/>
              </w:rPr>
            </w:pPr>
          </w:p>
        </w:tc>
      </w:tr>
    </w:tbl>
    <w:p w14:paraId="392BDE53" w14:textId="367FD393"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4A2699" w:rsidRDefault="00054C41" w:rsidP="00054C41">
      <w:pPr>
        <w:jc w:val="both"/>
        <w:rPr>
          <w:rFonts w:ascii="Times New Roman" w:eastAsia="Calibri" w:hAnsi="Times New Roman" w:cs="Times New Roman"/>
          <w:b/>
          <w:bCs/>
          <w:i/>
          <w:u w:val="single"/>
        </w:rPr>
      </w:pPr>
      <w:r w:rsidRPr="004A2699">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18C9E067" w14:textId="76B70236" w:rsidR="00054C41" w:rsidRPr="004A2699" w:rsidRDefault="00054C41" w:rsidP="00054C41">
      <w:pPr>
        <w:jc w:val="both"/>
        <w:rPr>
          <w:rFonts w:ascii="Times New Roman" w:eastAsia="Calibri" w:hAnsi="Times New Roman" w:cs="Times New Roman"/>
          <w:bCs/>
          <w:i/>
          <w:iCs/>
          <w:color w:val="000000"/>
        </w:rPr>
      </w:pPr>
      <w:r w:rsidRPr="004A2699">
        <w:rPr>
          <w:rFonts w:ascii="Times New Roman" w:eastAsia="Calibri" w:hAnsi="Times New Roman" w:cs="Times New Roman"/>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sidRPr="004A2699">
        <w:rPr>
          <w:rFonts w:ascii="Times New Roman" w:eastAsia="Calibri" w:hAnsi="Times New Roman" w:cs="Times New Roman"/>
          <w:bCs/>
          <w:i/>
          <w:iCs/>
          <w:color w:val="000000"/>
        </w:rPr>
        <w:t xml:space="preserve"> a poplatky, ktorých cieľom je znižovať negatívne externality</w:t>
      </w:r>
      <w:r w:rsidRPr="004A2699">
        <w:rPr>
          <w:rFonts w:ascii="Times New Roman" w:eastAsia="Calibri" w:hAnsi="Times New Roman" w:cs="Times New Roman"/>
          <w:bCs/>
          <w:i/>
          <w:iCs/>
          <w:color w:val="000000"/>
        </w:rPr>
        <w:t xml:space="preserve">, B. </w:t>
      </w:r>
      <w:r w:rsidR="00A000DA" w:rsidRPr="004A2699">
        <w:rPr>
          <w:rFonts w:ascii="Times New Roman" w:eastAsia="Calibri" w:hAnsi="Times New Roman" w:cs="Times New Roman"/>
          <w:bCs/>
          <w:i/>
          <w:iCs/>
          <w:color w:val="000000"/>
        </w:rPr>
        <w:t>Iné p</w:t>
      </w:r>
      <w:r w:rsidRPr="004A2699">
        <w:rPr>
          <w:rFonts w:ascii="Times New Roman" w:eastAsia="Calibri" w:hAnsi="Times New Roman" w:cs="Times New Roman"/>
          <w:bCs/>
          <w:i/>
          <w:iCs/>
          <w:color w:val="000000"/>
        </w:rPr>
        <w:t xml:space="preserve">oplatky, C. Nepriame finančné náklady, D. Administratívne náklady). Rozčleňte ich a vypočítajte v súlade s metodickým postupom. </w:t>
      </w:r>
    </w:p>
    <w:p w14:paraId="65DCB678" w14:textId="2E093E26" w:rsidR="00BE11BF" w:rsidRPr="004A2699" w:rsidRDefault="00BE11BF" w:rsidP="00054C41">
      <w:pPr>
        <w:jc w:val="both"/>
        <w:rPr>
          <w:rFonts w:ascii="Times New Roman" w:eastAsia="Calibri" w:hAnsi="Times New Roman" w:cs="Times New Roman"/>
          <w:b/>
          <w:bCs/>
          <w:iCs/>
          <w:color w:val="000000"/>
        </w:rPr>
      </w:pPr>
      <w:r w:rsidRPr="004A2699">
        <w:rPr>
          <w:rFonts w:ascii="Times New Roman" w:eastAsia="Calibri" w:hAnsi="Times New Roman" w:cs="Times New Roman"/>
          <w:b/>
          <w:bCs/>
          <w:iCs/>
          <w:color w:val="000000"/>
        </w:rPr>
        <w:t xml:space="preserve">Východiskové údaje: </w:t>
      </w:r>
    </w:p>
    <w:p w14:paraId="6D2E3E98" w14:textId="513A816B" w:rsidR="001E1670" w:rsidRPr="004A2699" w:rsidRDefault="00932BC1" w:rsidP="00932BC1">
      <w:pPr>
        <w:jc w:val="both"/>
        <w:rPr>
          <w:rFonts w:ascii="Times New Roman" w:hAnsi="Times New Roman" w:cs="Times New Roman"/>
        </w:rPr>
      </w:pPr>
      <w:r w:rsidRPr="004A2699">
        <w:rPr>
          <w:rFonts w:ascii="Times New Roman" w:hAnsi="Times New Roman" w:cs="Times New Roman"/>
        </w:rPr>
        <w:t xml:space="preserve">Na výpočet vplyvu regulácie bol použitý </w:t>
      </w:r>
      <w:r w:rsidR="00242F71">
        <w:rPr>
          <w:rFonts w:ascii="Times New Roman" w:hAnsi="Times New Roman" w:cs="Times New Roman"/>
        </w:rPr>
        <w:t xml:space="preserve">výpočet vychádzajúci zo štandardizovanej časovej náročnosti administratívnych úkonov </w:t>
      </w:r>
      <w:r w:rsidRPr="004A2699">
        <w:rPr>
          <w:rFonts w:ascii="Times New Roman" w:hAnsi="Times New Roman" w:cs="Times New Roman"/>
        </w:rPr>
        <w:t xml:space="preserve">(alternatíva č. 2 kalkulačky nákladov). </w:t>
      </w:r>
      <w:r w:rsidR="002B652C">
        <w:rPr>
          <w:rFonts w:ascii="Times New Roman" w:hAnsi="Times New Roman" w:cs="Times New Roman"/>
        </w:rPr>
        <w:t xml:space="preserve">Vzhľadom na to, že novelou zákona sa dopĺňa oprávnenie, nie povinnosť, nie je možné predpokladať koľko z dotknutých subjektov </w:t>
      </w:r>
      <w:r w:rsidR="00295AA0">
        <w:rPr>
          <w:rFonts w:ascii="Times New Roman" w:hAnsi="Times New Roman" w:cs="Times New Roman"/>
        </w:rPr>
        <w:t xml:space="preserve">a pri ktorých konkrétnych úkonoch </w:t>
      </w:r>
      <w:r w:rsidR="002B652C">
        <w:rPr>
          <w:rFonts w:ascii="Times New Roman" w:hAnsi="Times New Roman" w:cs="Times New Roman"/>
        </w:rPr>
        <w:t xml:space="preserve">si dané oprávnenie uplatní. </w:t>
      </w:r>
      <w:r w:rsidR="00687845">
        <w:rPr>
          <w:rFonts w:ascii="Times New Roman" w:hAnsi="Times New Roman" w:cs="Times New Roman"/>
        </w:rPr>
        <w:t xml:space="preserve">Oprávnenie vykonať zaručenú konverziu bude môcť využiť zamestnanec banky alebo pobočky zahraničnej banky v súlade s internými predpismi, a to napríklad pri archivácii dokumentov, pri vedení evidencií, ale napríklad aj v rámci poskytovania súčinnosti iným subjektom pri výkone bankových činností. </w:t>
      </w:r>
      <w:r w:rsidR="00242F71">
        <w:rPr>
          <w:rFonts w:ascii="Times New Roman" w:hAnsi="Times New Roman" w:cs="Times New Roman"/>
        </w:rPr>
        <w:t>Pre frekvenciu</w:t>
      </w:r>
      <w:r w:rsidRPr="004A2699">
        <w:rPr>
          <w:rFonts w:ascii="Times New Roman" w:hAnsi="Times New Roman" w:cs="Times New Roman"/>
        </w:rPr>
        <w:t xml:space="preserve"> realizácie týchto úkonov zo strany relevantných subjektov </w:t>
      </w:r>
      <w:r w:rsidR="00242F71">
        <w:rPr>
          <w:rFonts w:ascii="Times New Roman" w:hAnsi="Times New Roman" w:cs="Times New Roman"/>
        </w:rPr>
        <w:t>bola zvolená realizácia daného úkonu raz ročne</w:t>
      </w:r>
      <w:r w:rsidR="00687845">
        <w:rPr>
          <w:rFonts w:ascii="Times New Roman" w:hAnsi="Times New Roman" w:cs="Times New Roman"/>
        </w:rPr>
        <w:t xml:space="preserve">. </w:t>
      </w:r>
      <w:r w:rsidRPr="004A2699">
        <w:rPr>
          <w:rFonts w:ascii="Times New Roman" w:hAnsi="Times New Roman" w:cs="Times New Roman"/>
        </w:rPr>
        <w:t>Navrhovaná novela teda predpokladá zníženie nákladov na podnikateľs</w:t>
      </w:r>
      <w:r w:rsidR="001E1670" w:rsidRPr="004A2699">
        <w:rPr>
          <w:rFonts w:ascii="Times New Roman" w:hAnsi="Times New Roman" w:cs="Times New Roman"/>
        </w:rPr>
        <w:t xml:space="preserve">ké prostredie vo výške </w:t>
      </w:r>
      <w:r w:rsidR="00B45BEE" w:rsidRPr="00295AA0">
        <w:rPr>
          <w:rFonts w:ascii="Times New Roman" w:hAnsi="Times New Roman" w:cs="Times New Roman"/>
        </w:rPr>
        <w:t>76 176</w:t>
      </w:r>
      <w:r w:rsidR="00C7042D" w:rsidRPr="00295AA0">
        <w:rPr>
          <w:rFonts w:ascii="Times New Roman" w:hAnsi="Times New Roman" w:cs="Times New Roman"/>
        </w:rPr>
        <w:t xml:space="preserve"> </w:t>
      </w:r>
      <w:r w:rsidRPr="00295AA0">
        <w:rPr>
          <w:rFonts w:ascii="Times New Roman" w:hAnsi="Times New Roman" w:cs="Times New Roman"/>
        </w:rPr>
        <w:t xml:space="preserve"> eur.</w:t>
      </w:r>
    </w:p>
    <w:p w14:paraId="1F11BAA4" w14:textId="77777777" w:rsidR="00932BC1" w:rsidRPr="004A2699" w:rsidRDefault="00932BC1" w:rsidP="00932BC1">
      <w:pPr>
        <w:jc w:val="both"/>
        <w:rPr>
          <w:rFonts w:ascii="Times New Roman" w:hAnsi="Times New Roman" w:cs="Times New Roman"/>
          <w:b/>
        </w:rPr>
      </w:pPr>
      <w:r w:rsidRPr="004A2699">
        <w:rPr>
          <w:rFonts w:ascii="Times New Roman" w:hAnsi="Times New Roman" w:cs="Times New Roman"/>
          <w:b/>
        </w:rPr>
        <w:t>Ďalšie relevantné údaje:</w:t>
      </w:r>
    </w:p>
    <w:p w14:paraId="7F7E8114" w14:textId="3BA707E8" w:rsidR="00C7042D" w:rsidRDefault="00932BC1" w:rsidP="00C7042D">
      <w:pPr>
        <w:jc w:val="both"/>
        <w:rPr>
          <w:rFonts w:ascii="Times New Roman" w:hAnsi="Times New Roman" w:cs="Times New Roman"/>
        </w:rPr>
      </w:pPr>
      <w:r w:rsidRPr="004A2699">
        <w:rPr>
          <w:rFonts w:ascii="Times New Roman" w:hAnsi="Times New Roman" w:cs="Times New Roman"/>
        </w:rPr>
        <w:t xml:space="preserve">Návrhom nedochádza k zmene regulácie pre podnikateľov, ani k zavedeniu novej povinnosti alebo záťaže. Naopak, pozitívny dopad možno očakávať </w:t>
      </w:r>
      <w:r w:rsidR="00DF5E28">
        <w:rPr>
          <w:rFonts w:ascii="Times New Roman" w:hAnsi="Times New Roman" w:cs="Times New Roman"/>
        </w:rPr>
        <w:t xml:space="preserve">v oblasti </w:t>
      </w:r>
      <w:r w:rsidR="00C7042D">
        <w:rPr>
          <w:rFonts w:ascii="Times New Roman" w:hAnsi="Times New Roman" w:cs="Times New Roman"/>
        </w:rPr>
        <w:t xml:space="preserve">bankového sektora, t. j. </w:t>
      </w:r>
      <w:r w:rsidRPr="004A2699">
        <w:rPr>
          <w:rFonts w:ascii="Times New Roman" w:hAnsi="Times New Roman" w:cs="Times New Roman"/>
        </w:rPr>
        <w:t xml:space="preserve">bude sa týkať </w:t>
      </w:r>
      <w:r w:rsidR="00C7042D">
        <w:rPr>
          <w:rFonts w:ascii="Times New Roman" w:hAnsi="Times New Roman" w:cs="Times New Roman"/>
        </w:rPr>
        <w:t>organizačných jednotiek bánk a pobočiek zahraničných bánk</w:t>
      </w:r>
      <w:r w:rsidRPr="004A2699">
        <w:rPr>
          <w:rFonts w:ascii="Times New Roman" w:hAnsi="Times New Roman" w:cs="Times New Roman"/>
        </w:rPr>
        <w:t xml:space="preserve">. Tento pozitívny dopad </w:t>
      </w:r>
      <w:r w:rsidR="00C7042D">
        <w:rPr>
          <w:rFonts w:ascii="Times New Roman" w:hAnsi="Times New Roman" w:cs="Times New Roman"/>
        </w:rPr>
        <w:t>môže nastať</w:t>
      </w:r>
      <w:r w:rsidRPr="004A2699">
        <w:rPr>
          <w:rFonts w:ascii="Times New Roman" w:hAnsi="Times New Roman" w:cs="Times New Roman"/>
        </w:rPr>
        <w:t xml:space="preserve"> v dôsledku </w:t>
      </w:r>
      <w:r w:rsidR="00C7042D">
        <w:rPr>
          <w:rFonts w:ascii="Times New Roman" w:hAnsi="Times New Roman" w:cs="Times New Roman"/>
        </w:rPr>
        <w:t xml:space="preserve">ustanovenia oprávnenia pre banky a pobočky zahraničnej banky vykonávať zaručenú konverziu v § 35 ods. 3 písm. f) zákona o e-Governmente. </w:t>
      </w:r>
    </w:p>
    <w:p w14:paraId="2665AA97" w14:textId="32E8734F" w:rsidR="00932BC1" w:rsidRPr="004A2699" w:rsidRDefault="00C7042D" w:rsidP="00932BC1">
      <w:pPr>
        <w:jc w:val="both"/>
        <w:rPr>
          <w:rFonts w:ascii="Times New Roman" w:hAnsi="Times New Roman" w:cs="Times New Roman"/>
        </w:rPr>
      </w:pPr>
      <w:r>
        <w:rPr>
          <w:rFonts w:ascii="Times New Roman" w:hAnsi="Times New Roman" w:cs="Times New Roman"/>
        </w:rPr>
        <w:t xml:space="preserve">Počet </w:t>
      </w:r>
      <w:r w:rsidRPr="00EB54FB">
        <w:rPr>
          <w:rFonts w:ascii="Times New Roman" w:hAnsi="Times New Roman" w:cs="Times New Roman"/>
        </w:rPr>
        <w:t xml:space="preserve"> </w:t>
      </w:r>
      <w:r>
        <w:rPr>
          <w:rFonts w:ascii="Times New Roman" w:hAnsi="Times New Roman" w:cs="Times New Roman"/>
        </w:rPr>
        <w:t xml:space="preserve">dotknutých subjektov, t. j. počet organizačných jednotiek bánk a pobočiek zahraničných bánk, ktoré budú môcť využiť oprávnenie vykonávať zaručenú konverziu podľa § 35 ods. 3 písm. f) zákona o e-Governmente: 971 </w:t>
      </w:r>
      <w:r w:rsidRPr="004A2699">
        <w:rPr>
          <w:rFonts w:ascii="Times New Roman" w:hAnsi="Times New Roman" w:cs="Times New Roman"/>
        </w:rPr>
        <w:t>(</w:t>
      </w:r>
      <w:r>
        <w:rPr>
          <w:rFonts w:ascii="Times New Roman" w:hAnsi="Times New Roman" w:cs="Times New Roman"/>
        </w:rPr>
        <w:t xml:space="preserve">údaj platný k 31.3.2022, </w:t>
      </w:r>
      <w:r w:rsidRPr="004A2699">
        <w:rPr>
          <w:rFonts w:ascii="Times New Roman" w:hAnsi="Times New Roman" w:cs="Times New Roman"/>
        </w:rPr>
        <w:t xml:space="preserve">štatistické údaje dostupné na portáli </w:t>
      </w:r>
      <w:r>
        <w:rPr>
          <w:rFonts w:ascii="Times New Roman" w:hAnsi="Times New Roman" w:cs="Times New Roman"/>
        </w:rPr>
        <w:t xml:space="preserve">NBS </w:t>
      </w:r>
      <w:hyperlink r:id="rId15" w:history="1">
        <w:r w:rsidRPr="00DF5E28">
          <w:rPr>
            <w:rStyle w:val="Hypertextovprepojenie"/>
            <w:rFonts w:ascii="Times New Roman" w:hAnsi="Times New Roman" w:cs="Times New Roman"/>
          </w:rPr>
          <w:t>https://www.nbs.sk/sk/statisticke-udaje/financne-institucie/banky/statisticke-a-analyticke-prehlady/prehlad-o-rozvoji-penazneho-sektora</w:t>
        </w:r>
      </w:hyperlink>
      <w:r w:rsidRPr="00DF5E28">
        <w:rPr>
          <w:rFonts w:ascii="Times New Roman" w:hAnsi="Times New Roman" w:cs="Times New Roman"/>
        </w:rPr>
        <w:t>).</w:t>
      </w:r>
    </w:p>
    <w:p w14:paraId="42CD176F" w14:textId="77777777" w:rsidR="00054C41" w:rsidRPr="004A2699" w:rsidRDefault="00054C41" w:rsidP="00054C41">
      <w:pPr>
        <w:jc w:val="both"/>
        <w:rPr>
          <w:rFonts w:ascii="Times New Roman" w:eastAsia="Calibri" w:hAnsi="Times New Roman" w:cs="Times New Roman"/>
          <w:b/>
        </w:rPr>
      </w:pPr>
      <w:r w:rsidRPr="004A2699">
        <w:rPr>
          <w:rFonts w:ascii="Times New Roman" w:eastAsia="Calibri" w:hAnsi="Times New Roman" w:cs="Times New Roman"/>
          <w:b/>
        </w:rPr>
        <w:t>3.2 Vyhodnotenie konzultácií s podnikateľskými subjektmi pred predbežným pripomienkovým konaním</w:t>
      </w:r>
    </w:p>
    <w:p w14:paraId="68B0F6CF" w14:textId="4FF3F9AB" w:rsidR="00054C41" w:rsidRPr="004A2699" w:rsidRDefault="00054C41" w:rsidP="20A64627">
      <w:pPr>
        <w:spacing w:after="0"/>
        <w:jc w:val="both"/>
        <w:rPr>
          <w:rFonts w:ascii="Times New Roman" w:eastAsia="Calibri" w:hAnsi="Times New Roman" w:cs="Times New Roman"/>
          <w:i/>
          <w:iCs/>
        </w:rPr>
      </w:pPr>
      <w:r w:rsidRPr="004A2699">
        <w:rPr>
          <w:rFonts w:ascii="Times New Roman" w:eastAsia="Calibri" w:hAnsi="Times New Roman" w:cs="Times New Roman"/>
          <w:i/>
          <w:iCs/>
        </w:rPr>
        <w:t xml:space="preserve">Uveďte formu konzultácií vrátane zdôvodnenia jej výberu a trvanie konzultácií, termíny stretnutí. </w:t>
      </w:r>
    </w:p>
    <w:p w14:paraId="13C6166A" w14:textId="2AA42B65" w:rsidR="2F8F1604" w:rsidRPr="004A2699" w:rsidRDefault="2F8F1604" w:rsidP="20A64627">
      <w:pPr>
        <w:spacing w:after="0"/>
        <w:jc w:val="both"/>
        <w:rPr>
          <w:rFonts w:ascii="Times New Roman" w:eastAsia="Calibri" w:hAnsi="Times New Roman" w:cs="Times New Roman"/>
        </w:rPr>
      </w:pPr>
      <w:r w:rsidRPr="004A2699">
        <w:rPr>
          <w:rFonts w:ascii="Times New Roman" w:eastAsia="Calibri" w:hAnsi="Times New Roman" w:cs="Times New Roman"/>
        </w:rPr>
        <w:t>Oznam ku konzultáciám s podnikateľskými subjektmi bol zverejnený  podľa bodu 5 Jednotnej metodiky na posudzovanie vybraných vplyvov</w:t>
      </w:r>
      <w:r w:rsidR="716029DA" w:rsidRPr="004A2699">
        <w:rPr>
          <w:rFonts w:ascii="Times New Roman" w:eastAsia="Calibri" w:hAnsi="Times New Roman" w:cs="Times New Roman"/>
        </w:rPr>
        <w:t xml:space="preserve"> </w:t>
      </w:r>
      <w:r w:rsidRPr="004A2699">
        <w:rPr>
          <w:rFonts w:ascii="Times New Roman" w:eastAsia="Calibri" w:hAnsi="Times New Roman" w:cs="Times New Roman"/>
        </w:rPr>
        <w:t>n</w:t>
      </w:r>
      <w:r w:rsidR="30F0D97A" w:rsidRPr="004A2699">
        <w:rPr>
          <w:rFonts w:ascii="Times New Roman" w:eastAsia="Calibri" w:hAnsi="Times New Roman" w:cs="Times New Roman"/>
        </w:rPr>
        <w:t>a</w:t>
      </w:r>
      <w:r w:rsidRPr="004A2699">
        <w:rPr>
          <w:rFonts w:ascii="Times New Roman" w:eastAsia="Calibri" w:hAnsi="Times New Roman" w:cs="Times New Roman"/>
        </w:rPr>
        <w:t xml:space="preserve"> webovom sídle</w:t>
      </w:r>
      <w:r w:rsidR="2AA79F97" w:rsidRPr="004A2699">
        <w:rPr>
          <w:rFonts w:ascii="Times New Roman" w:eastAsia="Calibri" w:hAnsi="Times New Roman" w:cs="Times New Roman"/>
        </w:rPr>
        <w:t xml:space="preserve"> MH SR https://www.economy.gov.sk/podnikatelske-prostredie/jednotna-metodika/prebiehajuce-konzultacie-a-predbezne-informacie</w:t>
      </w:r>
      <w:r w:rsidRPr="004A2699">
        <w:rPr>
          <w:rFonts w:ascii="Times New Roman" w:eastAsia="Calibri" w:hAnsi="Times New Roman" w:cs="Times New Roman"/>
        </w:rPr>
        <w:t xml:space="preserve"> v zmysle bodu 5.7 metodiky. </w:t>
      </w:r>
    </w:p>
    <w:p w14:paraId="03C16B1A" w14:textId="23B13324" w:rsidR="2F8F1604" w:rsidRPr="004A2699" w:rsidRDefault="2F8F1604" w:rsidP="20A64627">
      <w:pPr>
        <w:spacing w:after="0"/>
        <w:jc w:val="both"/>
        <w:rPr>
          <w:rFonts w:ascii="Times New Roman" w:eastAsia="Calibri" w:hAnsi="Times New Roman" w:cs="Times New Roman"/>
        </w:rPr>
      </w:pPr>
      <w:r w:rsidRPr="004A2699">
        <w:rPr>
          <w:rFonts w:ascii="Times New Roman" w:eastAsia="Calibri" w:hAnsi="Times New Roman" w:cs="Times New Roman"/>
        </w:rPr>
        <w:t xml:space="preserve"> </w:t>
      </w:r>
    </w:p>
    <w:p w14:paraId="1943FAAB" w14:textId="63CCD0FA" w:rsidR="2F8F1604" w:rsidRPr="004A2699" w:rsidRDefault="2F8F1604" w:rsidP="20A64627">
      <w:pPr>
        <w:spacing w:after="0"/>
        <w:jc w:val="both"/>
        <w:rPr>
          <w:rFonts w:ascii="Times New Roman" w:eastAsia="Calibri" w:hAnsi="Times New Roman" w:cs="Times New Roman"/>
        </w:rPr>
      </w:pPr>
      <w:r w:rsidRPr="004A2699">
        <w:rPr>
          <w:rFonts w:ascii="Times New Roman" w:eastAsia="Calibri" w:hAnsi="Times New Roman" w:cs="Times New Roman"/>
        </w:rPr>
        <w:t xml:space="preserve">Link na materiál: https://www.slov-lex.sk/legislativne-procesy/SK/PI/2021/109 </w:t>
      </w:r>
    </w:p>
    <w:p w14:paraId="03858260" w14:textId="305CB78A" w:rsidR="20A64627" w:rsidRDefault="63F51672" w:rsidP="00C7042D">
      <w:pPr>
        <w:spacing w:after="0"/>
        <w:jc w:val="both"/>
        <w:rPr>
          <w:rFonts w:ascii="Times New Roman" w:eastAsia="Calibri" w:hAnsi="Times New Roman" w:cs="Times New Roman"/>
        </w:rPr>
      </w:pPr>
      <w:r w:rsidRPr="004A2699">
        <w:rPr>
          <w:rFonts w:ascii="Times New Roman" w:eastAsia="Calibri" w:hAnsi="Times New Roman" w:cs="Times New Roman"/>
        </w:rPr>
        <w:t xml:space="preserve">Na zverejnený oznam zareagoval </w:t>
      </w:r>
      <w:r w:rsidR="17E1C10F" w:rsidRPr="004A2699">
        <w:rPr>
          <w:rFonts w:ascii="Times New Roman" w:eastAsia="Calibri" w:hAnsi="Times New Roman" w:cs="Times New Roman"/>
        </w:rPr>
        <w:t>Z</w:t>
      </w:r>
      <w:r w:rsidR="00E64F8E" w:rsidRPr="004A2699">
        <w:rPr>
          <w:rFonts w:ascii="Times New Roman" w:eastAsia="Calibri" w:hAnsi="Times New Roman" w:cs="Times New Roman"/>
        </w:rPr>
        <w:t>väz automobilového priemyslu</w:t>
      </w:r>
      <w:r w:rsidR="1C336540" w:rsidRPr="004A2699">
        <w:rPr>
          <w:rFonts w:ascii="Times New Roman" w:eastAsia="Calibri" w:hAnsi="Times New Roman" w:cs="Times New Roman"/>
        </w:rPr>
        <w:t>.</w:t>
      </w:r>
    </w:p>
    <w:p w14:paraId="6FF9EF30" w14:textId="20ABA4E1" w:rsidR="00C7042D" w:rsidRDefault="00C7042D" w:rsidP="00C7042D">
      <w:pPr>
        <w:spacing w:after="0"/>
        <w:jc w:val="both"/>
        <w:rPr>
          <w:rFonts w:ascii="Times New Roman" w:eastAsia="Calibri" w:hAnsi="Times New Roman" w:cs="Times New Roman"/>
        </w:rPr>
      </w:pPr>
    </w:p>
    <w:p w14:paraId="73E12068" w14:textId="3F3ABB72" w:rsidR="00C7042D" w:rsidRDefault="00C7042D" w:rsidP="00C7042D">
      <w:pPr>
        <w:spacing w:after="0"/>
        <w:jc w:val="both"/>
        <w:rPr>
          <w:rFonts w:ascii="Times New Roman" w:eastAsia="Calibri" w:hAnsi="Times New Roman" w:cs="Times New Roman"/>
        </w:rPr>
      </w:pPr>
      <w:r>
        <w:rPr>
          <w:rFonts w:ascii="Times New Roman" w:eastAsia="Calibri" w:hAnsi="Times New Roman" w:cs="Times New Roman"/>
        </w:rPr>
        <w:t>Návrh na doplnenie oprávnenia pre banky a pobočky zahraničnej banky bol uplatne</w:t>
      </w:r>
      <w:r w:rsidR="00CC1F06">
        <w:rPr>
          <w:rFonts w:ascii="Times New Roman" w:eastAsia="Calibri" w:hAnsi="Times New Roman" w:cs="Times New Roman"/>
        </w:rPr>
        <w:t xml:space="preserve">ný Slovenskou bankovou asociáciou a samotný návrh § 35 ods. 3 písm. f), vrátane jeho dopadov, bol konzultovaný  priebežne so Slovenskou bankovou asociáciou, resp. v rámci MPK s Národnou bankou Slovenska ako subjektom dohľadu nad finančným trhom. </w:t>
      </w:r>
    </w:p>
    <w:p w14:paraId="4F58CB88" w14:textId="77777777" w:rsidR="00C7042D" w:rsidRPr="00C7042D" w:rsidRDefault="00C7042D" w:rsidP="00C7042D">
      <w:pPr>
        <w:spacing w:after="0"/>
        <w:jc w:val="both"/>
        <w:rPr>
          <w:rFonts w:ascii="Times New Roman" w:eastAsia="Calibri" w:hAnsi="Times New Roman" w:cs="Times New Roman"/>
        </w:rPr>
      </w:pPr>
    </w:p>
    <w:p w14:paraId="2B9B01F4" w14:textId="77777777" w:rsidR="00054C41" w:rsidRPr="004A2699" w:rsidRDefault="00054C41" w:rsidP="00054C41">
      <w:pPr>
        <w:jc w:val="both"/>
        <w:rPr>
          <w:rFonts w:ascii="Times New Roman" w:eastAsia="Calibri" w:hAnsi="Times New Roman" w:cs="Times New Roman"/>
          <w:b/>
        </w:rPr>
      </w:pPr>
      <w:bookmarkStart w:id="0" w:name="_Hlk47698091"/>
      <w:r w:rsidRPr="004A2699">
        <w:rPr>
          <w:rFonts w:ascii="Times New Roman" w:eastAsia="Calibri" w:hAnsi="Times New Roman" w:cs="Times New Roman"/>
          <w:b/>
        </w:rPr>
        <w:t>3.3 Vplyvy na konkurencieschopnosť a produktivitu</w:t>
      </w:r>
    </w:p>
    <w:bookmarkEnd w:id="0"/>
    <w:p w14:paraId="23C2CCCC" w14:textId="77777777" w:rsidR="00CC1F06" w:rsidRPr="004A2699" w:rsidRDefault="00054C41" w:rsidP="00CC1F06">
      <w:pPr>
        <w:spacing w:after="0"/>
        <w:jc w:val="both"/>
        <w:rPr>
          <w:rFonts w:ascii="Times New Roman" w:eastAsia="Calibri" w:hAnsi="Times New Roman" w:cs="Times New Roman"/>
        </w:rPr>
      </w:pPr>
      <w:r w:rsidRPr="004A2699">
        <w:rPr>
          <w:rFonts w:ascii="Times New Roman" w:eastAsia="Calibri" w:hAnsi="Times New Roman" w:cs="Times New Roman"/>
          <w:i/>
          <w:iCs/>
        </w:rPr>
        <w:lastRenderedPageBreak/>
        <w:t xml:space="preserve">Dochádza k vytvoreniu resp. k zmene bariér na trhu? </w:t>
      </w:r>
      <w:r w:rsidR="00CC1F06" w:rsidRPr="004A2699">
        <w:rPr>
          <w:rFonts w:ascii="Times New Roman" w:eastAsia="Calibri" w:hAnsi="Times New Roman" w:cs="Times New Roman"/>
        </w:rPr>
        <w:t>Nedochádza.</w:t>
      </w:r>
    </w:p>
    <w:p w14:paraId="74A6C288" w14:textId="77777777" w:rsidR="00054C41" w:rsidRPr="004A2699" w:rsidRDefault="00054C41" w:rsidP="20A64627">
      <w:pPr>
        <w:spacing w:after="0"/>
        <w:jc w:val="both"/>
        <w:rPr>
          <w:rFonts w:ascii="Times New Roman" w:eastAsia="Calibri" w:hAnsi="Times New Roman" w:cs="Times New Roman"/>
          <w:i/>
          <w:iCs/>
        </w:rPr>
      </w:pPr>
    </w:p>
    <w:p w14:paraId="6E2D55DC" w14:textId="77777777" w:rsidR="00CC1F06" w:rsidRPr="004A2699" w:rsidRDefault="00054C41" w:rsidP="00CC1F06">
      <w:pPr>
        <w:spacing w:after="0"/>
        <w:jc w:val="both"/>
        <w:rPr>
          <w:rFonts w:ascii="Times New Roman" w:eastAsia="Calibri" w:hAnsi="Times New Roman" w:cs="Times New Roman"/>
        </w:rPr>
      </w:pPr>
      <w:r w:rsidRPr="004A2699">
        <w:rPr>
          <w:rFonts w:ascii="Times New Roman" w:eastAsia="Calibri" w:hAnsi="Times New Roman" w:cs="Times New Roman"/>
          <w:i/>
        </w:rPr>
        <w:t xml:space="preserve">Bude sa s niektorými podnikmi alebo produktmi zaobchádzať v porovnateľnej situácii rôzne (napr. špeciálne režimy pre mikro, malé a stredné podniky tzv. MSP)? </w:t>
      </w:r>
      <w:r w:rsidR="00CC1F06" w:rsidRPr="004A2699">
        <w:rPr>
          <w:rFonts w:ascii="Times New Roman" w:eastAsia="Calibri" w:hAnsi="Times New Roman" w:cs="Times New Roman"/>
        </w:rPr>
        <w:t>Nie.</w:t>
      </w:r>
    </w:p>
    <w:p w14:paraId="3C81D3E4" w14:textId="77777777" w:rsidR="00054C41" w:rsidRPr="004A2699" w:rsidRDefault="00054C41" w:rsidP="00054C41">
      <w:pPr>
        <w:spacing w:after="0"/>
        <w:jc w:val="both"/>
        <w:rPr>
          <w:rFonts w:ascii="Times New Roman" w:eastAsia="Calibri" w:hAnsi="Times New Roman" w:cs="Times New Roman"/>
          <w:i/>
        </w:rPr>
      </w:pPr>
    </w:p>
    <w:p w14:paraId="1665305F" w14:textId="77777777" w:rsidR="00CC1F06" w:rsidRPr="004A2699" w:rsidRDefault="00054C41" w:rsidP="00CC1F06">
      <w:pPr>
        <w:spacing w:after="0"/>
        <w:jc w:val="both"/>
        <w:rPr>
          <w:rFonts w:ascii="Times New Roman" w:eastAsia="Calibri" w:hAnsi="Times New Roman" w:cs="Times New Roman"/>
        </w:rPr>
      </w:pPr>
      <w:r w:rsidRPr="004A2699">
        <w:rPr>
          <w:rFonts w:ascii="Times New Roman" w:eastAsia="Calibri" w:hAnsi="Times New Roman" w:cs="Times New Roman"/>
          <w:i/>
          <w:iCs/>
        </w:rPr>
        <w:t xml:space="preserve">Ovplyvňuje zmena regulácie cezhraničné investície (príliv/odliv zahraničných investícií resp. uplatnenie slovenských podnikov na zahraničných trhoch)? </w:t>
      </w:r>
      <w:r w:rsidR="00CC1F06" w:rsidRPr="004A2699">
        <w:rPr>
          <w:rFonts w:ascii="Times New Roman" w:eastAsia="Calibri" w:hAnsi="Times New Roman" w:cs="Times New Roman"/>
        </w:rPr>
        <w:t>Nie.</w:t>
      </w:r>
      <w:r w:rsidR="00CC1F06" w:rsidRPr="004A2699">
        <w:rPr>
          <w:rFonts w:ascii="Times New Roman" w:eastAsia="Calibri" w:hAnsi="Times New Roman" w:cs="Times New Roman"/>
          <w:i/>
          <w:iCs/>
        </w:rPr>
        <w:t xml:space="preserve"> </w:t>
      </w:r>
    </w:p>
    <w:p w14:paraId="5BAAAEAA" w14:textId="5012DF8C" w:rsidR="00054C41" w:rsidRPr="004A2699" w:rsidRDefault="00054C41" w:rsidP="20A64627">
      <w:pPr>
        <w:spacing w:after="0"/>
        <w:jc w:val="both"/>
        <w:rPr>
          <w:rFonts w:ascii="Times New Roman" w:eastAsia="Calibri" w:hAnsi="Times New Roman" w:cs="Times New Roman"/>
          <w:i/>
          <w:iCs/>
        </w:rPr>
      </w:pPr>
    </w:p>
    <w:p w14:paraId="05F29859" w14:textId="77777777" w:rsidR="00CC1F06" w:rsidRPr="004A2699" w:rsidRDefault="00054C41" w:rsidP="00CC1F06">
      <w:pPr>
        <w:spacing w:after="0"/>
        <w:jc w:val="both"/>
        <w:rPr>
          <w:rFonts w:ascii="Times New Roman" w:eastAsia="Calibri" w:hAnsi="Times New Roman" w:cs="Times New Roman"/>
        </w:rPr>
      </w:pPr>
      <w:r w:rsidRPr="004A2699">
        <w:rPr>
          <w:rFonts w:ascii="Times New Roman" w:eastAsia="Calibri" w:hAnsi="Times New Roman" w:cs="Times New Roman"/>
          <w:i/>
          <w:iCs/>
        </w:rPr>
        <w:t xml:space="preserve">Ovplyvní dostupnosť základných zdrojov (financie, pracovná sila, suroviny, mechanizmy, energie atď.)? </w:t>
      </w:r>
      <w:r w:rsidR="00CC1F06" w:rsidRPr="004A2699">
        <w:rPr>
          <w:rFonts w:ascii="Times New Roman" w:eastAsia="Calibri" w:hAnsi="Times New Roman" w:cs="Times New Roman"/>
        </w:rPr>
        <w:t>Nie.</w:t>
      </w:r>
      <w:r w:rsidR="00CC1F06" w:rsidRPr="004A2699">
        <w:rPr>
          <w:rFonts w:ascii="Times New Roman" w:eastAsia="Calibri" w:hAnsi="Times New Roman" w:cs="Times New Roman"/>
          <w:i/>
          <w:iCs/>
        </w:rPr>
        <w:t xml:space="preserve"> </w:t>
      </w:r>
    </w:p>
    <w:p w14:paraId="3DFB8B9F" w14:textId="698B5728" w:rsidR="00054C41" w:rsidRPr="004A2699" w:rsidRDefault="00054C41" w:rsidP="20A64627">
      <w:pPr>
        <w:spacing w:after="0"/>
        <w:jc w:val="both"/>
        <w:rPr>
          <w:rFonts w:ascii="Times New Roman" w:eastAsia="Calibri" w:hAnsi="Times New Roman" w:cs="Times New Roman"/>
          <w:i/>
          <w:iCs/>
        </w:rPr>
      </w:pPr>
    </w:p>
    <w:p w14:paraId="33BF99D6" w14:textId="587D7A10" w:rsidR="00CC1F06" w:rsidRPr="004A2699" w:rsidRDefault="007259CB" w:rsidP="00CC1F06">
      <w:pPr>
        <w:spacing w:after="0"/>
        <w:jc w:val="both"/>
        <w:rPr>
          <w:rFonts w:ascii="Times New Roman" w:eastAsia="Calibri" w:hAnsi="Times New Roman" w:cs="Times New Roman"/>
        </w:rPr>
      </w:pPr>
      <w:r w:rsidRPr="004A2699">
        <w:rPr>
          <w:rFonts w:ascii="Times New Roman" w:eastAsia="Calibri" w:hAnsi="Times New Roman" w:cs="Times New Roman"/>
          <w:i/>
          <w:iCs/>
        </w:rPr>
        <w:t>Ovplyvňuje zmena regulácie inovácie, vedu a výskum?</w:t>
      </w:r>
      <w:r w:rsidR="00CC1F06" w:rsidRPr="00CC1F06">
        <w:rPr>
          <w:rFonts w:ascii="Times New Roman" w:eastAsia="Calibri" w:hAnsi="Times New Roman" w:cs="Times New Roman"/>
        </w:rPr>
        <w:t xml:space="preserve"> </w:t>
      </w:r>
      <w:r w:rsidR="00CC1F06" w:rsidRPr="004A2699">
        <w:rPr>
          <w:rFonts w:ascii="Times New Roman" w:eastAsia="Calibri" w:hAnsi="Times New Roman" w:cs="Times New Roman"/>
        </w:rPr>
        <w:t>Nie.</w:t>
      </w:r>
      <w:r w:rsidR="00CC1F06" w:rsidRPr="004A2699">
        <w:rPr>
          <w:rFonts w:ascii="Times New Roman" w:eastAsia="Calibri" w:hAnsi="Times New Roman" w:cs="Times New Roman"/>
          <w:i/>
          <w:iCs/>
        </w:rPr>
        <w:t xml:space="preserve"> </w:t>
      </w:r>
    </w:p>
    <w:p w14:paraId="3EC29FF8" w14:textId="13FB91D4" w:rsidR="007259CB" w:rsidRPr="004A2699" w:rsidRDefault="007259CB" w:rsidP="20A64627">
      <w:pPr>
        <w:spacing w:after="0"/>
        <w:jc w:val="both"/>
        <w:rPr>
          <w:rFonts w:ascii="Times New Roman" w:eastAsia="Calibri" w:hAnsi="Times New Roman" w:cs="Times New Roman"/>
          <w:i/>
          <w:iCs/>
        </w:rPr>
      </w:pPr>
    </w:p>
    <w:p w14:paraId="45D378E6" w14:textId="5CD1DE87" w:rsidR="00CC1F06" w:rsidRPr="004A2699" w:rsidRDefault="00054C41" w:rsidP="00CC1F06">
      <w:pPr>
        <w:spacing w:after="0"/>
        <w:jc w:val="both"/>
        <w:rPr>
          <w:rFonts w:ascii="Times New Roman" w:eastAsia="Calibri" w:hAnsi="Times New Roman" w:cs="Times New Roman"/>
        </w:rPr>
      </w:pPr>
      <w:r w:rsidRPr="004A2699">
        <w:rPr>
          <w:rFonts w:ascii="Times New Roman" w:eastAsia="Calibri" w:hAnsi="Times New Roman" w:cs="Times New Roman"/>
          <w:i/>
          <w:iCs/>
        </w:rPr>
        <w:t>Ako prispieva zmena regulácie k cieľu Slovenska mať najlepšie podnikateľské prostredie spomedzi susediacich krajín EÚ?</w:t>
      </w:r>
      <w:r w:rsidR="00CC1F06" w:rsidRPr="00CC1F06">
        <w:rPr>
          <w:rFonts w:ascii="Times New Roman" w:eastAsia="Calibri" w:hAnsi="Times New Roman" w:cs="Times New Roman"/>
        </w:rPr>
        <w:t xml:space="preserve"> </w:t>
      </w:r>
      <w:r w:rsidR="00CC1F06" w:rsidRPr="004A2699">
        <w:rPr>
          <w:rFonts w:ascii="Times New Roman" w:eastAsia="Calibri" w:hAnsi="Times New Roman" w:cs="Times New Roman"/>
        </w:rPr>
        <w:t>Má pozitívny vplyv na podnikateľské prostredie.</w:t>
      </w:r>
    </w:p>
    <w:p w14:paraId="762820C2" w14:textId="46BB263C" w:rsidR="00054C41" w:rsidRPr="004A2699" w:rsidRDefault="00054C41" w:rsidP="20A64627">
      <w:pPr>
        <w:spacing w:after="0"/>
        <w:jc w:val="both"/>
        <w:rPr>
          <w:rFonts w:ascii="Times New Roman" w:eastAsia="Calibri" w:hAnsi="Times New Roman" w:cs="Times New Roman"/>
          <w:i/>
          <w:iCs/>
        </w:rPr>
      </w:pPr>
    </w:p>
    <w:p w14:paraId="7DBDE90F" w14:textId="77777777" w:rsidR="00054C41" w:rsidRPr="004A2699" w:rsidRDefault="00054C41" w:rsidP="00054C41">
      <w:pPr>
        <w:spacing w:after="0"/>
        <w:jc w:val="both"/>
        <w:rPr>
          <w:rFonts w:ascii="Times New Roman" w:eastAsia="Calibri" w:hAnsi="Times New Roman" w:cs="Times New Roman"/>
          <w:b/>
          <w:i/>
        </w:rPr>
      </w:pPr>
      <w:r w:rsidRPr="004A2699">
        <w:rPr>
          <w:rFonts w:ascii="Times New Roman" w:eastAsia="Calibri" w:hAnsi="Times New Roman" w:cs="Times New Roman"/>
          <w:b/>
          <w:i/>
        </w:rPr>
        <w:t>Konkurencieschopnosť:</w:t>
      </w:r>
    </w:p>
    <w:p w14:paraId="79A2EAA5" w14:textId="77777777" w:rsidR="00054C41" w:rsidRPr="004A2699" w:rsidRDefault="00054C41" w:rsidP="00054C41">
      <w:pPr>
        <w:spacing w:after="0"/>
        <w:jc w:val="both"/>
        <w:rPr>
          <w:rFonts w:ascii="Times New Roman" w:eastAsia="Calibri" w:hAnsi="Times New Roman" w:cs="Times New Roman"/>
          <w:i/>
        </w:rPr>
      </w:pPr>
      <w:r w:rsidRPr="004A2699">
        <w:rPr>
          <w:rFonts w:ascii="Times New Roman" w:eastAsia="Calibri" w:hAnsi="Times New Roman" w:cs="Times New Roman"/>
          <w:i/>
        </w:rPr>
        <w:t>Na základe uvedených odpovedí zaškrtnite a popíšte, či materiál konkurencieschopnosť:</w:t>
      </w:r>
    </w:p>
    <w:p w14:paraId="7A10A211" w14:textId="03A8CF40" w:rsidR="00054C41" w:rsidRPr="004A2699" w:rsidRDefault="00E43595" w:rsidP="20A64627">
      <w:pPr>
        <w:spacing w:after="0"/>
        <w:jc w:val="both"/>
        <w:rPr>
          <w:rFonts w:ascii="Times New Roman" w:eastAsia="Calibri" w:hAnsi="Times New Roman" w:cs="Times New Roman"/>
          <w:i/>
          <w:iCs/>
        </w:rPr>
      </w:pPr>
      <w:sdt>
        <w:sdtPr>
          <w:rPr>
            <w:rFonts w:ascii="Times New Roman" w:eastAsia="Calibri" w:hAnsi="Times New Roman" w:cs="Times New Roman"/>
            <w:i/>
            <w:iCs/>
          </w:rPr>
          <w:id w:val="360496093"/>
          <w:placeholder>
            <w:docPart w:val="DefaultPlaceholder_1081868574"/>
          </w:placeholder>
        </w:sdtPr>
        <w:sdtEndPr/>
        <w:sdtContent>
          <w:sdt>
            <w:sdtPr>
              <w:rPr>
                <w:rFonts w:ascii="Times New Roman" w:eastAsia="Calibri" w:hAnsi="Times New Roman" w:cs="Times New Roman"/>
                <w:i/>
                <w:iCs/>
              </w:rPr>
              <w:id w:val="656789221"/>
              <w:placeholder>
                <w:docPart w:val="DefaultPlaceholder_1081868574"/>
              </w:placeholder>
            </w:sdtPr>
            <w:sdtEndPr/>
            <w:sdtContent>
              <w:r w:rsidR="00054C41" w:rsidRPr="004A2699">
                <w:rPr>
                  <w:rFonts w:ascii="Segoe UI Symbol" w:eastAsia="Calibri" w:hAnsi="Segoe UI Symbol" w:cs="Segoe UI Symbol"/>
                  <w:i/>
                  <w:iCs/>
                </w:rPr>
                <w:t>☐</w:t>
              </w:r>
            </w:sdtContent>
          </w:sdt>
        </w:sdtContent>
      </w:sdt>
      <w:r w:rsidR="00054C41" w:rsidRPr="004A2699">
        <w:rPr>
          <w:rFonts w:ascii="Times New Roman" w:eastAsia="Calibri" w:hAnsi="Times New Roman" w:cs="Times New Roman"/>
          <w:i/>
          <w:iCs/>
        </w:rPr>
        <w:t xml:space="preserve"> zvyšuje  </w:t>
      </w:r>
      <w:r w:rsidR="0025394D" w:rsidRPr="004A2699">
        <w:rPr>
          <w:rFonts w:ascii="Times New Roman" w:hAnsi="Times New Roman" w:cs="Times New Roman"/>
        </w:rPr>
        <w:tab/>
      </w:r>
      <w:sdt>
        <w:sdtPr>
          <w:rPr>
            <w:rFonts w:ascii="Times New Roman" w:eastAsia="Calibri" w:hAnsi="Times New Roman" w:cs="Times New Roman"/>
            <w:i/>
            <w:iCs/>
          </w:rPr>
          <w:id w:val="687079953"/>
          <w:placeholder>
            <w:docPart w:val="DefaultPlaceholder_1081868574"/>
          </w:placeholder>
        </w:sdtPr>
        <w:sdtEndPr/>
        <w:sdtContent>
          <w:sdt>
            <w:sdtPr>
              <w:rPr>
                <w:rFonts w:ascii="Times New Roman" w:eastAsia="Calibri" w:hAnsi="Times New Roman" w:cs="Times New Roman"/>
                <w:i/>
                <w:iCs/>
              </w:rPr>
              <w:id w:val="1490920999"/>
              <w:placeholder>
                <w:docPart w:val="DefaultPlaceholder_1081868574"/>
              </w:placeholder>
            </w:sdtPr>
            <w:sdtEndPr/>
            <w:sdtContent>
              <w:r w:rsidR="61CD816C" w:rsidRPr="004A2699">
                <w:rPr>
                  <w:rFonts w:ascii="Times New Roman" w:eastAsia="Calibri" w:hAnsi="Times New Roman" w:cs="Times New Roman"/>
                  <w:i/>
                  <w:iCs/>
                </w:rPr>
                <w:t>x</w:t>
              </w:r>
            </w:sdtContent>
          </w:sdt>
        </w:sdtContent>
      </w:sdt>
      <w:r w:rsidR="00054C41" w:rsidRPr="004A2699">
        <w:rPr>
          <w:rFonts w:ascii="Times New Roman" w:eastAsia="Calibri" w:hAnsi="Times New Roman" w:cs="Times New Roman"/>
          <w:i/>
          <w:iCs/>
        </w:rPr>
        <w:t xml:space="preserve"> nemení</w:t>
      </w:r>
      <w:r w:rsidR="0025394D" w:rsidRPr="004A2699">
        <w:rPr>
          <w:rFonts w:ascii="Times New Roman" w:hAnsi="Times New Roman" w:cs="Times New Roman"/>
        </w:rPr>
        <w:tab/>
      </w:r>
      <w:sdt>
        <w:sdtPr>
          <w:rPr>
            <w:rFonts w:ascii="Times New Roman" w:eastAsia="Calibri" w:hAnsi="Times New Roman" w:cs="Times New Roman"/>
            <w:i/>
            <w:iCs/>
          </w:rPr>
          <w:id w:val="66749906"/>
          <w:placeholder>
            <w:docPart w:val="DefaultPlaceholder_1081868574"/>
          </w:placeholder>
        </w:sdtPr>
        <w:sdtEndPr/>
        <w:sdtContent>
          <w:sdt>
            <w:sdtPr>
              <w:rPr>
                <w:rFonts w:ascii="Times New Roman" w:eastAsia="Calibri" w:hAnsi="Times New Roman" w:cs="Times New Roman"/>
                <w:i/>
                <w:iCs/>
              </w:rPr>
              <w:id w:val="2143597055"/>
              <w:placeholder>
                <w:docPart w:val="DefaultPlaceholder_1081868574"/>
              </w:placeholder>
            </w:sdtPr>
            <w:sdtEndPr/>
            <w:sdtContent>
              <w:r w:rsidR="00054C41" w:rsidRPr="004A2699">
                <w:rPr>
                  <w:rFonts w:ascii="Segoe UI Symbol" w:eastAsia="Calibri" w:hAnsi="Segoe UI Symbol" w:cs="Segoe UI Symbol"/>
                  <w:i/>
                  <w:iCs/>
                </w:rPr>
                <w:t>☐</w:t>
              </w:r>
            </w:sdtContent>
          </w:sdt>
        </w:sdtContent>
      </w:sdt>
      <w:r w:rsidR="00054C41" w:rsidRPr="004A2699">
        <w:rPr>
          <w:rFonts w:ascii="Times New Roman" w:eastAsia="Calibri" w:hAnsi="Times New Roman" w:cs="Times New Roman"/>
          <w:i/>
          <w:iCs/>
        </w:rPr>
        <w:t xml:space="preserve"> znižuje</w:t>
      </w:r>
    </w:p>
    <w:p w14:paraId="6B265631" w14:textId="77777777" w:rsidR="00054C41" w:rsidRPr="004A2699" w:rsidRDefault="00054C41" w:rsidP="00054C41">
      <w:pPr>
        <w:spacing w:after="0"/>
        <w:jc w:val="both"/>
        <w:rPr>
          <w:rFonts w:ascii="Times New Roman" w:eastAsia="Calibri" w:hAnsi="Times New Roman" w:cs="Times New Roman"/>
          <w:i/>
        </w:rPr>
      </w:pPr>
    </w:p>
    <w:p w14:paraId="38C584EC" w14:textId="77777777" w:rsidR="00054C41" w:rsidRPr="004A2699" w:rsidRDefault="00054C41" w:rsidP="00054C41">
      <w:pPr>
        <w:spacing w:after="0"/>
        <w:jc w:val="both"/>
        <w:rPr>
          <w:rFonts w:ascii="Times New Roman" w:eastAsia="Calibri" w:hAnsi="Times New Roman" w:cs="Times New Roman"/>
          <w:b/>
          <w:i/>
        </w:rPr>
      </w:pPr>
      <w:r w:rsidRPr="004A2699">
        <w:rPr>
          <w:rFonts w:ascii="Times New Roman" w:eastAsia="Calibri" w:hAnsi="Times New Roman" w:cs="Times New Roman"/>
          <w:b/>
          <w:i/>
        </w:rPr>
        <w:t>Produktivita:</w:t>
      </w:r>
    </w:p>
    <w:p w14:paraId="0C89139A" w14:textId="77777777" w:rsidR="00054C41" w:rsidRPr="004A2699" w:rsidRDefault="00054C41" w:rsidP="00054C41">
      <w:pPr>
        <w:spacing w:after="0"/>
        <w:jc w:val="both"/>
        <w:rPr>
          <w:rFonts w:ascii="Times New Roman" w:eastAsia="Calibri" w:hAnsi="Times New Roman" w:cs="Times New Roman"/>
          <w:i/>
        </w:rPr>
      </w:pPr>
      <w:r w:rsidRPr="004A2699">
        <w:rPr>
          <w:rFonts w:ascii="Times New Roman" w:eastAsia="Calibri" w:hAnsi="Times New Roman" w:cs="Times New Roman"/>
          <w:i/>
        </w:rPr>
        <w:t xml:space="preserve">Aký má materiál vplyv na zmenu pomeru medzi produkciou podnikov a ich nákladmi? </w:t>
      </w:r>
    </w:p>
    <w:p w14:paraId="01C1A176" w14:textId="77777777" w:rsidR="00054C41" w:rsidRPr="004A2699" w:rsidRDefault="00054C41" w:rsidP="00054C41">
      <w:pPr>
        <w:spacing w:after="0"/>
        <w:jc w:val="both"/>
        <w:rPr>
          <w:rFonts w:ascii="Times New Roman" w:eastAsia="Calibri" w:hAnsi="Times New Roman" w:cs="Times New Roman"/>
          <w:i/>
        </w:rPr>
      </w:pPr>
    </w:p>
    <w:p w14:paraId="7C5BED47" w14:textId="77777777" w:rsidR="00054C41" w:rsidRPr="004A2699" w:rsidRDefault="00054C41" w:rsidP="00054C41">
      <w:pPr>
        <w:spacing w:after="0"/>
        <w:jc w:val="both"/>
        <w:rPr>
          <w:rFonts w:ascii="Times New Roman" w:eastAsia="Calibri" w:hAnsi="Times New Roman" w:cs="Times New Roman"/>
          <w:i/>
        </w:rPr>
      </w:pPr>
      <w:r w:rsidRPr="004A2699">
        <w:rPr>
          <w:rFonts w:ascii="Times New Roman" w:eastAsia="Calibri" w:hAnsi="Times New Roman" w:cs="Times New Roman"/>
          <w:i/>
        </w:rPr>
        <w:t>Na základe uvedenej odpovede zaškrtnite a popíšte, či materiál produktivitu:</w:t>
      </w:r>
    </w:p>
    <w:p w14:paraId="6DAAAC96" w14:textId="4D60C147" w:rsidR="00054C41" w:rsidRPr="004A2699" w:rsidRDefault="00E43595" w:rsidP="20A64627">
      <w:pPr>
        <w:spacing w:after="0"/>
        <w:jc w:val="both"/>
        <w:rPr>
          <w:rFonts w:ascii="Times New Roman" w:eastAsia="Calibri" w:hAnsi="Times New Roman" w:cs="Times New Roman"/>
          <w:i/>
          <w:iCs/>
        </w:rPr>
      </w:pPr>
      <w:sdt>
        <w:sdtPr>
          <w:rPr>
            <w:rFonts w:ascii="Times New Roman" w:eastAsia="Calibri" w:hAnsi="Times New Roman" w:cs="Times New Roman"/>
            <w:i/>
            <w:iCs/>
          </w:rPr>
          <w:id w:val="1550825981"/>
          <w:placeholder>
            <w:docPart w:val="DefaultPlaceholder_1081868574"/>
          </w:placeholder>
        </w:sdtPr>
        <w:sdtEndPr/>
        <w:sdtContent>
          <w:sdt>
            <w:sdtPr>
              <w:rPr>
                <w:rFonts w:ascii="Times New Roman" w:eastAsia="Calibri" w:hAnsi="Times New Roman" w:cs="Times New Roman"/>
                <w:i/>
                <w:iCs/>
              </w:rPr>
              <w:id w:val="249401435"/>
              <w:placeholder>
                <w:docPart w:val="DefaultPlaceholder_1081868574"/>
              </w:placeholder>
            </w:sdtPr>
            <w:sdtEndPr/>
            <w:sdtContent>
              <w:r w:rsidR="00054C41" w:rsidRPr="004A2699">
                <w:rPr>
                  <w:rFonts w:ascii="Segoe UI Symbol" w:eastAsia="Calibri" w:hAnsi="Segoe UI Symbol" w:cs="Segoe UI Symbol"/>
                  <w:i/>
                  <w:iCs/>
                </w:rPr>
                <w:t>☐</w:t>
              </w:r>
            </w:sdtContent>
          </w:sdt>
        </w:sdtContent>
      </w:sdt>
      <w:r w:rsidR="00054C41" w:rsidRPr="004A2699">
        <w:rPr>
          <w:rFonts w:ascii="Times New Roman" w:eastAsia="Calibri" w:hAnsi="Times New Roman" w:cs="Times New Roman"/>
          <w:i/>
          <w:iCs/>
        </w:rPr>
        <w:t xml:space="preserve"> zvyšuje  </w:t>
      </w:r>
      <w:r w:rsidR="0025394D" w:rsidRPr="004A2699">
        <w:rPr>
          <w:rFonts w:ascii="Times New Roman" w:hAnsi="Times New Roman" w:cs="Times New Roman"/>
        </w:rPr>
        <w:tab/>
      </w:r>
      <w:sdt>
        <w:sdtPr>
          <w:rPr>
            <w:rFonts w:ascii="Times New Roman" w:eastAsia="Calibri" w:hAnsi="Times New Roman" w:cs="Times New Roman"/>
            <w:i/>
            <w:iCs/>
          </w:rPr>
          <w:id w:val="1137445817"/>
          <w:placeholder>
            <w:docPart w:val="DefaultPlaceholder_1081868574"/>
          </w:placeholder>
        </w:sdtPr>
        <w:sdtEndPr/>
        <w:sdtContent>
          <w:sdt>
            <w:sdtPr>
              <w:rPr>
                <w:rFonts w:ascii="Times New Roman" w:eastAsia="Calibri" w:hAnsi="Times New Roman" w:cs="Times New Roman"/>
                <w:i/>
                <w:iCs/>
              </w:rPr>
              <w:id w:val="1698440441"/>
              <w:placeholder>
                <w:docPart w:val="DefaultPlaceholder_1081868574"/>
              </w:placeholder>
            </w:sdtPr>
            <w:sdtEndPr/>
            <w:sdtContent>
              <w:r w:rsidR="69051BD5" w:rsidRPr="004A2699">
                <w:rPr>
                  <w:rFonts w:ascii="Times New Roman" w:eastAsia="Calibri" w:hAnsi="Times New Roman" w:cs="Times New Roman"/>
                  <w:i/>
                  <w:iCs/>
                </w:rPr>
                <w:t>x</w:t>
              </w:r>
            </w:sdtContent>
          </w:sdt>
        </w:sdtContent>
      </w:sdt>
      <w:r w:rsidR="00054C41" w:rsidRPr="004A2699">
        <w:rPr>
          <w:rFonts w:ascii="Times New Roman" w:eastAsia="Calibri" w:hAnsi="Times New Roman" w:cs="Times New Roman"/>
          <w:i/>
          <w:iCs/>
        </w:rPr>
        <w:t xml:space="preserve"> nemení</w:t>
      </w:r>
      <w:r w:rsidR="0025394D" w:rsidRPr="004A2699">
        <w:rPr>
          <w:rFonts w:ascii="Times New Roman" w:hAnsi="Times New Roman" w:cs="Times New Roman"/>
        </w:rPr>
        <w:tab/>
      </w:r>
      <w:sdt>
        <w:sdtPr>
          <w:rPr>
            <w:rFonts w:ascii="Times New Roman" w:eastAsia="Calibri" w:hAnsi="Times New Roman" w:cs="Times New Roman"/>
            <w:i/>
            <w:iCs/>
          </w:rPr>
          <w:id w:val="615113321"/>
          <w:placeholder>
            <w:docPart w:val="DefaultPlaceholder_1081868574"/>
          </w:placeholder>
        </w:sdtPr>
        <w:sdtEndPr/>
        <w:sdtContent>
          <w:sdt>
            <w:sdtPr>
              <w:rPr>
                <w:rFonts w:ascii="Times New Roman" w:eastAsia="Calibri" w:hAnsi="Times New Roman" w:cs="Times New Roman"/>
                <w:i/>
                <w:iCs/>
              </w:rPr>
              <w:id w:val="1755346714"/>
              <w:placeholder>
                <w:docPart w:val="DefaultPlaceholder_1081868574"/>
              </w:placeholder>
            </w:sdtPr>
            <w:sdtEndPr/>
            <w:sdtContent>
              <w:r w:rsidR="00054C41" w:rsidRPr="004A2699">
                <w:rPr>
                  <w:rFonts w:ascii="Segoe UI Symbol" w:eastAsia="Calibri" w:hAnsi="Segoe UI Symbol" w:cs="Segoe UI Symbol"/>
                  <w:i/>
                  <w:iCs/>
                </w:rPr>
                <w:t>☐</w:t>
              </w:r>
            </w:sdtContent>
          </w:sdt>
        </w:sdtContent>
      </w:sdt>
      <w:r w:rsidR="00054C41" w:rsidRPr="004A2699">
        <w:rPr>
          <w:rFonts w:ascii="Times New Roman" w:eastAsia="Calibri" w:hAnsi="Times New Roman" w:cs="Times New Roman"/>
          <w:i/>
          <w:iCs/>
        </w:rPr>
        <w:t xml:space="preserve"> znižuje</w:t>
      </w:r>
    </w:p>
    <w:p w14:paraId="28E4F647" w14:textId="7BB46EEB" w:rsidR="00054C41" w:rsidRPr="004A2699" w:rsidRDefault="00054C41" w:rsidP="00054C41">
      <w:pPr>
        <w:spacing w:after="0"/>
        <w:jc w:val="both"/>
        <w:rPr>
          <w:rFonts w:ascii="Times New Roman" w:eastAsia="Calibri" w:hAnsi="Times New Roman" w:cs="Times New Roman"/>
          <w:i/>
        </w:rPr>
      </w:pPr>
    </w:p>
    <w:p w14:paraId="72C8CE5E" w14:textId="77777777" w:rsidR="00054C41" w:rsidRPr="004A2699" w:rsidRDefault="00054C41" w:rsidP="00054C41">
      <w:pPr>
        <w:spacing w:after="0"/>
        <w:jc w:val="both"/>
        <w:rPr>
          <w:rFonts w:ascii="Times New Roman" w:eastAsia="Calibri" w:hAnsi="Times New Roman" w:cs="Times New Roman"/>
          <w:i/>
        </w:rPr>
      </w:pPr>
    </w:p>
    <w:p w14:paraId="1CA1DE6B" w14:textId="77777777" w:rsidR="00054C41" w:rsidRPr="004A2699" w:rsidRDefault="00054C41" w:rsidP="00054C41">
      <w:pPr>
        <w:jc w:val="both"/>
        <w:rPr>
          <w:rFonts w:ascii="Times New Roman" w:eastAsia="Calibri" w:hAnsi="Times New Roman" w:cs="Times New Roman"/>
          <w:b/>
        </w:rPr>
      </w:pPr>
      <w:r w:rsidRPr="004A2699">
        <w:rPr>
          <w:rFonts w:ascii="Times New Roman" w:eastAsia="Calibri" w:hAnsi="Times New Roman" w:cs="Times New Roman"/>
          <w:b/>
        </w:rPr>
        <w:t xml:space="preserve">3.4  Iné vplyvy na podnikateľské prostredie </w:t>
      </w:r>
    </w:p>
    <w:p w14:paraId="0D09BD4A" w14:textId="729D2CF3" w:rsidR="00FF414B" w:rsidRPr="004A2699" w:rsidRDefault="00FF414B" w:rsidP="00FF414B">
      <w:pPr>
        <w:spacing w:after="0"/>
        <w:jc w:val="both"/>
        <w:rPr>
          <w:rFonts w:ascii="Times New Roman" w:eastAsia="Calibri" w:hAnsi="Times New Roman" w:cs="Times New Roman"/>
          <w:i/>
        </w:rPr>
      </w:pPr>
      <w:r w:rsidRPr="004A2699">
        <w:rPr>
          <w:rFonts w:ascii="Times New Roman" w:eastAsia="Calibri" w:hAnsi="Times New Roman" w:cs="Times New Roman"/>
          <w:i/>
        </w:rPr>
        <w:t xml:space="preserve">Ak má materiál vplyvy na PP, ktoré nemožno zaradiť do predchádzajúcich častí, či už pozitívne alebo negatívne, tu ich uveďte.  Patria sem: </w:t>
      </w:r>
    </w:p>
    <w:p w14:paraId="49AF7070" w14:textId="77777777" w:rsidR="00FF414B" w:rsidRPr="004A2699" w:rsidRDefault="00FF414B" w:rsidP="00FF414B">
      <w:pPr>
        <w:pStyle w:val="Odsekzoznamu"/>
        <w:numPr>
          <w:ilvl w:val="0"/>
          <w:numId w:val="6"/>
        </w:numPr>
        <w:spacing w:after="0" w:line="254" w:lineRule="auto"/>
        <w:jc w:val="both"/>
        <w:rPr>
          <w:rFonts w:ascii="Times New Roman" w:eastAsia="Calibri" w:hAnsi="Times New Roman" w:cs="Times New Roman"/>
          <w:i/>
        </w:rPr>
      </w:pPr>
      <w:r w:rsidRPr="004A2699">
        <w:rPr>
          <w:rFonts w:ascii="Times New Roman" w:eastAsia="Calibri" w:hAnsi="Times New Roman" w:cs="Times New Roman"/>
          <w:i/>
        </w:rPr>
        <w:t>sankcie alebo pokuty, ako dôsledok porušenia právne záväzných ustanovení;</w:t>
      </w:r>
    </w:p>
    <w:p w14:paraId="6A794723" w14:textId="77777777" w:rsidR="00FF414B" w:rsidRPr="004A2699" w:rsidRDefault="00FF414B" w:rsidP="00FF414B">
      <w:pPr>
        <w:pStyle w:val="Odsekzoznamu"/>
        <w:numPr>
          <w:ilvl w:val="0"/>
          <w:numId w:val="6"/>
        </w:numPr>
        <w:spacing w:after="0" w:line="254" w:lineRule="auto"/>
        <w:jc w:val="both"/>
        <w:rPr>
          <w:rFonts w:ascii="Times New Roman" w:eastAsia="Calibri" w:hAnsi="Times New Roman" w:cs="Times New Roman"/>
          <w:i/>
        </w:rPr>
      </w:pPr>
      <w:r w:rsidRPr="004A2699">
        <w:rPr>
          <w:rFonts w:ascii="Times New Roman" w:eastAsia="Calibri" w:hAnsi="Times New Roman" w:cs="Times New Roman"/>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Pr="004A2699" w:rsidRDefault="00FF414B" w:rsidP="00FF414B">
      <w:pPr>
        <w:pStyle w:val="Odsekzoznamu"/>
        <w:numPr>
          <w:ilvl w:val="0"/>
          <w:numId w:val="6"/>
        </w:numPr>
        <w:spacing w:after="0" w:line="254" w:lineRule="auto"/>
        <w:jc w:val="both"/>
        <w:rPr>
          <w:rFonts w:ascii="Times New Roman" w:eastAsia="Calibri" w:hAnsi="Times New Roman" w:cs="Times New Roman"/>
          <w:i/>
        </w:rPr>
      </w:pPr>
      <w:r w:rsidRPr="004A2699">
        <w:rPr>
          <w:rFonts w:ascii="Times New Roman" w:eastAsia="Calibri" w:hAnsi="Times New Roman" w:cs="Times New Roman"/>
          <w:i/>
        </w:rPr>
        <w:t>regulované ceny podľa zákona č. 18/1996 Z. z. o cenách;</w:t>
      </w:r>
    </w:p>
    <w:p w14:paraId="3CEE247D" w14:textId="77777777" w:rsidR="00FF414B" w:rsidRPr="004A2699" w:rsidRDefault="00FF414B" w:rsidP="00FF414B">
      <w:pPr>
        <w:pStyle w:val="Odsekzoznamu"/>
        <w:numPr>
          <w:ilvl w:val="0"/>
          <w:numId w:val="6"/>
        </w:numPr>
        <w:spacing w:after="0" w:line="254" w:lineRule="auto"/>
        <w:jc w:val="both"/>
        <w:rPr>
          <w:rFonts w:ascii="Times New Roman" w:eastAsia="Calibri" w:hAnsi="Times New Roman" w:cs="Times New Roman"/>
          <w:i/>
        </w:rPr>
      </w:pPr>
      <w:r w:rsidRPr="004A2699">
        <w:rPr>
          <w:rFonts w:ascii="Times New Roman" w:eastAsia="Calibri" w:hAnsi="Times New Roman" w:cs="Times New Roman"/>
          <w:i/>
        </w:rPr>
        <w:t xml:space="preserve">iné vplyvy, ktoré predpokladá materiál, ale nemožno ich zaradiť do častí 3.1 a 3.3. </w:t>
      </w:r>
    </w:p>
    <w:p w14:paraId="0B4849FE" w14:textId="6E7CB368" w:rsidR="00FF414B" w:rsidRPr="004A2699" w:rsidRDefault="00FF414B" w:rsidP="00FF414B">
      <w:pPr>
        <w:spacing w:after="0"/>
        <w:jc w:val="both"/>
        <w:rPr>
          <w:rFonts w:ascii="Times New Roman" w:eastAsia="Calibri" w:hAnsi="Times New Roman" w:cs="Times New Roman"/>
          <w:i/>
          <w:color w:val="0070C0"/>
        </w:rPr>
      </w:pPr>
    </w:p>
    <w:p w14:paraId="596EF2B7" w14:textId="5C4F7684" w:rsidR="00CD10F8" w:rsidRPr="00CD10F8" w:rsidRDefault="00CD10F8" w:rsidP="00CD10F8">
      <w:pPr>
        <w:spacing w:after="0"/>
        <w:jc w:val="both"/>
        <w:rPr>
          <w:rFonts w:ascii="Times New Roman" w:eastAsia="Calibri" w:hAnsi="Times New Roman" w:cs="Times New Roman"/>
        </w:rPr>
      </w:pPr>
      <w:r>
        <w:rPr>
          <w:rFonts w:ascii="Times New Roman" w:eastAsia="Calibri" w:hAnsi="Times New Roman" w:cs="Times New Roman"/>
        </w:rPr>
        <w:t>Podľa § 35 ods. 3 zákona o e-Governmente je o</w:t>
      </w:r>
      <w:r w:rsidRPr="00CD10F8">
        <w:rPr>
          <w:rFonts w:ascii="Times New Roman" w:eastAsia="Calibri" w:hAnsi="Times New Roman" w:cs="Times New Roman"/>
        </w:rPr>
        <w:t>sobou oprávnen</w:t>
      </w:r>
      <w:r>
        <w:rPr>
          <w:rFonts w:ascii="Times New Roman" w:eastAsia="Calibri" w:hAnsi="Times New Roman" w:cs="Times New Roman"/>
        </w:rPr>
        <w:t>ou vykonávať zaručenú konverziu</w:t>
      </w:r>
    </w:p>
    <w:p w14:paraId="21661127" w14:textId="3EC73316" w:rsidR="00CD10F8" w:rsidRPr="00CD10F8" w:rsidRDefault="00CD10F8" w:rsidP="00CD10F8">
      <w:pPr>
        <w:spacing w:after="0"/>
        <w:jc w:val="both"/>
        <w:rPr>
          <w:rFonts w:ascii="Times New Roman" w:eastAsia="Calibri" w:hAnsi="Times New Roman" w:cs="Times New Roman"/>
        </w:rPr>
      </w:pPr>
      <w:r>
        <w:rPr>
          <w:rFonts w:ascii="Times New Roman" w:eastAsia="Calibri" w:hAnsi="Times New Roman" w:cs="Times New Roman"/>
        </w:rPr>
        <w:t xml:space="preserve">a) </w:t>
      </w:r>
      <w:r w:rsidRPr="00CD10F8">
        <w:rPr>
          <w:rFonts w:ascii="Times New Roman" w:eastAsia="Calibri" w:hAnsi="Times New Roman" w:cs="Times New Roman"/>
        </w:rPr>
        <w:t>orgán verejnej moci, advokát a notár,</w:t>
      </w:r>
    </w:p>
    <w:p w14:paraId="78507447" w14:textId="38180E52" w:rsidR="00CD10F8" w:rsidRPr="00CD10F8" w:rsidRDefault="00CD10F8" w:rsidP="00CD10F8">
      <w:pPr>
        <w:spacing w:after="0"/>
        <w:ind w:left="284" w:hanging="284"/>
        <w:jc w:val="both"/>
        <w:rPr>
          <w:rFonts w:ascii="Times New Roman" w:eastAsia="Calibri" w:hAnsi="Times New Roman" w:cs="Times New Roman"/>
        </w:rPr>
      </w:pPr>
      <w:r>
        <w:rPr>
          <w:rFonts w:ascii="Times New Roman" w:eastAsia="Calibri" w:hAnsi="Times New Roman" w:cs="Times New Roman"/>
        </w:rPr>
        <w:t xml:space="preserve">b) </w:t>
      </w:r>
      <w:r w:rsidRPr="00CD10F8">
        <w:rPr>
          <w:rFonts w:ascii="Times New Roman" w:eastAsia="Calibri" w:hAnsi="Times New Roman" w:cs="Times New Roman"/>
        </w:rPr>
        <w:t>poštový podnik poskytujúci univerzálnu službu, ak je prevádzkovateľom integrovaného obslužného miesta,</w:t>
      </w:r>
    </w:p>
    <w:p w14:paraId="5BE7691C" w14:textId="1AEC60A1" w:rsidR="00CD10F8" w:rsidRPr="00CD10F8" w:rsidRDefault="00CD10F8" w:rsidP="00CD10F8">
      <w:pPr>
        <w:spacing w:after="0"/>
        <w:jc w:val="both"/>
        <w:rPr>
          <w:rFonts w:ascii="Times New Roman" w:eastAsia="Calibri" w:hAnsi="Times New Roman" w:cs="Times New Roman"/>
        </w:rPr>
      </w:pPr>
      <w:r>
        <w:rPr>
          <w:rFonts w:ascii="Times New Roman" w:eastAsia="Calibri" w:hAnsi="Times New Roman" w:cs="Times New Roman"/>
        </w:rPr>
        <w:t xml:space="preserve">c) </w:t>
      </w:r>
      <w:r w:rsidRPr="00CD10F8">
        <w:rPr>
          <w:rFonts w:ascii="Times New Roman" w:eastAsia="Calibri" w:hAnsi="Times New Roman" w:cs="Times New Roman"/>
        </w:rPr>
        <w:t>patentový zástupca, ak nejde o konverziu verejnej listiny, a</w:t>
      </w:r>
    </w:p>
    <w:p w14:paraId="517C2368" w14:textId="4D073EB8" w:rsidR="00CD10F8" w:rsidRPr="00CD10F8" w:rsidRDefault="00CD10F8" w:rsidP="00CD10F8">
      <w:pPr>
        <w:spacing w:after="0"/>
        <w:ind w:left="284" w:hanging="284"/>
        <w:jc w:val="both"/>
        <w:rPr>
          <w:rFonts w:ascii="Times New Roman" w:eastAsia="Calibri" w:hAnsi="Times New Roman" w:cs="Times New Roman"/>
        </w:rPr>
      </w:pPr>
      <w:r>
        <w:rPr>
          <w:rFonts w:ascii="Times New Roman" w:eastAsia="Calibri" w:hAnsi="Times New Roman" w:cs="Times New Roman"/>
        </w:rPr>
        <w:t xml:space="preserve">d) </w:t>
      </w:r>
      <w:r w:rsidRPr="00CD10F8">
        <w:rPr>
          <w:rFonts w:ascii="Times New Roman" w:eastAsia="Calibri" w:hAnsi="Times New Roman" w:cs="Times New Roman"/>
        </w:rPr>
        <w:t>právnická osoba so 100-percentnou majetkovou účasťou štátu, ktorej predmetom podnikania je konsolidácia pohľadávok verejného sektora podľa osobitného predpisu,20e) ak ide o zaručenú konverziu dokumentov týkajúcich sa pohľadávok, ktoré podľa osobitného predpisu20e) nadobudla a ktoré ako poverená osoba podľa osobitného predpisu20e) konsoliduje,</w:t>
      </w:r>
    </w:p>
    <w:p w14:paraId="40FB8F46" w14:textId="5D21F7D6" w:rsidR="005A5735" w:rsidRDefault="00CD10F8" w:rsidP="00CD10F8">
      <w:pPr>
        <w:spacing w:after="0"/>
        <w:ind w:left="284" w:hanging="284"/>
        <w:jc w:val="both"/>
        <w:rPr>
          <w:rFonts w:ascii="Times New Roman" w:eastAsia="Calibri" w:hAnsi="Times New Roman" w:cs="Times New Roman"/>
        </w:rPr>
      </w:pPr>
      <w:r>
        <w:rPr>
          <w:rFonts w:ascii="Times New Roman" w:eastAsia="Calibri" w:hAnsi="Times New Roman" w:cs="Times New Roman"/>
        </w:rPr>
        <w:t xml:space="preserve">e) </w:t>
      </w:r>
      <w:r w:rsidRPr="00CD10F8">
        <w:rPr>
          <w:rFonts w:ascii="Times New Roman" w:eastAsia="Calibri" w:hAnsi="Times New Roman" w:cs="Times New Roman"/>
        </w:rPr>
        <w:t>Slovenský pozemkový fond, ak ide o zaručenú konverziu dokumentov pre vlastnú potrebu na účely výkonu jeho činnosti podľa osobitných predpisov.21b)</w:t>
      </w:r>
    </w:p>
    <w:p w14:paraId="6CE23229" w14:textId="4AA2A449" w:rsidR="00287374" w:rsidRDefault="00CD10F8" w:rsidP="00A2386A">
      <w:pPr>
        <w:spacing w:after="0"/>
        <w:jc w:val="both"/>
        <w:rPr>
          <w:rFonts w:ascii="Times New Roman" w:eastAsia="Calibri" w:hAnsi="Times New Roman" w:cs="Times New Roman"/>
        </w:rPr>
      </w:pPr>
      <w:r>
        <w:rPr>
          <w:rFonts w:ascii="Times New Roman" w:eastAsia="Calibri" w:hAnsi="Times New Roman" w:cs="Times New Roman"/>
        </w:rPr>
        <w:lastRenderedPageBreak/>
        <w:t>Novelou zákona o e-Governmente sa rozširuje okruh oprávnených osôb aj o banky a pobočky zahraničnej banky, ktoré si budú môcť od účinnosti novelizovaného § 35 ods. 3 zákona o e-Governme</w:t>
      </w:r>
      <w:r w:rsidR="00287374">
        <w:rPr>
          <w:rFonts w:ascii="Times New Roman" w:eastAsia="Calibri" w:hAnsi="Times New Roman" w:cs="Times New Roman"/>
        </w:rPr>
        <w:t>nte pre vlastnú potrebu, resp.</w:t>
      </w:r>
      <w:r>
        <w:rPr>
          <w:rFonts w:ascii="Times New Roman" w:eastAsia="Calibri" w:hAnsi="Times New Roman" w:cs="Times New Roman"/>
        </w:rPr>
        <w:t xml:space="preserve"> pre klienta v súvislosti s výkonom bankových činností podľa §</w:t>
      </w:r>
      <w:r w:rsidRPr="00CD10F8">
        <w:rPr>
          <w:rFonts w:ascii="Times New Roman" w:eastAsia="Calibri" w:hAnsi="Times New Roman" w:cs="Times New Roman"/>
        </w:rPr>
        <w:t xml:space="preserve"> 2 ods. 2 a 5 zákona č. 483/2001 Z. z. </w:t>
      </w:r>
      <w:r>
        <w:rPr>
          <w:rFonts w:ascii="Times New Roman" w:eastAsia="Calibri" w:hAnsi="Times New Roman" w:cs="Times New Roman"/>
        </w:rPr>
        <w:t xml:space="preserve">o bankách </w:t>
      </w:r>
      <w:r w:rsidRPr="00CD10F8">
        <w:rPr>
          <w:rFonts w:ascii="Times New Roman" w:eastAsia="Calibri" w:hAnsi="Times New Roman" w:cs="Times New Roman"/>
        </w:rPr>
        <w:t>v znení neskorších predpisov</w:t>
      </w:r>
      <w:r>
        <w:rPr>
          <w:rFonts w:ascii="Times New Roman" w:eastAsia="Calibri" w:hAnsi="Times New Roman" w:cs="Times New Roman"/>
        </w:rPr>
        <w:t xml:space="preserve">. </w:t>
      </w:r>
      <w:r w:rsidR="00287374">
        <w:rPr>
          <w:rFonts w:ascii="Times New Roman" w:eastAsia="Calibri" w:hAnsi="Times New Roman" w:cs="Times New Roman"/>
        </w:rPr>
        <w:t xml:space="preserve">Zmena bude účinná k účinnosti novely zákona o e-Governmente (t.j. predpoklad 1. októbra 2022). </w:t>
      </w:r>
    </w:p>
    <w:p w14:paraId="6B32FE74" w14:textId="6F55C0B8" w:rsidR="00CD10F8" w:rsidRPr="004A2699" w:rsidRDefault="00287374" w:rsidP="00A2386A">
      <w:pPr>
        <w:spacing w:after="0"/>
        <w:jc w:val="both"/>
        <w:rPr>
          <w:rFonts w:ascii="Times New Roman" w:eastAsia="Calibri" w:hAnsi="Times New Roman" w:cs="Times New Roman"/>
        </w:rPr>
      </w:pPr>
      <w:r>
        <w:rPr>
          <w:rFonts w:ascii="Times New Roman" w:eastAsia="Calibri" w:hAnsi="Times New Roman" w:cs="Times New Roman"/>
        </w:rPr>
        <w:t xml:space="preserve">Nakoľko </w:t>
      </w:r>
      <w:r w:rsidRPr="00287374">
        <w:rPr>
          <w:rFonts w:ascii="Times New Roman" w:eastAsia="Calibri" w:hAnsi="Times New Roman" w:cs="Times New Roman"/>
          <w:b/>
        </w:rPr>
        <w:t>i</w:t>
      </w:r>
      <w:r w:rsidR="00CD10F8" w:rsidRPr="00287374">
        <w:rPr>
          <w:rFonts w:ascii="Times New Roman" w:eastAsia="Calibri" w:hAnsi="Times New Roman" w:cs="Times New Roman"/>
          <w:b/>
        </w:rPr>
        <w:t>de o oprávnenie</w:t>
      </w:r>
      <w:r w:rsidR="00CD10F8">
        <w:rPr>
          <w:rFonts w:ascii="Times New Roman" w:eastAsia="Calibri" w:hAnsi="Times New Roman" w:cs="Times New Roman"/>
        </w:rPr>
        <w:t xml:space="preserve">, banka a pobočka zahraničnej banky si bude môcť </w:t>
      </w:r>
      <w:r w:rsidR="00CD10F8" w:rsidRPr="00287374">
        <w:rPr>
          <w:rFonts w:ascii="Times New Roman" w:eastAsia="Calibri" w:hAnsi="Times New Roman" w:cs="Times New Roman"/>
          <w:b/>
        </w:rPr>
        <w:t xml:space="preserve">sama </w:t>
      </w:r>
      <w:r w:rsidR="00A2386A" w:rsidRPr="00287374">
        <w:rPr>
          <w:rFonts w:ascii="Times New Roman" w:eastAsia="Calibri" w:hAnsi="Times New Roman" w:cs="Times New Roman"/>
          <w:b/>
        </w:rPr>
        <w:t xml:space="preserve">dobrovoľne na základe vlastného uváženia </w:t>
      </w:r>
      <w:r w:rsidR="00CD10F8" w:rsidRPr="00287374">
        <w:rPr>
          <w:rFonts w:ascii="Times New Roman" w:eastAsia="Calibri" w:hAnsi="Times New Roman" w:cs="Times New Roman"/>
          <w:b/>
        </w:rPr>
        <w:t>rozhodnúť,</w:t>
      </w:r>
      <w:r w:rsidR="00CD10F8">
        <w:rPr>
          <w:rFonts w:ascii="Times New Roman" w:eastAsia="Calibri" w:hAnsi="Times New Roman" w:cs="Times New Roman"/>
        </w:rPr>
        <w:t xml:space="preserve"> či túto činnosť bude vykonávať pre vlastné potreby, napr. </w:t>
      </w:r>
      <w:r w:rsidR="00A2386A">
        <w:rPr>
          <w:rFonts w:ascii="Times New Roman" w:eastAsia="Calibri" w:hAnsi="Times New Roman" w:cs="Times New Roman"/>
        </w:rPr>
        <w:t xml:space="preserve">pri archivácii dokumentov, resp. </w:t>
      </w:r>
      <w:r w:rsidR="00CD10F8">
        <w:rPr>
          <w:rFonts w:ascii="Times New Roman" w:eastAsia="Calibri" w:hAnsi="Times New Roman" w:cs="Times New Roman"/>
        </w:rPr>
        <w:t xml:space="preserve">či bude poskytovať svojím klientom službu zaručenej konverzie v súvislosti s výkonom bankových činností. </w:t>
      </w:r>
      <w:r w:rsidR="00A2386A" w:rsidRPr="00287374">
        <w:rPr>
          <w:rFonts w:ascii="Times New Roman" w:eastAsia="Calibri" w:hAnsi="Times New Roman" w:cs="Times New Roman"/>
          <w:b/>
        </w:rPr>
        <w:t xml:space="preserve">Ak toto oprávnenie nevyužije, </w:t>
      </w:r>
      <w:r w:rsidRPr="00287374">
        <w:rPr>
          <w:rFonts w:ascii="Times New Roman" w:eastAsia="Calibri" w:hAnsi="Times New Roman" w:cs="Times New Roman"/>
          <w:b/>
        </w:rPr>
        <w:t>nič sa oproti súčasnému stavu nemení</w:t>
      </w:r>
      <w:r>
        <w:rPr>
          <w:rFonts w:ascii="Times New Roman" w:eastAsia="Calibri" w:hAnsi="Times New Roman" w:cs="Times New Roman"/>
        </w:rPr>
        <w:t xml:space="preserve"> a banka alebo pobočka zahraničnej banky </w:t>
      </w:r>
      <w:r w:rsidR="00A2386A">
        <w:rPr>
          <w:rFonts w:ascii="Times New Roman" w:eastAsia="Calibri" w:hAnsi="Times New Roman" w:cs="Times New Roman"/>
        </w:rPr>
        <w:t>postupuje pri výkone bankových činností tak ako doteraz, tzn. využije službu zaručenej konverzie poskytovanú inou oprávnenou osobou – v </w:t>
      </w:r>
      <w:r>
        <w:rPr>
          <w:rFonts w:ascii="Times New Roman" w:eastAsia="Calibri" w:hAnsi="Times New Roman" w:cs="Times New Roman"/>
        </w:rPr>
        <w:t>prípadoch</w:t>
      </w:r>
      <w:r w:rsidR="00A2386A">
        <w:rPr>
          <w:rFonts w:ascii="Times New Roman" w:eastAsia="Calibri" w:hAnsi="Times New Roman" w:cs="Times New Roman"/>
        </w:rPr>
        <w:t>,</w:t>
      </w:r>
      <w:r>
        <w:rPr>
          <w:rFonts w:ascii="Times New Roman" w:eastAsia="Calibri" w:hAnsi="Times New Roman" w:cs="Times New Roman"/>
        </w:rPr>
        <w:t xml:space="preserve"> kedy </w:t>
      </w:r>
      <w:r w:rsidR="00A2386A">
        <w:rPr>
          <w:rFonts w:ascii="Times New Roman" w:eastAsia="Calibri" w:hAnsi="Times New Roman" w:cs="Times New Roman"/>
        </w:rPr>
        <w:t xml:space="preserve">je zaručená konverzia dokumentu nevyhnutná. </w:t>
      </w: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CA617B1" w14:textId="77777777" w:rsidR="00142154" w:rsidRDefault="00142154">
      <w:bookmarkStart w:id="1" w:name="_GoBack"/>
      <w:bookmarkEnd w:id="1"/>
    </w:p>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D00D" w14:textId="77777777" w:rsidR="00E43595" w:rsidRDefault="00E43595" w:rsidP="00054C41">
      <w:pPr>
        <w:spacing w:after="0" w:line="240" w:lineRule="auto"/>
      </w:pPr>
      <w:r>
        <w:separator/>
      </w:r>
    </w:p>
  </w:endnote>
  <w:endnote w:type="continuationSeparator" w:id="0">
    <w:p w14:paraId="38565484" w14:textId="77777777" w:rsidR="00E43595" w:rsidRDefault="00E4359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5C97E773" w:rsidR="00CD10F8" w:rsidRPr="006045CB" w:rsidRDefault="00CD10F8"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17A85">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D48B09B" w14:textId="77777777" w:rsidR="00CD10F8" w:rsidRPr="00FF7125" w:rsidRDefault="00CD10F8" w:rsidP="00054C41">
    <w:pPr>
      <w:pStyle w:val="Pta"/>
      <w:rPr>
        <w:sz w:val="24"/>
        <w:szCs w:val="24"/>
      </w:rPr>
    </w:pPr>
  </w:p>
  <w:p w14:paraId="68AC3825" w14:textId="77777777" w:rsidR="00CD10F8" w:rsidRDefault="00CD10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B439" w14:textId="77777777" w:rsidR="00E43595" w:rsidRDefault="00E43595" w:rsidP="00054C41">
      <w:pPr>
        <w:spacing w:after="0" w:line="240" w:lineRule="auto"/>
      </w:pPr>
      <w:r>
        <w:separator/>
      </w:r>
    </w:p>
  </w:footnote>
  <w:footnote w:type="continuationSeparator" w:id="0">
    <w:p w14:paraId="66B5588A" w14:textId="77777777" w:rsidR="00E43595" w:rsidRDefault="00E43595"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CD10F8" w:rsidRPr="006045CB" w:rsidRDefault="00CD10F8"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CD10F8" w:rsidRPr="006045CB" w:rsidRDefault="00CD10F8"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718DB"/>
    <w:rsid w:val="00074E82"/>
    <w:rsid w:val="00080F0A"/>
    <w:rsid w:val="000C5E9A"/>
    <w:rsid w:val="00142154"/>
    <w:rsid w:val="00165A14"/>
    <w:rsid w:val="001B4C03"/>
    <w:rsid w:val="001D1083"/>
    <w:rsid w:val="001D3FA0"/>
    <w:rsid w:val="001E1670"/>
    <w:rsid w:val="001E53CB"/>
    <w:rsid w:val="00206D4E"/>
    <w:rsid w:val="00222A33"/>
    <w:rsid w:val="00225A83"/>
    <w:rsid w:val="00242F71"/>
    <w:rsid w:val="0025394D"/>
    <w:rsid w:val="00270EA5"/>
    <w:rsid w:val="00287374"/>
    <w:rsid w:val="00295AA0"/>
    <w:rsid w:val="002A0FBD"/>
    <w:rsid w:val="002B4183"/>
    <w:rsid w:val="002B652C"/>
    <w:rsid w:val="002C2260"/>
    <w:rsid w:val="0032670A"/>
    <w:rsid w:val="00340CFD"/>
    <w:rsid w:val="0038255E"/>
    <w:rsid w:val="00391648"/>
    <w:rsid w:val="0039304E"/>
    <w:rsid w:val="003B3A2A"/>
    <w:rsid w:val="003E58B8"/>
    <w:rsid w:val="003F06D7"/>
    <w:rsid w:val="0040300F"/>
    <w:rsid w:val="00411E01"/>
    <w:rsid w:val="0043472C"/>
    <w:rsid w:val="00445638"/>
    <w:rsid w:val="00446432"/>
    <w:rsid w:val="00467537"/>
    <w:rsid w:val="004A2699"/>
    <w:rsid w:val="004D20CB"/>
    <w:rsid w:val="004F51CB"/>
    <w:rsid w:val="00547042"/>
    <w:rsid w:val="00592806"/>
    <w:rsid w:val="005978C1"/>
    <w:rsid w:val="005A5735"/>
    <w:rsid w:val="006317ED"/>
    <w:rsid w:val="00687845"/>
    <w:rsid w:val="006F5921"/>
    <w:rsid w:val="0070523C"/>
    <w:rsid w:val="00724CA2"/>
    <w:rsid w:val="007259CB"/>
    <w:rsid w:val="00737005"/>
    <w:rsid w:val="0074547D"/>
    <w:rsid w:val="0077106D"/>
    <w:rsid w:val="00771E93"/>
    <w:rsid w:val="007B40FB"/>
    <w:rsid w:val="007E24B2"/>
    <w:rsid w:val="008634E9"/>
    <w:rsid w:val="00866404"/>
    <w:rsid w:val="008721BB"/>
    <w:rsid w:val="008801B5"/>
    <w:rsid w:val="008B4AA1"/>
    <w:rsid w:val="008C1C71"/>
    <w:rsid w:val="00923C0C"/>
    <w:rsid w:val="00932BC1"/>
    <w:rsid w:val="009808C6"/>
    <w:rsid w:val="009A4D56"/>
    <w:rsid w:val="009E09F7"/>
    <w:rsid w:val="009F08DB"/>
    <w:rsid w:val="00A000DA"/>
    <w:rsid w:val="00A1736E"/>
    <w:rsid w:val="00A21F5F"/>
    <w:rsid w:val="00A2386A"/>
    <w:rsid w:val="00A42319"/>
    <w:rsid w:val="00A60D39"/>
    <w:rsid w:val="00A61275"/>
    <w:rsid w:val="00B31669"/>
    <w:rsid w:val="00B45BEE"/>
    <w:rsid w:val="00B66E33"/>
    <w:rsid w:val="00BD0EF7"/>
    <w:rsid w:val="00BE11BF"/>
    <w:rsid w:val="00BE2B52"/>
    <w:rsid w:val="00C1192D"/>
    <w:rsid w:val="00C21399"/>
    <w:rsid w:val="00C560C4"/>
    <w:rsid w:val="00C6748F"/>
    <w:rsid w:val="00C7042D"/>
    <w:rsid w:val="00CC1F06"/>
    <w:rsid w:val="00CD10F8"/>
    <w:rsid w:val="00D005F2"/>
    <w:rsid w:val="00D2296D"/>
    <w:rsid w:val="00D631FA"/>
    <w:rsid w:val="00D82356"/>
    <w:rsid w:val="00D84EEE"/>
    <w:rsid w:val="00D90A61"/>
    <w:rsid w:val="00DE014F"/>
    <w:rsid w:val="00DF02CE"/>
    <w:rsid w:val="00DF5E28"/>
    <w:rsid w:val="00E030DA"/>
    <w:rsid w:val="00E43595"/>
    <w:rsid w:val="00E64F8E"/>
    <w:rsid w:val="00E80309"/>
    <w:rsid w:val="00EB2BEC"/>
    <w:rsid w:val="00EB54FB"/>
    <w:rsid w:val="00EC0704"/>
    <w:rsid w:val="00ED6B5D"/>
    <w:rsid w:val="00EE4C99"/>
    <w:rsid w:val="00F17A85"/>
    <w:rsid w:val="00F74FC9"/>
    <w:rsid w:val="00FE3FF3"/>
    <w:rsid w:val="00FF414B"/>
    <w:rsid w:val="00FF4B7A"/>
    <w:rsid w:val="00FF7E81"/>
    <w:rsid w:val="01EC6E3D"/>
    <w:rsid w:val="0472D520"/>
    <w:rsid w:val="09B2A93D"/>
    <w:rsid w:val="0F6CD232"/>
    <w:rsid w:val="0FB10E8A"/>
    <w:rsid w:val="17D085DB"/>
    <w:rsid w:val="17E1C10F"/>
    <w:rsid w:val="1A07776B"/>
    <w:rsid w:val="1B6A7D08"/>
    <w:rsid w:val="1C336540"/>
    <w:rsid w:val="1D9C0889"/>
    <w:rsid w:val="1E173BFE"/>
    <w:rsid w:val="1F0A75C6"/>
    <w:rsid w:val="20A64627"/>
    <w:rsid w:val="223B58ED"/>
    <w:rsid w:val="22C28444"/>
    <w:rsid w:val="2AA79F97"/>
    <w:rsid w:val="2E7D33C7"/>
    <w:rsid w:val="2F8F1604"/>
    <w:rsid w:val="30F0D97A"/>
    <w:rsid w:val="3238545A"/>
    <w:rsid w:val="344858C8"/>
    <w:rsid w:val="357B4BF7"/>
    <w:rsid w:val="432912BA"/>
    <w:rsid w:val="47FC83DD"/>
    <w:rsid w:val="4998543E"/>
    <w:rsid w:val="5471B40D"/>
    <w:rsid w:val="588579CE"/>
    <w:rsid w:val="613EE0D5"/>
    <w:rsid w:val="61CD816C"/>
    <w:rsid w:val="63F51672"/>
    <w:rsid w:val="69051BD5"/>
    <w:rsid w:val="6CE34803"/>
    <w:rsid w:val="716029DA"/>
    <w:rsid w:val="71B6B926"/>
    <w:rsid w:val="72B235D3"/>
    <w:rsid w:val="79A8A2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32670A"/>
    <w:rPr>
      <w:color w:val="0563C1" w:themeColor="hyperlink"/>
      <w:u w:val="single"/>
    </w:rPr>
  </w:style>
  <w:style w:type="character" w:styleId="PouitHypertextovPrepojenie">
    <w:name w:val="FollowedHyperlink"/>
    <w:basedOn w:val="Predvolenpsmoodseku"/>
    <w:uiPriority w:val="99"/>
    <w:semiHidden/>
    <w:unhideWhenUsed/>
    <w:rsid w:val="004A2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67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45534243">
      <w:bodyDiv w:val="1"/>
      <w:marLeft w:val="0"/>
      <w:marRight w:val="0"/>
      <w:marTop w:val="0"/>
      <w:marBottom w:val="0"/>
      <w:divBdr>
        <w:top w:val="none" w:sz="0" w:space="0" w:color="auto"/>
        <w:left w:val="none" w:sz="0" w:space="0" w:color="auto"/>
        <w:bottom w:val="none" w:sz="0" w:space="0" w:color="auto"/>
        <w:right w:val="none" w:sz="0" w:space="0" w:color="auto"/>
      </w:divBdr>
    </w:div>
    <w:div w:id="2059821935">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sr.sk/podnikatelske-prostredie/lepsia-regulacia/regulacne-zatazenie/kalkulacka-nakladov-regulac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bs.sk/sk/statisticke-udaje/financne-institucie/banky/statisticke-a-analyticke-prehlady/prehlad-o-rozvoji-penazneho-sektor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92F0F3E-D970-45D6-A557-719E5A5B2F1D}"/>
      </w:docPartPr>
      <w:docPartBody>
        <w:p w:rsidR="00601D41" w:rsidRDefault="00601D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01D41"/>
    <w:rsid w:val="000C6D2B"/>
    <w:rsid w:val="001313CB"/>
    <w:rsid w:val="00536CD4"/>
    <w:rsid w:val="005C79DE"/>
    <w:rsid w:val="00601D41"/>
    <w:rsid w:val="00DB4FAE"/>
    <w:rsid w:val="00F46FD1"/>
    <w:rsid w:val="00F801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1A6EB6880B7E40B60BC2B9D08D06BA" ma:contentTypeVersion="10" ma:contentTypeDescription="Umožňuje vytvoriť nový dokument." ma:contentTypeScope="" ma:versionID="4097a63b0cfb04c0b840c174e0fc6b90">
  <xsd:schema xmlns:xsd="http://www.w3.org/2001/XMLSchema" xmlns:xs="http://www.w3.org/2001/XMLSchema" xmlns:p="http://schemas.microsoft.com/office/2006/metadata/properties" xmlns:ns2="06bfda07-6849-4116-b84b-df74772f1672" xmlns:ns3="45a0424a-b6ff-4064-ab3b-f5cc1d862c5f" targetNamespace="http://schemas.microsoft.com/office/2006/metadata/properties" ma:root="true" ma:fieldsID="ba72fca46935d6c20b76f862cbd101d8" ns2:_="" ns3:_="">
    <xsd:import namespace="06bfda07-6849-4116-b84b-df74772f1672"/>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fda07-6849-4116-b84b-df74772f1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9346-1C0F-4402-8248-8E0DE25D8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94E1E-0AAE-4067-BB93-CFCD51C35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fda07-6849-4116-b84b-df74772f1672"/>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7F4E3-5BD0-4408-8FBB-C040FCF43C31}">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8DE133C2-0E4D-4445-8989-1FABEC7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1508</Words>
  <Characters>8601</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analyza podnikatelia</vt:lpstr>
    </vt:vector>
  </TitlesOfParts>
  <Company>Ministerstvo hospodárstva Slovenskej republiky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analyza podnikatelia</dc:title>
  <dc:subject/>
  <dc:creator>MIRRI</dc:creator>
  <cp:keywords/>
  <dc:description/>
  <cp:lastModifiedBy>MIRRI SR</cp:lastModifiedBy>
  <cp:revision>6</cp:revision>
  <dcterms:created xsi:type="dcterms:W3CDTF">2022-04-29T06:27:00Z</dcterms:created>
  <dcterms:modified xsi:type="dcterms:W3CDTF">2022-05-03T12:42:00Z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y fmtid="{D5CDD505-2E9C-101B-9397-08002B2CF9AE}" pid="153" name="ContentTypeId">
    <vt:lpwstr>0x0101002D1A6EB6880B7E40B60BC2B9D08D06BA</vt:lpwstr>
  </property>
</Properties>
</file>