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hAnsi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hAnsi="Calibri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single" w:sz="4" w:space="0" w:color="FFFFFF"/>
            </w:tcBorders>
          </w:tcPr>
          <w:p w:rsidR="00066AA7" w:rsidRPr="000501F1" w:rsidRDefault="00C41879" w:rsidP="004B24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 o metodike na výpočet podielu uznaného športu na rok 2023.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066AA7" w:rsidRPr="00B043B4" w:rsidRDefault="00066AA7" w:rsidP="00066AA7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single" w:sz="4" w:space="0" w:color="FFFFFF"/>
            </w:tcBorders>
            <w:shd w:val="clear" w:color="auto" w:fill="FFFFFF"/>
          </w:tcPr>
          <w:p w:rsidR="00066AA7" w:rsidRDefault="00066AA7" w:rsidP="00066A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  <w:p w:rsidR="00066AA7" w:rsidRPr="00B043B4" w:rsidRDefault="00066AA7" w:rsidP="00066AA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066AA7" w:rsidRPr="00B043B4" w:rsidTr="000800FC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066AA7" w:rsidRPr="00B043B4" w:rsidRDefault="00066AA7" w:rsidP="00066AA7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066AA7" w:rsidRPr="00B043B4" w:rsidRDefault="00066AA7" w:rsidP="00066AA7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4263" w:type="dxa"/>
            <w:gridSpan w:val="7"/>
            <w:tcBorders>
              <w:left w:val="nil"/>
            </w:tcBorders>
            <w:shd w:val="clear" w:color="auto" w:fill="FFFFFF"/>
          </w:tcPr>
          <w:p w:rsidR="00066AA7" w:rsidRPr="00B043B4" w:rsidRDefault="00066AA7" w:rsidP="00066AA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066AA7" w:rsidRPr="00B043B4" w:rsidTr="000800FC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066AA7" w:rsidRPr="00B043B4" w:rsidRDefault="00066AA7" w:rsidP="00066AA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066AA7" w:rsidRPr="00B043B4" w:rsidRDefault="00066AA7" w:rsidP="00066AA7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4263" w:type="dxa"/>
            <w:gridSpan w:val="7"/>
            <w:tcBorders>
              <w:left w:val="nil"/>
            </w:tcBorders>
            <w:shd w:val="clear" w:color="auto" w:fill="FFFFFF"/>
          </w:tcPr>
          <w:p w:rsidR="00066AA7" w:rsidRPr="00B043B4" w:rsidRDefault="00066AA7" w:rsidP="00066AA7">
            <w:pPr>
              <w:ind w:left="175" w:hanging="175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066AA7" w:rsidRPr="00B043B4" w:rsidTr="000800FC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066AA7" w:rsidRPr="00B043B4" w:rsidRDefault="00066AA7" w:rsidP="00066AA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066AA7" w:rsidRPr="00B043B4" w:rsidRDefault="00066AA7" w:rsidP="00066AA7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4263" w:type="dxa"/>
            <w:gridSpan w:val="7"/>
            <w:tcBorders>
              <w:left w:val="nil"/>
            </w:tcBorders>
            <w:shd w:val="clear" w:color="auto" w:fill="FFFFFF"/>
          </w:tcPr>
          <w:p w:rsidR="00066AA7" w:rsidRPr="00B043B4" w:rsidRDefault="00066AA7" w:rsidP="00066AA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FFFFFF"/>
          </w:tcPr>
          <w:p w:rsidR="00066AA7" w:rsidRPr="00B043B4" w:rsidRDefault="00066AA7" w:rsidP="00066AA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066AA7" w:rsidRPr="00B043B4" w:rsidRDefault="00066AA7" w:rsidP="00066AA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066AA7" w:rsidRPr="00B043B4" w:rsidTr="000800FC">
        <w:tc>
          <w:tcPr>
            <w:tcW w:w="5949" w:type="dxa"/>
            <w:gridSpan w:val="6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066AA7" w:rsidRPr="00B043B4" w:rsidRDefault="00066AA7" w:rsidP="00066AA7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</w:tcBorders>
          </w:tcPr>
          <w:p w:rsidR="00066AA7" w:rsidRPr="00B043B4" w:rsidRDefault="00066AA7" w:rsidP="00066AA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066AA7" w:rsidRPr="00B043B4" w:rsidTr="000800FC">
        <w:tc>
          <w:tcPr>
            <w:tcW w:w="5949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066AA7" w:rsidRPr="00B043B4" w:rsidRDefault="00066AA7" w:rsidP="00066AA7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Predpokl</w:t>
            </w:r>
            <w:r>
              <w:rPr>
                <w:rFonts w:ascii="Times New Roman" w:hAnsi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</w:tcPr>
          <w:p w:rsidR="00066AA7" w:rsidRPr="00B043B4" w:rsidRDefault="00C41879" w:rsidP="00066AA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Jún 2022</w:t>
            </w:r>
          </w:p>
        </w:tc>
      </w:tr>
      <w:tr w:rsidR="00066AA7" w:rsidRPr="00B043B4" w:rsidTr="00D2313B">
        <w:trPr>
          <w:trHeight w:val="320"/>
        </w:trPr>
        <w:tc>
          <w:tcPr>
            <w:tcW w:w="5949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066AA7" w:rsidRPr="00B043B4" w:rsidRDefault="00066AA7" w:rsidP="00066AA7">
            <w:pPr>
              <w:spacing w:line="276" w:lineRule="auto"/>
              <w:ind w:left="142"/>
              <w:contextualSpacing/>
              <w:rPr>
                <w:rFonts w:ascii="Calibri" w:hAnsi="Calibri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Predpokladaný termín začiatku a ukončenia ZP**</w:t>
            </w:r>
            <w:r w:rsidRPr="00B043B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231" w:type="dxa"/>
            <w:gridSpan w:val="5"/>
          </w:tcPr>
          <w:p w:rsidR="00066AA7" w:rsidRPr="00B043B4" w:rsidRDefault="00066AA7" w:rsidP="00066AA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066AA7" w:rsidRPr="00B043B4" w:rsidTr="000800FC">
        <w:tc>
          <w:tcPr>
            <w:tcW w:w="5949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066AA7" w:rsidRPr="00B043B4" w:rsidRDefault="00066AA7" w:rsidP="00066AA7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</w:tcPr>
          <w:p w:rsidR="00066AA7" w:rsidRPr="00B043B4" w:rsidRDefault="00632125" w:rsidP="00066AA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August</w:t>
            </w:r>
            <w:bookmarkStart w:id="0" w:name="_GoBack"/>
            <w:bookmarkEnd w:id="0"/>
            <w:r w:rsidR="00C4187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left w:val="nil"/>
              <w:right w:val="nil"/>
            </w:tcBorders>
            <w:shd w:val="clear" w:color="auto" w:fill="FFFFFF"/>
          </w:tcPr>
          <w:p w:rsidR="00066AA7" w:rsidRPr="00B043B4" w:rsidRDefault="00066AA7" w:rsidP="00066AA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066AA7" w:rsidRPr="00B043B4" w:rsidRDefault="00066AA7" w:rsidP="00066AA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066AA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</w:tcBorders>
            <w:shd w:val="clear" w:color="auto" w:fill="FFFFFF"/>
          </w:tcPr>
          <w:p w:rsidR="00066AA7" w:rsidRPr="00500B4C" w:rsidRDefault="00C41879" w:rsidP="004B2410">
            <w:pPr>
              <w:jc w:val="both"/>
              <w:rPr>
                <w:rFonts w:ascii="Times" w:hAnsi="Times" w:cs="Times"/>
                <w:color w:val="000000"/>
                <w:spacing w:val="7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Predložený návrh vykonáva splnomocňovacie ustanovenie zákona č. 440/2015 Z. z. vo vzťahu k poskytovaniu príspevku uznanému športu, podľa ktorého „Vláda pre príspevok uznanému športu na príslušný rok nariadením ustanoví ... metodiku zisťovania hodnôt a parametrov do vzorca ustanoveného v prílohe č. 3, ... hodnotu váhy dosiahnutého športového úspechu, váhy domáceho záujmu o šport a váhy zahraničného záujmu o šport do vzorca ustanoveného v prílohe č. 3 a ... metodiku výpočtu príspevku uznanému športu vrátane maximálneho možného medziročného poklesu a nárastu príspevku uznanému športu, maximálneho percentuálneho podielu príspevku uznanému športu a minimálnej hodnoty príspevku uznanému športu.“. Nariadením sa ustanovujú tieto metodiky a hodnoty vo vzťahu k príspevku uznanému športu na rok 2023, pričom žiadosti o jeho poskytnutie predkladajú národné športové zväzy uznaných športov do 30. septembra 2022.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bottom w:val="nil"/>
            </w:tcBorders>
            <w:shd w:val="clear" w:color="auto" w:fill="E2E2E2"/>
          </w:tcPr>
          <w:p w:rsidR="00066AA7" w:rsidRPr="00B043B4" w:rsidRDefault="00066AA7" w:rsidP="00066AA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066AA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</w:tcBorders>
            <w:shd w:val="clear" w:color="auto" w:fill="FFFFFF"/>
          </w:tcPr>
          <w:p w:rsidR="00066AA7" w:rsidRPr="00500B4C" w:rsidRDefault="00C41879" w:rsidP="00AE247C">
            <w:pPr>
              <w:rPr>
                <w:rFonts w:ascii="Times" w:hAnsi="Times" w:cs="Times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je ustanovenie spôsobu výpočtu parametrov tak, aby z nich a s použitím vzorca v prílohe č. 3 k zákonu č. 440/2015 Z. z. bolo možné vypočítať príspevky uznaným športom na rok 2023.</w:t>
            </w:r>
          </w:p>
        </w:tc>
      </w:tr>
      <w:tr w:rsidR="00066AA7" w:rsidRPr="00B043B4" w:rsidTr="0059330E">
        <w:trPr>
          <w:trHeight w:val="386"/>
        </w:trPr>
        <w:tc>
          <w:tcPr>
            <w:tcW w:w="9180" w:type="dxa"/>
            <w:gridSpan w:val="11"/>
            <w:tcBorders>
              <w:bottom w:val="nil"/>
            </w:tcBorders>
            <w:shd w:val="clear" w:color="auto" w:fill="E2E2E2"/>
          </w:tcPr>
          <w:p w:rsidR="00066AA7" w:rsidRPr="00B043B4" w:rsidRDefault="00066AA7" w:rsidP="00066AA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top w:val="nil"/>
            </w:tcBorders>
            <w:shd w:val="clear" w:color="auto" w:fill="FFFFFF"/>
          </w:tcPr>
          <w:p w:rsidR="00066AA7" w:rsidRPr="00500B4C" w:rsidRDefault="00C41879" w:rsidP="0059330E">
            <w:pPr>
              <w:rPr>
                <w:rFonts w:ascii="Times" w:hAnsi="Times" w:cs="Times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Národné športové zväzy uznaných športov ako žiadatelia o príspevok uznanému športu.</w:t>
            </w:r>
          </w:p>
        </w:tc>
      </w:tr>
      <w:tr w:rsidR="00066AA7" w:rsidRPr="00B043B4" w:rsidTr="000800FC">
        <w:tc>
          <w:tcPr>
            <w:tcW w:w="9180" w:type="dxa"/>
            <w:gridSpan w:val="11"/>
            <w:tcBorders>
              <w:bottom w:val="nil"/>
            </w:tcBorders>
            <w:shd w:val="clear" w:color="auto" w:fill="E2E2E2"/>
          </w:tcPr>
          <w:p w:rsidR="00066AA7" w:rsidRPr="00B043B4" w:rsidRDefault="00066AA7" w:rsidP="00066AA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5C0940" w:rsidRPr="00B043B4" w:rsidTr="00D01082">
        <w:trPr>
          <w:trHeight w:val="1095"/>
        </w:trPr>
        <w:tc>
          <w:tcPr>
            <w:tcW w:w="9180" w:type="dxa"/>
            <w:gridSpan w:val="11"/>
            <w:tcBorders>
              <w:top w:val="nil"/>
            </w:tcBorders>
            <w:shd w:val="clear" w:color="auto" w:fill="FFFFFF"/>
          </w:tcPr>
          <w:p w:rsidR="005C0940" w:rsidRDefault="00C41879" w:rsidP="005860E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Nulovým variantom je nevydanie nariadenia, pričom táto skutočnosť by bola v rozpore so zákonom č. 440/2015 Z. z., vzhľadom na to, že nariadenie sa vydáva každoročne.</w:t>
            </w:r>
          </w:p>
        </w:tc>
      </w:tr>
      <w:tr w:rsidR="005C0940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5C0940" w:rsidRPr="00B043B4" w:rsidRDefault="005C0940" w:rsidP="005C094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5C0940" w:rsidRPr="00B043B4" w:rsidTr="000800FC">
        <w:tc>
          <w:tcPr>
            <w:tcW w:w="6203" w:type="dxa"/>
            <w:gridSpan w:val="7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5C0940" w:rsidRPr="00B043B4" w:rsidRDefault="005C0940" w:rsidP="005C0940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5C0940" w:rsidRPr="00B043B4" w:rsidRDefault="002908D3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/>
                <w:b/>
                <w:sz w:val="20"/>
                <w:szCs w:val="20"/>
                <w:lang w:eastAsia="sk-SK"/>
              </w:rPr>
              <w:t>x</w:t>
            </w:r>
            <w:r w:rsidR="005C0940"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Nie</w:t>
            </w:r>
          </w:p>
        </w:tc>
      </w:tr>
      <w:tr w:rsidR="005C0940" w:rsidRPr="00B043B4" w:rsidTr="000800FC">
        <w:tc>
          <w:tcPr>
            <w:tcW w:w="9180" w:type="dxa"/>
            <w:gridSpan w:val="11"/>
            <w:tcBorders>
              <w:top w:val="nil"/>
            </w:tcBorders>
            <w:shd w:val="clear" w:color="auto" w:fill="FFFFFF"/>
          </w:tcPr>
          <w:p w:rsidR="005C0940" w:rsidRPr="00B043B4" w:rsidRDefault="005C0940" w:rsidP="002908D3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5C0940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5C0940" w:rsidRPr="00B043B4" w:rsidRDefault="005C0940" w:rsidP="005C094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5C0940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5C0940" w:rsidRPr="00B043B4" w:rsidRDefault="005C0940" w:rsidP="005C0940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Bezpredmetné</w:t>
            </w:r>
          </w:p>
        </w:tc>
      </w:tr>
      <w:tr w:rsidR="005C0940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940" w:rsidRPr="00B043B4" w:rsidRDefault="005C0940" w:rsidP="00500B4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5C0940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5C0940" w:rsidRPr="00B043B4" w:rsidRDefault="005C0940" w:rsidP="005C094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Preskúmanie účelnosti</w:t>
            </w:r>
          </w:p>
        </w:tc>
      </w:tr>
      <w:tr w:rsidR="005C0940" w:rsidRPr="00B043B4" w:rsidTr="000800FC">
        <w:tc>
          <w:tcPr>
            <w:tcW w:w="9180" w:type="dxa"/>
            <w:gridSpan w:val="11"/>
            <w:tcBorders>
              <w:top w:val="single" w:sz="4" w:space="0" w:color="FFFFFF"/>
            </w:tcBorders>
            <w:shd w:val="clear" w:color="auto" w:fill="FFFFFF"/>
          </w:tcPr>
          <w:p w:rsidR="005C0940" w:rsidRPr="00B043B4" w:rsidRDefault="00C41879" w:rsidP="005860E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591D4B">
              <w:rPr>
                <w:rFonts w:ascii="Times New Roman" w:hAnsi="Times New Roman"/>
                <w:sz w:val="20"/>
                <w:szCs w:val="20"/>
                <w:lang w:eastAsia="sk-SK"/>
              </w:rPr>
              <w:t>Navrhovan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á metodika na výpočet podielu uznaného športu na rok 2023</w:t>
            </w:r>
            <w:r w:rsidRPr="00591D4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bude</w:t>
            </w:r>
            <w:r w:rsidRPr="00591D4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 nadobudnutí účinnosti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nariadenia vlády</w:t>
            </w:r>
            <w:r w:rsidRPr="00591D4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priebežne sledovan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á</w:t>
            </w:r>
            <w:r w:rsidRPr="00591D4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591D4B">
              <w:rPr>
                <w:rFonts w:ascii="Times New Roman" w:hAnsi="Times New Roman"/>
                <w:sz w:val="20"/>
                <w:szCs w:val="20"/>
                <w:lang w:eastAsia="sk-SK"/>
              </w:rPr>
              <w:t>vyhodnocovan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á a podľa potrieb aplikačnej praxe môže byť v budúcnosti pri ďalšom nariadení vlády zmenená.</w:t>
            </w:r>
          </w:p>
        </w:tc>
      </w:tr>
      <w:tr w:rsidR="005C0940" w:rsidRPr="00B043B4" w:rsidTr="000800FC">
        <w:tc>
          <w:tcPr>
            <w:tcW w:w="9180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</w:tcPr>
          <w:p w:rsidR="005C0940" w:rsidRPr="00B043B4" w:rsidRDefault="005C0940" w:rsidP="005C0940">
            <w:pPr>
              <w:ind w:left="142" w:hanging="142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5C0940" w:rsidRDefault="005C0940" w:rsidP="005C0940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5C0940" w:rsidRDefault="005C0940" w:rsidP="005C0940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p w:rsidR="00500B4C" w:rsidRPr="00B043B4" w:rsidRDefault="00500B4C" w:rsidP="005C0940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5C0940" w:rsidRPr="00B043B4" w:rsidTr="00BA2BF4">
        <w:trPr>
          <w:trHeight w:val="283"/>
        </w:trPr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5C0940" w:rsidRPr="00B043B4" w:rsidRDefault="005C0940" w:rsidP="005C0940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lastRenderedPageBreak/>
              <w:t>Vybrané vplyvy  materiálu</w:t>
            </w:r>
          </w:p>
        </w:tc>
      </w:tr>
      <w:tr w:rsidR="005C0940" w:rsidRPr="00B043B4" w:rsidTr="009431E3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5C0940" w:rsidRPr="00B043B4" w:rsidRDefault="005C0940" w:rsidP="005C0940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  <w:right w:val="nil"/>
            </w:tcBorders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5C0940" w:rsidRPr="00B043B4" w:rsidRDefault="005C0940" w:rsidP="005C0940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5C0940" w:rsidRPr="00EE07EE" w:rsidRDefault="00EE07EE" w:rsidP="00452CE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left w:val="nil"/>
              <w:bottom w:val="dotted" w:sz="4" w:space="0" w:color="auto"/>
              <w:right w:val="nil"/>
            </w:tcBorders>
          </w:tcPr>
          <w:p w:rsidR="005C0940" w:rsidRPr="00B043B4" w:rsidRDefault="005C0940" w:rsidP="005C0940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5C0940" w:rsidRPr="00B043B4" w:rsidRDefault="005C0940" w:rsidP="005C0940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  <w:bottom w:val="dotted" w:sz="4" w:space="0" w:color="auto"/>
            </w:tcBorders>
          </w:tcPr>
          <w:p w:rsidR="005C0940" w:rsidRPr="00B043B4" w:rsidRDefault="005C0940" w:rsidP="005C0940">
            <w:pPr>
              <w:ind w:left="3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C0940" w:rsidRPr="00B043B4" w:rsidTr="00203EE3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5C0940" w:rsidRDefault="005C0940" w:rsidP="005C0940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</w:p>
          <w:p w:rsidR="005C0940" w:rsidRDefault="005C0940" w:rsidP="005C0940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5C0940" w:rsidRPr="00A340BB" w:rsidRDefault="005C0940" w:rsidP="005C0940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hAnsi="Times New Roman"/>
                <w:sz w:val="20"/>
                <w:szCs w:val="20"/>
                <w:lang w:eastAsia="sk-SK"/>
              </w:rPr>
              <w:t>vplyvu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C0940" w:rsidRPr="00B043B4" w:rsidRDefault="005C0940" w:rsidP="005C0940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C0940" w:rsidRPr="00B043B4" w:rsidRDefault="005C0940" w:rsidP="005C0940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C0940" w:rsidRPr="00B043B4" w:rsidRDefault="005C0940" w:rsidP="005C094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</w:tcBorders>
            <w:vAlign w:val="center"/>
          </w:tcPr>
          <w:p w:rsidR="005C0940" w:rsidRPr="00B043B4" w:rsidRDefault="005C0940" w:rsidP="005C0940">
            <w:pPr>
              <w:ind w:left="34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5C0940" w:rsidRPr="00B043B4" w:rsidTr="00203EE3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5C0940" w:rsidRPr="00B043B4" w:rsidRDefault="005C0940" w:rsidP="005C0940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C0940" w:rsidRPr="00B043B4" w:rsidRDefault="005C0940" w:rsidP="005C0940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C0940" w:rsidRPr="00B043B4" w:rsidRDefault="00EE07EE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C0940" w:rsidRPr="00B043B4" w:rsidRDefault="005C0940" w:rsidP="005C0940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  <w:bottom w:val="dotted" w:sz="4" w:space="0" w:color="auto"/>
            </w:tcBorders>
            <w:vAlign w:val="center"/>
          </w:tcPr>
          <w:p w:rsidR="005C0940" w:rsidRPr="00B043B4" w:rsidRDefault="005C0940" w:rsidP="005C0940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C0940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5C0940" w:rsidRPr="00B043B4" w:rsidRDefault="005C0940" w:rsidP="005C0940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z toho vplyvy na MSP</w:t>
            </w:r>
          </w:p>
          <w:p w:rsidR="005C0940" w:rsidRPr="00B043B4" w:rsidRDefault="005C0940" w:rsidP="005C0940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C0940" w:rsidRPr="00B043B4" w:rsidRDefault="005C0940" w:rsidP="005C0940">
            <w:pPr>
              <w:ind w:right="-108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C0940" w:rsidRPr="00B043B4" w:rsidRDefault="005C0940" w:rsidP="005C0940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C0940" w:rsidRPr="00B043B4" w:rsidRDefault="005C0940" w:rsidP="005C0940">
            <w:pPr>
              <w:ind w:left="54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5C0940" w:rsidRPr="00B043B4" w:rsidTr="00203EE3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5C0940" w:rsidRDefault="005C0940" w:rsidP="005C0940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</w:t>
            </w:r>
          </w:p>
          <w:p w:rsidR="005C0940" w:rsidRPr="00B043B4" w:rsidRDefault="005C0940" w:rsidP="005C0940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a nákladov sa uplatňuje: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5C0940" w:rsidRPr="00B043B4" w:rsidRDefault="00EE07EE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A6F9D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596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C0940" w:rsidRPr="00B043B4" w:rsidRDefault="005C0940" w:rsidP="005C0940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C0940" w:rsidRPr="00B043B4" w:rsidRDefault="003A6F9D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</w:tcBorders>
            <w:vAlign w:val="center"/>
          </w:tcPr>
          <w:p w:rsidR="005C0940" w:rsidRPr="00B043B4" w:rsidRDefault="005C0940" w:rsidP="005C0940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Nie</w:t>
            </w:r>
          </w:p>
        </w:tc>
      </w:tr>
      <w:tr w:rsidR="005C0940" w:rsidRPr="00B043B4" w:rsidTr="009431E3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5C0940" w:rsidRPr="00B043B4" w:rsidRDefault="005C0940" w:rsidP="005C0940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right w:val="nil"/>
            </w:tcBorders>
          </w:tcPr>
          <w:p w:rsidR="005C0940" w:rsidRPr="00B043B4" w:rsidRDefault="005C0940" w:rsidP="005C0940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</w:tcPr>
          <w:p w:rsidR="005C0940" w:rsidRPr="00B043B4" w:rsidRDefault="00EE07EE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5C0940" w:rsidRPr="00B043B4" w:rsidRDefault="005C0940" w:rsidP="005C0940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5C0940" w:rsidRPr="00B043B4" w:rsidRDefault="005C0940" w:rsidP="005C0940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C0940" w:rsidRPr="00B043B4" w:rsidTr="009431E3">
        <w:tc>
          <w:tcPr>
            <w:tcW w:w="3812" w:type="dxa"/>
            <w:shd w:val="clear" w:color="auto" w:fill="E2E2E2"/>
          </w:tcPr>
          <w:p w:rsidR="005C0940" w:rsidRPr="00B043B4" w:rsidRDefault="005C0940" w:rsidP="005C0940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right w:val="nil"/>
            </w:tcBorders>
          </w:tcPr>
          <w:p w:rsidR="005C0940" w:rsidRPr="00B043B4" w:rsidRDefault="005C0940" w:rsidP="005C0940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</w:tcPr>
          <w:p w:rsidR="005C0940" w:rsidRPr="00B043B4" w:rsidRDefault="00EE07EE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5C0940" w:rsidRPr="00B043B4" w:rsidRDefault="005C0940" w:rsidP="005C0940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5C0940" w:rsidRPr="00B043B4" w:rsidRDefault="005C0940" w:rsidP="005C0940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C0940" w:rsidRPr="00B043B4" w:rsidTr="009431E3">
        <w:tc>
          <w:tcPr>
            <w:tcW w:w="3812" w:type="dxa"/>
            <w:shd w:val="clear" w:color="auto" w:fill="E2E2E2"/>
          </w:tcPr>
          <w:p w:rsidR="005C0940" w:rsidRPr="00B043B4" w:rsidRDefault="005C0940" w:rsidP="005C0940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right w:val="nil"/>
            </w:tcBorders>
          </w:tcPr>
          <w:p w:rsidR="005C0940" w:rsidRPr="00B043B4" w:rsidRDefault="005C0940" w:rsidP="005C0940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</w:tcPr>
          <w:p w:rsidR="005C0940" w:rsidRPr="00B043B4" w:rsidRDefault="009706FC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5C0940" w:rsidRPr="00B043B4" w:rsidRDefault="005C0940" w:rsidP="005C0940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5C0940" w:rsidRPr="00B043B4" w:rsidRDefault="005C0940" w:rsidP="005C09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5C0940" w:rsidRPr="00B043B4" w:rsidRDefault="005C0940" w:rsidP="005C0940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hAnsi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hAnsi="Times New Roman"/>
                <w:b/>
                <w:sz w:val="20"/>
                <w:szCs w:val="20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dotted" w:sz="4" w:space="0" w:color="auto"/>
              <w:right w:val="nil"/>
            </w:tcBorders>
          </w:tcPr>
          <w:p w:rsidR="000F2BE9" w:rsidRPr="00B043B4" w:rsidRDefault="0023360B" w:rsidP="00B54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BE9" w:rsidRPr="00B043B4" w:rsidRDefault="009706FC" w:rsidP="00B54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BE9" w:rsidRPr="00B043B4" w:rsidRDefault="0023360B" w:rsidP="00B54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dotted" w:sz="4" w:space="0" w:color="auto"/>
            </w:tcBorders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hAnsi="Times New Roman"/>
                <w:b/>
                <w:sz w:val="20"/>
                <w:szCs w:val="20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F2BE9" w:rsidRPr="00B043B4" w:rsidRDefault="0023360B" w:rsidP="00B54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2BE9" w:rsidRPr="00B043B4" w:rsidRDefault="009706FC" w:rsidP="00B54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2BE9" w:rsidRPr="00B043B4" w:rsidRDefault="0023360B" w:rsidP="00B54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hAnsi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hAnsi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hAnsi="Times New Roman"/>
                <w:b/>
                <w:sz w:val="20"/>
                <w:szCs w:val="20"/>
              </w:rPr>
              <w:t>rodinu</w:t>
            </w:r>
          </w:p>
        </w:tc>
        <w:tc>
          <w:tcPr>
            <w:tcW w:w="541" w:type="dxa"/>
            <w:tcBorders>
              <w:right w:val="nil"/>
            </w:tcBorders>
            <w:vAlign w:val="center"/>
          </w:tcPr>
          <w:p w:rsidR="00A340BB" w:rsidRPr="00B043B4" w:rsidRDefault="0023360B" w:rsidP="002336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:rsidR="00A340BB" w:rsidRPr="00B043B4" w:rsidRDefault="009706FC" w:rsidP="002336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left w:val="nil"/>
              <w:right w:val="nil"/>
            </w:tcBorders>
            <w:vAlign w:val="center"/>
          </w:tcPr>
          <w:p w:rsidR="00A340BB" w:rsidRPr="00B043B4" w:rsidRDefault="0023360B" w:rsidP="0023360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hAnsi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:rsidR="001B23B7" w:rsidRPr="000501F1" w:rsidRDefault="001B23B7" w:rsidP="00D01082">
            <w:pPr>
              <w:rPr>
                <w:rFonts w:ascii="Times New Roman" w:hAnsi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C41879" w:rsidRDefault="00C41879" w:rsidP="000501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Peter Dedík, PhD., sekcia športu, peter.dedik@minedu.sk</w:t>
            </w:r>
          </w:p>
          <w:p w:rsidR="00066AA7" w:rsidRPr="000501F1" w:rsidRDefault="00500B4C" w:rsidP="000501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JUDr. René Kasenčák</w:t>
            </w:r>
            <w:r w:rsidR="00066AA7" w:rsidRPr="000501F1">
              <w:rPr>
                <w:rFonts w:ascii="Times New Roman" w:hAnsi="Times New Roman"/>
                <w:sz w:val="20"/>
                <w:szCs w:val="20"/>
              </w:rPr>
              <w:t>, odbor legislatívy</w:t>
            </w:r>
            <w:r w:rsidR="004805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rene.kasencak</w:t>
            </w:r>
            <w:r w:rsidR="00066AA7" w:rsidRPr="000501F1">
              <w:rPr>
                <w:rFonts w:ascii="Times New Roman" w:hAnsi="Times New Roman"/>
                <w:sz w:val="20"/>
                <w:szCs w:val="20"/>
              </w:rPr>
              <w:t>@minedu.sk</w:t>
            </w:r>
          </w:p>
          <w:p w:rsidR="001B23B7" w:rsidRPr="000501F1" w:rsidRDefault="001B23B7" w:rsidP="000501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1B23B7" w:rsidRPr="007F7743" w:rsidRDefault="007F7743" w:rsidP="00066AA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F7743">
              <w:rPr>
                <w:rFonts w:ascii="Times New Roman" w:hAnsi="Times New Roman"/>
                <w:sz w:val="20"/>
                <w:szCs w:val="20"/>
                <w:lang w:eastAsia="sk-SK"/>
              </w:rPr>
              <w:t>§ 68 ods. 4 zákona č. 440/2015 Z. z.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podľa ktorého sa metodika </w:t>
            </w:r>
            <w:r>
              <w:rPr>
                <w:rFonts w:ascii="Times" w:hAnsi="Times" w:cs="Times"/>
                <w:sz w:val="20"/>
                <w:szCs w:val="20"/>
              </w:rPr>
              <w:t xml:space="preserve">na výpočet podielu uznaného športu vydáva každoročne. </w:t>
            </w:r>
          </w:p>
        </w:tc>
      </w:tr>
      <w:tr w:rsidR="001B23B7" w:rsidRPr="00B043B4" w:rsidTr="000800FC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hAnsi="Calibri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23360B" w:rsidP="000800FC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23360B" w:rsidP="000800FC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23360B" w:rsidP="000800FC">
                  <w:pPr>
                    <w:ind w:right="459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hAnsi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75197E" w:rsidP="000800FC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="0023360B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75197E" w:rsidP="000800FC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="0023360B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75197E" w:rsidP="000800FC">
                  <w:pPr>
                    <w:ind w:right="459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="0023360B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274130"/>
    <w:sectPr w:rsidR="00274130" w:rsidSect="001E35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D94" w:rsidRDefault="004D7D94" w:rsidP="001B23B7">
      <w:pPr>
        <w:spacing w:after="0" w:line="240" w:lineRule="auto"/>
      </w:pPr>
      <w:r>
        <w:separator/>
      </w:r>
    </w:p>
  </w:endnote>
  <w:endnote w:type="continuationSeparator" w:id="0">
    <w:p w:rsidR="004D7D94" w:rsidRDefault="004D7D94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3B7" w:rsidRPr="006045CB" w:rsidRDefault="001B23B7" w:rsidP="001B23B7">
    <w:pPr>
      <w:pStyle w:val="Pta"/>
      <w:jc w:val="right"/>
      <w:rPr>
        <w:rFonts w:ascii="Times New Roman" w:hAnsi="Times New Roman"/>
        <w:sz w:val="24"/>
        <w:szCs w:val="24"/>
      </w:rPr>
    </w:pPr>
    <w:r w:rsidRPr="006045CB">
      <w:rPr>
        <w:rFonts w:ascii="Times New Roman" w:hAnsi="Times New Roman"/>
        <w:sz w:val="24"/>
        <w:szCs w:val="24"/>
      </w:rPr>
      <w:fldChar w:fldCharType="begin"/>
    </w:r>
    <w:r w:rsidRPr="006045CB">
      <w:rPr>
        <w:rFonts w:ascii="Times New Roman" w:hAnsi="Times New Roman"/>
        <w:sz w:val="24"/>
        <w:szCs w:val="24"/>
      </w:rPr>
      <w:instrText>PAGE   \* MERGEFORMAT</w:instrText>
    </w:r>
    <w:r w:rsidRPr="006045CB">
      <w:rPr>
        <w:rFonts w:ascii="Times New Roman" w:hAnsi="Times New Roman"/>
        <w:sz w:val="24"/>
        <w:szCs w:val="24"/>
      </w:rPr>
      <w:fldChar w:fldCharType="separate"/>
    </w:r>
    <w:r w:rsidR="000013C3">
      <w:rPr>
        <w:rFonts w:ascii="Times New Roman" w:hAnsi="Times New Roman"/>
        <w:noProof/>
        <w:sz w:val="24"/>
        <w:szCs w:val="24"/>
      </w:rPr>
      <w:t>2</w:t>
    </w:r>
    <w:r w:rsidRPr="006045CB">
      <w:rPr>
        <w:rFonts w:ascii="Times New Roman" w:hAnsi="Times New Roman"/>
        <w:sz w:val="24"/>
        <w:szCs w:val="24"/>
      </w:rPr>
      <w:fldChar w:fldCharType="end"/>
    </w:r>
  </w:p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D94" w:rsidRDefault="004D7D94" w:rsidP="001B23B7">
      <w:pPr>
        <w:spacing w:after="0" w:line="240" w:lineRule="auto"/>
      </w:pPr>
      <w:r>
        <w:separator/>
      </w:r>
    </w:p>
  </w:footnote>
  <w:footnote w:type="continuationSeparator" w:id="0">
    <w:p w:rsidR="004D7D94" w:rsidRDefault="004D7D94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23B7"/>
    <w:rsid w:val="000013C3"/>
    <w:rsid w:val="0003532C"/>
    <w:rsid w:val="00035D77"/>
    <w:rsid w:val="00043706"/>
    <w:rsid w:val="000501F1"/>
    <w:rsid w:val="00066AA7"/>
    <w:rsid w:val="000800FC"/>
    <w:rsid w:val="000817B8"/>
    <w:rsid w:val="00085BDD"/>
    <w:rsid w:val="000921DB"/>
    <w:rsid w:val="00097069"/>
    <w:rsid w:val="000F2BE9"/>
    <w:rsid w:val="000F4D0C"/>
    <w:rsid w:val="001B23B7"/>
    <w:rsid w:val="001D69B6"/>
    <w:rsid w:val="001E1754"/>
    <w:rsid w:val="001E3562"/>
    <w:rsid w:val="002022BB"/>
    <w:rsid w:val="00203EE3"/>
    <w:rsid w:val="00225436"/>
    <w:rsid w:val="0023360B"/>
    <w:rsid w:val="00243652"/>
    <w:rsid w:val="00255B20"/>
    <w:rsid w:val="00274130"/>
    <w:rsid w:val="002908D3"/>
    <w:rsid w:val="002B24E6"/>
    <w:rsid w:val="00360D9A"/>
    <w:rsid w:val="003A057B"/>
    <w:rsid w:val="003A6F9D"/>
    <w:rsid w:val="003F1CF1"/>
    <w:rsid w:val="00452CE7"/>
    <w:rsid w:val="004805AD"/>
    <w:rsid w:val="0049476D"/>
    <w:rsid w:val="004A4383"/>
    <w:rsid w:val="004B2410"/>
    <w:rsid w:val="004D49C7"/>
    <w:rsid w:val="004D7D94"/>
    <w:rsid w:val="004E28D9"/>
    <w:rsid w:val="00500B4C"/>
    <w:rsid w:val="00507F80"/>
    <w:rsid w:val="00582EE8"/>
    <w:rsid w:val="005860E1"/>
    <w:rsid w:val="0059165B"/>
    <w:rsid w:val="00591D4B"/>
    <w:rsid w:val="00591EC6"/>
    <w:rsid w:val="0059330E"/>
    <w:rsid w:val="005C0940"/>
    <w:rsid w:val="005C32F2"/>
    <w:rsid w:val="006045CB"/>
    <w:rsid w:val="00606679"/>
    <w:rsid w:val="00632125"/>
    <w:rsid w:val="006C5039"/>
    <w:rsid w:val="006C6062"/>
    <w:rsid w:val="006E3ADD"/>
    <w:rsid w:val="006F678E"/>
    <w:rsid w:val="00703FAD"/>
    <w:rsid w:val="00720322"/>
    <w:rsid w:val="00720B67"/>
    <w:rsid w:val="0075197E"/>
    <w:rsid w:val="00761208"/>
    <w:rsid w:val="00786CAF"/>
    <w:rsid w:val="007A5A30"/>
    <w:rsid w:val="007B40C1"/>
    <w:rsid w:val="007D32B8"/>
    <w:rsid w:val="007D4633"/>
    <w:rsid w:val="007E52D1"/>
    <w:rsid w:val="007F7743"/>
    <w:rsid w:val="0085462C"/>
    <w:rsid w:val="00865E81"/>
    <w:rsid w:val="008801B5"/>
    <w:rsid w:val="00892FBA"/>
    <w:rsid w:val="008B222D"/>
    <w:rsid w:val="008C79B7"/>
    <w:rsid w:val="008D154C"/>
    <w:rsid w:val="009431E3"/>
    <w:rsid w:val="009475F5"/>
    <w:rsid w:val="0095496C"/>
    <w:rsid w:val="009706FC"/>
    <w:rsid w:val="009717F5"/>
    <w:rsid w:val="00987D85"/>
    <w:rsid w:val="009C424C"/>
    <w:rsid w:val="009E09F7"/>
    <w:rsid w:val="009F4832"/>
    <w:rsid w:val="00A158DD"/>
    <w:rsid w:val="00A23822"/>
    <w:rsid w:val="00A340BB"/>
    <w:rsid w:val="00A829F5"/>
    <w:rsid w:val="00AA592B"/>
    <w:rsid w:val="00AC30D6"/>
    <w:rsid w:val="00AE247C"/>
    <w:rsid w:val="00AE70F6"/>
    <w:rsid w:val="00AF0241"/>
    <w:rsid w:val="00B043B4"/>
    <w:rsid w:val="00B547F5"/>
    <w:rsid w:val="00B84F87"/>
    <w:rsid w:val="00BA2BF4"/>
    <w:rsid w:val="00BF4C7A"/>
    <w:rsid w:val="00C41879"/>
    <w:rsid w:val="00C776F8"/>
    <w:rsid w:val="00CE6AAE"/>
    <w:rsid w:val="00CF1A25"/>
    <w:rsid w:val="00D01082"/>
    <w:rsid w:val="00D2313B"/>
    <w:rsid w:val="00DF357C"/>
    <w:rsid w:val="00DF7B28"/>
    <w:rsid w:val="00E174EF"/>
    <w:rsid w:val="00E67169"/>
    <w:rsid w:val="00E849EB"/>
    <w:rsid w:val="00E85BE1"/>
    <w:rsid w:val="00E950D4"/>
    <w:rsid w:val="00EB724E"/>
    <w:rsid w:val="00EC712A"/>
    <w:rsid w:val="00EE07EE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81D8E"/>
  <w14:defaultImageDpi w14:val="0"/>
  <w15:docId w15:val="{CE851514-38ED-4CA8-B9E1-C5627B17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23B7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B23B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B23B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40C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066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_Doložka-vplyvov"/>
    <f:field ref="objsubject" par="" edit="true" text=""/>
    <f:field ref="objcreatedby" par="" text="Tokárová, Zuzana, Mgr."/>
    <f:field ref="objcreatedat" par="" text="7.10.2021 15:02:47"/>
    <f:field ref="objchangedby" par="" text="Administrator, System"/>
    <f:field ref="objmodifiedat" par="" text="7.10.2021 15:02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Kasenčák René</cp:lastModifiedBy>
  <cp:revision>7</cp:revision>
  <cp:lastPrinted>2022-07-14T10:20:00Z</cp:lastPrinted>
  <dcterms:created xsi:type="dcterms:W3CDTF">2022-06-01T08:37:00Z</dcterms:created>
  <dcterms:modified xsi:type="dcterms:W3CDTF">2022-07-14T10:22:00Z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materiálu informovaná v rámci Plánu legislatívnych úloh vlády SR na mesiace jún až december 2021. Zároveň pracovná verzia bola súčasťou návrhu zákona, ktorým sa mení sa dopĺňa zákon č. 245/2008 Z. z. o výchove a vzdelávaní (šk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Základné školstvo_x000d__x000d_Stredné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Tokárová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24" name="FSC#SKEDITIONSLOVLEX@103.510:plnynazovpredpis1">
    <vt:lpwstr>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spis. č. 2021/19528-A1810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LP/2021/538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&lt;span style="font-size: 12px;"&gt;&lt;span style="font-family: &amp;quot;Times New Roman&amp;quot;,serif; mso-fareast-font-family: Calibri; mso-fareast-language: SK; mso-ansi-language: SK; mso-bidi-language: AR-SA;"&gt;Navrhované zmeny nebudú mať vplyv na rozpočet verejne</vt:lpwstr>
  </property>
  <property fmtid="{D5CDD505-2E9C-101B-9397-08002B2CF9AE}" pid="66" name="FSC#SKEDITIONSLOVLEX@103.510:AttrStrListDocPropAltRiesenia">
    <vt:lpwstr>Alternatívnym riešením je nulový variant, t. j. neprijatie návrhu právneho predpisu, čo by znamenalo, že by problémy uvedené v bode 2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Gröhling_x000d__x000d_minister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 -ms-text-justify: inter-ideograph;"&gt;Ministerstvo školstva, vedy, výskumu a&amp;nbsp;športu Slovenskej republiky (ďalej len „ministerstvo“) predkladá na základe Plánu legislatívnych úloh vlády Slovenskej republiky na mesiace jún </vt:lpwstr>
  </property>
  <property fmtid="{D5CDD505-2E9C-101B-9397-08002B2CF9AE}" pid="150" name="FSC#SKEDITIONSLOVLEX@103.510:vytvorenedna">
    <vt:lpwstr>7. 10. 2021</vt:lpwstr>
  </property>
  <property fmtid="{D5CDD505-2E9C-101B-9397-08002B2CF9AE}" pid="151" name="FSC#COOSYSTEM@1.1:Container">
    <vt:lpwstr>COO.2145.1000.3.4603020</vt:lpwstr>
  </property>
  <property fmtid="{D5CDD505-2E9C-101B-9397-08002B2CF9AE}" pid="152" name="FSC#FSCFOLIO@1.1001:docpropproject">
    <vt:lpwstr/>
  </property>
</Properties>
</file>