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3AB4" w14:textId="77777777" w:rsidR="00672237" w:rsidRPr="002F749C" w:rsidRDefault="00672237" w:rsidP="00672237">
      <w:pPr>
        <w:jc w:val="center"/>
        <w:rPr>
          <w:b/>
          <w:sz w:val="28"/>
          <w:szCs w:val="28"/>
        </w:rPr>
      </w:pPr>
      <w:r w:rsidRPr="002F749C">
        <w:rPr>
          <w:b/>
          <w:sz w:val="28"/>
          <w:szCs w:val="28"/>
        </w:rPr>
        <w:t>Doložka vybraných vplyvov</w:t>
      </w:r>
    </w:p>
    <w:p w14:paraId="3697ED8C" w14:textId="77777777" w:rsidR="00672237" w:rsidRPr="00376FCA" w:rsidRDefault="00672237" w:rsidP="00672237">
      <w:pPr>
        <w:spacing w:after="200" w:line="276" w:lineRule="auto"/>
        <w:ind w:left="426"/>
        <w:contextualSpacing/>
        <w:rPr>
          <w:rFonts w:eastAsia="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538"/>
        <w:gridCol w:w="1133"/>
        <w:gridCol w:w="284"/>
        <w:gridCol w:w="263"/>
        <w:gridCol w:w="1297"/>
      </w:tblGrid>
      <w:tr w:rsidR="00672237" w:rsidRPr="00391793" w14:paraId="55E10110" w14:textId="77777777" w:rsidTr="00DB634F">
        <w:tc>
          <w:tcPr>
            <w:tcW w:w="9180" w:type="dxa"/>
            <w:gridSpan w:val="10"/>
            <w:tcBorders>
              <w:bottom w:val="single" w:sz="4" w:space="0" w:color="FFFFFF"/>
            </w:tcBorders>
            <w:shd w:val="clear" w:color="auto" w:fill="E2E2E2"/>
          </w:tcPr>
          <w:p w14:paraId="7D80EBBF" w14:textId="77777777" w:rsidR="00672237" w:rsidRPr="00376FCA" w:rsidRDefault="00672237" w:rsidP="00672237">
            <w:pPr>
              <w:numPr>
                <w:ilvl w:val="0"/>
                <w:numId w:val="1"/>
              </w:numPr>
              <w:ind w:left="426"/>
              <w:contextualSpacing/>
              <w:rPr>
                <w:rFonts w:eastAsia="Calibri"/>
                <w:b/>
              </w:rPr>
            </w:pPr>
            <w:r w:rsidRPr="00376FCA">
              <w:rPr>
                <w:rFonts w:eastAsia="Calibri"/>
                <w:b/>
              </w:rPr>
              <w:t>Základné údaje</w:t>
            </w:r>
          </w:p>
        </w:tc>
      </w:tr>
      <w:tr w:rsidR="00672237" w:rsidRPr="00391793" w14:paraId="7C2E92D2" w14:textId="77777777" w:rsidTr="00DB634F">
        <w:tc>
          <w:tcPr>
            <w:tcW w:w="9180" w:type="dxa"/>
            <w:gridSpan w:val="10"/>
            <w:tcBorders>
              <w:bottom w:val="single" w:sz="4" w:space="0" w:color="FFFFFF"/>
            </w:tcBorders>
            <w:shd w:val="clear" w:color="auto" w:fill="E2E2E2"/>
          </w:tcPr>
          <w:p w14:paraId="33F29443" w14:textId="77777777" w:rsidR="00672237" w:rsidRPr="00376FCA" w:rsidRDefault="00672237" w:rsidP="00DB634F">
            <w:pPr>
              <w:spacing w:after="200" w:line="276" w:lineRule="auto"/>
              <w:ind w:left="142"/>
              <w:contextualSpacing/>
              <w:rPr>
                <w:rFonts w:eastAsia="Calibri"/>
                <w:b/>
              </w:rPr>
            </w:pPr>
            <w:r w:rsidRPr="00376FCA">
              <w:rPr>
                <w:rFonts w:eastAsia="Calibri"/>
                <w:b/>
              </w:rPr>
              <w:t>Názov materiálu</w:t>
            </w:r>
          </w:p>
        </w:tc>
      </w:tr>
      <w:tr w:rsidR="00672237" w:rsidRPr="00391793" w14:paraId="50720A95" w14:textId="77777777" w:rsidTr="00DB634F">
        <w:tc>
          <w:tcPr>
            <w:tcW w:w="9180" w:type="dxa"/>
            <w:gridSpan w:val="10"/>
            <w:tcBorders>
              <w:top w:val="single" w:sz="4" w:space="0" w:color="FFFFFF"/>
              <w:bottom w:val="single" w:sz="4" w:space="0" w:color="auto"/>
            </w:tcBorders>
          </w:tcPr>
          <w:p w14:paraId="648EAC3A" w14:textId="60051E4E" w:rsidR="00672237" w:rsidRPr="00376FCA" w:rsidRDefault="00672237" w:rsidP="004905FD">
            <w:pPr>
              <w:jc w:val="both"/>
            </w:pPr>
            <w:r>
              <w:t>Návrh</w:t>
            </w:r>
            <w:r w:rsidRPr="00376FCA">
              <w:t xml:space="preserve"> </w:t>
            </w:r>
            <w:r>
              <w:t>z</w:t>
            </w:r>
            <w:r w:rsidRPr="00FA0B6B">
              <w:t>ákon</w:t>
            </w:r>
            <w:r>
              <w:t>a</w:t>
            </w:r>
            <w:r w:rsidR="00F11D2A">
              <w:t>, ktorým sa mení a dopĺňa zákon č. 431/2002 Z. z. o</w:t>
            </w:r>
            <w:r w:rsidR="00CF75FA">
              <w:t> </w:t>
            </w:r>
            <w:r w:rsidR="00F11D2A">
              <w:t>účtovníctve</w:t>
            </w:r>
            <w:r w:rsidR="00CF75FA">
              <w:t xml:space="preserve"> v znení neskorších predpisov</w:t>
            </w:r>
            <w:r w:rsidR="00F11D2A">
              <w:t xml:space="preserve"> </w:t>
            </w:r>
            <w:r w:rsidR="00DC1174">
              <w:t>a</w:t>
            </w:r>
            <w:r w:rsidR="004905FD" w:rsidRPr="00AC7319">
              <w:t xml:space="preserve"> ktorým sa mení a dopĺňa zákon č. 513/1991 Zb. Obchodný zákonník v znení neskorších predpisov</w:t>
            </w:r>
          </w:p>
        </w:tc>
      </w:tr>
      <w:tr w:rsidR="00672237" w:rsidRPr="00391793" w14:paraId="7EC74374" w14:textId="77777777" w:rsidTr="00DB634F">
        <w:tc>
          <w:tcPr>
            <w:tcW w:w="9180" w:type="dxa"/>
            <w:gridSpan w:val="10"/>
            <w:tcBorders>
              <w:top w:val="single" w:sz="4" w:space="0" w:color="auto"/>
              <w:left w:val="single" w:sz="4" w:space="0" w:color="auto"/>
              <w:bottom w:val="single" w:sz="4" w:space="0" w:color="FFFFFF"/>
            </w:tcBorders>
            <w:shd w:val="clear" w:color="auto" w:fill="E2E2E2"/>
          </w:tcPr>
          <w:p w14:paraId="420CC3FB" w14:textId="77777777" w:rsidR="00672237" w:rsidRPr="00376FCA" w:rsidRDefault="00672237" w:rsidP="00DB634F">
            <w:pPr>
              <w:spacing w:after="200" w:line="276" w:lineRule="auto"/>
              <w:ind w:left="142"/>
              <w:contextualSpacing/>
              <w:rPr>
                <w:rFonts w:eastAsia="Calibri"/>
                <w:b/>
              </w:rPr>
            </w:pPr>
            <w:r w:rsidRPr="00376FCA">
              <w:rPr>
                <w:rFonts w:eastAsia="Calibri"/>
                <w:b/>
              </w:rPr>
              <w:t>Predkladateľ (a spolupredkladateľ)</w:t>
            </w:r>
          </w:p>
        </w:tc>
      </w:tr>
      <w:tr w:rsidR="00672237" w:rsidRPr="00391793" w14:paraId="4AF324FF" w14:textId="77777777" w:rsidTr="00DB634F">
        <w:tc>
          <w:tcPr>
            <w:tcW w:w="9180" w:type="dxa"/>
            <w:gridSpan w:val="10"/>
            <w:tcBorders>
              <w:top w:val="single" w:sz="4" w:space="0" w:color="FFFFFF"/>
              <w:left w:val="single" w:sz="4" w:space="0" w:color="auto"/>
              <w:bottom w:val="single" w:sz="4" w:space="0" w:color="auto"/>
            </w:tcBorders>
            <w:shd w:val="clear" w:color="auto" w:fill="FFFFFF"/>
          </w:tcPr>
          <w:p w14:paraId="1C9CEB14" w14:textId="7785CFE4" w:rsidR="00672237" w:rsidRPr="00391793" w:rsidRDefault="00672237" w:rsidP="004905FD">
            <w:r w:rsidRPr="00376FCA">
              <w:t xml:space="preserve">Ministerstvo </w:t>
            </w:r>
            <w:r w:rsidR="001B1571">
              <w:t>financií</w:t>
            </w:r>
            <w:r w:rsidR="004905FD">
              <w:t xml:space="preserve"> Slovenskej republiky</w:t>
            </w:r>
            <w:r w:rsidRPr="00391793">
              <w:t xml:space="preserve"> </w:t>
            </w:r>
          </w:p>
        </w:tc>
      </w:tr>
      <w:tr w:rsidR="00672237" w:rsidRPr="00391793" w14:paraId="2B273264" w14:textId="77777777" w:rsidTr="00DB634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CDF3675" w14:textId="77777777" w:rsidR="00672237" w:rsidRPr="00376FCA" w:rsidRDefault="00672237" w:rsidP="00DB634F">
            <w:pPr>
              <w:spacing w:after="200" w:line="276" w:lineRule="auto"/>
              <w:ind w:left="142"/>
              <w:contextualSpacing/>
              <w:rPr>
                <w:rFonts w:eastAsia="Calibri"/>
                <w:b/>
              </w:rPr>
            </w:pPr>
            <w:r w:rsidRPr="00376FCA">
              <w:rPr>
                <w:rFonts w:eastAsia="Calibri"/>
                <w:b/>
              </w:rPr>
              <w:t>Charakter predkladaného materiálu</w:t>
            </w:r>
          </w:p>
        </w:tc>
        <w:sdt>
          <w:sdt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A390EF4" w14:textId="4D3E6BAB" w:rsidR="00672237" w:rsidRPr="00376FCA" w:rsidRDefault="00672237" w:rsidP="00DB634F">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09FF8893" w14:textId="77777777" w:rsidR="00672237" w:rsidRPr="00376FCA" w:rsidRDefault="00672237" w:rsidP="00DB634F">
            <w:r w:rsidRPr="00376FCA">
              <w:t>Materiál nelegislatívnej povahy</w:t>
            </w:r>
          </w:p>
        </w:tc>
      </w:tr>
      <w:tr w:rsidR="00672237" w:rsidRPr="00391793" w14:paraId="5AFE74C5" w14:textId="77777777" w:rsidTr="00DB634F">
        <w:tc>
          <w:tcPr>
            <w:tcW w:w="4212" w:type="dxa"/>
            <w:gridSpan w:val="2"/>
            <w:vMerge/>
            <w:tcBorders>
              <w:top w:val="nil"/>
              <w:left w:val="single" w:sz="4" w:space="0" w:color="auto"/>
              <w:bottom w:val="single" w:sz="4" w:space="0" w:color="FFFFFF"/>
            </w:tcBorders>
            <w:shd w:val="clear" w:color="auto" w:fill="E2E2E2"/>
          </w:tcPr>
          <w:p w14:paraId="19C4E8A4" w14:textId="77777777" w:rsidR="00672237" w:rsidRPr="00376FCA" w:rsidRDefault="00672237" w:rsidP="00DB634F"/>
        </w:tc>
        <w:sdt>
          <w:sdt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21DABE7" w14:textId="61A6D5C9" w:rsidR="00672237" w:rsidRPr="00376FCA" w:rsidRDefault="00672237" w:rsidP="00DB634F">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cPr>
          <w:p w14:paraId="37588BF8" w14:textId="77777777" w:rsidR="00672237" w:rsidRPr="00376FCA" w:rsidRDefault="00672237" w:rsidP="00DB634F">
            <w:pPr>
              <w:ind w:left="175" w:hanging="175"/>
            </w:pPr>
            <w:r w:rsidRPr="00376FCA">
              <w:t>Materiál legislatívnej povahy</w:t>
            </w:r>
          </w:p>
        </w:tc>
      </w:tr>
      <w:tr w:rsidR="00672237" w:rsidRPr="00391793" w14:paraId="296C5C15" w14:textId="77777777" w:rsidTr="00DB634F">
        <w:tc>
          <w:tcPr>
            <w:tcW w:w="4212" w:type="dxa"/>
            <w:gridSpan w:val="2"/>
            <w:vMerge/>
            <w:tcBorders>
              <w:top w:val="nil"/>
              <w:left w:val="single" w:sz="4" w:space="0" w:color="auto"/>
              <w:bottom w:val="single" w:sz="4" w:space="0" w:color="auto"/>
            </w:tcBorders>
            <w:shd w:val="clear" w:color="auto" w:fill="E2E2E2"/>
          </w:tcPr>
          <w:p w14:paraId="6ED294F0" w14:textId="77777777" w:rsidR="00672237" w:rsidRPr="00376FCA" w:rsidRDefault="00672237" w:rsidP="00DB634F"/>
        </w:tc>
        <w:sdt>
          <w:sdt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FA8A031" w14:textId="204EF883" w:rsidR="00672237" w:rsidRPr="00376FCA" w:rsidRDefault="00672237" w:rsidP="00DB634F">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cPr>
          <w:p w14:paraId="23164BF3" w14:textId="77777777" w:rsidR="00672237" w:rsidRPr="00376FCA" w:rsidRDefault="00672237" w:rsidP="00DB634F">
            <w:r w:rsidRPr="00376FCA">
              <w:t>Transpozícia práva EÚ</w:t>
            </w:r>
          </w:p>
        </w:tc>
      </w:tr>
      <w:tr w:rsidR="00672237" w:rsidRPr="00391793" w14:paraId="2CB20F50" w14:textId="77777777" w:rsidTr="00DB634F">
        <w:tc>
          <w:tcPr>
            <w:tcW w:w="9180" w:type="dxa"/>
            <w:gridSpan w:val="10"/>
            <w:tcBorders>
              <w:top w:val="single" w:sz="4" w:space="0" w:color="auto"/>
              <w:left w:val="single" w:sz="4" w:space="0" w:color="auto"/>
              <w:bottom w:val="single" w:sz="4" w:space="0" w:color="FFFFFF"/>
            </w:tcBorders>
            <w:shd w:val="clear" w:color="auto" w:fill="FFFFFF"/>
          </w:tcPr>
          <w:p w14:paraId="740E0BFF" w14:textId="1F9B5E90" w:rsidR="004905FD" w:rsidRPr="004905FD" w:rsidRDefault="004905FD" w:rsidP="004905FD">
            <w:pPr>
              <w:numPr>
                <w:ilvl w:val="0"/>
                <w:numId w:val="5"/>
              </w:numPr>
              <w:pBdr>
                <w:top w:val="nil"/>
                <w:left w:val="nil"/>
                <w:bottom w:val="nil"/>
                <w:right w:val="nil"/>
                <w:between w:val="nil"/>
              </w:pBdr>
              <w:jc w:val="both"/>
              <w:rPr>
                <w:color w:val="000000"/>
              </w:rPr>
            </w:pPr>
            <w:r w:rsidRPr="004905FD">
              <w:rPr>
                <w:color w:val="000000"/>
              </w:rPr>
              <w:t>Smernica Európskeho parlamentu a Rady (EÚ) 2021/2101, ktorou sa mení smernica 2013/34/EÚ, pokiaľ ide o zverejňovanie informácií o dani z príjmov určitými podnikmi a pobočkami (Ú. v. ES L 429, 1.12.2021).</w:t>
            </w:r>
          </w:p>
          <w:p w14:paraId="59FF2818" w14:textId="02F8CC4A" w:rsidR="00672237" w:rsidRPr="002F749C" w:rsidRDefault="004905FD" w:rsidP="004905FD">
            <w:pPr>
              <w:numPr>
                <w:ilvl w:val="0"/>
                <w:numId w:val="5"/>
              </w:numPr>
              <w:pBdr>
                <w:top w:val="nil"/>
                <w:left w:val="nil"/>
                <w:bottom w:val="nil"/>
                <w:right w:val="nil"/>
                <w:between w:val="nil"/>
              </w:pBdr>
              <w:jc w:val="both"/>
              <w:rPr>
                <w:color w:val="000000"/>
              </w:rPr>
            </w:pPr>
            <w:r w:rsidRPr="004905FD">
              <w:rPr>
                <w:color w:val="000000"/>
              </w:rPr>
              <w:t>Smernica Európskeho parlamentu a Rady 2014/95/EÚ z 22. októbra 2014, ktorou sa mení smernica 2013/34/EÚ, pokiaľ ide o zverejňovanie nefinančných informácií a informácií týkajúcich sa rozmanitosti niektorými veľkými podnikmi a skupinami (Ú. v. ES L 330, 15.11.2014) v platnom znení.</w:t>
            </w:r>
          </w:p>
        </w:tc>
      </w:tr>
      <w:tr w:rsidR="00672237" w:rsidRPr="00391793" w14:paraId="0AD6A090" w14:textId="77777777" w:rsidTr="004905FD">
        <w:tc>
          <w:tcPr>
            <w:tcW w:w="5665" w:type="dxa"/>
            <w:gridSpan w:val="5"/>
            <w:tcBorders>
              <w:top w:val="single" w:sz="4" w:space="0" w:color="000000"/>
              <w:left w:val="single" w:sz="4" w:space="0" w:color="auto"/>
              <w:bottom w:val="single" w:sz="4" w:space="0" w:color="FFFFFF"/>
              <w:right w:val="single" w:sz="4" w:space="0" w:color="auto"/>
            </w:tcBorders>
            <w:shd w:val="clear" w:color="auto" w:fill="E2E2E2"/>
          </w:tcPr>
          <w:p w14:paraId="46024DCC" w14:textId="77777777" w:rsidR="00672237" w:rsidRPr="00376FCA" w:rsidRDefault="00672237" w:rsidP="00DB634F">
            <w:pPr>
              <w:spacing w:after="200" w:line="276" w:lineRule="auto"/>
              <w:ind w:left="142"/>
              <w:contextualSpacing/>
              <w:rPr>
                <w:rFonts w:eastAsia="Calibri"/>
                <w:b/>
              </w:rPr>
            </w:pPr>
            <w:r w:rsidRPr="00376FCA">
              <w:rPr>
                <w:rFonts w:eastAsia="Calibri"/>
                <w:b/>
              </w:rPr>
              <w:t>Termín začiatku a ukončenia PPK</w:t>
            </w:r>
          </w:p>
        </w:tc>
        <w:tc>
          <w:tcPr>
            <w:tcW w:w="3515" w:type="dxa"/>
            <w:gridSpan w:val="5"/>
            <w:tcBorders>
              <w:top w:val="single" w:sz="4" w:space="0" w:color="000000"/>
              <w:left w:val="single" w:sz="4" w:space="0" w:color="auto"/>
              <w:bottom w:val="single" w:sz="4" w:space="0" w:color="auto"/>
              <w:right w:val="single" w:sz="4" w:space="0" w:color="auto"/>
            </w:tcBorders>
          </w:tcPr>
          <w:p w14:paraId="616F6DDD" w14:textId="7FD91D6A" w:rsidR="00672237" w:rsidRPr="00F11D2A" w:rsidRDefault="004905FD" w:rsidP="00DB634F">
            <w:pPr>
              <w:rPr>
                <w:highlight w:val="yellow"/>
              </w:rPr>
            </w:pPr>
            <w:r w:rsidRPr="007863C6">
              <w:rPr>
                <w:rFonts w:ascii="Times" w:hAnsi="Times" w:cs="Times"/>
              </w:rPr>
              <w:t>Začiatok:    13.4.2022</w:t>
            </w:r>
            <w:r w:rsidRPr="007863C6">
              <w:rPr>
                <w:rFonts w:ascii="Times" w:hAnsi="Times" w:cs="Times"/>
              </w:rPr>
              <w:br/>
              <w:t>Ukončenie: 26.4.2022</w:t>
            </w:r>
          </w:p>
        </w:tc>
      </w:tr>
      <w:tr w:rsidR="00672237" w:rsidRPr="00391793" w14:paraId="72879AFE" w14:textId="77777777" w:rsidTr="004905FD">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66DA6FA7" w14:textId="77777777" w:rsidR="00672237" w:rsidRPr="00376FCA" w:rsidRDefault="00672237" w:rsidP="00DB634F">
            <w:pPr>
              <w:spacing w:after="200" w:line="276" w:lineRule="auto"/>
              <w:ind w:left="142"/>
              <w:contextualSpacing/>
              <w:rPr>
                <w:rFonts w:eastAsia="Calibri"/>
                <w:b/>
              </w:rPr>
            </w:pPr>
            <w:r w:rsidRPr="00376FCA">
              <w:rPr>
                <w:rFonts w:eastAsia="Calibri"/>
                <w:b/>
              </w:rPr>
              <w:t>Predpokladaný termín predloženia na pripomienkové konanie</w:t>
            </w:r>
          </w:p>
        </w:tc>
        <w:tc>
          <w:tcPr>
            <w:tcW w:w="3515" w:type="dxa"/>
            <w:gridSpan w:val="5"/>
            <w:tcBorders>
              <w:top w:val="single" w:sz="4" w:space="0" w:color="auto"/>
              <w:left w:val="single" w:sz="4" w:space="0" w:color="auto"/>
              <w:bottom w:val="single" w:sz="4" w:space="0" w:color="auto"/>
              <w:right w:val="single" w:sz="4" w:space="0" w:color="auto"/>
            </w:tcBorders>
          </w:tcPr>
          <w:p w14:paraId="64FA5479" w14:textId="35EE4001" w:rsidR="00672237" w:rsidRPr="00376FCA" w:rsidRDefault="00F11D2A" w:rsidP="00DB634F">
            <w:r>
              <w:t>máj</w:t>
            </w:r>
            <w:r w:rsidR="00672237" w:rsidRPr="00376FCA">
              <w:t xml:space="preserve"> 202</w:t>
            </w:r>
            <w:r w:rsidR="00672237">
              <w:t>2</w:t>
            </w:r>
          </w:p>
        </w:tc>
      </w:tr>
      <w:tr w:rsidR="00672237" w:rsidRPr="00391793" w14:paraId="0106B410" w14:textId="77777777" w:rsidTr="004905FD">
        <w:trPr>
          <w:trHeight w:val="320"/>
        </w:trPr>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5751F7D6" w14:textId="77777777" w:rsidR="00672237" w:rsidRPr="00376FCA" w:rsidRDefault="00672237" w:rsidP="00DB634F">
            <w:pPr>
              <w:spacing w:line="276" w:lineRule="auto"/>
              <w:ind w:left="142"/>
              <w:contextualSpacing/>
              <w:rPr>
                <w:rFonts w:eastAsia="Calibri"/>
                <w:b/>
              </w:rPr>
            </w:pPr>
            <w:r w:rsidRPr="00376FCA">
              <w:rPr>
                <w:rFonts w:eastAsia="Calibri"/>
                <w:b/>
              </w:rPr>
              <w:t xml:space="preserve">Predpokladaný termín začiatku a ukončenia ZP** </w:t>
            </w:r>
          </w:p>
        </w:tc>
        <w:tc>
          <w:tcPr>
            <w:tcW w:w="3515" w:type="dxa"/>
            <w:gridSpan w:val="5"/>
            <w:tcBorders>
              <w:top w:val="single" w:sz="4" w:space="0" w:color="auto"/>
              <w:left w:val="single" w:sz="4" w:space="0" w:color="auto"/>
              <w:bottom w:val="single" w:sz="4" w:space="0" w:color="auto"/>
              <w:right w:val="single" w:sz="4" w:space="0" w:color="auto"/>
            </w:tcBorders>
          </w:tcPr>
          <w:p w14:paraId="7E9DA66E" w14:textId="045F0E4E" w:rsidR="00672237" w:rsidRPr="00376FCA" w:rsidRDefault="00672237" w:rsidP="00DB634F"/>
        </w:tc>
      </w:tr>
      <w:tr w:rsidR="00672237" w:rsidRPr="00391793" w14:paraId="74ED9E24" w14:textId="77777777" w:rsidTr="004905FD">
        <w:tc>
          <w:tcPr>
            <w:tcW w:w="5665" w:type="dxa"/>
            <w:gridSpan w:val="5"/>
            <w:tcBorders>
              <w:top w:val="single" w:sz="4" w:space="0" w:color="auto"/>
              <w:left w:val="single" w:sz="4" w:space="0" w:color="auto"/>
              <w:bottom w:val="single" w:sz="4" w:space="0" w:color="FFFFFF"/>
              <w:right w:val="single" w:sz="4" w:space="0" w:color="auto"/>
            </w:tcBorders>
            <w:shd w:val="clear" w:color="auto" w:fill="E2E2E2"/>
          </w:tcPr>
          <w:p w14:paraId="79368514" w14:textId="77777777" w:rsidR="00672237" w:rsidRPr="00376FCA" w:rsidRDefault="00672237" w:rsidP="00DB634F">
            <w:pPr>
              <w:spacing w:after="200" w:line="276" w:lineRule="auto"/>
              <w:ind w:left="142"/>
              <w:contextualSpacing/>
              <w:jc w:val="both"/>
              <w:rPr>
                <w:rFonts w:eastAsia="Calibri"/>
                <w:b/>
              </w:rPr>
            </w:pPr>
            <w:r w:rsidRPr="00376FCA">
              <w:rPr>
                <w:rFonts w:eastAsia="Calibri"/>
                <w:b/>
              </w:rPr>
              <w:t>Predpokladaný termín predloženia na rokovanie vlády SR*</w:t>
            </w:r>
          </w:p>
        </w:tc>
        <w:tc>
          <w:tcPr>
            <w:tcW w:w="3515" w:type="dxa"/>
            <w:gridSpan w:val="5"/>
            <w:tcBorders>
              <w:top w:val="single" w:sz="4" w:space="0" w:color="auto"/>
              <w:left w:val="single" w:sz="4" w:space="0" w:color="auto"/>
              <w:bottom w:val="single" w:sz="4" w:space="0" w:color="auto"/>
              <w:right w:val="single" w:sz="4" w:space="0" w:color="auto"/>
            </w:tcBorders>
          </w:tcPr>
          <w:p w14:paraId="3B9C441B" w14:textId="185B5F2D" w:rsidR="00672237" w:rsidRPr="00376FCA" w:rsidRDefault="00672237" w:rsidP="00DB634F"/>
        </w:tc>
      </w:tr>
      <w:tr w:rsidR="00672237" w:rsidRPr="00391793" w14:paraId="482C8FCD" w14:textId="77777777" w:rsidTr="00DB634F">
        <w:tc>
          <w:tcPr>
            <w:tcW w:w="9180" w:type="dxa"/>
            <w:gridSpan w:val="10"/>
            <w:tcBorders>
              <w:top w:val="single" w:sz="4" w:space="0" w:color="auto"/>
              <w:left w:val="nil"/>
              <w:bottom w:val="single" w:sz="4" w:space="0" w:color="auto"/>
              <w:right w:val="nil"/>
            </w:tcBorders>
            <w:shd w:val="clear" w:color="auto" w:fill="FFFFFF"/>
          </w:tcPr>
          <w:p w14:paraId="5AD8BF37" w14:textId="77777777" w:rsidR="00672237" w:rsidRPr="00376FCA" w:rsidRDefault="00672237" w:rsidP="00DB634F"/>
        </w:tc>
      </w:tr>
      <w:tr w:rsidR="00672237" w:rsidRPr="00391793" w14:paraId="311FD725" w14:textId="77777777" w:rsidTr="00DB634F">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709577BF" w14:textId="77777777" w:rsidR="00672237" w:rsidRPr="00376FCA" w:rsidRDefault="00672237" w:rsidP="00672237">
            <w:pPr>
              <w:numPr>
                <w:ilvl w:val="0"/>
                <w:numId w:val="1"/>
              </w:numPr>
              <w:ind w:left="426"/>
              <w:contextualSpacing/>
              <w:rPr>
                <w:rFonts w:eastAsia="Calibri"/>
                <w:b/>
              </w:rPr>
            </w:pPr>
            <w:r w:rsidRPr="00376FCA">
              <w:rPr>
                <w:rFonts w:eastAsia="Calibri"/>
                <w:b/>
              </w:rPr>
              <w:t>Definovanie problému</w:t>
            </w:r>
          </w:p>
        </w:tc>
      </w:tr>
      <w:tr w:rsidR="00672237" w:rsidRPr="00391793" w14:paraId="250E2235" w14:textId="77777777" w:rsidTr="00DB634F">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253D8156" w14:textId="5F8C9155" w:rsidR="00672237" w:rsidRPr="00376FCA" w:rsidRDefault="00672237" w:rsidP="002F749C">
            <w:pPr>
              <w:spacing w:after="120"/>
              <w:jc w:val="both"/>
              <w:rPr>
                <w:i/>
              </w:rPr>
            </w:pPr>
            <w:r w:rsidRPr="00376FCA">
              <w:rPr>
                <w:i/>
              </w:rPr>
              <w:t>Uveďte základné problémy, ktoré sú dôvodom vypracovania predkladaného</w:t>
            </w:r>
            <w:r>
              <w:rPr>
                <w:i/>
              </w:rPr>
              <w:t xml:space="preserve"> </w:t>
            </w:r>
            <w:r w:rsidRPr="00376FCA">
              <w:rPr>
                <w:i/>
              </w:rPr>
              <w:t>materiálu (dôvody majú presne poukázať na problém, ktorý existuje a je nutné ho predloženým materiálom riešiť).</w:t>
            </w:r>
          </w:p>
          <w:p w14:paraId="2179CC66" w14:textId="77777777" w:rsidR="004905FD" w:rsidRPr="001D7A26" w:rsidRDefault="004905FD" w:rsidP="004905FD">
            <w:pPr>
              <w:jc w:val="both"/>
            </w:pPr>
            <w:r w:rsidRPr="001D7A26">
              <w:t xml:space="preserve">Pripravovaný právny predpis je transpozíciou smernice Európskeho parlamentu a Rady (EÚ) 2021/2101, ktorou sa mení smernica 2013/34/EÚ, pokiaľ ide o zverejňovanie informácií o dani z príjmov určitými podnikmi a pobočkami (Ú. v. EÚ L 429, 1.12.2021) (tzv. </w:t>
            </w:r>
            <w:proofErr w:type="spellStart"/>
            <w:r w:rsidRPr="001D7A26">
              <w:t>public</w:t>
            </w:r>
            <w:proofErr w:type="spellEnd"/>
            <w:r w:rsidRPr="001D7A26">
              <w:t xml:space="preserve"> country-by-country </w:t>
            </w:r>
            <w:proofErr w:type="spellStart"/>
            <w:r w:rsidRPr="001D7A26">
              <w:t>reporting</w:t>
            </w:r>
            <w:proofErr w:type="spellEnd"/>
            <w:r w:rsidRPr="001D7A26">
              <w:t>). Cieľom pripravovaného návrhu zákona je zvýšiť transparentnosť a podporiť spoločenskú zodpovednosť nadnárodných spoločností prostredníctvom verejnej kontroly, ktorá spočíva v zverejnení určitých informácií týkajúcich sa dane z príjmov v členení podľa jednotlivých štátov. Predmetným návrhom dôjde aj k úprave niektorých ustanovení zákona č. 431/2002 Z. z. na základe jednoznačného spresnenia transpozície ustanovení smernice 2014/95/EÚ v platnom znení a poznatkov z aplikačnej praxe.</w:t>
            </w:r>
          </w:p>
          <w:p w14:paraId="4397791D" w14:textId="03B4A4CD" w:rsidR="00DC1174" w:rsidRPr="00376FCA" w:rsidRDefault="004905FD" w:rsidP="004905FD">
            <w:pPr>
              <w:jc w:val="both"/>
            </w:pPr>
            <w:r w:rsidRPr="001D7A26">
              <w:t xml:space="preserve"> </w:t>
            </w:r>
            <w:r w:rsidRPr="001D7A26">
              <w:br/>
              <w:t xml:space="preserve">Zároveň sa na základe odporúčaní aplikačnej praxe a výsledkov auditu konsolidovanej účtovnej závierky ústrednej správy navrhuje s cieľom lepšie ochrániť majetok štátu a územnej samosprávy, zvýšenie periodicity inventarizácie vybraného hmotného majetku v účtovných jednotkách verejnej správy - štátne rozpočtové organizácie a príspevkové organizácie, obce, </w:t>
            </w:r>
            <w:r w:rsidRPr="001D7A26">
              <w:lastRenderedPageBreak/>
              <w:t>vyššie územné celky, štátne fondy, rozpočtové organizácie a príspevkové organizácie v zriaďovateľskej pôsobnosti obcí a vyšších územných celkov.</w:t>
            </w:r>
          </w:p>
        </w:tc>
      </w:tr>
      <w:tr w:rsidR="00672237" w:rsidRPr="00391793" w14:paraId="68A8CCCA" w14:textId="77777777" w:rsidTr="00DB634F">
        <w:tc>
          <w:tcPr>
            <w:tcW w:w="9180" w:type="dxa"/>
            <w:gridSpan w:val="10"/>
            <w:tcBorders>
              <w:top w:val="single" w:sz="4" w:space="0" w:color="auto"/>
              <w:left w:val="single" w:sz="4" w:space="0" w:color="auto"/>
              <w:bottom w:val="nil"/>
              <w:right w:val="single" w:sz="4" w:space="0" w:color="auto"/>
            </w:tcBorders>
            <w:shd w:val="clear" w:color="auto" w:fill="E2E2E2"/>
          </w:tcPr>
          <w:p w14:paraId="2A430879" w14:textId="77777777" w:rsidR="00672237" w:rsidRPr="00376FCA" w:rsidRDefault="00672237" w:rsidP="00672237">
            <w:pPr>
              <w:numPr>
                <w:ilvl w:val="0"/>
                <w:numId w:val="1"/>
              </w:numPr>
              <w:ind w:left="426"/>
              <w:contextualSpacing/>
              <w:rPr>
                <w:rFonts w:eastAsia="Calibri"/>
                <w:b/>
              </w:rPr>
            </w:pPr>
            <w:r w:rsidRPr="00376FCA">
              <w:rPr>
                <w:rFonts w:eastAsia="Calibri"/>
                <w:b/>
              </w:rPr>
              <w:lastRenderedPageBreak/>
              <w:t>Ciele a výsledný stav</w:t>
            </w:r>
          </w:p>
        </w:tc>
      </w:tr>
      <w:tr w:rsidR="00672237" w:rsidRPr="00391793" w14:paraId="03FC61C0" w14:textId="77777777" w:rsidTr="00DB634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6560079C" w14:textId="3FB336E8" w:rsidR="00672237" w:rsidRPr="002F749C" w:rsidRDefault="00672237" w:rsidP="002F749C">
            <w:pPr>
              <w:spacing w:after="120"/>
              <w:rPr>
                <w:i/>
              </w:rPr>
            </w:pPr>
            <w:r w:rsidRPr="00376FCA">
              <w:rPr>
                <w:i/>
              </w:rPr>
              <w:t xml:space="preserve">Uveďte hlavné ciele predkladaného materiálu (aký výsledný stav má byť prijatím materiálu dosiahnutý, pričom dosiahnutý stav musí byť odlišný od stavu popísaného v bode 2. Definovanie problému). </w:t>
            </w:r>
          </w:p>
          <w:p w14:paraId="30456690" w14:textId="77777777" w:rsidR="004905FD" w:rsidRPr="001D7A26" w:rsidRDefault="004905FD" w:rsidP="004905FD">
            <w:pPr>
              <w:jc w:val="both"/>
            </w:pPr>
            <w:r w:rsidRPr="001D7A26">
              <w:t xml:space="preserve">Cieľom návrhu zákona je transponovať smernicu Európskeho parlamentu a Rady (EÚ) 2021/2101, ktorou sa mení smernica 2013/34/EÚ, pokiaľ ide o zverejňovanie informácií o dani z príjmov určitými podnikmi a pobočkami (Ú. v. EÚ L 429, 1.12.2021)  (tzv. </w:t>
            </w:r>
            <w:proofErr w:type="spellStart"/>
            <w:r w:rsidRPr="001D7A26">
              <w:t>public</w:t>
            </w:r>
            <w:proofErr w:type="spellEnd"/>
            <w:r w:rsidRPr="001D7A26">
              <w:t xml:space="preserve"> country-by-country </w:t>
            </w:r>
            <w:proofErr w:type="spellStart"/>
            <w:r w:rsidRPr="001D7A26">
              <w:t>reporting</w:t>
            </w:r>
            <w:proofErr w:type="spellEnd"/>
            <w:r w:rsidRPr="001D7A26">
              <w:t>). Cieľom predkladaného návrhu zákona je zvýšiť transparentnosť a podporiť spoločenskú zodpovednosť nadnárodných spoločností prostredníctvom verejnej kontroly, ktorá spočíva v zverejnení určitých informácií týkajúcich sa dane z príjmov v členení podľa jednotlivých štátov. V súlade s cit. smernicou návrh zákona zavedie pre vybrané účtovné jednotky s cezhraničným aspektom, ktoré prekročia určitú veľkosť, povinnosť vyhotoviť správu s informáciami o dani z príjmov a uložiť ju do registra účtovných závierok. Obsahom uvedenej správy majú byť napr. informácie o zaplatenej dani z príjmov, suma výnosov vrátane výnosov dosiahnutých z transakcií so spriaznenými stranami, počet zamestnancov, pričom informácie sa budú uvádzať v tabuľke, ktorej vzor ustanoví vykonávacie nariadenie Komisie (EÚ). Predmetným návrhom dôjde aj k úprave niektorých ustanovení zákona č. 431/2002 Z. z. na základe poznatkov z aplikačnej praxe.</w:t>
            </w:r>
          </w:p>
          <w:p w14:paraId="11765736" w14:textId="717C6898" w:rsidR="00672237" w:rsidRPr="00376FCA" w:rsidRDefault="004905FD" w:rsidP="004905FD">
            <w:pPr>
              <w:spacing w:after="120"/>
              <w:jc w:val="both"/>
            </w:pPr>
            <w:r w:rsidRPr="001D7A26">
              <w:br/>
              <w:t>Návrh zákona má cieľ lepšie ochrániť majetok štátu a územnej samosprávy a zároveň aj zvýšiť kvalitu dát v účtovných závierkach účtovných jednotiek tým, že navrhuje zvýšenie periodicity vykonávania inventarizácie určitého hmotného majetku v účtovných jednotkách verejnej správy - štátne rozpočtové organizácie a príspevkové organizácie, obce, vyššie územné celky, štátne fondy, rozpočtové organizácie a príspevkové organizácie v zriaďovateľskej pôsobnosti obcí a vyšších územných celkov.</w:t>
            </w:r>
            <w:r w:rsidRPr="007863C6">
              <w:rPr>
                <w:rFonts w:ascii="Times" w:hAnsi="Times" w:cs="Times"/>
              </w:rPr>
              <w:t xml:space="preserve"> </w:t>
            </w:r>
            <w:r w:rsidR="00672237" w:rsidRPr="00A636B0">
              <w:t xml:space="preserve"> </w:t>
            </w:r>
          </w:p>
        </w:tc>
      </w:tr>
      <w:tr w:rsidR="00672237" w:rsidRPr="00391793" w14:paraId="7654700E" w14:textId="77777777" w:rsidTr="00DB634F">
        <w:tc>
          <w:tcPr>
            <w:tcW w:w="9180" w:type="dxa"/>
            <w:gridSpan w:val="10"/>
            <w:tcBorders>
              <w:top w:val="single" w:sz="4" w:space="0" w:color="auto"/>
              <w:left w:val="single" w:sz="4" w:space="0" w:color="auto"/>
              <w:bottom w:val="nil"/>
              <w:right w:val="single" w:sz="4" w:space="0" w:color="auto"/>
            </w:tcBorders>
            <w:shd w:val="clear" w:color="auto" w:fill="E2E2E2"/>
          </w:tcPr>
          <w:p w14:paraId="043EBFE5" w14:textId="77777777" w:rsidR="00672237" w:rsidRPr="00376FCA" w:rsidRDefault="00672237" w:rsidP="00672237">
            <w:pPr>
              <w:numPr>
                <w:ilvl w:val="0"/>
                <w:numId w:val="1"/>
              </w:numPr>
              <w:ind w:left="426"/>
              <w:contextualSpacing/>
              <w:rPr>
                <w:rFonts w:eastAsia="Calibri"/>
                <w:b/>
              </w:rPr>
            </w:pPr>
            <w:r w:rsidRPr="00376FCA">
              <w:rPr>
                <w:rFonts w:eastAsia="Calibri"/>
                <w:b/>
              </w:rPr>
              <w:t>Dotknuté subjekty</w:t>
            </w:r>
          </w:p>
        </w:tc>
      </w:tr>
      <w:tr w:rsidR="00672237" w:rsidRPr="00391793" w14:paraId="7A37280E" w14:textId="77777777" w:rsidTr="00DB634F">
        <w:tc>
          <w:tcPr>
            <w:tcW w:w="9180" w:type="dxa"/>
            <w:gridSpan w:val="10"/>
            <w:tcBorders>
              <w:top w:val="nil"/>
              <w:left w:val="single" w:sz="4" w:space="0" w:color="auto"/>
              <w:bottom w:val="single" w:sz="4" w:space="0" w:color="auto"/>
              <w:right w:val="single" w:sz="4" w:space="0" w:color="auto"/>
            </w:tcBorders>
            <w:shd w:val="clear" w:color="auto" w:fill="FFFFFF"/>
          </w:tcPr>
          <w:p w14:paraId="7D068509" w14:textId="33F33562" w:rsidR="00672237" w:rsidRDefault="00672237" w:rsidP="002F749C">
            <w:pPr>
              <w:spacing w:after="120"/>
              <w:rPr>
                <w:i/>
              </w:rPr>
            </w:pPr>
            <w:r w:rsidRPr="00376FCA">
              <w:rPr>
                <w:i/>
              </w:rPr>
              <w:t xml:space="preserve">Uveďte subjekty, ktorých sa zmeny predkladaného materiálu dotknú priamo aj nepriamo: </w:t>
            </w:r>
          </w:p>
          <w:p w14:paraId="5553A2BB" w14:textId="77777777" w:rsidR="004905FD" w:rsidRPr="001D7A26" w:rsidRDefault="004905FD" w:rsidP="004905FD">
            <w:pPr>
              <w:jc w:val="both"/>
            </w:pPr>
            <w:r w:rsidRPr="001D7A26">
              <w:t xml:space="preserve">Účtovné jednotky, ktoré v dvoch po sebe nasledujúcich účtovných obdobiach za každé z nich dosiahli čistý obrat viac ako 750 mil. eur a účtovné jednotky, ktoré zostavujú konsolidovanú účtovnú závierku najväčšej skupiny podnikov, ktoré v dvoch po sebe nasledujúcich účtovných obdobiach za každé z nich dosiahli konsolidované výnosy viac ako 750 mil. eur, ak majú stále miesto podnikania alebo trvalú podnikateľskú činnosť na území viacerých členských štátoch alebo viac ako jednu daňovú jurisdikciu. Tiež veľké dcérske účtovné jednotky, ktoré spĺňajú aspoň 2 kritériá (majetok viac ako 4 mil. €, obrat vyšší ako 8 mil.€ a 50 zamestnancov za 2 po sebe idúce účtovné obdobia), ktorých zahraničný konečný materský subjekt má sídlo mimo územia členských štátov a jeho konsolidované výnosy presiahli 750 mil. € v každom z 2 bezprostredne po sebe idúcich účtovných obdobiach a veľké organizačné zložky podniku zahraničnej právnickej osoby so sídlom mimo územia členských štátov, ktorej výnosy resp. konsolidované výnosy prekročili v každom z dvoch bezprostredne po sebe nasledujúcich účtovných obdobiach sumu 750 mil. €, ak sa na </w:t>
            </w:r>
            <w:proofErr w:type="spellStart"/>
            <w:r w:rsidRPr="001D7A26">
              <w:t>ne</w:t>
            </w:r>
            <w:proofErr w:type="spellEnd"/>
            <w:r w:rsidRPr="001D7A26">
              <w:t xml:space="preserve"> nevzťahuje oslobodenie z povinnosti uložiť správu s informáciami o dani z príjmov.</w:t>
            </w:r>
          </w:p>
          <w:p w14:paraId="46BDCB90" w14:textId="0496C71D" w:rsidR="00130C9B" w:rsidRPr="00376FCA" w:rsidRDefault="004905FD" w:rsidP="004905FD">
            <w:pPr>
              <w:jc w:val="both"/>
            </w:pPr>
            <w:r w:rsidRPr="001D7A26">
              <w:br/>
              <w:t>Zvýšenie periodicity vykonávania inventarizácie určitého hmotného majetku sa dotkne účtovných jednotiek verejnej správy, ktorými sú štátne rozpočtové organizácie a príspevkové organizácie, obce, vyššie územné celky, štátne fondy, rozpočtové organizácie a príspevkové organizácie v zriaďovateľskej pôsobnosti obcí a vyšších územných celkov</w:t>
            </w:r>
            <w:r w:rsidRPr="007863C6">
              <w:rPr>
                <w:rFonts w:ascii="Times" w:hAnsi="Times" w:cs="Times"/>
              </w:rPr>
              <w:t>.</w:t>
            </w:r>
          </w:p>
        </w:tc>
      </w:tr>
      <w:tr w:rsidR="00672237" w:rsidRPr="00391793" w14:paraId="2FE1AB15" w14:textId="77777777" w:rsidTr="00DB634F">
        <w:tc>
          <w:tcPr>
            <w:tcW w:w="9180" w:type="dxa"/>
            <w:gridSpan w:val="10"/>
            <w:tcBorders>
              <w:top w:val="single" w:sz="4" w:space="0" w:color="auto"/>
              <w:left w:val="single" w:sz="4" w:space="0" w:color="auto"/>
              <w:bottom w:val="nil"/>
              <w:right w:val="single" w:sz="4" w:space="0" w:color="auto"/>
            </w:tcBorders>
            <w:shd w:val="clear" w:color="auto" w:fill="E2E2E2"/>
          </w:tcPr>
          <w:p w14:paraId="31088BA3" w14:textId="77777777" w:rsidR="00672237" w:rsidRPr="00376FCA" w:rsidRDefault="00672237" w:rsidP="00672237">
            <w:pPr>
              <w:numPr>
                <w:ilvl w:val="0"/>
                <w:numId w:val="1"/>
              </w:numPr>
              <w:ind w:left="426"/>
              <w:contextualSpacing/>
              <w:rPr>
                <w:rFonts w:eastAsia="Calibri"/>
                <w:b/>
              </w:rPr>
            </w:pPr>
            <w:r w:rsidRPr="00376FCA">
              <w:rPr>
                <w:rFonts w:eastAsia="Calibri"/>
                <w:b/>
              </w:rPr>
              <w:lastRenderedPageBreak/>
              <w:t>Alternatívne riešenia</w:t>
            </w:r>
          </w:p>
        </w:tc>
      </w:tr>
      <w:tr w:rsidR="00672237" w:rsidRPr="00391793" w14:paraId="5AF328F4" w14:textId="77777777" w:rsidTr="00DB634F">
        <w:trPr>
          <w:trHeight w:val="1524"/>
        </w:trPr>
        <w:tc>
          <w:tcPr>
            <w:tcW w:w="9180" w:type="dxa"/>
            <w:gridSpan w:val="10"/>
            <w:tcBorders>
              <w:top w:val="nil"/>
              <w:left w:val="single" w:sz="4" w:space="0" w:color="auto"/>
              <w:bottom w:val="single" w:sz="4" w:space="0" w:color="auto"/>
              <w:right w:val="single" w:sz="4" w:space="0" w:color="auto"/>
            </w:tcBorders>
            <w:shd w:val="clear" w:color="auto" w:fill="FFFFFF"/>
          </w:tcPr>
          <w:p w14:paraId="14BE7B3B" w14:textId="0FD0EDFD" w:rsidR="00672237" w:rsidRDefault="00672237" w:rsidP="002F749C">
            <w:pPr>
              <w:spacing w:after="120"/>
              <w:jc w:val="both"/>
              <w:rPr>
                <w:i/>
              </w:rPr>
            </w:pPr>
            <w:r w:rsidRPr="00376FCA">
              <w:rPr>
                <w:i/>
              </w:rPr>
              <w:t>Aké alternatívne riešenia vedúce k stanovenému cieľu boli identifikované a posudzované pre riešenie definovaného problému?</w:t>
            </w:r>
          </w:p>
          <w:p w14:paraId="1CC53EEB" w14:textId="39C3F035" w:rsidR="00672237" w:rsidRPr="00376FCA" w:rsidRDefault="00672237" w:rsidP="002F749C">
            <w:pPr>
              <w:spacing w:after="120"/>
              <w:jc w:val="both"/>
              <w:rPr>
                <w:i/>
              </w:rPr>
            </w:pPr>
            <w:r w:rsidRPr="00376FCA">
              <w:rPr>
                <w:i/>
              </w:rPr>
              <w:t>Nulový variant - uveďte dôsledky, ku ktorým by došlo v prípade nevykonania úprav</w:t>
            </w:r>
            <w:r w:rsidR="002F749C">
              <w:rPr>
                <w:i/>
              </w:rPr>
              <w:t xml:space="preserve">                                    </w:t>
            </w:r>
            <w:r w:rsidRPr="00376FCA">
              <w:rPr>
                <w:i/>
              </w:rPr>
              <w:t xml:space="preserve"> v predkladanom materiáli a alternatívne riešenia/spôsoby dosiahnutia cieľov uvedených v bode 3.</w:t>
            </w:r>
          </w:p>
          <w:p w14:paraId="1467534B" w14:textId="4BB66307" w:rsidR="00672237" w:rsidRPr="00376FCA" w:rsidRDefault="004905FD" w:rsidP="00D43128">
            <w:pPr>
              <w:jc w:val="both"/>
            </w:pPr>
            <w:r w:rsidRPr="001D7A26">
              <w:t>V prípade nulového variantu by Slovenská republika nesplnila povinnosť transpozície smernice (EÚ) 2021/2101, ktorá musí byť transponovaná do 22. júna 2023.</w:t>
            </w:r>
          </w:p>
        </w:tc>
      </w:tr>
      <w:tr w:rsidR="00672237" w:rsidRPr="00391793" w14:paraId="1A7FE4FC" w14:textId="77777777" w:rsidTr="00DB634F">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3D770822" w14:textId="77777777" w:rsidR="00672237" w:rsidRPr="00376FCA" w:rsidRDefault="00672237" w:rsidP="00672237">
            <w:pPr>
              <w:numPr>
                <w:ilvl w:val="0"/>
                <w:numId w:val="6"/>
              </w:numPr>
              <w:contextualSpacing/>
              <w:rPr>
                <w:rFonts w:eastAsia="Calibri"/>
                <w:b/>
              </w:rPr>
            </w:pPr>
            <w:r w:rsidRPr="00376FCA">
              <w:rPr>
                <w:rFonts w:eastAsia="Calibri"/>
                <w:b/>
              </w:rPr>
              <w:t>Vykonávacie predpisy</w:t>
            </w:r>
          </w:p>
        </w:tc>
      </w:tr>
      <w:tr w:rsidR="00672237" w:rsidRPr="00391793" w14:paraId="64984CD6" w14:textId="77777777" w:rsidTr="00DB634F">
        <w:tc>
          <w:tcPr>
            <w:tcW w:w="6203" w:type="dxa"/>
            <w:gridSpan w:val="6"/>
            <w:tcBorders>
              <w:top w:val="single" w:sz="4" w:space="0" w:color="FFFFFF"/>
              <w:left w:val="single" w:sz="4" w:space="0" w:color="auto"/>
              <w:bottom w:val="nil"/>
              <w:right w:val="nil"/>
            </w:tcBorders>
            <w:shd w:val="clear" w:color="auto" w:fill="FFFFFF"/>
          </w:tcPr>
          <w:p w14:paraId="378048DA" w14:textId="77777777" w:rsidR="00672237" w:rsidRPr="00376FCA" w:rsidRDefault="00672237" w:rsidP="00DB634F">
            <w:pPr>
              <w:rPr>
                <w:i/>
              </w:rPr>
            </w:pPr>
            <w:r w:rsidRPr="00376FCA">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F779A9A" w14:textId="7D60D963" w:rsidR="00672237" w:rsidRPr="00376FCA" w:rsidRDefault="006824D3" w:rsidP="00DB634F">
            <w:pPr>
              <w:jc w:val="center"/>
              <w:rPr>
                <w:b/>
              </w:rPr>
            </w:pPr>
            <w:sdt>
              <w:sdtPr>
                <w:rPr>
                  <w:b/>
                </w:rPr>
                <w:id w:val="1929613764"/>
                <w14:checkbox>
                  <w14:checked w14:val="1"/>
                  <w14:checkedState w14:val="2612" w14:font="MS Gothic"/>
                  <w14:uncheckedState w14:val="2610" w14:font="MS Gothic"/>
                </w14:checkbox>
              </w:sdtPr>
              <w:sdtEndPr/>
              <w:sdtContent>
                <w:r w:rsidR="00C71909">
                  <w:rPr>
                    <w:rFonts w:ascii="MS Gothic" w:eastAsia="MS Gothic" w:hAnsi="MS Gothic" w:hint="eastAsia"/>
                    <w:b/>
                  </w:rPr>
                  <w:t>☒</w:t>
                </w:r>
              </w:sdtContent>
            </w:sdt>
            <w:r w:rsidR="00672237" w:rsidRPr="00376FCA">
              <w:rPr>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A72E3C2" w14:textId="6B11665F" w:rsidR="00672237" w:rsidRPr="00376FCA" w:rsidRDefault="006824D3" w:rsidP="00DB634F">
            <w:pPr>
              <w:jc w:val="center"/>
              <w:rPr>
                <w:b/>
              </w:rPr>
            </w:pPr>
            <w:sdt>
              <w:sdtPr>
                <w:rPr>
                  <w:b/>
                </w:rPr>
                <w:id w:val="-1594626508"/>
                <w14:checkbox>
                  <w14:checked w14:val="0"/>
                  <w14:checkedState w14:val="2612" w14:font="MS Gothic"/>
                  <w14:uncheckedState w14:val="2610" w14:font="MS Gothic"/>
                </w14:checkbox>
              </w:sdtPr>
              <w:sdtEndPr/>
              <w:sdtContent>
                <w:r w:rsidR="00C71909">
                  <w:rPr>
                    <w:rFonts w:ascii="MS Gothic" w:eastAsia="MS Gothic" w:hAnsi="MS Gothic" w:hint="eastAsia"/>
                    <w:b/>
                  </w:rPr>
                  <w:t>☐</w:t>
                </w:r>
              </w:sdtContent>
            </w:sdt>
            <w:r w:rsidR="00672237" w:rsidRPr="00376FCA">
              <w:rPr>
                <w:b/>
              </w:rPr>
              <w:t xml:space="preserve">  Nie</w:t>
            </w:r>
          </w:p>
        </w:tc>
      </w:tr>
      <w:tr w:rsidR="00672237" w:rsidRPr="00391793" w14:paraId="76D69820" w14:textId="77777777" w:rsidTr="00DB634F">
        <w:tc>
          <w:tcPr>
            <w:tcW w:w="9180" w:type="dxa"/>
            <w:gridSpan w:val="10"/>
            <w:tcBorders>
              <w:top w:val="nil"/>
              <w:left w:val="single" w:sz="4" w:space="0" w:color="auto"/>
              <w:bottom w:val="single" w:sz="4" w:space="0" w:color="auto"/>
              <w:right w:val="single" w:sz="4" w:space="0" w:color="auto"/>
            </w:tcBorders>
            <w:shd w:val="clear" w:color="auto" w:fill="FFFFFF"/>
          </w:tcPr>
          <w:p w14:paraId="46B83D46" w14:textId="4BC3614D" w:rsidR="00672237" w:rsidRPr="00894836" w:rsidRDefault="00672237" w:rsidP="00DB634F">
            <w:pPr>
              <w:rPr>
                <w:i/>
              </w:rPr>
            </w:pPr>
            <w:r w:rsidRPr="00894836">
              <w:rPr>
                <w:i/>
              </w:rPr>
              <w:t>Ak áno, uveďte ktoré oblasti budú nimi upravené, resp. ktorých vykonávacích predpisov sa zmena dotkne:</w:t>
            </w:r>
          </w:p>
          <w:p w14:paraId="03340DF0" w14:textId="77777777" w:rsidR="004905FD" w:rsidRDefault="004905FD" w:rsidP="00073217">
            <w:pPr>
              <w:jc w:val="both"/>
            </w:pPr>
          </w:p>
          <w:p w14:paraId="2513775B" w14:textId="1BA417D7" w:rsidR="00672237" w:rsidRPr="00E158E9" w:rsidRDefault="004905FD" w:rsidP="00073217">
            <w:pPr>
              <w:jc w:val="both"/>
              <w:rPr>
                <w:highlight w:val="yellow"/>
              </w:rPr>
            </w:pPr>
            <w:r w:rsidRPr="001D7A26">
              <w:t>Opatrenie Ministerstva financií Slovenskej republiky, v ktorom sa bližšie upraví obsah správy s informáciami o dani z príjmov a spoločný vzor a elektronický formát tejto správy v nadväznosti na vykonávací akt Komisie, ktorý má byť prijatý koncom roka 2022, najneskôr v roku 2023. Obsah správy s informáciami o dani z príjmov budú tvoriť informácie podľa čl. 48c smernice (EÚ) 2021/2101 ako napr. počet zamestnancov, suma výnosov vrátane sumy výnosov z transakcií so spriaznenými stranami, suma zisku alebo straty pred zdanením, suma vzniknutej dane z príjmov, suma dane z príjmov zaplatenej na hotovostnom základe a suma akumulovaných ziskov na konci príslušného účtovného obdobia.</w:t>
            </w:r>
          </w:p>
        </w:tc>
      </w:tr>
      <w:tr w:rsidR="00672237" w:rsidRPr="00391793" w14:paraId="382A5CF8" w14:textId="77777777" w:rsidTr="00DB634F">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2196FB10" w14:textId="77777777" w:rsidR="00672237" w:rsidRPr="00376FCA" w:rsidRDefault="00672237" w:rsidP="00672237">
            <w:pPr>
              <w:numPr>
                <w:ilvl w:val="0"/>
                <w:numId w:val="6"/>
              </w:numPr>
              <w:ind w:left="426"/>
              <w:contextualSpacing/>
              <w:rPr>
                <w:rFonts w:eastAsia="Calibri"/>
                <w:b/>
              </w:rPr>
            </w:pPr>
            <w:r w:rsidRPr="00376FCA">
              <w:rPr>
                <w:rFonts w:eastAsia="Calibri"/>
                <w:b/>
              </w:rPr>
              <w:t xml:space="preserve">Transpozícia práva EÚ </w:t>
            </w:r>
          </w:p>
        </w:tc>
      </w:tr>
      <w:tr w:rsidR="00672237" w:rsidRPr="00391793" w14:paraId="6D9D6040" w14:textId="77777777" w:rsidTr="00DB634F">
        <w:trPr>
          <w:trHeight w:val="157"/>
        </w:trPr>
        <w:tc>
          <w:tcPr>
            <w:tcW w:w="9180" w:type="dxa"/>
            <w:gridSpan w:val="10"/>
            <w:tcBorders>
              <w:top w:val="nil"/>
              <w:left w:val="single" w:sz="4" w:space="0" w:color="000000"/>
              <w:bottom w:val="nil"/>
              <w:right w:val="single" w:sz="4" w:space="0" w:color="auto"/>
            </w:tcBorders>
            <w:shd w:val="clear" w:color="auto" w:fill="FFFFFF"/>
          </w:tcPr>
          <w:p w14:paraId="4C3D6CDC" w14:textId="4BBC9830" w:rsidR="00672237" w:rsidRDefault="00672237" w:rsidP="00DB634F">
            <w:pPr>
              <w:jc w:val="both"/>
              <w:rPr>
                <w:i/>
              </w:rPr>
            </w:pPr>
            <w:r w:rsidRPr="00376FCA">
              <w:rPr>
                <w:i/>
              </w:rPr>
              <w:t xml:space="preserve">Uveďte, v ktorých konkrétnych ustanoveniach (paragrafy, články, body, atď.) ide národná právna úprava nad rámec minimálnych </w:t>
            </w:r>
            <w:r w:rsidRPr="00734006">
              <w:rPr>
                <w:i/>
              </w:rPr>
              <w:t>požiadaviek EÚ (tzv. goldplating) spolu</w:t>
            </w:r>
            <w:r w:rsidR="002F749C">
              <w:rPr>
                <w:i/>
              </w:rPr>
              <w:t xml:space="preserve">                                                   </w:t>
            </w:r>
            <w:r w:rsidRPr="00734006">
              <w:rPr>
                <w:i/>
              </w:rPr>
              <w:t xml:space="preserve"> s odôvodnením opodstatnenosti presahu.</w:t>
            </w:r>
          </w:p>
          <w:p w14:paraId="6284295F" w14:textId="77777777" w:rsidR="004905FD" w:rsidRDefault="004905FD" w:rsidP="00556D63">
            <w:pPr>
              <w:jc w:val="both"/>
            </w:pPr>
          </w:p>
          <w:p w14:paraId="3B81621A" w14:textId="1C15EAD1" w:rsidR="00672237" w:rsidRPr="004905FD" w:rsidRDefault="004905FD" w:rsidP="00556D63">
            <w:pPr>
              <w:jc w:val="both"/>
              <w:rPr>
                <w:iCs/>
              </w:rPr>
            </w:pPr>
            <w:r w:rsidRPr="004905FD">
              <w:t xml:space="preserve">V návrhu zákona nie sú zapracované úpravy zákona o účtovníctve, ktoré by predstavovali </w:t>
            </w:r>
            <w:proofErr w:type="spellStart"/>
            <w:r w:rsidRPr="004905FD">
              <w:t>goldplating</w:t>
            </w:r>
            <w:proofErr w:type="spellEnd"/>
            <w:r w:rsidRPr="004905FD">
              <w:t xml:space="preserve">. </w:t>
            </w:r>
          </w:p>
        </w:tc>
      </w:tr>
      <w:tr w:rsidR="00672237" w:rsidRPr="00391793" w14:paraId="2B560419" w14:textId="77777777" w:rsidTr="00DB634F">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49826B2A" w14:textId="77777777" w:rsidR="00672237" w:rsidRPr="00376FCA" w:rsidRDefault="00672237" w:rsidP="00DB634F"/>
        </w:tc>
      </w:tr>
      <w:tr w:rsidR="00672237" w:rsidRPr="00391793" w14:paraId="690B3980" w14:textId="77777777" w:rsidTr="00DB634F">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1DE804C2" w14:textId="77777777" w:rsidR="00672237" w:rsidRPr="00376FCA" w:rsidRDefault="00672237" w:rsidP="00672237">
            <w:pPr>
              <w:numPr>
                <w:ilvl w:val="0"/>
                <w:numId w:val="6"/>
              </w:numPr>
              <w:ind w:left="426"/>
              <w:contextualSpacing/>
              <w:rPr>
                <w:rFonts w:eastAsia="Calibri"/>
                <w:b/>
              </w:rPr>
            </w:pPr>
            <w:r w:rsidRPr="00376FCA">
              <w:rPr>
                <w:rFonts w:eastAsia="Calibri"/>
                <w:b/>
              </w:rPr>
              <w:t>Preskúmanie účelnosti</w:t>
            </w:r>
          </w:p>
        </w:tc>
      </w:tr>
      <w:tr w:rsidR="00672237" w:rsidRPr="00391793" w14:paraId="3995C05A" w14:textId="77777777" w:rsidTr="00DB634F">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6EA9D816" w14:textId="77777777" w:rsidR="00672237" w:rsidRPr="00376FCA" w:rsidRDefault="00672237" w:rsidP="00DB634F">
            <w:pPr>
              <w:rPr>
                <w:i/>
              </w:rPr>
            </w:pPr>
            <w:r w:rsidRPr="00376FCA">
              <w:rPr>
                <w:i/>
              </w:rPr>
              <w:t>Uveďte termín, kedy by malo dôjsť k preskúmaniu účinnosti a účelnosti predkladaného materiálu.</w:t>
            </w:r>
          </w:p>
          <w:p w14:paraId="48FE1C39" w14:textId="222E7D79" w:rsidR="00672237" w:rsidRDefault="00672237" w:rsidP="002F749C">
            <w:pPr>
              <w:spacing w:after="120"/>
              <w:rPr>
                <w:i/>
              </w:rPr>
            </w:pPr>
            <w:r w:rsidRPr="00376FCA">
              <w:rPr>
                <w:i/>
              </w:rPr>
              <w:t>Uveďte kritériá, na základe ktorých bude preskúmanie vykonané.</w:t>
            </w:r>
          </w:p>
          <w:p w14:paraId="6F08A458" w14:textId="461BD39D" w:rsidR="00672237" w:rsidRPr="00376FCA" w:rsidRDefault="004905FD" w:rsidP="002F749C">
            <w:pPr>
              <w:jc w:val="both"/>
            </w:pPr>
            <w:r w:rsidRPr="001D7A26">
              <w:t>Do 22. júna 2027 Komisia predloží správu o dodržiavaní a o vplyve povinností podávať správy stanovených v článkoch 48a až 48f podľa smernice (EÚ) 2021/2101, a so zreteľom na situáciu na úrovni OECD, potrebu zabezpečiť dostatočnú úroveň transparentnosti a potrebu zachovať a zabezpečiť konkurenčné prostredie pre podniky a súkromné investície, preskúma a posúdi najmä, či by bolo vhodné rozšíriť povinnosť podávať správy s informáciami o dani z príjmov stanovenú v článku 48b na veľké podniky v zmysle vymedzenia v článku 3 ods. 4 a na veľké skupiny v zmysle vymedzenia v článku 3 ods. 7, ako aj rozšíriť obsah správy s informáciami o dani z príjmov uvedenú v článku 48c o ďalšie položky.</w:t>
            </w:r>
          </w:p>
        </w:tc>
      </w:tr>
      <w:tr w:rsidR="00672237" w:rsidRPr="00391793" w14:paraId="7090A8AA" w14:textId="77777777" w:rsidTr="00DB634F">
        <w:tc>
          <w:tcPr>
            <w:tcW w:w="9180" w:type="dxa"/>
            <w:gridSpan w:val="10"/>
            <w:tcBorders>
              <w:top w:val="nil"/>
              <w:left w:val="nil"/>
              <w:bottom w:val="single" w:sz="4" w:space="0" w:color="auto"/>
              <w:right w:val="nil"/>
            </w:tcBorders>
            <w:shd w:val="clear" w:color="auto" w:fill="FFFFFF"/>
          </w:tcPr>
          <w:p w14:paraId="0F6C761F" w14:textId="52267AE2" w:rsidR="00672237" w:rsidRPr="002F749C" w:rsidRDefault="00672237" w:rsidP="002F749C">
            <w:pPr>
              <w:rPr>
                <w:sz w:val="20"/>
                <w:szCs w:val="20"/>
              </w:rPr>
            </w:pPr>
            <w:r w:rsidRPr="002F749C">
              <w:rPr>
                <w:sz w:val="20"/>
                <w:szCs w:val="20"/>
              </w:rPr>
              <w:t xml:space="preserve">* vyplniť iba v prípade, ak materiál nie je zahrnutý do Plánu práce vlády Slovenskej republiky alebo Plánu legislatívnych úloh vlády Slovenskej republiky. </w:t>
            </w:r>
          </w:p>
          <w:p w14:paraId="13BF8C8F" w14:textId="77777777" w:rsidR="00672237" w:rsidRDefault="00672237" w:rsidP="002F749C">
            <w:pPr>
              <w:spacing w:after="120"/>
              <w:rPr>
                <w:sz w:val="20"/>
                <w:szCs w:val="20"/>
              </w:rPr>
            </w:pPr>
            <w:r w:rsidRPr="002F749C">
              <w:rPr>
                <w:sz w:val="20"/>
                <w:szCs w:val="20"/>
              </w:rPr>
              <w:t>** vyplniť iba v prípade, ak sa záverečné posúdenie vybraných vplyvov uskutočnilo v zmysle bodu 9.1. jednotnej metodiky.</w:t>
            </w:r>
          </w:p>
          <w:p w14:paraId="36800897" w14:textId="77777777" w:rsidR="004905FD" w:rsidRDefault="004905FD" w:rsidP="002F749C">
            <w:pPr>
              <w:spacing w:after="120"/>
              <w:rPr>
                <w:sz w:val="20"/>
                <w:szCs w:val="20"/>
              </w:rPr>
            </w:pPr>
          </w:p>
          <w:p w14:paraId="68D65CFF" w14:textId="77777777" w:rsidR="004905FD" w:rsidRDefault="004905FD" w:rsidP="002F749C">
            <w:pPr>
              <w:spacing w:after="120"/>
              <w:rPr>
                <w:sz w:val="20"/>
                <w:szCs w:val="20"/>
              </w:rPr>
            </w:pPr>
          </w:p>
          <w:p w14:paraId="3E9B8D83" w14:textId="4E4542F4" w:rsidR="004905FD" w:rsidRPr="002F749C" w:rsidRDefault="004905FD" w:rsidP="002F749C">
            <w:pPr>
              <w:spacing w:after="120"/>
              <w:rPr>
                <w:sz w:val="20"/>
                <w:szCs w:val="20"/>
              </w:rPr>
            </w:pPr>
          </w:p>
        </w:tc>
      </w:tr>
      <w:tr w:rsidR="00672237" w:rsidRPr="00391793" w14:paraId="2F8A7C7C" w14:textId="77777777" w:rsidTr="00DB634F">
        <w:trPr>
          <w:trHeight w:val="283"/>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78A365EF" w14:textId="77777777" w:rsidR="00672237" w:rsidRPr="00376FCA" w:rsidRDefault="00672237" w:rsidP="00672237">
            <w:pPr>
              <w:numPr>
                <w:ilvl w:val="0"/>
                <w:numId w:val="6"/>
              </w:numPr>
              <w:ind w:left="426"/>
              <w:contextualSpacing/>
              <w:rPr>
                <w:rFonts w:eastAsia="Calibri"/>
                <w:b/>
              </w:rPr>
            </w:pPr>
            <w:r w:rsidRPr="00376FCA">
              <w:rPr>
                <w:rFonts w:eastAsia="Calibri"/>
                <w:b/>
              </w:rPr>
              <w:lastRenderedPageBreak/>
              <w:t>Vybrané vplyvy  materiálu</w:t>
            </w:r>
          </w:p>
        </w:tc>
      </w:tr>
      <w:tr w:rsidR="00672237" w:rsidRPr="00391793" w14:paraId="0619531F" w14:textId="77777777" w:rsidTr="00DB634F">
        <w:tc>
          <w:tcPr>
            <w:tcW w:w="3812" w:type="dxa"/>
            <w:tcBorders>
              <w:top w:val="single" w:sz="4" w:space="0" w:color="auto"/>
              <w:left w:val="single" w:sz="4" w:space="0" w:color="auto"/>
              <w:bottom w:val="nil"/>
              <w:right w:val="single" w:sz="4" w:space="0" w:color="auto"/>
            </w:tcBorders>
            <w:shd w:val="clear" w:color="auto" w:fill="E2E2E2"/>
          </w:tcPr>
          <w:p w14:paraId="6ED661DB" w14:textId="77777777" w:rsidR="00672237" w:rsidRPr="00376FCA" w:rsidRDefault="00672237" w:rsidP="00DB634F">
            <w:pPr>
              <w:rPr>
                <w:b/>
              </w:rPr>
            </w:pPr>
            <w:r w:rsidRPr="00376FCA">
              <w:rPr>
                <w:b/>
              </w:rPr>
              <w:t>Vplyvy na rozpočet verejnej správy</w:t>
            </w:r>
          </w:p>
        </w:tc>
        <w:sdt>
          <w:sdtPr>
            <w:rPr>
              <w:b/>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1751355" w14:textId="27EA627C"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312" w:type="dxa"/>
            <w:gridSpan w:val="2"/>
            <w:tcBorders>
              <w:top w:val="single" w:sz="4" w:space="0" w:color="auto"/>
              <w:left w:val="nil"/>
              <w:bottom w:val="dotted" w:sz="4" w:space="0" w:color="auto"/>
              <w:right w:val="nil"/>
            </w:tcBorders>
          </w:tcPr>
          <w:p w14:paraId="7373789F" w14:textId="77777777" w:rsidR="00672237" w:rsidRPr="00376FCA" w:rsidRDefault="00672237" w:rsidP="00DB634F">
            <w:pPr>
              <w:rPr>
                <w:b/>
              </w:rPr>
            </w:pPr>
            <w:r w:rsidRPr="00376FCA">
              <w:rPr>
                <w:b/>
              </w:rPr>
              <w:t>Pozitívne</w:t>
            </w:r>
          </w:p>
        </w:tc>
        <w:sdt>
          <w:sdtPr>
            <w:rPr>
              <w:b/>
            </w:rPr>
            <w:id w:val="-1481296198"/>
            <w14:checkbox>
              <w14:checked w14:val="0"/>
              <w14:checkedState w14:val="2612" w14:font="MS Gothic"/>
              <w14:uncheckedState w14:val="2610" w14:font="MS Gothic"/>
            </w14:checkbox>
          </w:sdtPr>
          <w:sdtEndPr/>
          <w:sdtContent>
            <w:tc>
              <w:tcPr>
                <w:tcW w:w="538" w:type="dxa"/>
                <w:tcBorders>
                  <w:top w:val="single" w:sz="4" w:space="0" w:color="auto"/>
                  <w:left w:val="nil"/>
                  <w:bottom w:val="dotted" w:sz="4" w:space="0" w:color="auto"/>
                  <w:right w:val="nil"/>
                </w:tcBorders>
              </w:tcPr>
              <w:p w14:paraId="2FE75650" w14:textId="41BCF656" w:rsidR="00672237" w:rsidRPr="00376FCA" w:rsidRDefault="00242E37"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dotted" w:sz="4" w:space="0" w:color="auto"/>
              <w:right w:val="nil"/>
            </w:tcBorders>
          </w:tcPr>
          <w:p w14:paraId="58E6F9ED" w14:textId="77777777" w:rsidR="00672237" w:rsidRPr="00376FCA" w:rsidRDefault="00672237" w:rsidP="00DB634F">
            <w:pPr>
              <w:rPr>
                <w:b/>
              </w:rPr>
            </w:pPr>
            <w:r w:rsidRPr="00376FCA">
              <w:rPr>
                <w:b/>
              </w:rPr>
              <w:t>Žiadne</w:t>
            </w:r>
          </w:p>
        </w:tc>
        <w:sdt>
          <w:sdtPr>
            <w:rPr>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00EE226" w14:textId="7D700602" w:rsidR="00672237" w:rsidRPr="00376FCA" w:rsidRDefault="00242E37" w:rsidP="00DB634F">
                <w:pPr>
                  <w:ind w:left="-107" w:right="-108"/>
                  <w:jc w:val="center"/>
                  <w:rPr>
                    <w:b/>
                  </w:rPr>
                </w:pPr>
                <w:r>
                  <w:rPr>
                    <w:rFonts w:ascii="MS Gothic" w:eastAsia="MS Gothic" w:hAnsi="MS Gothic" w:cs="Segoe UI Symbol" w:hint="eastAsia"/>
                    <w:b/>
                  </w:rPr>
                  <w:t>☒</w:t>
                </w:r>
              </w:p>
            </w:tc>
          </w:sdtContent>
        </w:sdt>
        <w:tc>
          <w:tcPr>
            <w:tcW w:w="1297" w:type="dxa"/>
            <w:tcBorders>
              <w:top w:val="single" w:sz="4" w:space="0" w:color="auto"/>
              <w:left w:val="nil"/>
              <w:bottom w:val="dotted" w:sz="4" w:space="0" w:color="auto"/>
              <w:right w:val="single" w:sz="4" w:space="0" w:color="auto"/>
            </w:tcBorders>
          </w:tcPr>
          <w:p w14:paraId="4606989B" w14:textId="77777777" w:rsidR="00672237" w:rsidRPr="00376FCA" w:rsidRDefault="00672237" w:rsidP="00DB634F">
            <w:pPr>
              <w:ind w:left="34"/>
              <w:rPr>
                <w:b/>
              </w:rPr>
            </w:pPr>
            <w:r w:rsidRPr="00376FCA">
              <w:rPr>
                <w:b/>
              </w:rPr>
              <w:t>Negatívne</w:t>
            </w:r>
          </w:p>
        </w:tc>
      </w:tr>
      <w:tr w:rsidR="00672237" w:rsidRPr="00391793" w14:paraId="41FDF10E" w14:textId="77777777" w:rsidTr="00DB634F">
        <w:tc>
          <w:tcPr>
            <w:tcW w:w="3812" w:type="dxa"/>
            <w:tcBorders>
              <w:top w:val="nil"/>
              <w:left w:val="single" w:sz="4" w:space="0" w:color="auto"/>
              <w:bottom w:val="single" w:sz="4" w:space="0" w:color="000000"/>
              <w:right w:val="single" w:sz="4" w:space="0" w:color="auto"/>
            </w:tcBorders>
            <w:shd w:val="clear" w:color="auto" w:fill="E2E2E2"/>
          </w:tcPr>
          <w:p w14:paraId="76348B32" w14:textId="2DE936DB" w:rsidR="00672237" w:rsidRPr="00376FCA" w:rsidRDefault="00672237" w:rsidP="00DB634F">
            <w:r w:rsidRPr="00376FCA">
              <w:t>z toho rozpočt</w:t>
            </w:r>
            <w:r w:rsidR="002F749C">
              <w:t xml:space="preserve">ovo zabezpečené vplyvy, </w:t>
            </w:r>
            <w:r w:rsidRPr="00376FCA">
              <w:t>v prípade identifikovaného negatívneho  vplyvu</w:t>
            </w:r>
          </w:p>
        </w:tc>
        <w:sdt>
          <w:sdt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8CD011D" w14:textId="3E7D2E28" w:rsidR="00672237" w:rsidRPr="00376FCA" w:rsidRDefault="0005512E" w:rsidP="00DB634F">
                <w:pPr>
                  <w:jc w:val="center"/>
                </w:pPr>
                <w:r>
                  <w:rPr>
                    <w:rFonts w:ascii="MS Gothic" w:eastAsia="MS Gothic" w:hAnsi="MS Gothic" w:hint="eastAsia"/>
                  </w:rPr>
                  <w:t>☒</w:t>
                </w:r>
              </w:p>
            </w:tc>
          </w:sdtContent>
        </w:sdt>
        <w:tc>
          <w:tcPr>
            <w:tcW w:w="1312" w:type="dxa"/>
            <w:gridSpan w:val="2"/>
            <w:tcBorders>
              <w:top w:val="dotted" w:sz="4" w:space="0" w:color="auto"/>
              <w:left w:val="nil"/>
              <w:bottom w:val="single" w:sz="4" w:space="0" w:color="auto"/>
              <w:right w:val="nil"/>
            </w:tcBorders>
            <w:vAlign w:val="center"/>
          </w:tcPr>
          <w:p w14:paraId="4BB08A6E" w14:textId="77777777" w:rsidR="00672237" w:rsidRPr="00376FCA" w:rsidRDefault="00672237" w:rsidP="00DB634F">
            <w:r w:rsidRPr="00F54052">
              <w:t>Áno</w:t>
            </w:r>
          </w:p>
        </w:tc>
        <w:sdt>
          <w:sdtPr>
            <w:id w:val="405798427"/>
            <w14:checkbox>
              <w14:checked w14:val="0"/>
              <w14:checkedState w14:val="2612" w14:font="MS Gothic"/>
              <w14:uncheckedState w14:val="2610" w14:font="MS Gothic"/>
            </w14:checkbox>
          </w:sdtPr>
          <w:sdtEndPr/>
          <w:sdtContent>
            <w:tc>
              <w:tcPr>
                <w:tcW w:w="538" w:type="dxa"/>
                <w:tcBorders>
                  <w:top w:val="dotted" w:sz="4" w:space="0" w:color="auto"/>
                  <w:left w:val="nil"/>
                  <w:bottom w:val="single" w:sz="4" w:space="0" w:color="auto"/>
                  <w:right w:val="nil"/>
                </w:tcBorders>
                <w:vAlign w:val="center"/>
              </w:tcPr>
              <w:p w14:paraId="4EBB7015" w14:textId="0B4B184A" w:rsidR="00672237" w:rsidRPr="00376FCA" w:rsidRDefault="0005512E" w:rsidP="00DB634F">
                <w:pPr>
                  <w:jc w:val="center"/>
                </w:pPr>
                <w:r>
                  <w:rPr>
                    <w:rFonts w:ascii="MS Gothic" w:eastAsia="MS Gothic" w:hAnsi="MS Gothic" w:hint="eastAsia"/>
                  </w:rPr>
                  <w:t>☐</w:t>
                </w:r>
              </w:p>
            </w:tc>
          </w:sdtContent>
        </w:sdt>
        <w:tc>
          <w:tcPr>
            <w:tcW w:w="1133" w:type="dxa"/>
            <w:tcBorders>
              <w:top w:val="dotted" w:sz="4" w:space="0" w:color="auto"/>
              <w:left w:val="nil"/>
              <w:bottom w:val="single" w:sz="4" w:space="0" w:color="auto"/>
              <w:right w:val="nil"/>
            </w:tcBorders>
            <w:vAlign w:val="center"/>
          </w:tcPr>
          <w:p w14:paraId="07C7B278" w14:textId="77777777" w:rsidR="00672237" w:rsidRPr="00376FCA" w:rsidRDefault="00672237" w:rsidP="00DB634F">
            <w:r w:rsidRPr="006E2698">
              <w:t>Nie</w:t>
            </w:r>
          </w:p>
        </w:tc>
        <w:sdt>
          <w:sdt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3165B18" w14:textId="29F1500F" w:rsidR="00672237" w:rsidRPr="00376FCA" w:rsidRDefault="006E2698" w:rsidP="00DB634F">
                <w:pPr>
                  <w:ind w:left="-107" w:right="-108"/>
                  <w:jc w:val="center"/>
                </w:pPr>
                <w:r>
                  <w:rPr>
                    <w:rFonts w:ascii="MS Gothic" w:eastAsia="MS Gothic" w:hAnsi="MS Gothic" w:hint="eastAsia"/>
                  </w:rPr>
                  <w:t>☐</w:t>
                </w:r>
              </w:p>
            </w:tc>
          </w:sdtContent>
        </w:sdt>
        <w:tc>
          <w:tcPr>
            <w:tcW w:w="1297" w:type="dxa"/>
            <w:tcBorders>
              <w:top w:val="dotted" w:sz="4" w:space="0" w:color="auto"/>
              <w:left w:val="nil"/>
              <w:bottom w:val="single" w:sz="4" w:space="0" w:color="auto"/>
              <w:right w:val="single" w:sz="4" w:space="0" w:color="auto"/>
            </w:tcBorders>
            <w:vAlign w:val="center"/>
          </w:tcPr>
          <w:p w14:paraId="5BB175B8" w14:textId="77777777" w:rsidR="00672237" w:rsidRPr="00376FCA" w:rsidRDefault="00672237" w:rsidP="00DB634F">
            <w:pPr>
              <w:ind w:left="34"/>
            </w:pPr>
            <w:r w:rsidRPr="00376FCA">
              <w:t>Čiastočne</w:t>
            </w:r>
          </w:p>
        </w:tc>
      </w:tr>
      <w:tr w:rsidR="00672237" w:rsidRPr="00391793" w14:paraId="4A744C63" w14:textId="77777777" w:rsidTr="00DB634F">
        <w:tc>
          <w:tcPr>
            <w:tcW w:w="3812" w:type="dxa"/>
            <w:tcBorders>
              <w:top w:val="single" w:sz="4" w:space="0" w:color="000000"/>
              <w:left w:val="single" w:sz="4" w:space="0" w:color="auto"/>
              <w:bottom w:val="nil"/>
              <w:right w:val="single" w:sz="4" w:space="0" w:color="auto"/>
            </w:tcBorders>
            <w:shd w:val="clear" w:color="auto" w:fill="E2E2E2"/>
          </w:tcPr>
          <w:p w14:paraId="46157E6D" w14:textId="77777777" w:rsidR="00672237" w:rsidRPr="00376FCA" w:rsidRDefault="00672237" w:rsidP="00DB634F">
            <w:pPr>
              <w:rPr>
                <w:b/>
              </w:rPr>
            </w:pPr>
            <w:r w:rsidRPr="00376FCA">
              <w:rPr>
                <w:b/>
              </w:rPr>
              <w:t>Vplyvy na podnikateľské prostredie</w:t>
            </w:r>
          </w:p>
        </w:tc>
        <w:sdt>
          <w:sdtPr>
            <w:rPr>
              <w:b/>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19FFB5B" w14:textId="28DE54D1" w:rsidR="00672237" w:rsidRPr="00376FCA" w:rsidRDefault="00896E32" w:rsidP="00DB634F">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vAlign w:val="center"/>
          </w:tcPr>
          <w:p w14:paraId="317AB125" w14:textId="77777777" w:rsidR="00672237" w:rsidRPr="00376FCA" w:rsidRDefault="00672237" w:rsidP="00DB634F">
            <w:pPr>
              <w:ind w:right="-108"/>
              <w:rPr>
                <w:b/>
              </w:rPr>
            </w:pPr>
            <w:r w:rsidRPr="00602529">
              <w:rPr>
                <w:b/>
              </w:rPr>
              <w:t>Pozitívne</w:t>
            </w:r>
          </w:p>
        </w:tc>
        <w:sdt>
          <w:sdtPr>
            <w:rPr>
              <w:b/>
            </w:rPr>
            <w:id w:val="2038465019"/>
            <w14:checkbox>
              <w14:checked w14:val="0"/>
              <w14:checkedState w14:val="2612" w14:font="MS Gothic"/>
              <w14:uncheckedState w14:val="2610" w14:font="MS Gothic"/>
            </w14:checkbox>
          </w:sdtPr>
          <w:sdtEndPr/>
          <w:sdtContent>
            <w:tc>
              <w:tcPr>
                <w:tcW w:w="538" w:type="dxa"/>
                <w:tcBorders>
                  <w:top w:val="single" w:sz="4" w:space="0" w:color="auto"/>
                  <w:left w:val="nil"/>
                  <w:bottom w:val="dotted" w:sz="4" w:space="0" w:color="auto"/>
                  <w:right w:val="nil"/>
                </w:tcBorders>
                <w:vAlign w:val="center"/>
              </w:tcPr>
              <w:p w14:paraId="4AEA9F2C" w14:textId="03CEF1EE" w:rsidR="00672237" w:rsidRPr="00376FCA" w:rsidRDefault="00672237"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dotted" w:sz="4" w:space="0" w:color="auto"/>
              <w:right w:val="nil"/>
            </w:tcBorders>
            <w:vAlign w:val="center"/>
          </w:tcPr>
          <w:p w14:paraId="25E946CF" w14:textId="77777777" w:rsidR="00672237" w:rsidRPr="00376FCA" w:rsidRDefault="00672237" w:rsidP="00DB634F">
            <w:pPr>
              <w:rPr>
                <w:b/>
              </w:rPr>
            </w:pPr>
            <w:r w:rsidRPr="00376FCA">
              <w:rPr>
                <w:b/>
              </w:rPr>
              <w:t>Žiadne</w:t>
            </w:r>
          </w:p>
        </w:tc>
        <w:sdt>
          <w:sdtPr>
            <w:rPr>
              <w:b/>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14E354A" w14:textId="5AA06343" w:rsidR="00672237" w:rsidRPr="00376FCA" w:rsidRDefault="00672237" w:rsidP="00DB634F">
                <w:pPr>
                  <w:jc w:val="center"/>
                  <w:rPr>
                    <w:b/>
                  </w:rPr>
                </w:pPr>
                <w:r>
                  <w:rPr>
                    <w:rFonts w:ascii="MS Gothic" w:eastAsia="MS Gothic" w:hAnsi="MS Gothic" w:hint="eastAsia"/>
                    <w:b/>
                  </w:rPr>
                  <w:t>☒</w:t>
                </w:r>
              </w:p>
            </w:tc>
          </w:sdtContent>
        </w:sdt>
        <w:tc>
          <w:tcPr>
            <w:tcW w:w="1297" w:type="dxa"/>
            <w:tcBorders>
              <w:top w:val="single" w:sz="4" w:space="0" w:color="auto"/>
              <w:left w:val="nil"/>
              <w:bottom w:val="dotted" w:sz="4" w:space="0" w:color="auto"/>
              <w:right w:val="single" w:sz="4" w:space="0" w:color="auto"/>
            </w:tcBorders>
            <w:vAlign w:val="center"/>
          </w:tcPr>
          <w:p w14:paraId="305F134D" w14:textId="77777777" w:rsidR="00672237" w:rsidRPr="00376FCA" w:rsidRDefault="00672237" w:rsidP="00DB634F">
            <w:pPr>
              <w:ind w:left="54"/>
              <w:rPr>
                <w:b/>
              </w:rPr>
            </w:pPr>
            <w:r w:rsidRPr="00376FCA">
              <w:rPr>
                <w:b/>
              </w:rPr>
              <w:t>Negatívne</w:t>
            </w:r>
          </w:p>
        </w:tc>
      </w:tr>
      <w:tr w:rsidR="00672237" w:rsidRPr="00391793" w14:paraId="2DD212DB" w14:textId="77777777" w:rsidTr="00DB634F">
        <w:tc>
          <w:tcPr>
            <w:tcW w:w="3812" w:type="dxa"/>
            <w:tcBorders>
              <w:top w:val="nil"/>
              <w:left w:val="single" w:sz="4" w:space="0" w:color="000000"/>
              <w:bottom w:val="nil"/>
              <w:right w:val="single" w:sz="4" w:space="0" w:color="000000"/>
            </w:tcBorders>
            <w:shd w:val="clear" w:color="auto" w:fill="E2E2E2"/>
          </w:tcPr>
          <w:p w14:paraId="6AA34805" w14:textId="77777777" w:rsidR="00672237" w:rsidRPr="00376FCA" w:rsidRDefault="00672237" w:rsidP="00DB634F">
            <w:r w:rsidRPr="00376FCA">
              <w:t xml:space="preserve">    z toho vplyvy na MSP</w:t>
            </w:r>
          </w:p>
          <w:p w14:paraId="150EC614" w14:textId="77777777" w:rsidR="00672237" w:rsidRPr="00376FCA" w:rsidRDefault="00672237" w:rsidP="00DB634F"/>
        </w:tc>
        <w:sdt>
          <w:sdt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2D1B412" w14:textId="39340C92" w:rsidR="00672237" w:rsidRPr="00376FCA" w:rsidRDefault="00E13EE0" w:rsidP="00DB634F">
                <w:pPr>
                  <w:jc w:val="center"/>
                </w:pPr>
                <w:r>
                  <w:rPr>
                    <w:rFonts w:ascii="MS Gothic" w:eastAsia="MS Gothic" w:hAnsi="MS Gothic" w:hint="eastAsia"/>
                  </w:rPr>
                  <w:t>☐</w:t>
                </w:r>
              </w:p>
            </w:tc>
          </w:sdtContent>
        </w:sdt>
        <w:tc>
          <w:tcPr>
            <w:tcW w:w="1312" w:type="dxa"/>
            <w:gridSpan w:val="2"/>
            <w:tcBorders>
              <w:top w:val="dotted" w:sz="4" w:space="0" w:color="auto"/>
              <w:left w:val="nil"/>
              <w:bottom w:val="dotted" w:sz="4" w:space="0" w:color="auto"/>
              <w:right w:val="nil"/>
            </w:tcBorders>
            <w:vAlign w:val="center"/>
          </w:tcPr>
          <w:p w14:paraId="71F60954" w14:textId="77777777" w:rsidR="00672237" w:rsidRPr="00376FCA" w:rsidRDefault="00672237" w:rsidP="00DB634F">
            <w:pPr>
              <w:ind w:right="-108"/>
            </w:pPr>
            <w:r w:rsidRPr="00376FCA">
              <w:t>Pozitívne</w:t>
            </w:r>
          </w:p>
        </w:tc>
        <w:sdt>
          <w:sdtPr>
            <w:id w:val="994611021"/>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tcPr>
              <w:p w14:paraId="06D0BFD9" w14:textId="7192DE77" w:rsidR="00672237" w:rsidRPr="00376FCA" w:rsidRDefault="006E2698" w:rsidP="00DB634F">
                <w:pPr>
                  <w:jc w:val="center"/>
                </w:pPr>
                <w:r>
                  <w:rPr>
                    <w:rFonts w:ascii="MS Gothic" w:eastAsia="MS Gothic" w:hAnsi="MS Gothic" w:hint="eastAsia"/>
                  </w:rPr>
                  <w:t>☒</w:t>
                </w:r>
              </w:p>
            </w:tc>
          </w:sdtContent>
        </w:sdt>
        <w:tc>
          <w:tcPr>
            <w:tcW w:w="1133" w:type="dxa"/>
            <w:tcBorders>
              <w:top w:val="dotted" w:sz="4" w:space="0" w:color="auto"/>
              <w:left w:val="nil"/>
              <w:bottom w:val="dotted" w:sz="4" w:space="0" w:color="auto"/>
              <w:right w:val="nil"/>
            </w:tcBorders>
            <w:vAlign w:val="center"/>
          </w:tcPr>
          <w:p w14:paraId="115CA3B4" w14:textId="77777777" w:rsidR="00672237" w:rsidRPr="00376FCA" w:rsidRDefault="00672237" w:rsidP="00DB634F">
            <w:r w:rsidRPr="006E2698">
              <w:t>Žiadne</w:t>
            </w:r>
          </w:p>
        </w:tc>
        <w:sdt>
          <w:sdt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A00E8E3" w14:textId="666FA672" w:rsidR="00672237" w:rsidRPr="00376FCA" w:rsidRDefault="00E13EE0" w:rsidP="00DB634F">
                <w:pPr>
                  <w:jc w:val="center"/>
                </w:pPr>
                <w:r>
                  <w:rPr>
                    <w:rFonts w:ascii="MS Gothic" w:eastAsia="MS Gothic" w:hAnsi="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14:paraId="7FF324A7" w14:textId="77777777" w:rsidR="00672237" w:rsidRPr="00376FCA" w:rsidRDefault="00672237" w:rsidP="00DB634F">
            <w:pPr>
              <w:ind w:left="54"/>
            </w:pPr>
            <w:r w:rsidRPr="00376FCA">
              <w:t>Negatívne</w:t>
            </w:r>
          </w:p>
        </w:tc>
      </w:tr>
      <w:tr w:rsidR="00672237" w:rsidRPr="00391793" w14:paraId="40163535" w14:textId="77777777" w:rsidTr="004905FD">
        <w:tc>
          <w:tcPr>
            <w:tcW w:w="3812" w:type="dxa"/>
            <w:tcBorders>
              <w:top w:val="nil"/>
              <w:left w:val="single" w:sz="4" w:space="0" w:color="auto"/>
              <w:bottom w:val="single" w:sz="4" w:space="0" w:color="auto"/>
              <w:right w:val="single" w:sz="4" w:space="0" w:color="auto"/>
            </w:tcBorders>
            <w:shd w:val="clear" w:color="auto" w:fill="E2E2E2"/>
          </w:tcPr>
          <w:p w14:paraId="6F2A1C85" w14:textId="1214292D" w:rsidR="00672237" w:rsidRPr="00376FCA" w:rsidRDefault="00672237" w:rsidP="00DB634F">
            <w:r w:rsidRPr="00376FCA">
              <w:t xml:space="preserve"> Mechanizmus znižovania byrokracie    </w:t>
            </w:r>
          </w:p>
          <w:p w14:paraId="3D9506AA" w14:textId="1360F251" w:rsidR="00672237" w:rsidRPr="00376FCA" w:rsidRDefault="00E7453A" w:rsidP="00DB634F">
            <w:pPr>
              <w:rPr>
                <w:b/>
              </w:rPr>
            </w:pPr>
            <w:r>
              <w:t xml:space="preserve"> </w:t>
            </w:r>
            <w:r w:rsidR="00672237" w:rsidRPr="00376FCA">
              <w:t>a nákladov sa uplatňuje:</w:t>
            </w:r>
          </w:p>
        </w:tc>
        <w:sdt>
          <w:sdtPr>
            <w:rPr>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92D746A" w14:textId="163625EA" w:rsidR="00672237" w:rsidRPr="00376FCA" w:rsidRDefault="006E2698" w:rsidP="00DB634F">
                <w:pPr>
                  <w:jc w:val="center"/>
                  <w:rPr>
                    <w:b/>
                  </w:rPr>
                </w:pPr>
                <w:r>
                  <w:rPr>
                    <w:rFonts w:ascii="MS Gothic" w:eastAsia="MS Gothic" w:hAnsi="MS Gothic" w:hint="eastAsia"/>
                    <w:b/>
                  </w:rPr>
                  <w:t>☐</w:t>
                </w:r>
              </w:p>
            </w:tc>
          </w:sdtContent>
        </w:sdt>
        <w:tc>
          <w:tcPr>
            <w:tcW w:w="1312" w:type="dxa"/>
            <w:gridSpan w:val="2"/>
            <w:tcBorders>
              <w:top w:val="dotted" w:sz="4" w:space="0" w:color="auto"/>
              <w:left w:val="nil"/>
              <w:bottom w:val="single" w:sz="4" w:space="0" w:color="auto"/>
              <w:right w:val="nil"/>
            </w:tcBorders>
            <w:vAlign w:val="center"/>
          </w:tcPr>
          <w:p w14:paraId="7FD7B303" w14:textId="77777777" w:rsidR="00672237" w:rsidRPr="00376FCA" w:rsidRDefault="00672237" w:rsidP="00DB634F">
            <w:pPr>
              <w:ind w:right="-108"/>
              <w:rPr>
                <w:b/>
              </w:rPr>
            </w:pPr>
            <w:r w:rsidRPr="00376FCA">
              <w:t>Áno</w:t>
            </w:r>
          </w:p>
        </w:tc>
        <w:tc>
          <w:tcPr>
            <w:tcW w:w="538" w:type="dxa"/>
            <w:tcBorders>
              <w:top w:val="dotted" w:sz="4" w:space="0" w:color="auto"/>
              <w:left w:val="nil"/>
              <w:bottom w:val="single" w:sz="4" w:space="0" w:color="auto"/>
              <w:right w:val="nil"/>
            </w:tcBorders>
            <w:vAlign w:val="center"/>
          </w:tcPr>
          <w:p w14:paraId="10FB7640" w14:textId="77777777" w:rsidR="00672237" w:rsidRPr="00376FCA" w:rsidRDefault="00672237" w:rsidP="00DB634F">
            <w:pPr>
              <w:jc w:val="center"/>
              <w:rPr>
                <w:b/>
              </w:rPr>
            </w:pPr>
          </w:p>
        </w:tc>
        <w:tc>
          <w:tcPr>
            <w:tcW w:w="1133" w:type="dxa"/>
            <w:tcBorders>
              <w:top w:val="dotted" w:sz="4" w:space="0" w:color="auto"/>
              <w:left w:val="nil"/>
              <w:bottom w:val="single" w:sz="4" w:space="0" w:color="auto"/>
              <w:right w:val="nil"/>
            </w:tcBorders>
            <w:vAlign w:val="center"/>
          </w:tcPr>
          <w:p w14:paraId="19F427FB" w14:textId="77777777" w:rsidR="00672237" w:rsidRPr="00376FCA" w:rsidRDefault="00672237" w:rsidP="00DB634F">
            <w:pPr>
              <w:jc w:val="center"/>
              <w:rPr>
                <w:b/>
              </w:rPr>
            </w:pPr>
          </w:p>
        </w:tc>
        <w:sdt>
          <w:sdtPr>
            <w:rPr>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6AE7A89" w14:textId="1DD7BFE1" w:rsidR="00672237" w:rsidRPr="00376FCA" w:rsidRDefault="006E2698" w:rsidP="00DB634F">
                <w:pPr>
                  <w:jc w:val="center"/>
                  <w:rPr>
                    <w:b/>
                  </w:rPr>
                </w:pPr>
                <w:r>
                  <w:rPr>
                    <w:rFonts w:ascii="MS Gothic" w:eastAsia="MS Gothic" w:hAnsi="MS Gothic" w:hint="eastAsia"/>
                    <w:b/>
                  </w:rPr>
                  <w:t>☒</w:t>
                </w:r>
              </w:p>
            </w:tc>
          </w:sdtContent>
        </w:sdt>
        <w:tc>
          <w:tcPr>
            <w:tcW w:w="1297" w:type="dxa"/>
            <w:tcBorders>
              <w:top w:val="dotted" w:sz="4" w:space="0" w:color="auto"/>
              <w:left w:val="nil"/>
              <w:bottom w:val="single" w:sz="4" w:space="0" w:color="auto"/>
              <w:right w:val="single" w:sz="4" w:space="0" w:color="auto"/>
            </w:tcBorders>
            <w:vAlign w:val="center"/>
          </w:tcPr>
          <w:p w14:paraId="2E9FB602" w14:textId="77777777" w:rsidR="00672237" w:rsidRPr="00376FCA" w:rsidRDefault="00672237" w:rsidP="00DB634F">
            <w:pPr>
              <w:ind w:left="54"/>
              <w:rPr>
                <w:b/>
              </w:rPr>
            </w:pPr>
            <w:r w:rsidRPr="00376FCA">
              <w:t>Nie</w:t>
            </w:r>
          </w:p>
        </w:tc>
      </w:tr>
      <w:tr w:rsidR="00672237" w:rsidRPr="00391793" w14:paraId="68EB370F" w14:textId="77777777" w:rsidTr="00DB634F">
        <w:tc>
          <w:tcPr>
            <w:tcW w:w="3812" w:type="dxa"/>
            <w:tcBorders>
              <w:top w:val="single" w:sz="4" w:space="0" w:color="000000"/>
              <w:left w:val="single" w:sz="4" w:space="0" w:color="auto"/>
              <w:bottom w:val="single" w:sz="4" w:space="0" w:color="auto"/>
              <w:right w:val="single" w:sz="4" w:space="0" w:color="auto"/>
            </w:tcBorders>
            <w:shd w:val="clear" w:color="auto" w:fill="E2E2E2"/>
          </w:tcPr>
          <w:p w14:paraId="2F03FADC" w14:textId="77777777" w:rsidR="00672237" w:rsidRPr="00376FCA" w:rsidRDefault="00672237" w:rsidP="00DB634F">
            <w:pPr>
              <w:rPr>
                <w:b/>
              </w:rPr>
            </w:pPr>
            <w:r w:rsidRPr="00376FCA">
              <w:rPr>
                <w:b/>
              </w:rPr>
              <w:t>Sociálne vplyvy</w:t>
            </w:r>
          </w:p>
        </w:tc>
        <w:sdt>
          <w:sdtPr>
            <w:rPr>
              <w:b/>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6BBA423" w14:textId="20144555" w:rsidR="00672237" w:rsidRPr="00376FCA" w:rsidRDefault="00E13EE0" w:rsidP="00DB634F">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single" w:sz="4" w:space="0" w:color="auto"/>
              <w:right w:val="nil"/>
            </w:tcBorders>
          </w:tcPr>
          <w:p w14:paraId="2794A0DE" w14:textId="77777777" w:rsidR="00672237" w:rsidRPr="00376FCA" w:rsidRDefault="00672237" w:rsidP="00DB634F">
            <w:pPr>
              <w:ind w:right="-108"/>
              <w:rPr>
                <w:b/>
              </w:rPr>
            </w:pPr>
            <w:r w:rsidRPr="00376FCA">
              <w:rPr>
                <w:b/>
              </w:rPr>
              <w:t>Pozitívne</w:t>
            </w:r>
          </w:p>
        </w:tc>
        <w:sdt>
          <w:sdtPr>
            <w:rPr>
              <w:b/>
            </w:rPr>
            <w:id w:val="-1872293991"/>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0BEC2970" w14:textId="25A31934" w:rsidR="00672237" w:rsidRPr="00376FCA" w:rsidRDefault="006E2698"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7DFE576B" w14:textId="77777777" w:rsidR="00672237" w:rsidRPr="00376FCA" w:rsidRDefault="00672237" w:rsidP="00DB634F">
            <w:pPr>
              <w:rPr>
                <w:b/>
              </w:rPr>
            </w:pPr>
            <w:r w:rsidRPr="00376FCA">
              <w:rPr>
                <w:b/>
              </w:rPr>
              <w:t>Žiadne</w:t>
            </w:r>
          </w:p>
        </w:tc>
        <w:sdt>
          <w:sdtPr>
            <w:rPr>
              <w:b/>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16CAABF" w14:textId="57F8DF8E"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60DF1310" w14:textId="77777777" w:rsidR="00672237" w:rsidRPr="00376FCA" w:rsidRDefault="00672237" w:rsidP="00DB634F">
            <w:pPr>
              <w:ind w:left="54"/>
              <w:rPr>
                <w:b/>
              </w:rPr>
            </w:pPr>
            <w:r w:rsidRPr="00376FCA">
              <w:rPr>
                <w:b/>
              </w:rPr>
              <w:t>Negatívne</w:t>
            </w:r>
          </w:p>
        </w:tc>
      </w:tr>
      <w:tr w:rsidR="00672237" w:rsidRPr="00391793" w14:paraId="53129140" w14:textId="77777777" w:rsidTr="00DB634F">
        <w:tc>
          <w:tcPr>
            <w:tcW w:w="3812" w:type="dxa"/>
            <w:tcBorders>
              <w:top w:val="single" w:sz="4" w:space="0" w:color="auto"/>
              <w:left w:val="single" w:sz="4" w:space="0" w:color="auto"/>
              <w:bottom w:val="single" w:sz="4" w:space="0" w:color="auto"/>
              <w:right w:val="single" w:sz="4" w:space="0" w:color="auto"/>
            </w:tcBorders>
            <w:shd w:val="clear" w:color="auto" w:fill="E2E2E2"/>
          </w:tcPr>
          <w:p w14:paraId="22AC2A05" w14:textId="77777777" w:rsidR="00672237" w:rsidRPr="00376FCA" w:rsidRDefault="00672237" w:rsidP="00DB634F">
            <w:pPr>
              <w:rPr>
                <w:b/>
              </w:rPr>
            </w:pPr>
            <w:r w:rsidRPr="00376FCA">
              <w:rPr>
                <w:b/>
              </w:rPr>
              <w:t>Vplyvy na životné prostredie</w:t>
            </w:r>
          </w:p>
        </w:tc>
        <w:sdt>
          <w:sdtPr>
            <w:rPr>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D4C70D" w14:textId="7DC41375"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1AE51145" w14:textId="77777777" w:rsidR="00672237" w:rsidRPr="00376FCA" w:rsidRDefault="00672237" w:rsidP="00DB634F">
            <w:pPr>
              <w:ind w:right="-108"/>
              <w:rPr>
                <w:b/>
              </w:rPr>
            </w:pPr>
            <w:r w:rsidRPr="00376FCA">
              <w:rPr>
                <w:b/>
              </w:rPr>
              <w:t>Pozitívne</w:t>
            </w:r>
          </w:p>
        </w:tc>
        <w:sdt>
          <w:sdtPr>
            <w:rPr>
              <w:b/>
            </w:rPr>
            <w:id w:val="-2060162118"/>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60D44BD9" w14:textId="1E8A14E8" w:rsidR="00672237" w:rsidRPr="00376FCA" w:rsidRDefault="00672237"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B6E9E1F" w14:textId="77777777" w:rsidR="00672237" w:rsidRPr="00376FCA" w:rsidRDefault="00672237" w:rsidP="00DB634F">
            <w:pPr>
              <w:rPr>
                <w:b/>
              </w:rPr>
            </w:pPr>
            <w:r w:rsidRPr="006E2698">
              <w:rPr>
                <w:b/>
              </w:rPr>
              <w:t>Žiadne</w:t>
            </w:r>
          </w:p>
        </w:tc>
        <w:sdt>
          <w:sdtPr>
            <w:rPr>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DB4E061" w14:textId="795451F2"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4F10D044" w14:textId="77777777" w:rsidR="00672237" w:rsidRPr="00376FCA" w:rsidRDefault="00672237" w:rsidP="00DB634F">
            <w:pPr>
              <w:ind w:left="54"/>
              <w:rPr>
                <w:b/>
              </w:rPr>
            </w:pPr>
            <w:r w:rsidRPr="00376FCA">
              <w:rPr>
                <w:b/>
              </w:rPr>
              <w:t>Negatívne</w:t>
            </w:r>
          </w:p>
        </w:tc>
      </w:tr>
      <w:tr w:rsidR="00672237" w:rsidRPr="00391793" w14:paraId="2176EEEA" w14:textId="77777777" w:rsidTr="00DB634F">
        <w:tc>
          <w:tcPr>
            <w:tcW w:w="3812" w:type="dxa"/>
            <w:tcBorders>
              <w:top w:val="single" w:sz="4" w:space="0" w:color="auto"/>
              <w:left w:val="single" w:sz="4" w:space="0" w:color="auto"/>
              <w:bottom w:val="single" w:sz="4" w:space="0" w:color="auto"/>
              <w:right w:val="single" w:sz="4" w:space="0" w:color="auto"/>
            </w:tcBorders>
            <w:shd w:val="clear" w:color="auto" w:fill="E2E2E2"/>
          </w:tcPr>
          <w:p w14:paraId="0A5B2835" w14:textId="77777777" w:rsidR="00672237" w:rsidRPr="00376FCA" w:rsidRDefault="00672237" w:rsidP="00DB634F">
            <w:pPr>
              <w:rPr>
                <w:b/>
              </w:rPr>
            </w:pPr>
            <w:r w:rsidRPr="00376FCA">
              <w:rPr>
                <w:b/>
              </w:rPr>
              <w:t>Vplyvy na informatizáciu spoločnosti</w:t>
            </w:r>
          </w:p>
        </w:tc>
        <w:sdt>
          <w:sdtPr>
            <w:rPr>
              <w:b/>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6223891" w14:textId="06913A41" w:rsidR="00672237" w:rsidRPr="00376FCA" w:rsidRDefault="00F02043" w:rsidP="00DB634F">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single" w:sz="4" w:space="0" w:color="auto"/>
              <w:right w:val="nil"/>
            </w:tcBorders>
          </w:tcPr>
          <w:p w14:paraId="49E0FF2C" w14:textId="77777777" w:rsidR="00672237" w:rsidRPr="00376FCA" w:rsidRDefault="00672237" w:rsidP="00DB634F">
            <w:pPr>
              <w:ind w:right="-108"/>
              <w:rPr>
                <w:b/>
              </w:rPr>
            </w:pPr>
            <w:r w:rsidRPr="00376FCA">
              <w:rPr>
                <w:b/>
              </w:rPr>
              <w:t>Pozitívne</w:t>
            </w:r>
          </w:p>
        </w:tc>
        <w:sdt>
          <w:sdtPr>
            <w:rPr>
              <w:b/>
            </w:rPr>
            <w:id w:val="16960343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57AA156C" w14:textId="6A51F7FE" w:rsidR="00672237" w:rsidRPr="00376FCA" w:rsidRDefault="00F02043"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304B34A" w14:textId="77777777" w:rsidR="00672237" w:rsidRPr="00376FCA" w:rsidRDefault="00672237" w:rsidP="00DB634F">
            <w:pPr>
              <w:rPr>
                <w:b/>
              </w:rPr>
            </w:pPr>
            <w:r w:rsidRPr="006E2698">
              <w:rPr>
                <w:b/>
              </w:rPr>
              <w:t>Žiadne</w:t>
            </w:r>
          </w:p>
        </w:tc>
        <w:sdt>
          <w:sdtPr>
            <w:rPr>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65EFCAB" w14:textId="2006824A"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150FFD59" w14:textId="77777777" w:rsidR="00672237" w:rsidRPr="00376FCA" w:rsidRDefault="00672237" w:rsidP="00DB634F">
            <w:pPr>
              <w:ind w:left="54"/>
              <w:rPr>
                <w:b/>
              </w:rPr>
            </w:pPr>
            <w:r w:rsidRPr="00376FCA">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672237" w:rsidRPr="00391793" w14:paraId="5ED0731F" w14:textId="77777777" w:rsidTr="004905FD">
        <w:tc>
          <w:tcPr>
            <w:tcW w:w="3812" w:type="dxa"/>
            <w:tcBorders>
              <w:top w:val="single" w:sz="4" w:space="0" w:color="auto"/>
              <w:left w:val="single" w:sz="4" w:space="0" w:color="auto"/>
              <w:bottom w:val="nil"/>
              <w:right w:val="single" w:sz="4" w:space="0" w:color="auto"/>
            </w:tcBorders>
            <w:shd w:val="clear" w:color="auto" w:fill="E2E2E2"/>
          </w:tcPr>
          <w:p w14:paraId="6AB84798" w14:textId="77777777" w:rsidR="00672237" w:rsidRPr="00376FCA" w:rsidRDefault="00672237" w:rsidP="00DB634F">
            <w:pPr>
              <w:rPr>
                <w:b/>
              </w:rPr>
            </w:pPr>
            <w:r w:rsidRPr="00376FCA">
              <w:rPr>
                <w:rFonts w:eastAsia="Calibri"/>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3A9F8216" w14:textId="77777777" w:rsidR="00672237" w:rsidRPr="00376FCA" w:rsidRDefault="00672237" w:rsidP="00DB634F">
            <w:pPr>
              <w:jc w:val="center"/>
              <w:rPr>
                <w:rFonts w:eastAsia="MS Mincho"/>
                <w:b/>
              </w:rPr>
            </w:pPr>
          </w:p>
        </w:tc>
        <w:tc>
          <w:tcPr>
            <w:tcW w:w="1312" w:type="dxa"/>
            <w:tcBorders>
              <w:top w:val="single" w:sz="4" w:space="0" w:color="auto"/>
              <w:left w:val="nil"/>
              <w:bottom w:val="nil"/>
              <w:right w:val="nil"/>
            </w:tcBorders>
            <w:shd w:val="clear" w:color="auto" w:fill="auto"/>
          </w:tcPr>
          <w:p w14:paraId="144E671A" w14:textId="77777777" w:rsidR="00672237" w:rsidRPr="00376FCA" w:rsidRDefault="00672237" w:rsidP="00DB634F">
            <w:pPr>
              <w:ind w:right="-108"/>
              <w:rPr>
                <w:b/>
              </w:rPr>
            </w:pPr>
          </w:p>
        </w:tc>
        <w:tc>
          <w:tcPr>
            <w:tcW w:w="538" w:type="dxa"/>
            <w:tcBorders>
              <w:top w:val="single" w:sz="4" w:space="0" w:color="auto"/>
              <w:left w:val="nil"/>
              <w:bottom w:val="nil"/>
              <w:right w:val="nil"/>
            </w:tcBorders>
            <w:shd w:val="clear" w:color="auto" w:fill="auto"/>
          </w:tcPr>
          <w:p w14:paraId="1ED61382" w14:textId="77777777" w:rsidR="00672237" w:rsidRPr="00376FCA" w:rsidRDefault="00672237" w:rsidP="00DB634F">
            <w:pPr>
              <w:jc w:val="center"/>
              <w:rPr>
                <w:rFonts w:eastAsia="MS Mincho"/>
                <w:b/>
              </w:rPr>
            </w:pPr>
          </w:p>
        </w:tc>
        <w:tc>
          <w:tcPr>
            <w:tcW w:w="1133" w:type="dxa"/>
            <w:tcBorders>
              <w:top w:val="single" w:sz="4" w:space="0" w:color="auto"/>
              <w:left w:val="nil"/>
              <w:bottom w:val="nil"/>
              <w:right w:val="nil"/>
            </w:tcBorders>
            <w:shd w:val="clear" w:color="auto" w:fill="auto"/>
          </w:tcPr>
          <w:p w14:paraId="15B72B82" w14:textId="77777777" w:rsidR="00672237" w:rsidRPr="00376FCA" w:rsidRDefault="00672237" w:rsidP="00DB634F">
            <w:pPr>
              <w:rPr>
                <w:b/>
              </w:rPr>
            </w:pPr>
          </w:p>
        </w:tc>
        <w:tc>
          <w:tcPr>
            <w:tcW w:w="547" w:type="dxa"/>
            <w:tcBorders>
              <w:top w:val="single" w:sz="4" w:space="0" w:color="auto"/>
              <w:left w:val="nil"/>
              <w:bottom w:val="nil"/>
              <w:right w:val="nil"/>
            </w:tcBorders>
            <w:shd w:val="clear" w:color="auto" w:fill="auto"/>
          </w:tcPr>
          <w:p w14:paraId="2F0CE66E" w14:textId="77777777" w:rsidR="00672237" w:rsidRPr="00376FCA" w:rsidRDefault="00672237" w:rsidP="00DB634F">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1CF0D963" w14:textId="77777777" w:rsidR="00672237" w:rsidRPr="00376FCA" w:rsidRDefault="00672237" w:rsidP="00DB634F">
            <w:pPr>
              <w:ind w:left="54"/>
              <w:rPr>
                <w:b/>
              </w:rPr>
            </w:pPr>
          </w:p>
        </w:tc>
      </w:tr>
      <w:tr w:rsidR="00672237" w:rsidRPr="00391793" w14:paraId="6F9C8498" w14:textId="77777777" w:rsidTr="004905FD">
        <w:tc>
          <w:tcPr>
            <w:tcW w:w="3812" w:type="dxa"/>
            <w:tcBorders>
              <w:top w:val="nil"/>
              <w:left w:val="single" w:sz="4" w:space="0" w:color="auto"/>
              <w:bottom w:val="nil"/>
              <w:right w:val="single" w:sz="4" w:space="0" w:color="auto"/>
            </w:tcBorders>
            <w:shd w:val="clear" w:color="auto" w:fill="E2E2E2"/>
          </w:tcPr>
          <w:p w14:paraId="7DDD4306" w14:textId="77777777" w:rsidR="00672237" w:rsidRPr="00376FCA" w:rsidRDefault="00672237" w:rsidP="00DB634F">
            <w:pPr>
              <w:ind w:left="196" w:hanging="196"/>
              <w:rPr>
                <w:rFonts w:eastAsia="Calibri"/>
                <w:b/>
              </w:rPr>
            </w:pPr>
            <w:r w:rsidRPr="00376FCA">
              <w:rPr>
                <w:rFonts w:eastAsia="Calibri"/>
                <w:b/>
              </w:rPr>
              <w:t xml:space="preserve">    vplyvy služieb verejnej správy na občana</w:t>
            </w:r>
          </w:p>
        </w:tc>
        <w:sdt>
          <w:sdtPr>
            <w:rPr>
              <w:b/>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C614A6C" w14:textId="4E15817A"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312" w:type="dxa"/>
            <w:tcBorders>
              <w:top w:val="nil"/>
              <w:left w:val="nil"/>
              <w:bottom w:val="dotted" w:sz="4" w:space="0" w:color="auto"/>
              <w:right w:val="nil"/>
            </w:tcBorders>
            <w:shd w:val="clear" w:color="auto" w:fill="auto"/>
          </w:tcPr>
          <w:p w14:paraId="2B70D3D9" w14:textId="77777777" w:rsidR="00672237" w:rsidRPr="00376FCA" w:rsidRDefault="00672237" w:rsidP="00DB634F">
            <w:pPr>
              <w:ind w:right="-108"/>
              <w:rPr>
                <w:b/>
              </w:rPr>
            </w:pPr>
            <w:r w:rsidRPr="00376FCA">
              <w:rPr>
                <w:b/>
              </w:rPr>
              <w:t>Pozitívne</w:t>
            </w:r>
          </w:p>
        </w:tc>
        <w:sdt>
          <w:sdtPr>
            <w:rPr>
              <w:b/>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27BF1AB" w14:textId="1BECA4A9" w:rsidR="00672237" w:rsidRPr="00376FCA" w:rsidRDefault="00672237" w:rsidP="00DB634F">
                <w:pPr>
                  <w:jc w:val="center"/>
                  <w:rPr>
                    <w:b/>
                  </w:rPr>
                </w:pPr>
                <w:r>
                  <w:rPr>
                    <w:rFonts w:ascii="MS Gothic" w:eastAsia="MS Gothic" w:hAnsi="MS Gothic" w:hint="eastAsia"/>
                    <w:b/>
                  </w:rPr>
                  <w:t>☒</w:t>
                </w:r>
              </w:p>
            </w:tc>
          </w:sdtContent>
        </w:sdt>
        <w:tc>
          <w:tcPr>
            <w:tcW w:w="1133" w:type="dxa"/>
            <w:tcBorders>
              <w:top w:val="nil"/>
              <w:left w:val="nil"/>
              <w:bottom w:val="dotted" w:sz="4" w:space="0" w:color="auto"/>
              <w:right w:val="nil"/>
            </w:tcBorders>
            <w:shd w:val="clear" w:color="auto" w:fill="auto"/>
          </w:tcPr>
          <w:p w14:paraId="07F2EBB1" w14:textId="77777777" w:rsidR="00672237" w:rsidRPr="00376FCA" w:rsidRDefault="00672237" w:rsidP="00DB634F">
            <w:pPr>
              <w:rPr>
                <w:b/>
              </w:rPr>
            </w:pPr>
            <w:r w:rsidRPr="00376FCA">
              <w:rPr>
                <w:b/>
              </w:rPr>
              <w:t>Žiadne</w:t>
            </w:r>
          </w:p>
        </w:tc>
        <w:sdt>
          <w:sdtPr>
            <w:rPr>
              <w:b/>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D488C1E" w14:textId="582C2418"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297" w:type="dxa"/>
            <w:tcBorders>
              <w:top w:val="nil"/>
              <w:left w:val="nil"/>
              <w:bottom w:val="dotted" w:sz="4" w:space="0" w:color="auto"/>
              <w:right w:val="single" w:sz="4" w:space="0" w:color="auto"/>
            </w:tcBorders>
            <w:shd w:val="clear" w:color="auto" w:fill="auto"/>
          </w:tcPr>
          <w:p w14:paraId="333411D2" w14:textId="77777777" w:rsidR="00672237" w:rsidRPr="00376FCA" w:rsidRDefault="00672237" w:rsidP="00DB634F">
            <w:pPr>
              <w:ind w:left="54"/>
              <w:rPr>
                <w:b/>
              </w:rPr>
            </w:pPr>
            <w:r w:rsidRPr="00376FCA">
              <w:rPr>
                <w:b/>
              </w:rPr>
              <w:t>Negatívne</w:t>
            </w:r>
          </w:p>
        </w:tc>
      </w:tr>
      <w:tr w:rsidR="00672237" w:rsidRPr="00391793" w14:paraId="57078650" w14:textId="77777777" w:rsidTr="004905FD">
        <w:tc>
          <w:tcPr>
            <w:tcW w:w="3812" w:type="dxa"/>
            <w:tcBorders>
              <w:top w:val="nil"/>
              <w:left w:val="single" w:sz="4" w:space="0" w:color="auto"/>
              <w:bottom w:val="nil"/>
              <w:right w:val="single" w:sz="4" w:space="0" w:color="auto"/>
            </w:tcBorders>
            <w:shd w:val="clear" w:color="auto" w:fill="E2E2E2"/>
          </w:tcPr>
          <w:p w14:paraId="6297BD38" w14:textId="77777777" w:rsidR="00672237" w:rsidRPr="00376FCA" w:rsidRDefault="00672237" w:rsidP="00DB634F">
            <w:pPr>
              <w:ind w:left="168" w:hanging="168"/>
              <w:rPr>
                <w:rFonts w:eastAsia="Calibri"/>
                <w:b/>
              </w:rPr>
            </w:pPr>
            <w:r w:rsidRPr="00376FCA">
              <w:rPr>
                <w:rFonts w:eastAsia="Calibri"/>
                <w:b/>
              </w:rPr>
              <w:t xml:space="preserve">    vplyvy na procesy služieb vo verejnej správe</w:t>
            </w:r>
          </w:p>
        </w:tc>
        <w:sdt>
          <w:sdtPr>
            <w:rPr>
              <w:b/>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242ECE0" w14:textId="5DF078DA"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312" w:type="dxa"/>
            <w:tcBorders>
              <w:top w:val="dotted" w:sz="4" w:space="0" w:color="auto"/>
              <w:left w:val="nil"/>
              <w:bottom w:val="dotted" w:sz="4" w:space="0" w:color="auto"/>
              <w:right w:val="nil"/>
            </w:tcBorders>
            <w:shd w:val="clear" w:color="auto" w:fill="auto"/>
            <w:vAlign w:val="center"/>
          </w:tcPr>
          <w:p w14:paraId="0C863DEC" w14:textId="77777777" w:rsidR="00672237" w:rsidRPr="00376FCA" w:rsidRDefault="00672237" w:rsidP="00DB634F">
            <w:pPr>
              <w:ind w:right="-108"/>
              <w:rPr>
                <w:b/>
              </w:rPr>
            </w:pPr>
            <w:r w:rsidRPr="00376FCA">
              <w:rPr>
                <w:b/>
              </w:rPr>
              <w:t>Pozitívne</w:t>
            </w:r>
          </w:p>
        </w:tc>
        <w:sdt>
          <w:sdtPr>
            <w:rPr>
              <w:b/>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502339F" w14:textId="7D9F3471" w:rsidR="00672237" w:rsidRPr="00376FCA" w:rsidRDefault="00672237" w:rsidP="00DB634F">
                <w:pPr>
                  <w:jc w:val="center"/>
                  <w:rPr>
                    <w:b/>
                  </w:rPr>
                </w:pPr>
                <w:r>
                  <w:rPr>
                    <w:rFonts w:ascii="MS Gothic" w:eastAsia="MS Gothic" w:hAnsi="MS Gothic" w:hint="eastAsia"/>
                    <w:b/>
                  </w:rPr>
                  <w:t>☒</w:t>
                </w:r>
              </w:p>
            </w:tc>
          </w:sdtContent>
        </w:sdt>
        <w:tc>
          <w:tcPr>
            <w:tcW w:w="1133" w:type="dxa"/>
            <w:tcBorders>
              <w:top w:val="dotted" w:sz="4" w:space="0" w:color="auto"/>
              <w:left w:val="nil"/>
              <w:bottom w:val="dotted" w:sz="4" w:space="0" w:color="auto"/>
              <w:right w:val="nil"/>
            </w:tcBorders>
            <w:shd w:val="clear" w:color="auto" w:fill="auto"/>
            <w:vAlign w:val="center"/>
          </w:tcPr>
          <w:p w14:paraId="108306AC" w14:textId="77777777" w:rsidR="00672237" w:rsidRPr="00376FCA" w:rsidRDefault="00672237" w:rsidP="00DB634F">
            <w:pPr>
              <w:rPr>
                <w:b/>
              </w:rPr>
            </w:pPr>
            <w:r w:rsidRPr="00376FCA">
              <w:rPr>
                <w:b/>
              </w:rPr>
              <w:t>Žiadne</w:t>
            </w:r>
          </w:p>
        </w:tc>
        <w:sdt>
          <w:sdtPr>
            <w:rPr>
              <w:b/>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DA3B8E6" w14:textId="4735D9E4"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CF8FCCF" w14:textId="77777777" w:rsidR="00672237" w:rsidRPr="00376FCA" w:rsidRDefault="00672237" w:rsidP="00DB634F">
            <w:pPr>
              <w:ind w:left="54"/>
              <w:rPr>
                <w:b/>
              </w:rPr>
            </w:pPr>
            <w:r w:rsidRPr="00376FCA">
              <w:rPr>
                <w:b/>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72237" w:rsidRPr="00391793" w14:paraId="592317E7" w14:textId="77777777" w:rsidTr="00DB634F">
        <w:tc>
          <w:tcPr>
            <w:tcW w:w="3812" w:type="dxa"/>
            <w:tcBorders>
              <w:top w:val="single" w:sz="4" w:space="0" w:color="000000"/>
              <w:left w:val="single" w:sz="4" w:space="0" w:color="auto"/>
              <w:bottom w:val="single" w:sz="4" w:space="0" w:color="auto"/>
              <w:right w:val="single" w:sz="4" w:space="0" w:color="auto"/>
            </w:tcBorders>
            <w:shd w:val="clear" w:color="auto" w:fill="E2E2E2"/>
          </w:tcPr>
          <w:p w14:paraId="56B8813B" w14:textId="77777777" w:rsidR="00672237" w:rsidRPr="00376FCA" w:rsidRDefault="00672237" w:rsidP="00DB634F">
            <w:pPr>
              <w:rPr>
                <w:b/>
              </w:rPr>
            </w:pPr>
            <w:r w:rsidRPr="00376FCA">
              <w:rPr>
                <w:b/>
              </w:rPr>
              <w:t>Vplyvy na manželstvo, rodičovstvo a rodinu</w:t>
            </w:r>
          </w:p>
        </w:tc>
        <w:sdt>
          <w:sdtPr>
            <w:rPr>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F4289EC" w14:textId="05202E60" w:rsidR="00672237" w:rsidRPr="00376FCA" w:rsidRDefault="00672237" w:rsidP="00DB634F">
                <w:pPr>
                  <w:jc w:val="center"/>
                  <w:rPr>
                    <w:b/>
                  </w:rPr>
                </w:pPr>
                <w:r w:rsidRPr="00376FCA">
                  <w:rPr>
                    <w:rFonts w:ascii="Segoe UI Symbol" w:eastAsia="MS Gothic"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36B22C9A" w14:textId="77777777" w:rsidR="00672237" w:rsidRPr="00376FCA" w:rsidRDefault="00672237" w:rsidP="00DB634F">
            <w:pPr>
              <w:ind w:right="-108"/>
              <w:rPr>
                <w:b/>
              </w:rPr>
            </w:pPr>
            <w:r w:rsidRPr="00376FCA">
              <w:rPr>
                <w:b/>
              </w:rPr>
              <w:t>Pozitívne</w:t>
            </w:r>
          </w:p>
        </w:tc>
        <w:sdt>
          <w:sdtPr>
            <w:rPr>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C65F22D" w14:textId="163A0966" w:rsidR="00672237" w:rsidRPr="00376FCA" w:rsidRDefault="00672237" w:rsidP="00DB634F">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vAlign w:val="center"/>
          </w:tcPr>
          <w:p w14:paraId="1E088736" w14:textId="77777777" w:rsidR="00672237" w:rsidRPr="00376FCA" w:rsidRDefault="00672237" w:rsidP="00DB634F">
            <w:pPr>
              <w:rPr>
                <w:b/>
              </w:rPr>
            </w:pPr>
            <w:r w:rsidRPr="00376FCA">
              <w:rPr>
                <w:b/>
              </w:rPr>
              <w:t>Žiadne</w:t>
            </w:r>
          </w:p>
        </w:tc>
        <w:sdt>
          <w:sdtPr>
            <w:rPr>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837D498" w14:textId="37C870A4" w:rsidR="00672237" w:rsidRPr="00376FCA" w:rsidRDefault="00672237" w:rsidP="00DB634F">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14:paraId="20E3AAFB" w14:textId="77777777" w:rsidR="00672237" w:rsidRPr="00376FCA" w:rsidRDefault="00672237" w:rsidP="00DB634F">
            <w:pPr>
              <w:ind w:left="54"/>
              <w:rPr>
                <w:b/>
              </w:rPr>
            </w:pPr>
            <w:r w:rsidRPr="00376FCA">
              <w:rPr>
                <w:b/>
              </w:rPr>
              <w:t>Negatívne</w:t>
            </w:r>
          </w:p>
        </w:tc>
      </w:tr>
    </w:tbl>
    <w:p w14:paraId="3258E604" w14:textId="77777777" w:rsidR="00672237" w:rsidRPr="00376FCA" w:rsidRDefault="00672237" w:rsidP="00672237">
      <w:pPr>
        <w:ind w:right="141"/>
        <w:rPr>
          <w:b/>
        </w:rPr>
      </w:pPr>
    </w:p>
    <w:tbl>
      <w:tblPr>
        <w:tblStyle w:val="Mriekatabuky1"/>
        <w:tblpPr w:leftFromText="141" w:rightFromText="141" w:vertAnchor="text" w:tblpY="1"/>
        <w:tblOverlap w:val="never"/>
        <w:tblW w:w="9176" w:type="dxa"/>
        <w:tblLayout w:type="fixed"/>
        <w:tblLook w:val="04A0" w:firstRow="1" w:lastRow="0" w:firstColumn="1" w:lastColumn="0" w:noHBand="0" w:noVBand="1"/>
      </w:tblPr>
      <w:tblGrid>
        <w:gridCol w:w="9176"/>
      </w:tblGrid>
      <w:tr w:rsidR="00672237" w:rsidRPr="00391793" w14:paraId="2E998F19" w14:textId="77777777" w:rsidTr="00DB634F">
        <w:tc>
          <w:tcPr>
            <w:tcW w:w="9176" w:type="dxa"/>
            <w:tcBorders>
              <w:top w:val="single" w:sz="4" w:space="0" w:color="auto"/>
              <w:left w:val="single" w:sz="4" w:space="0" w:color="auto"/>
              <w:bottom w:val="nil"/>
              <w:right w:val="single" w:sz="4" w:space="0" w:color="auto"/>
            </w:tcBorders>
            <w:shd w:val="clear" w:color="auto" w:fill="E2E2E2"/>
          </w:tcPr>
          <w:p w14:paraId="177CECEA" w14:textId="77777777" w:rsidR="00672237" w:rsidRPr="00376FCA" w:rsidRDefault="00672237" w:rsidP="00672237">
            <w:pPr>
              <w:numPr>
                <w:ilvl w:val="0"/>
                <w:numId w:val="6"/>
              </w:numPr>
              <w:ind w:left="426"/>
              <w:contextualSpacing/>
              <w:rPr>
                <w:rFonts w:eastAsia="Calibri"/>
                <w:b/>
              </w:rPr>
            </w:pPr>
            <w:r w:rsidRPr="00376FCA">
              <w:rPr>
                <w:rFonts w:eastAsia="Calibri"/>
                <w:b/>
              </w:rPr>
              <w:t>Poznámky</w:t>
            </w:r>
          </w:p>
        </w:tc>
      </w:tr>
      <w:tr w:rsidR="00672237" w:rsidRPr="00391793" w14:paraId="44B965CB" w14:textId="77777777" w:rsidTr="00DB634F">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4136D80" w14:textId="77777777" w:rsidR="00672237" w:rsidRPr="00376FCA" w:rsidRDefault="00672237" w:rsidP="00DB634F">
            <w:pPr>
              <w:jc w:val="both"/>
              <w:rPr>
                <w:i/>
              </w:rPr>
            </w:pPr>
            <w:r w:rsidRPr="00376FCA">
              <w:rPr>
                <w:i/>
              </w:rPr>
              <w:t>V prípade potreby uveďte doplňujúce informácie k identifikovaným vplyvom a ich analýzam. Informácie v tejto časti slúžia na zhrnutie vplyvov a nie ako náhrada za vypracovanie príslušných analýz vybraných vplyvov.</w:t>
            </w:r>
          </w:p>
          <w:p w14:paraId="2CCCD010" w14:textId="77777777" w:rsidR="004905FD" w:rsidRPr="001D7A26" w:rsidRDefault="004905FD" w:rsidP="004905FD">
            <w:pPr>
              <w:pStyle w:val="Normlnywebov"/>
              <w:jc w:val="both"/>
            </w:pPr>
            <w:r w:rsidRPr="001D7A26">
              <w:t>Identifikované vplyvy v rámci ich analýz indikujú negatívny vplyv návrhu zákona na rozpočet a negatívny a pozitívny vplyv na podnikateľské prostredie. Návrh zákona bude mať negatívny vplyv na podnikateľské prostredie v dôsledku vzniku povinnosti vyhotoviť správu s informáciami o dani z príjmov pre tie účtovné jednotky s cezhraničným aspektom, ktorých čistý obrat presahuje sumu 750 mil. € a účtovné jednotky, ktoré zostavujú konsolidovanú účtovnú závierku najväčšej skupiny účtovných jednotiek a ich  konsolidované výnosy prekročili sumu 750 mil. € v každom z dvoch bezprostredne po sebe nasledujúcich účtovných obdobiach.  Negatívny a pozitívny vplyv na podnikateľské prostredie súvisí so zavedením povinnosti uvádzania informácií v správe audítora a následného príjmu audítora/audítorskej spoločnosti vyplývajúceho z plnenia tejto povinnosti.</w:t>
            </w:r>
          </w:p>
          <w:p w14:paraId="59EBC38A" w14:textId="22D80C1A" w:rsidR="0043189D" w:rsidRPr="000F4BBB" w:rsidRDefault="004905FD" w:rsidP="004905FD">
            <w:pPr>
              <w:jc w:val="both"/>
            </w:pPr>
            <w:r w:rsidRPr="001D7A26">
              <w:t>Finančné prostriedky potrebné na úpravu informačných systémov na rozpočtový rok 2024 budú zabezpečené v rámci prípravy rozpočtu kapitoly MF SR na roky 2023 – 2025.  Vzhľadom na to, že samotný výkaz bude prijatý predpokladáme koncom roka 2022, najneskôr v roku 2023 prostredníctvom  vykonávacieho aktu, v súčasnosti nie je možné presne vyčísliť finančné vplyvy na zabezpečenie splnenia tejto povinnosti v informačných systémoch verejnej správy.  Preto v analýze na rozpočet uvádzame odhadovanú výšku predpokladaných nákladov, ktorú budeme v prípade potreby aktualizovať na základe nových skutočností pri vykonávacom predpise</w:t>
            </w:r>
            <w:r>
              <w:t>.</w:t>
            </w:r>
          </w:p>
        </w:tc>
      </w:tr>
      <w:tr w:rsidR="00672237" w:rsidRPr="00391793" w14:paraId="15BF0FBA" w14:textId="77777777" w:rsidTr="00DB634F">
        <w:tc>
          <w:tcPr>
            <w:tcW w:w="9176" w:type="dxa"/>
            <w:tcBorders>
              <w:top w:val="single" w:sz="4" w:space="0" w:color="auto"/>
              <w:left w:val="single" w:sz="4" w:space="0" w:color="auto"/>
              <w:bottom w:val="single" w:sz="4" w:space="0" w:color="FFFFFF"/>
              <w:right w:val="single" w:sz="4" w:space="0" w:color="auto"/>
            </w:tcBorders>
            <w:shd w:val="clear" w:color="auto" w:fill="E2E2E2"/>
          </w:tcPr>
          <w:p w14:paraId="1782F35E" w14:textId="77777777" w:rsidR="00672237" w:rsidRPr="00376FCA" w:rsidRDefault="00672237" w:rsidP="00672237">
            <w:pPr>
              <w:numPr>
                <w:ilvl w:val="0"/>
                <w:numId w:val="6"/>
              </w:numPr>
              <w:ind w:left="426"/>
              <w:contextualSpacing/>
              <w:rPr>
                <w:rFonts w:eastAsia="Calibri"/>
                <w:b/>
              </w:rPr>
            </w:pPr>
            <w:r w:rsidRPr="00376FCA">
              <w:rPr>
                <w:rFonts w:eastAsia="Calibri"/>
                <w:b/>
              </w:rPr>
              <w:lastRenderedPageBreak/>
              <w:t>Kontakt na spracovateľa</w:t>
            </w:r>
          </w:p>
        </w:tc>
      </w:tr>
      <w:tr w:rsidR="00672237" w:rsidRPr="00391793" w14:paraId="54807379" w14:textId="77777777" w:rsidTr="00DB634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431C3CF" w14:textId="50F96100" w:rsidR="00672237" w:rsidRPr="007F1D3D" w:rsidRDefault="00672237" w:rsidP="00DB634F">
            <w:pPr>
              <w:rPr>
                <w:i/>
              </w:rPr>
            </w:pPr>
            <w:r w:rsidRPr="00376FCA">
              <w:rPr>
                <w:i/>
              </w:rPr>
              <w:t>Uveďte údaje na kontaktnú osobu, ktorú je možné kontaktovať v súvislosti s posúdením vybraných vplyvov.</w:t>
            </w:r>
          </w:p>
          <w:p w14:paraId="1431CC4C" w14:textId="25B546EC" w:rsidR="00672237" w:rsidRDefault="00E13EE0" w:rsidP="00DB634F">
            <w:r>
              <w:t>Ing. Ingrid Šalkovičová</w:t>
            </w:r>
            <w:r w:rsidR="00672237" w:rsidRPr="00376FCA">
              <w:t xml:space="preserve"> (</w:t>
            </w:r>
            <w:hyperlink r:id="rId9" w:history="1">
              <w:r w:rsidRPr="00C84A52">
                <w:rPr>
                  <w:rStyle w:val="Hypertextovprepojenie"/>
                  <w:rFonts w:eastAsiaTheme="majorEastAsia"/>
                </w:rPr>
                <w:t>ingrid.salkovicova@mfsr.sk</w:t>
              </w:r>
            </w:hyperlink>
            <w:r w:rsidR="00672237" w:rsidRPr="00376FCA">
              <w:t>)</w:t>
            </w:r>
            <w:r w:rsidR="00672237">
              <w:t xml:space="preserve">, </w:t>
            </w:r>
          </w:p>
          <w:p w14:paraId="0401CF75" w14:textId="00C5EE19" w:rsidR="00672237" w:rsidRPr="00376FCA" w:rsidRDefault="00E13EE0" w:rsidP="004905FD">
            <w:r>
              <w:t>Odbor pre legislatívu a metodiku účtovníctva, MF SR</w:t>
            </w:r>
          </w:p>
        </w:tc>
      </w:tr>
      <w:tr w:rsidR="00672237" w:rsidRPr="00391793" w14:paraId="0D60D064" w14:textId="77777777" w:rsidTr="00DB634F">
        <w:tc>
          <w:tcPr>
            <w:tcW w:w="9176" w:type="dxa"/>
            <w:tcBorders>
              <w:top w:val="single" w:sz="4" w:space="0" w:color="auto"/>
              <w:left w:val="single" w:sz="4" w:space="0" w:color="auto"/>
              <w:bottom w:val="single" w:sz="4" w:space="0" w:color="FFFFFF"/>
              <w:right w:val="single" w:sz="4" w:space="0" w:color="auto"/>
            </w:tcBorders>
            <w:shd w:val="clear" w:color="auto" w:fill="E2E2E2"/>
          </w:tcPr>
          <w:p w14:paraId="5EDADD18" w14:textId="77777777" w:rsidR="00672237" w:rsidRPr="00376FCA" w:rsidRDefault="00672237" w:rsidP="00672237">
            <w:pPr>
              <w:numPr>
                <w:ilvl w:val="0"/>
                <w:numId w:val="6"/>
              </w:numPr>
              <w:ind w:left="426"/>
              <w:contextualSpacing/>
              <w:rPr>
                <w:rFonts w:eastAsia="Calibri"/>
                <w:b/>
              </w:rPr>
            </w:pPr>
            <w:r w:rsidRPr="00376FCA">
              <w:rPr>
                <w:rFonts w:eastAsia="Calibri"/>
                <w:b/>
              </w:rPr>
              <w:t>Zdroje</w:t>
            </w:r>
          </w:p>
        </w:tc>
      </w:tr>
      <w:tr w:rsidR="00672237" w:rsidRPr="00391793" w14:paraId="70B9ED27" w14:textId="77777777" w:rsidTr="00DB634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6274AAB" w14:textId="77777777" w:rsidR="00672237" w:rsidRPr="00376FCA" w:rsidRDefault="00672237" w:rsidP="00DB634F">
            <w:pPr>
              <w:jc w:val="both"/>
              <w:rPr>
                <w:i/>
              </w:rPr>
            </w:pPr>
            <w:r w:rsidRPr="00376FCA">
              <w:rPr>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391793">
              <w:rPr>
                <w:rFonts w:eastAsia="Calibri"/>
              </w:rPr>
              <w:t xml:space="preserve"> </w:t>
            </w:r>
          </w:p>
          <w:p w14:paraId="7E4679C1" w14:textId="1735C06F" w:rsidR="00672237" w:rsidRPr="00376FCA" w:rsidRDefault="004905FD" w:rsidP="00A26F38">
            <w:pPr>
              <w:pStyle w:val="Odsekzoznamu"/>
              <w:ind w:left="0"/>
              <w:jc w:val="both"/>
            </w:pPr>
            <w:r w:rsidRPr="001D7A26">
              <w:t>Pri vypracovaní doložky vplyvov a príslušných analýz vplyvov na podnikateľské prostredie sa vychádzalo z dostupných informácií zverejnených v registri účtovných závierok. Následne sa vyčís</w:t>
            </w:r>
            <w:r w:rsidR="00A26F38">
              <w:t>ľ</w:t>
            </w:r>
            <w:bookmarkStart w:id="0" w:name="_GoBack"/>
            <w:bookmarkEnd w:id="0"/>
            <w:r w:rsidRPr="001D7A26">
              <w:t>ovali vplyvy za použitia kalkulačky nákladov regulácie</w:t>
            </w:r>
            <w:r>
              <w:t>.</w:t>
            </w:r>
          </w:p>
        </w:tc>
      </w:tr>
      <w:tr w:rsidR="00672237" w:rsidRPr="00391793" w14:paraId="3AFBB3FB" w14:textId="77777777" w:rsidTr="00DB634F">
        <w:tc>
          <w:tcPr>
            <w:tcW w:w="9176" w:type="dxa"/>
            <w:tcBorders>
              <w:top w:val="single" w:sz="4" w:space="0" w:color="auto"/>
              <w:left w:val="single" w:sz="4" w:space="0" w:color="auto"/>
              <w:bottom w:val="single" w:sz="4" w:space="0" w:color="FFFFFF"/>
              <w:right w:val="single" w:sz="4" w:space="0" w:color="auto"/>
            </w:tcBorders>
            <w:shd w:val="clear" w:color="auto" w:fill="E2E2E2"/>
          </w:tcPr>
          <w:p w14:paraId="27CBDDBE" w14:textId="5C5FC8F3" w:rsidR="00672237" w:rsidRPr="00376FCA" w:rsidRDefault="00672237" w:rsidP="00672237">
            <w:pPr>
              <w:numPr>
                <w:ilvl w:val="0"/>
                <w:numId w:val="6"/>
              </w:numPr>
              <w:ind w:left="447" w:hanging="425"/>
              <w:contextualSpacing/>
              <w:rPr>
                <w:rFonts w:eastAsia="Calibri"/>
                <w:b/>
              </w:rPr>
            </w:pPr>
            <w:r w:rsidRPr="00376FCA">
              <w:rPr>
                <w:rFonts w:eastAsia="Calibri"/>
                <w:b/>
              </w:rPr>
              <w:t xml:space="preserve">Stanovisko Komisie na posudzovanie vybraných vplyvov z PPK </w:t>
            </w:r>
            <w:r w:rsidR="004905FD">
              <w:rPr>
                <w:rFonts w:eastAsia="Calibri"/>
                <w:b/>
              </w:rPr>
              <w:t xml:space="preserve"> č. 077/2022</w:t>
            </w:r>
          </w:p>
          <w:p w14:paraId="53067D24" w14:textId="77777777" w:rsidR="00672237" w:rsidRPr="00376FCA" w:rsidRDefault="00672237" w:rsidP="00DB634F">
            <w:pPr>
              <w:ind w:left="502"/>
              <w:rPr>
                <w:b/>
              </w:rPr>
            </w:pPr>
            <w:r w:rsidRPr="00376FCA">
              <w:rPr>
                <w:rFonts w:eastAsia="Calibri"/>
              </w:rPr>
              <w:t>(v prípade, ak sa uskutočnilo v zmysle bodu 8.1 Jednotnej metodiky)</w:t>
            </w:r>
          </w:p>
        </w:tc>
      </w:tr>
      <w:tr w:rsidR="00672237" w:rsidRPr="00391793" w14:paraId="6E4772F6" w14:textId="77777777" w:rsidTr="00DB634F">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5347F38" w14:textId="77777777" w:rsidR="00672237" w:rsidRPr="00376FCA" w:rsidRDefault="00672237" w:rsidP="00DB634F">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2237" w:rsidRPr="00391793" w14:paraId="1CB11181" w14:textId="77777777" w:rsidTr="00DB634F">
              <w:trPr>
                <w:trHeight w:val="396"/>
              </w:trPr>
              <w:tc>
                <w:tcPr>
                  <w:tcW w:w="2552" w:type="dxa"/>
                </w:tcPr>
                <w:p w14:paraId="2A017BC9" w14:textId="21E98D7E" w:rsidR="00672237" w:rsidRPr="00376FCA" w:rsidRDefault="006824D3" w:rsidP="00A26F38">
                  <w:pPr>
                    <w:framePr w:hSpace="141" w:wrap="around" w:vAnchor="text" w:hAnchor="text" w:y="1"/>
                    <w:suppressOverlap/>
                    <w:rPr>
                      <w:b/>
                    </w:rPr>
                  </w:pPr>
                  <w:sdt>
                    <w:sdtPr>
                      <w:rPr>
                        <w:b/>
                      </w:rPr>
                      <w:id w:val="-1874910888"/>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w:t>
                  </w:r>
                </w:p>
              </w:tc>
              <w:tc>
                <w:tcPr>
                  <w:tcW w:w="3827" w:type="dxa"/>
                </w:tcPr>
                <w:p w14:paraId="15F68BD7" w14:textId="169324AA" w:rsidR="00672237" w:rsidRPr="00376FCA" w:rsidRDefault="006824D3" w:rsidP="00A26F38">
                  <w:pPr>
                    <w:framePr w:hSpace="141" w:wrap="around" w:vAnchor="text" w:hAnchor="text" w:y="1"/>
                    <w:suppressOverlap/>
                    <w:rPr>
                      <w:b/>
                    </w:rPr>
                  </w:pPr>
                  <w:sdt>
                    <w:sdtPr>
                      <w:rPr>
                        <w:b/>
                      </w:rPr>
                      <w:id w:val="1697888127"/>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s návrhom na dopracovanie</w:t>
                  </w:r>
                </w:p>
              </w:tc>
              <w:tc>
                <w:tcPr>
                  <w:tcW w:w="2534" w:type="dxa"/>
                </w:tcPr>
                <w:p w14:paraId="2E5F64F7" w14:textId="416B96C8" w:rsidR="00672237" w:rsidRPr="00376FCA" w:rsidRDefault="006824D3" w:rsidP="00A26F38">
                  <w:pPr>
                    <w:framePr w:hSpace="141" w:wrap="around" w:vAnchor="text" w:hAnchor="text" w:y="1"/>
                    <w:ind w:right="459"/>
                    <w:suppressOverlap/>
                    <w:rPr>
                      <w:b/>
                    </w:rPr>
                  </w:pPr>
                  <w:sdt>
                    <w:sdtPr>
                      <w:rPr>
                        <w:b/>
                      </w:rPr>
                      <w:id w:val="-647822913"/>
                      <w14:checkbox>
                        <w14:checked w14:val="1"/>
                        <w14:checkedState w14:val="2612" w14:font="MS Gothic"/>
                        <w14:uncheckedState w14:val="2610" w14:font="MS Gothic"/>
                      </w14:checkbox>
                    </w:sdtPr>
                    <w:sdtEndPr/>
                    <w:sdtContent>
                      <w:r w:rsidR="003B4264">
                        <w:rPr>
                          <w:rFonts w:ascii="MS Gothic" w:eastAsia="MS Gothic" w:hAnsi="MS Gothic" w:hint="eastAsia"/>
                          <w:b/>
                        </w:rPr>
                        <w:t>☒</w:t>
                      </w:r>
                    </w:sdtContent>
                  </w:sdt>
                  <w:r w:rsidR="00672237" w:rsidRPr="00376FCA">
                    <w:rPr>
                      <w:b/>
                    </w:rPr>
                    <w:t xml:space="preserve">  Nesúhlasné</w:t>
                  </w:r>
                </w:p>
              </w:tc>
            </w:tr>
          </w:tbl>
          <w:p w14:paraId="26C2394E" w14:textId="64269ABF" w:rsidR="00672237" w:rsidRDefault="00672237" w:rsidP="002F749C">
            <w:pPr>
              <w:spacing w:after="120"/>
              <w:jc w:val="both"/>
              <w:rPr>
                <w:b/>
              </w:rPr>
            </w:pPr>
            <w:r w:rsidRPr="00376FCA">
              <w:rPr>
                <w:b/>
              </w:rPr>
              <w:t>Uveďte pripomienky zo stanoviska Komisie z časti II. spolu s Vaším vyhodnotením:</w:t>
            </w:r>
          </w:p>
          <w:p w14:paraId="439A2621" w14:textId="77777777" w:rsidR="004905FD" w:rsidRDefault="004905FD" w:rsidP="004905FD">
            <w:pPr>
              <w:pStyle w:val="Normlnywebov"/>
              <w:rPr>
                <w:rStyle w:val="Siln"/>
              </w:rPr>
            </w:pPr>
            <w:r w:rsidRPr="001D7A26">
              <w:rPr>
                <w:rStyle w:val="Siln"/>
              </w:rPr>
              <w:t xml:space="preserve">II. Pripomienky a návrhy zmien: </w:t>
            </w:r>
          </w:p>
          <w:p w14:paraId="0C733A41" w14:textId="0BB596C2" w:rsidR="004905FD" w:rsidRPr="001D7A26" w:rsidRDefault="004905FD" w:rsidP="004905FD">
            <w:pPr>
              <w:pStyle w:val="Normlnywebov"/>
            </w:pPr>
            <w:r w:rsidRPr="001D7A26">
              <w:rPr>
                <w:rStyle w:val="Siln"/>
              </w:rPr>
              <w:t>Komisia uplatňuje k materiálu nasledovné pripomienky a odporúčania:</w:t>
            </w:r>
          </w:p>
          <w:p w14:paraId="3B8E8796" w14:textId="77777777" w:rsidR="004905FD" w:rsidRPr="001D7A26" w:rsidRDefault="004905FD" w:rsidP="004905FD">
            <w:pPr>
              <w:pStyle w:val="Normlnywebov"/>
              <w:spacing w:after="0" w:afterAutospacing="0"/>
            </w:pPr>
            <w:r w:rsidRPr="001D7A26">
              <w:rPr>
                <w:rStyle w:val="Siln"/>
              </w:rPr>
              <w:t>K vplyvom na rozpočet verejnej správy</w:t>
            </w:r>
          </w:p>
          <w:p w14:paraId="65F45344" w14:textId="77777777" w:rsidR="004905FD" w:rsidRPr="001D7A26" w:rsidRDefault="004905FD" w:rsidP="004905FD">
            <w:pPr>
              <w:pStyle w:val="Normlnywebov"/>
              <w:spacing w:before="0" w:beforeAutospacing="0" w:after="0" w:afterAutospacing="0"/>
              <w:jc w:val="both"/>
            </w:pPr>
            <w:r w:rsidRPr="001D7A26">
              <w:t>V doložke vybraných vplyvov je označený negatívny, rozpočtovo krytý vplyv na rozpočet verejnej správy. V analýze vplyvov je kvantifikovaný vplyv v sume 770,98 v roku 2022, pričom sa uvádza, že tento vplyv je pokrytý z prostriedkov zabezpečených na prevádzku informačného systému na rok 2022. Ďalej je kvantifikovaný aj vplyv v roku 2024 v sume 173 467,20 eur s tým, že finančné prostriedky nie sú zabezpečené v rámci limitu výdavkov kapitoly MF SR a z uvedeného dôvodu si tieto prostriedky bude kapitola uplatňovať v rámci prípravy návrhu rozpočtu verejnej správy na roky 2023 až 2025.</w:t>
            </w:r>
          </w:p>
          <w:p w14:paraId="692B465F" w14:textId="77777777" w:rsidR="004905FD" w:rsidRPr="001D7A26" w:rsidRDefault="004905FD" w:rsidP="004905FD">
            <w:pPr>
              <w:pStyle w:val="Normlnywebov"/>
              <w:jc w:val="both"/>
            </w:pPr>
            <w:r w:rsidRPr="001D7A26">
              <w:t>S materiálom, ktorý zakladá nekrytý vplyv na rozpočet verejnej správy Komisia nesúhlasí a žiada vplyv zabezpečiť v rámci schválených limitov kapitoly MF SR na príslušný rozpočtový rok.</w:t>
            </w:r>
          </w:p>
          <w:p w14:paraId="3C378F37" w14:textId="77777777" w:rsidR="004905FD" w:rsidRPr="001D7A26" w:rsidRDefault="004905FD" w:rsidP="004905FD">
            <w:r w:rsidRPr="001D7A26">
              <w:rPr>
                <w:rStyle w:val="Siln"/>
              </w:rPr>
              <w:t>K vplyvom na podnikateľské prostredie</w:t>
            </w:r>
          </w:p>
          <w:p w14:paraId="3A7E0F9E" w14:textId="77777777" w:rsidR="004905FD" w:rsidRPr="001D7A26" w:rsidRDefault="004905FD" w:rsidP="004905FD">
            <w:r w:rsidRPr="001D7A26">
              <w:t>Komisia žiada predkladateľa v Doložke vybraných vplyvov v časti 9 „Vybrané vplyvy materiálu“ vyznačiť aj pozitívne vplyvy na podnikateľské prostredie a doplniť Analýzu vplyvov na podnikateľské prostredie.</w:t>
            </w:r>
          </w:p>
          <w:p w14:paraId="1129E3B0" w14:textId="77777777" w:rsidR="004905FD" w:rsidRPr="001D7A26" w:rsidRDefault="004905FD" w:rsidP="004905FD">
            <w:r w:rsidRPr="001D7A26">
              <w:t> </w:t>
            </w:r>
          </w:p>
          <w:p w14:paraId="0F108EC3" w14:textId="77777777" w:rsidR="004905FD" w:rsidRPr="001D7A26" w:rsidRDefault="004905FD" w:rsidP="004905FD">
            <w:pPr>
              <w:jc w:val="both"/>
            </w:pPr>
            <w:r w:rsidRPr="001D7A26">
              <w:rPr>
                <w:rStyle w:val="Siln"/>
              </w:rPr>
              <w:t xml:space="preserve">Odôvodnenie: </w:t>
            </w:r>
            <w:r w:rsidRPr="001D7A26">
              <w:t>Materiál upravuje predĺženie lehoty na vypracovanie súhrnnej účtovnej závierky zo 6 na 9 mesiacov, čo predstavuje pozitívny vplyv pre podnikateľské prostredie, ktorý je potrebný uviesť v časti 3.4 v Analýze vplyvov na podnikateľské prostredie. Zároveň v § 19 ods. 4 sa zavádza nová  administratívna povinnosť pre audítorskú spoločnosť, ktorú je potrebné kvantifikovať v časti 3.1 Analýzy. Ďalej sa zavádzajú sankcie za nepredloženie účtovných záznamov, ktoré je potrebné uviesť v časti 3.4 Analýzy.</w:t>
            </w:r>
          </w:p>
          <w:p w14:paraId="09418EAF" w14:textId="77777777" w:rsidR="004905FD" w:rsidRDefault="004905FD" w:rsidP="004905FD">
            <w:r w:rsidRPr="001D7A26">
              <w:t> </w:t>
            </w:r>
          </w:p>
          <w:p w14:paraId="55551417" w14:textId="77777777" w:rsidR="004905FD" w:rsidRPr="001D7A26" w:rsidRDefault="004905FD" w:rsidP="004905FD"/>
          <w:p w14:paraId="330B79C3" w14:textId="77777777" w:rsidR="004905FD" w:rsidRPr="001D7A26" w:rsidRDefault="004905FD" w:rsidP="004905FD">
            <w:r w:rsidRPr="001D7A26">
              <w:rPr>
                <w:rStyle w:val="Siln"/>
              </w:rPr>
              <w:lastRenderedPageBreak/>
              <w:t>K vplyvom na informatizáciu spoločnosti</w:t>
            </w:r>
          </w:p>
          <w:p w14:paraId="5A4AEB6E" w14:textId="77777777" w:rsidR="004905FD" w:rsidRPr="001D7A26" w:rsidRDefault="004905FD" w:rsidP="004905FD">
            <w:r w:rsidRPr="001D7A26">
              <w:t>Komisia súhlasí s tvrdením predkladateľa, že predmetný návrh zákona má vplyv na informatizáciu spoločnosti. Predkladateľ však použil nesprávny formulár analýzy vplyvov a teda nie je možné ho posúdiť v plnom rozsahu a v doložke vplyvov nesprávne vyznačil vplyv na informatizáciu spoločnosti ako „žiadny“ miesto „pozitívny“.</w:t>
            </w:r>
          </w:p>
          <w:p w14:paraId="0736C0A4" w14:textId="77777777" w:rsidR="004905FD" w:rsidRPr="001D7A26" w:rsidRDefault="004905FD" w:rsidP="004905FD">
            <w:r w:rsidRPr="001D7A26">
              <w:t> </w:t>
            </w:r>
          </w:p>
          <w:p w14:paraId="5A8919B6" w14:textId="77777777" w:rsidR="004905FD" w:rsidRPr="001D7A26" w:rsidRDefault="004905FD" w:rsidP="004905FD">
            <w:r w:rsidRPr="001D7A26">
              <w:rPr>
                <w:rStyle w:val="Siln"/>
              </w:rPr>
              <w:t>III. Záver:</w:t>
            </w:r>
            <w:r w:rsidRPr="001D7A26">
              <w:t xml:space="preserve"> Stála pracovná komisia na posudzovanie vybraných vplyvov vyjadruje</w:t>
            </w:r>
          </w:p>
          <w:p w14:paraId="58AC358E" w14:textId="77777777" w:rsidR="004905FD" w:rsidRPr="001D7A26" w:rsidRDefault="004905FD" w:rsidP="004905FD">
            <w:r w:rsidRPr="001D7A26">
              <w:t> </w:t>
            </w:r>
          </w:p>
          <w:p w14:paraId="618F6BA4" w14:textId="77777777" w:rsidR="004905FD" w:rsidRPr="001D7A26" w:rsidRDefault="004905FD" w:rsidP="004905FD">
            <w:pPr>
              <w:jc w:val="center"/>
            </w:pPr>
            <w:r w:rsidRPr="001D7A26">
              <w:rPr>
                <w:rStyle w:val="Siln"/>
              </w:rPr>
              <w:t>nesúhlasné stanovisko</w:t>
            </w:r>
          </w:p>
          <w:p w14:paraId="5621515D" w14:textId="77777777" w:rsidR="004905FD" w:rsidRPr="001D7A26" w:rsidRDefault="004905FD" w:rsidP="004905FD">
            <w:pPr>
              <w:pStyle w:val="Normlnywebov"/>
            </w:pPr>
            <w:r w:rsidRPr="001D7A26">
              <w:t>s materiálom predloženým na predbežné pripomienkové konanie s odporúčaním na jeho dopracovanie podľa pripomienok v bode II.</w:t>
            </w:r>
          </w:p>
          <w:p w14:paraId="573B2E02" w14:textId="77777777" w:rsidR="004905FD" w:rsidRPr="001D7A26" w:rsidRDefault="004905FD" w:rsidP="004905FD">
            <w:pPr>
              <w:pStyle w:val="Normlnywebov"/>
            </w:pPr>
            <w:r w:rsidRPr="001D7A26">
              <w:rPr>
                <w:rStyle w:val="Siln"/>
              </w:rPr>
              <w:t>Vyhodnotenie pripomienok k stanovisku: </w:t>
            </w:r>
          </w:p>
          <w:p w14:paraId="1460D8AC" w14:textId="77777777" w:rsidR="004905FD" w:rsidRPr="001D7A26" w:rsidRDefault="004905FD" w:rsidP="004905FD">
            <w:pPr>
              <w:pStyle w:val="Normlnywebov"/>
              <w:spacing w:before="0" w:beforeAutospacing="0" w:after="0" w:afterAutospacing="0"/>
            </w:pPr>
            <w:r w:rsidRPr="001D7A26">
              <w:rPr>
                <w:rStyle w:val="Siln"/>
              </w:rPr>
              <w:t>K vplyvom na rozpočet verejnej správy</w:t>
            </w:r>
          </w:p>
          <w:p w14:paraId="6264FF12" w14:textId="77777777" w:rsidR="004905FD" w:rsidRPr="001D7A26" w:rsidRDefault="004905FD" w:rsidP="004905FD">
            <w:pPr>
              <w:pStyle w:val="Normlnywebov"/>
              <w:spacing w:before="0" w:beforeAutospacing="0"/>
              <w:jc w:val="both"/>
            </w:pPr>
            <w:r w:rsidRPr="001D7A26">
              <w:t>MF SR upravilo analýzu vplyvu na rozpočet verejnej správy podľa odporúčania Komisie a predkladá už upravený dokument.</w:t>
            </w:r>
          </w:p>
          <w:p w14:paraId="579A4568" w14:textId="77777777" w:rsidR="004905FD" w:rsidRPr="001D7A26" w:rsidRDefault="004905FD" w:rsidP="004905FD">
            <w:r w:rsidRPr="001D7A26">
              <w:rPr>
                <w:rStyle w:val="Siln"/>
              </w:rPr>
              <w:t>K vplyvom na podnikateľské prostredie</w:t>
            </w:r>
          </w:p>
          <w:p w14:paraId="561AF8E3" w14:textId="293CD5D6" w:rsidR="004905FD" w:rsidRPr="001D7A26" w:rsidRDefault="004905FD" w:rsidP="004905FD">
            <w:pPr>
              <w:jc w:val="both"/>
            </w:pPr>
            <w:r w:rsidRPr="001D7A26">
              <w:t>MF SR upravilo analýzu vplyvu na podnikateľské prostredie podľa odporúčania Komisie s výnimkou pozitívneho vplyvu pri súhrnnej účtovnej závierke, nakoľko ju zostavuje MF SR.</w:t>
            </w:r>
          </w:p>
          <w:p w14:paraId="63CB0C1B" w14:textId="77777777" w:rsidR="004905FD" w:rsidRPr="001D7A26" w:rsidRDefault="004905FD" w:rsidP="004905FD">
            <w:pPr>
              <w:jc w:val="both"/>
            </w:pPr>
            <w:r w:rsidRPr="001D7A26">
              <w:t>Uvádzame pozitívny aj negatívny vplyv na audítora/audítorskú spoločnosť, ktorej vznikne na jednej strane povinnosť uvádzania informácií v správe audítora, ale zároveň to predstavuje aj príjem pre audítora/audítorskú spoločnosť.</w:t>
            </w:r>
          </w:p>
          <w:p w14:paraId="7F9C5A5F" w14:textId="77777777" w:rsidR="004905FD" w:rsidRPr="001D7A26" w:rsidRDefault="004905FD" w:rsidP="004905FD">
            <w:pPr>
              <w:pStyle w:val="Normlnywebov"/>
              <w:spacing w:after="0" w:afterAutospacing="0"/>
            </w:pPr>
            <w:r w:rsidRPr="001D7A26">
              <w:rPr>
                <w:rStyle w:val="Siln"/>
              </w:rPr>
              <w:t>K vplyvom na informatizáciu spoločnosti</w:t>
            </w:r>
          </w:p>
          <w:p w14:paraId="2C43E44D" w14:textId="77777777" w:rsidR="004905FD" w:rsidRPr="001D7A26" w:rsidRDefault="004905FD" w:rsidP="004905FD">
            <w:pPr>
              <w:jc w:val="both"/>
            </w:pPr>
            <w:r w:rsidRPr="001D7A26">
              <w:t>MF SR ako predkladateľ návrhu zákona upravilo vplyv  v doložke vplyvov na „pozitívny“ a predložilo nový formulár odkonzultovaný a schválený MIRRI.</w:t>
            </w:r>
          </w:p>
          <w:p w14:paraId="041D2CAC" w14:textId="5C096D5C" w:rsidR="00896E32" w:rsidRPr="00896E32" w:rsidRDefault="00896E32" w:rsidP="00896E32">
            <w:pPr>
              <w:jc w:val="both"/>
            </w:pPr>
          </w:p>
        </w:tc>
      </w:tr>
      <w:tr w:rsidR="00672237" w:rsidRPr="00391793" w14:paraId="43903D8C" w14:textId="77777777" w:rsidTr="00DB634F">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6123536" w14:textId="0EE16E34" w:rsidR="00672237" w:rsidRPr="00376FCA" w:rsidRDefault="00672237" w:rsidP="004905FD">
            <w:pPr>
              <w:numPr>
                <w:ilvl w:val="0"/>
                <w:numId w:val="6"/>
              </w:numPr>
              <w:ind w:left="450" w:hanging="425"/>
              <w:contextualSpacing/>
              <w:jc w:val="both"/>
              <w:rPr>
                <w:rFonts w:eastAsia="Calibri"/>
                <w:b/>
              </w:rPr>
            </w:pPr>
            <w:r w:rsidRPr="00376FCA">
              <w:rPr>
                <w:rFonts w:eastAsia="Calibri"/>
                <w:b/>
              </w:rPr>
              <w:lastRenderedPageBreak/>
              <w:t xml:space="preserve">Stanovisko Komisie na posudzovanie vybraných vplyvov zo záverečného posúdenia č. </w:t>
            </w:r>
            <w:r w:rsidR="004905FD">
              <w:rPr>
                <w:rFonts w:eastAsia="Calibri"/>
                <w:b/>
              </w:rPr>
              <w:t>077_2/2022</w:t>
            </w:r>
            <w:r w:rsidRPr="00376FCA">
              <w:rPr>
                <w:rFonts w:eastAsia="Calibri"/>
              </w:rPr>
              <w:t xml:space="preserve"> (v prípade, ak sa uskutočnilo v zmysle bodu 9.1. Jednotnej metodiky) </w:t>
            </w:r>
          </w:p>
        </w:tc>
      </w:tr>
      <w:tr w:rsidR="00672237" w:rsidRPr="00391793" w14:paraId="1455A62B" w14:textId="77777777" w:rsidTr="00DB634F">
        <w:tblPrEx>
          <w:tblBorders>
            <w:insideH w:val="single" w:sz="4" w:space="0" w:color="FFFFFF"/>
            <w:insideV w:val="single" w:sz="4" w:space="0" w:color="FFFFFF"/>
          </w:tblBorders>
        </w:tblPrEx>
        <w:tc>
          <w:tcPr>
            <w:tcW w:w="9176" w:type="dxa"/>
            <w:shd w:val="clear" w:color="auto" w:fill="FFFFFF"/>
          </w:tcPr>
          <w:p w14:paraId="0F95F10A" w14:textId="77777777" w:rsidR="00672237" w:rsidRPr="00376FCA" w:rsidRDefault="00672237" w:rsidP="00DB634F">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2237" w:rsidRPr="00391793" w14:paraId="2A8D457A" w14:textId="77777777" w:rsidTr="00DB634F">
              <w:trPr>
                <w:trHeight w:val="396"/>
              </w:trPr>
              <w:tc>
                <w:tcPr>
                  <w:tcW w:w="2552" w:type="dxa"/>
                </w:tcPr>
                <w:p w14:paraId="064CC38F" w14:textId="6ED82619" w:rsidR="00672237" w:rsidRPr="00376FCA" w:rsidRDefault="006824D3" w:rsidP="00A26F38">
                  <w:pPr>
                    <w:framePr w:hSpace="141" w:wrap="around" w:vAnchor="text" w:hAnchor="text" w:y="1"/>
                    <w:suppressOverlap/>
                    <w:rPr>
                      <w:b/>
                    </w:rPr>
                  </w:pPr>
                  <w:sdt>
                    <w:sdtPr>
                      <w:rPr>
                        <w:b/>
                      </w:rPr>
                      <w:id w:val="888232876"/>
                      <w14:checkbox>
                        <w14:checked w14:val="1"/>
                        <w14:checkedState w14:val="2612" w14:font="MS Gothic"/>
                        <w14:uncheckedState w14:val="2610" w14:font="MS Gothic"/>
                      </w14:checkbox>
                    </w:sdtPr>
                    <w:sdtEndPr/>
                    <w:sdtContent>
                      <w:r w:rsidR="004905FD">
                        <w:rPr>
                          <w:rFonts w:ascii="MS Gothic" w:eastAsia="MS Gothic" w:hAnsi="MS Gothic" w:hint="eastAsia"/>
                          <w:b/>
                        </w:rPr>
                        <w:t>☒</w:t>
                      </w:r>
                    </w:sdtContent>
                  </w:sdt>
                  <w:r w:rsidR="00672237" w:rsidRPr="00376FCA">
                    <w:rPr>
                      <w:b/>
                    </w:rPr>
                    <w:t xml:space="preserve">   Súhlasné </w:t>
                  </w:r>
                </w:p>
              </w:tc>
              <w:tc>
                <w:tcPr>
                  <w:tcW w:w="3827" w:type="dxa"/>
                </w:tcPr>
                <w:p w14:paraId="49F6FDE5" w14:textId="1F1801B1" w:rsidR="00672237" w:rsidRPr="00376FCA" w:rsidRDefault="006824D3" w:rsidP="00A26F38">
                  <w:pPr>
                    <w:framePr w:hSpace="141" w:wrap="around" w:vAnchor="text" w:hAnchor="text" w:y="1"/>
                    <w:suppressOverlap/>
                    <w:rPr>
                      <w:b/>
                    </w:rPr>
                  </w:pPr>
                  <w:sdt>
                    <w:sdtPr>
                      <w:rPr>
                        <w:b/>
                      </w:rPr>
                      <w:id w:val="953831761"/>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Súhlasné s  návrhom na dopracovanie</w:t>
                  </w:r>
                </w:p>
              </w:tc>
              <w:tc>
                <w:tcPr>
                  <w:tcW w:w="2534" w:type="dxa"/>
                </w:tcPr>
                <w:p w14:paraId="237715D5" w14:textId="5DE80BAB" w:rsidR="00672237" w:rsidRPr="00376FCA" w:rsidRDefault="006824D3" w:rsidP="00A26F38">
                  <w:pPr>
                    <w:framePr w:hSpace="141" w:wrap="around" w:vAnchor="text" w:hAnchor="text" w:y="1"/>
                    <w:ind w:right="459"/>
                    <w:suppressOverlap/>
                    <w:rPr>
                      <w:b/>
                    </w:rPr>
                  </w:pPr>
                  <w:sdt>
                    <w:sdtPr>
                      <w:rPr>
                        <w:b/>
                      </w:rPr>
                      <w:id w:val="-361740452"/>
                      <w14:checkbox>
                        <w14:checked w14:val="0"/>
                        <w14:checkedState w14:val="2612" w14:font="MS Gothic"/>
                        <w14:uncheckedState w14:val="2610" w14:font="MS Gothic"/>
                      </w14:checkbox>
                    </w:sdtPr>
                    <w:sdtEndPr/>
                    <w:sdtContent>
                      <w:r w:rsidR="00672237" w:rsidRPr="00376FCA">
                        <w:rPr>
                          <w:rFonts w:ascii="Segoe UI Symbol" w:eastAsia="MS Gothic" w:hAnsi="Segoe UI Symbol" w:cs="Segoe UI Symbol"/>
                          <w:b/>
                        </w:rPr>
                        <w:t>☐</w:t>
                      </w:r>
                    </w:sdtContent>
                  </w:sdt>
                  <w:r w:rsidR="00672237" w:rsidRPr="00376FCA">
                    <w:rPr>
                      <w:b/>
                    </w:rPr>
                    <w:t xml:space="preserve">  Nesúhlasné</w:t>
                  </w:r>
                </w:p>
              </w:tc>
            </w:tr>
          </w:tbl>
          <w:p w14:paraId="08AF1C89" w14:textId="77777777" w:rsidR="00672237" w:rsidRPr="00376FCA" w:rsidRDefault="00672237" w:rsidP="00DB634F">
            <w:pPr>
              <w:jc w:val="both"/>
              <w:rPr>
                <w:b/>
              </w:rPr>
            </w:pPr>
            <w:r w:rsidRPr="00376FCA">
              <w:rPr>
                <w:b/>
              </w:rPr>
              <w:t>Uveďte pripomienky zo stanoviska Komisie z časti II. spolu s Vaším vyhodnotením:</w:t>
            </w:r>
          </w:p>
          <w:p w14:paraId="40E664A0" w14:textId="77777777" w:rsidR="00672237" w:rsidRPr="00376FCA" w:rsidRDefault="00672237" w:rsidP="00DB634F">
            <w:pPr>
              <w:rPr>
                <w:b/>
              </w:rPr>
            </w:pPr>
          </w:p>
          <w:p w14:paraId="61AF1215" w14:textId="77777777" w:rsidR="00672237" w:rsidRPr="00376FCA" w:rsidRDefault="00672237" w:rsidP="00DB634F">
            <w:pPr>
              <w:rPr>
                <w:b/>
              </w:rPr>
            </w:pPr>
          </w:p>
        </w:tc>
      </w:tr>
    </w:tbl>
    <w:p w14:paraId="34D480BC" w14:textId="77777777" w:rsidR="00672237" w:rsidRDefault="00672237" w:rsidP="00672237"/>
    <w:p w14:paraId="575B8037" w14:textId="77777777" w:rsidR="00672237" w:rsidRDefault="00672237" w:rsidP="00672237"/>
    <w:p w14:paraId="6C52A89A" w14:textId="77777777" w:rsidR="00672237" w:rsidRDefault="00672237" w:rsidP="00672237"/>
    <w:p w14:paraId="3A1B07FE" w14:textId="77777777" w:rsidR="00672237" w:rsidRDefault="00672237" w:rsidP="00672237"/>
    <w:p w14:paraId="3A0E726A" w14:textId="77777777" w:rsidR="00672237" w:rsidRDefault="00672237" w:rsidP="00672237"/>
    <w:p w14:paraId="57482FDD" w14:textId="77777777" w:rsidR="00672237" w:rsidRDefault="00672237" w:rsidP="00672237"/>
    <w:p w14:paraId="07610595" w14:textId="77777777" w:rsidR="00672237" w:rsidRDefault="00672237" w:rsidP="00672237"/>
    <w:p w14:paraId="301FE5DE" w14:textId="77777777" w:rsidR="00672237" w:rsidRDefault="00672237" w:rsidP="00672237"/>
    <w:p w14:paraId="52C24D17" w14:textId="77777777" w:rsidR="00672237" w:rsidRDefault="00672237" w:rsidP="00672237"/>
    <w:p w14:paraId="03144439" w14:textId="77777777" w:rsidR="00672237" w:rsidRDefault="00672237" w:rsidP="00672237"/>
    <w:p w14:paraId="3B8A0285" w14:textId="77777777" w:rsidR="00672237" w:rsidRDefault="00672237" w:rsidP="00672237"/>
    <w:p w14:paraId="388F6A8E" w14:textId="77777777" w:rsidR="00672237" w:rsidRDefault="00672237" w:rsidP="00672237"/>
    <w:p w14:paraId="70F7A9F1" w14:textId="77777777" w:rsidR="00672237" w:rsidRDefault="00672237" w:rsidP="00672237"/>
    <w:p w14:paraId="683F7304" w14:textId="77777777" w:rsidR="00672237" w:rsidRDefault="00672237" w:rsidP="00672237"/>
    <w:p w14:paraId="652C5304" w14:textId="77777777" w:rsidR="00672237" w:rsidRDefault="00672237" w:rsidP="00672237"/>
    <w:p w14:paraId="7079B63D" w14:textId="77777777" w:rsidR="00672237" w:rsidRDefault="00672237" w:rsidP="00672237"/>
    <w:p w14:paraId="085130AF" w14:textId="77777777" w:rsidR="00672237" w:rsidRDefault="00672237" w:rsidP="00672237"/>
    <w:p w14:paraId="2DC55A0E" w14:textId="77777777" w:rsidR="00375AC7" w:rsidRDefault="00375AC7"/>
    <w:sectPr w:rsidR="00375AC7" w:rsidSect="002F749C">
      <w:footerReference w:type="default" r:id="rId10"/>
      <w:pgSz w:w="11906" w:h="16838"/>
      <w:pgMar w:top="1418"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0C48" w16cex:dateUtc="2022-01-07T06:55:00Z"/>
  <w16cex:commentExtensible w16cex:durableId="25880C49" w16cex:dateUtc="2022-01-07T12:50:00Z"/>
  <w16cex:commentExtensible w16cex:durableId="258810B7" w16cex:dateUtc="2022-01-11T13:20:00Z"/>
  <w16cex:commentExtensible w16cex:durableId="258810CB" w16cex:dateUtc="2022-01-1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790F7" w16cid:durableId="25880C48"/>
  <w16cid:commentId w16cid:paraId="1DD45220" w16cid:durableId="25880C49"/>
  <w16cid:commentId w16cid:paraId="5D0B2B2F" w16cid:durableId="258810B7"/>
  <w16cid:commentId w16cid:paraId="2A2D94AD" w16cid:durableId="25881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BE89D" w14:textId="77777777" w:rsidR="006824D3" w:rsidRDefault="006824D3" w:rsidP="004905FD">
      <w:r>
        <w:separator/>
      </w:r>
    </w:p>
  </w:endnote>
  <w:endnote w:type="continuationSeparator" w:id="0">
    <w:p w14:paraId="0882F9FF" w14:textId="77777777" w:rsidR="006824D3" w:rsidRDefault="006824D3" w:rsidP="004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59267"/>
      <w:docPartObj>
        <w:docPartGallery w:val="Page Numbers (Bottom of Page)"/>
        <w:docPartUnique/>
      </w:docPartObj>
    </w:sdtPr>
    <w:sdtEndPr/>
    <w:sdtContent>
      <w:p w14:paraId="00C862D4" w14:textId="3F72E132" w:rsidR="004905FD" w:rsidRDefault="004905FD">
        <w:pPr>
          <w:pStyle w:val="Pta"/>
          <w:jc w:val="right"/>
        </w:pPr>
        <w:r>
          <w:fldChar w:fldCharType="begin"/>
        </w:r>
        <w:r>
          <w:instrText>PAGE   \* MERGEFORMAT</w:instrText>
        </w:r>
        <w:r>
          <w:fldChar w:fldCharType="separate"/>
        </w:r>
        <w:r w:rsidR="00A26F38">
          <w:rPr>
            <w:noProof/>
          </w:rPr>
          <w:t>6</w:t>
        </w:r>
        <w:r>
          <w:fldChar w:fldCharType="end"/>
        </w:r>
      </w:p>
    </w:sdtContent>
  </w:sdt>
  <w:p w14:paraId="4455D123" w14:textId="77777777" w:rsidR="004905FD" w:rsidRDefault="004905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76B1" w14:textId="77777777" w:rsidR="006824D3" w:rsidRDefault="006824D3" w:rsidP="004905FD">
      <w:r>
        <w:separator/>
      </w:r>
    </w:p>
  </w:footnote>
  <w:footnote w:type="continuationSeparator" w:id="0">
    <w:p w14:paraId="1A5BA844" w14:textId="77777777" w:rsidR="006824D3" w:rsidRDefault="006824D3" w:rsidP="0049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99A"/>
    <w:multiLevelType w:val="hybridMultilevel"/>
    <w:tmpl w:val="2C262342"/>
    <w:lvl w:ilvl="0" w:tplc="600623A0">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794191"/>
    <w:multiLevelType w:val="hybridMultilevel"/>
    <w:tmpl w:val="889C51A8"/>
    <w:lvl w:ilvl="0" w:tplc="C44055BC">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1A8E6991"/>
    <w:multiLevelType w:val="hybridMultilevel"/>
    <w:tmpl w:val="49C2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53335"/>
    <w:multiLevelType w:val="multilevel"/>
    <w:tmpl w:val="8984218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723E31"/>
    <w:multiLevelType w:val="hybridMultilevel"/>
    <w:tmpl w:val="BA7C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31A77"/>
    <w:multiLevelType w:val="hybridMultilevel"/>
    <w:tmpl w:val="B15A6F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BDE54EF"/>
    <w:multiLevelType w:val="hybridMultilevel"/>
    <w:tmpl w:val="D700D3B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37"/>
    <w:rsid w:val="00007ACA"/>
    <w:rsid w:val="000440A1"/>
    <w:rsid w:val="00054C00"/>
    <w:rsid w:val="0005512E"/>
    <w:rsid w:val="00061F7F"/>
    <w:rsid w:val="00073217"/>
    <w:rsid w:val="000D0E14"/>
    <w:rsid w:val="000F4BBB"/>
    <w:rsid w:val="000F7A96"/>
    <w:rsid w:val="00130C9B"/>
    <w:rsid w:val="001806B8"/>
    <w:rsid w:val="00182D68"/>
    <w:rsid w:val="001A2DAD"/>
    <w:rsid w:val="001B1571"/>
    <w:rsid w:val="001D30CB"/>
    <w:rsid w:val="001E0480"/>
    <w:rsid w:val="0023384F"/>
    <w:rsid w:val="00242E37"/>
    <w:rsid w:val="0025318C"/>
    <w:rsid w:val="002544B9"/>
    <w:rsid w:val="002F749C"/>
    <w:rsid w:val="00312CDA"/>
    <w:rsid w:val="00321FA6"/>
    <w:rsid w:val="003569B6"/>
    <w:rsid w:val="00364CD5"/>
    <w:rsid w:val="00375AC7"/>
    <w:rsid w:val="0039792E"/>
    <w:rsid w:val="003B4264"/>
    <w:rsid w:val="003D3D17"/>
    <w:rsid w:val="00417411"/>
    <w:rsid w:val="0043189D"/>
    <w:rsid w:val="00432D88"/>
    <w:rsid w:val="004905FD"/>
    <w:rsid w:val="004A781B"/>
    <w:rsid w:val="004B1AF5"/>
    <w:rsid w:val="004C2ACD"/>
    <w:rsid w:val="00523087"/>
    <w:rsid w:val="00527DF1"/>
    <w:rsid w:val="00536042"/>
    <w:rsid w:val="00540AEA"/>
    <w:rsid w:val="00556D63"/>
    <w:rsid w:val="005657EB"/>
    <w:rsid w:val="005A6CAF"/>
    <w:rsid w:val="005B10B6"/>
    <w:rsid w:val="005C54C4"/>
    <w:rsid w:val="005D4B4C"/>
    <w:rsid w:val="005D4DA4"/>
    <w:rsid w:val="00602529"/>
    <w:rsid w:val="00633A65"/>
    <w:rsid w:val="00672237"/>
    <w:rsid w:val="00675D62"/>
    <w:rsid w:val="006824D3"/>
    <w:rsid w:val="00696013"/>
    <w:rsid w:val="00697212"/>
    <w:rsid w:val="006C7E54"/>
    <w:rsid w:val="006E2698"/>
    <w:rsid w:val="00745872"/>
    <w:rsid w:val="00751FEF"/>
    <w:rsid w:val="007F1D3D"/>
    <w:rsid w:val="00814932"/>
    <w:rsid w:val="00871D82"/>
    <w:rsid w:val="00875053"/>
    <w:rsid w:val="00876F69"/>
    <w:rsid w:val="00880735"/>
    <w:rsid w:val="0088212D"/>
    <w:rsid w:val="00894836"/>
    <w:rsid w:val="00896E32"/>
    <w:rsid w:val="009028CA"/>
    <w:rsid w:val="00906FE2"/>
    <w:rsid w:val="009500AA"/>
    <w:rsid w:val="009F14A8"/>
    <w:rsid w:val="00A26F38"/>
    <w:rsid w:val="00A47D93"/>
    <w:rsid w:val="00A5572B"/>
    <w:rsid w:val="00B053F1"/>
    <w:rsid w:val="00B86B50"/>
    <w:rsid w:val="00B87AC6"/>
    <w:rsid w:val="00B92411"/>
    <w:rsid w:val="00BA1AD1"/>
    <w:rsid w:val="00BD71C4"/>
    <w:rsid w:val="00BE5385"/>
    <w:rsid w:val="00BF6BA5"/>
    <w:rsid w:val="00C05642"/>
    <w:rsid w:val="00C25D20"/>
    <w:rsid w:val="00C41C66"/>
    <w:rsid w:val="00C71909"/>
    <w:rsid w:val="00C86A0B"/>
    <w:rsid w:val="00CB1424"/>
    <w:rsid w:val="00CB4A10"/>
    <w:rsid w:val="00CF75FA"/>
    <w:rsid w:val="00D02919"/>
    <w:rsid w:val="00D43128"/>
    <w:rsid w:val="00D533F0"/>
    <w:rsid w:val="00D70FCE"/>
    <w:rsid w:val="00DA7747"/>
    <w:rsid w:val="00DC1174"/>
    <w:rsid w:val="00DC61D8"/>
    <w:rsid w:val="00E0602B"/>
    <w:rsid w:val="00E13EE0"/>
    <w:rsid w:val="00E158E9"/>
    <w:rsid w:val="00E670B9"/>
    <w:rsid w:val="00E67D98"/>
    <w:rsid w:val="00E7453A"/>
    <w:rsid w:val="00E7511B"/>
    <w:rsid w:val="00E82F09"/>
    <w:rsid w:val="00EA6F7E"/>
    <w:rsid w:val="00EB7FA9"/>
    <w:rsid w:val="00F02043"/>
    <w:rsid w:val="00F11D2A"/>
    <w:rsid w:val="00F23710"/>
    <w:rsid w:val="00F54052"/>
    <w:rsid w:val="00F651A4"/>
    <w:rsid w:val="00F673A7"/>
    <w:rsid w:val="00FC3E0D"/>
    <w:rsid w:val="00FE167C"/>
    <w:rsid w:val="00FE7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45D"/>
  <w15:chartTrackingRefBased/>
  <w15:docId w15:val="{6E36EBE6-55C9-4732-B1D4-C9F89F0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22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72237"/>
    <w:pPr>
      <w:ind w:left="720"/>
      <w:contextualSpacing/>
    </w:pPr>
  </w:style>
  <w:style w:type="character" w:styleId="Hypertextovprepojenie">
    <w:name w:val="Hyperlink"/>
    <w:basedOn w:val="Predvolenpsmoodseku"/>
    <w:uiPriority w:val="99"/>
    <w:unhideWhenUsed/>
    <w:rsid w:val="00672237"/>
    <w:rPr>
      <w:color w:val="0000FF"/>
      <w:u w:val="single"/>
    </w:rPr>
  </w:style>
  <w:style w:type="character" w:customStyle="1" w:styleId="OdsekzoznamuChar">
    <w:name w:val="Odsek zoznamu Char"/>
    <w:aliases w:val="body Char,Odsek zoznamu2 Char"/>
    <w:basedOn w:val="Predvolenpsmoodseku"/>
    <w:link w:val="Odsekzoznamu"/>
    <w:uiPriority w:val="34"/>
    <w:locked/>
    <w:rsid w:val="00672237"/>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unhideWhenUsed/>
    <w:rsid w:val="00672237"/>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7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569B6"/>
    <w:rPr>
      <w:sz w:val="16"/>
      <w:szCs w:val="16"/>
    </w:rPr>
  </w:style>
  <w:style w:type="paragraph" w:styleId="Textkomentra">
    <w:name w:val="annotation text"/>
    <w:basedOn w:val="Normlny"/>
    <w:link w:val="TextkomentraChar"/>
    <w:uiPriority w:val="99"/>
    <w:semiHidden/>
    <w:unhideWhenUsed/>
    <w:rsid w:val="003569B6"/>
    <w:pPr>
      <w:suppressAutoHyphens/>
    </w:pPr>
    <w:rPr>
      <w:sz w:val="20"/>
      <w:szCs w:val="20"/>
      <w:lang w:eastAsia="ar-SA"/>
    </w:rPr>
  </w:style>
  <w:style w:type="character" w:customStyle="1" w:styleId="TextkomentraChar">
    <w:name w:val="Text komentára Char"/>
    <w:basedOn w:val="Predvolenpsmoodseku"/>
    <w:link w:val="Textkomentra"/>
    <w:uiPriority w:val="99"/>
    <w:semiHidden/>
    <w:rsid w:val="003569B6"/>
    <w:rPr>
      <w:rFonts w:ascii="Times New Roman" w:eastAsia="Times New Roman" w:hAnsi="Times New Roman" w:cs="Times New Roman"/>
      <w:sz w:val="20"/>
      <w:szCs w:val="20"/>
      <w:lang w:eastAsia="ar-SA"/>
    </w:rPr>
  </w:style>
  <w:style w:type="paragraph" w:styleId="Textbubliny">
    <w:name w:val="Balloon Text"/>
    <w:basedOn w:val="Normlny"/>
    <w:link w:val="TextbublinyChar"/>
    <w:uiPriority w:val="99"/>
    <w:semiHidden/>
    <w:unhideWhenUsed/>
    <w:rsid w:val="003569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69B6"/>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D02919"/>
    <w:pPr>
      <w:suppressAutoHyphens w:val="0"/>
    </w:pPr>
    <w:rPr>
      <w:b/>
      <w:bCs/>
      <w:lang w:eastAsia="sk-SK"/>
    </w:rPr>
  </w:style>
  <w:style w:type="character" w:customStyle="1" w:styleId="PredmetkomentraChar">
    <w:name w:val="Predmet komentára Char"/>
    <w:basedOn w:val="TextkomentraChar"/>
    <w:link w:val="Predmetkomentra"/>
    <w:uiPriority w:val="99"/>
    <w:semiHidden/>
    <w:rsid w:val="00D02919"/>
    <w:rPr>
      <w:rFonts w:ascii="Times New Roman" w:eastAsia="Times New Roman" w:hAnsi="Times New Roman" w:cs="Times New Roman"/>
      <w:b/>
      <w:bCs/>
      <w:sz w:val="20"/>
      <w:szCs w:val="20"/>
      <w:lang w:eastAsia="sk-SK"/>
    </w:rPr>
  </w:style>
  <w:style w:type="paragraph" w:styleId="Revzia">
    <w:name w:val="Revision"/>
    <w:hidden/>
    <w:uiPriority w:val="99"/>
    <w:semiHidden/>
    <w:rsid w:val="006C7E54"/>
    <w:pPr>
      <w:spacing w:after="0" w:line="240" w:lineRule="auto"/>
    </w:pPr>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312CDA"/>
    <w:rPr>
      <w:color w:val="605E5C"/>
      <w:shd w:val="clear" w:color="auto" w:fill="E1DFDD"/>
    </w:rPr>
  </w:style>
  <w:style w:type="paragraph" w:styleId="Normlnywebov">
    <w:name w:val="Normal (Web)"/>
    <w:basedOn w:val="Normlny"/>
    <w:uiPriority w:val="99"/>
    <w:rsid w:val="004905FD"/>
    <w:pPr>
      <w:spacing w:before="100" w:beforeAutospacing="1" w:after="100" w:afterAutospacing="1"/>
    </w:pPr>
  </w:style>
  <w:style w:type="character" w:styleId="Siln">
    <w:name w:val="Strong"/>
    <w:uiPriority w:val="22"/>
    <w:qFormat/>
    <w:rsid w:val="004905FD"/>
    <w:rPr>
      <w:b/>
      <w:bCs/>
    </w:rPr>
  </w:style>
  <w:style w:type="paragraph" w:styleId="Hlavika">
    <w:name w:val="header"/>
    <w:basedOn w:val="Normlny"/>
    <w:link w:val="HlavikaChar"/>
    <w:uiPriority w:val="99"/>
    <w:unhideWhenUsed/>
    <w:rsid w:val="004905FD"/>
    <w:pPr>
      <w:tabs>
        <w:tab w:val="center" w:pos="4536"/>
        <w:tab w:val="right" w:pos="9072"/>
      </w:tabs>
    </w:pPr>
  </w:style>
  <w:style w:type="character" w:customStyle="1" w:styleId="HlavikaChar">
    <w:name w:val="Hlavička Char"/>
    <w:basedOn w:val="Predvolenpsmoodseku"/>
    <w:link w:val="Hlavika"/>
    <w:uiPriority w:val="99"/>
    <w:rsid w:val="004905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905FD"/>
    <w:pPr>
      <w:tabs>
        <w:tab w:val="center" w:pos="4536"/>
        <w:tab w:val="right" w:pos="9072"/>
      </w:tabs>
    </w:pPr>
  </w:style>
  <w:style w:type="character" w:customStyle="1" w:styleId="PtaChar">
    <w:name w:val="Päta Char"/>
    <w:basedOn w:val="Predvolenpsmoodseku"/>
    <w:link w:val="Pta"/>
    <w:uiPriority w:val="99"/>
    <w:rsid w:val="004905F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grid.salkovicova@mf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Jokmanová, Diana, Mgr."/>
    <f:field ref="objcreatedat" par="" text="24.1.2022 16:48:47"/>
    <f:field ref="objchangedby" par="" text="Administrator, System"/>
    <f:field ref="objmodifiedat" par="" text="24.1.2022 16:48: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56A8D07-EE20-4434-8F77-709FEDCB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2447</Words>
  <Characters>13949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Salkovicova Ingrid</dc:creator>
  <cp:keywords/>
  <dc:description/>
  <cp:lastModifiedBy>Matulova Silvia</cp:lastModifiedBy>
  <cp:revision>4</cp:revision>
  <cp:lastPrinted>2022-05-13T07:49:00Z</cp:lastPrinted>
  <dcterms:created xsi:type="dcterms:W3CDTF">2022-07-26T14:07:00Z</dcterms:created>
  <dcterms:modified xsi:type="dcterms:W3CDTF">2022-08-02T05:42:00Z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Občianske právo_x000d_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ochrane spotrebiteľa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Úlohy B.24 a B.25 uznesenia vlády SR č. 491/2019,_x000d_
úloha B.8 uznesenia vlády SR č. 468/2020,_x000d_
úloha C.1 uznesenia vlády SR č. 547/2020,_x000d_
úloha B.1 uznesenia vlády SR č. 340/2021</vt:lpwstr>
  </property>
  <property fmtid="{D5CDD505-2E9C-101B-9397-08002B2CF9AE}" pid="23" name="FSC#SKEDITIONSLOVLEX@103.510:plnynazovpredpis">
    <vt:lpwstr> Zákon o ochrane spotrebiteľa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12146/2022-2062-05788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24. 1. 2022</vt:lpwstr>
  </property>
  <property fmtid="{D5CDD505-2E9C-101B-9397-08002B2CF9AE}" pid="151" name="FSC#COOSYSTEM@1.1:Container">
    <vt:lpwstr>COO.2145.1000.3.4800363</vt:lpwstr>
  </property>
  <property fmtid="{D5CDD505-2E9C-101B-9397-08002B2CF9AE}" pid="152" name="FSC#FSCFOLIO@1.1001:docpropproject">
    <vt:lpwstr/>
  </property>
</Properties>
</file>