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5418018E"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811826">
        <w:rPr>
          <w:rFonts w:ascii="Times New Roman" w:eastAsia="Calibri" w:hAnsi="Times New Roman" w:cs="Times New Roman"/>
          <w:b/>
          <w:sz w:val="24"/>
          <w:szCs w:val="24"/>
        </w:rPr>
        <w:t xml:space="preserve"> Návrh zákona, ktorým sa mení a dopĺňa zákon č. 431/2002 Z. z. o účtovníctve v znení neskorších predpisov a ktorým sa men</w:t>
      </w:r>
      <w:r w:rsidR="00C07EBD">
        <w:rPr>
          <w:rFonts w:ascii="Times New Roman" w:eastAsia="Calibri" w:hAnsi="Times New Roman" w:cs="Times New Roman"/>
          <w:b/>
          <w:sz w:val="24"/>
          <w:szCs w:val="24"/>
        </w:rPr>
        <w:t>í a dopĺňa zákon č. 513/1991</w:t>
      </w:r>
      <w:r w:rsidR="00AE20DE">
        <w:rPr>
          <w:rFonts w:ascii="Times New Roman" w:eastAsia="Calibri" w:hAnsi="Times New Roman" w:cs="Times New Roman"/>
          <w:b/>
          <w:sz w:val="24"/>
          <w:szCs w:val="24"/>
        </w:rPr>
        <w:t xml:space="preserve"> </w:t>
      </w:r>
      <w:bookmarkStart w:id="0" w:name="_GoBack"/>
      <w:bookmarkEnd w:id="0"/>
      <w:r w:rsidR="00C07EBD">
        <w:rPr>
          <w:rFonts w:ascii="Times New Roman" w:eastAsia="Calibri" w:hAnsi="Times New Roman" w:cs="Times New Roman"/>
          <w:b/>
          <w:sz w:val="24"/>
          <w:szCs w:val="24"/>
        </w:rPr>
        <w:t xml:space="preserve">Zb. Obchodný zákonník v znení neskorších predpisov </w:t>
      </w:r>
    </w:p>
    <w:p w14:paraId="77F96BF6" w14:textId="13EFBF8B"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811826">
        <w:rPr>
          <w:rFonts w:ascii="Times New Roman" w:eastAsia="Calibri" w:hAnsi="Times New Roman" w:cs="Times New Roman"/>
          <w:b/>
          <w:sz w:val="24"/>
          <w:szCs w:val="24"/>
        </w:rPr>
        <w:t xml:space="preserve"> Ministerstvo financií Slovenskej republiky</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C655E3" w:rsidRPr="00895898" w14:paraId="40D2DDFC" w14:textId="77777777" w:rsidTr="00142154">
        <w:trPr>
          <w:trHeight w:val="227"/>
        </w:trPr>
        <w:tc>
          <w:tcPr>
            <w:tcW w:w="3681" w:type="dxa"/>
          </w:tcPr>
          <w:p w14:paraId="18F50E63" w14:textId="1EC43257" w:rsidR="00C655E3" w:rsidRPr="00895898" w:rsidRDefault="00C655E3" w:rsidP="00C655E3">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Pr>
                <w:rFonts w:ascii="Times New Roman" w:eastAsia="Calibri" w:hAnsi="Times New Roman" w:cs="Times New Roman"/>
                <w:i/>
                <w:iCs/>
                <w:color w:val="000000"/>
                <w:sz w:val="20"/>
              </w:rPr>
              <w:t xml:space="preserve"> a poplatk</w:t>
            </w:r>
            <w:r w:rsidRPr="00A000DA">
              <w:rPr>
                <w:rFonts w:ascii="Times New Roman" w:eastAsia="Calibri" w:hAnsi="Times New Roman" w:cs="Times New Roman"/>
                <w:i/>
                <w:iCs/>
                <w:color w:val="000000"/>
                <w:sz w:val="20"/>
              </w:rPr>
              <w:t>y</w:t>
            </w:r>
            <w:r w:rsidRPr="00A000DA">
              <w:rPr>
                <w:rFonts w:ascii="Times New Roman" w:hAnsi="Times New Roman" w:cs="Times New Roman"/>
                <w:sz w:val="24"/>
                <w:szCs w:val="24"/>
              </w:rPr>
              <w:t>,</w:t>
            </w:r>
            <w:r>
              <w:rPr>
                <w:rFonts w:ascii="Times New Roman" w:hAnsi="Times New Roman" w:cs="Times New Roman"/>
                <w:b/>
                <w:bCs/>
                <w:sz w:val="24"/>
                <w:szCs w:val="24"/>
              </w:rPr>
              <w:t xml:space="preserve"> </w:t>
            </w:r>
            <w:r w:rsidRPr="00A000DA">
              <w:rPr>
                <w:rFonts w:ascii="Times New Roman" w:eastAsia="Calibri" w:hAnsi="Times New Roman" w:cs="Times New Roman"/>
                <w:i/>
                <w:iCs/>
                <w:color w:val="000000"/>
                <w:sz w:val="20"/>
              </w:rPr>
              <w:t xml:space="preserve">ktorých cieľom je znižovať negatívne </w:t>
            </w:r>
            <w:proofErr w:type="spellStart"/>
            <w:r w:rsidRPr="00A000DA">
              <w:rPr>
                <w:rFonts w:ascii="Times New Roman" w:eastAsia="Calibri" w:hAnsi="Times New Roman" w:cs="Times New Roman"/>
                <w:i/>
                <w:iCs/>
                <w:color w:val="000000"/>
                <w:sz w:val="20"/>
              </w:rPr>
              <w:t>externality</w:t>
            </w:r>
            <w:proofErr w:type="spellEnd"/>
          </w:p>
        </w:tc>
        <w:tc>
          <w:tcPr>
            <w:tcW w:w="2693" w:type="dxa"/>
            <w:shd w:val="clear" w:color="auto" w:fill="FFC000"/>
          </w:tcPr>
          <w:p w14:paraId="0C359853" w14:textId="4CBFB261" w:rsidR="00C655E3" w:rsidRPr="00C655E3" w:rsidRDefault="009A65D9" w:rsidP="00C655E3">
            <w:pPr>
              <w:jc w:val="center"/>
              <w:rPr>
                <w:rFonts w:ascii="Times New Roman" w:eastAsia="Calibri" w:hAnsi="Times New Roman" w:cs="Times New Roman"/>
                <w:b/>
                <w:i/>
                <w:sz w:val="20"/>
              </w:rPr>
            </w:pPr>
            <w:r>
              <w:rPr>
                <w:b/>
              </w:rPr>
              <w:t>0</w:t>
            </w:r>
          </w:p>
        </w:tc>
        <w:tc>
          <w:tcPr>
            <w:tcW w:w="2693" w:type="dxa"/>
            <w:shd w:val="clear" w:color="auto" w:fill="92D050"/>
          </w:tcPr>
          <w:p w14:paraId="7F217001" w14:textId="3C270D1C" w:rsidR="00C655E3" w:rsidRPr="00C655E3" w:rsidRDefault="00C655E3" w:rsidP="00C655E3">
            <w:pPr>
              <w:jc w:val="center"/>
              <w:rPr>
                <w:rFonts w:ascii="Times New Roman" w:eastAsia="Calibri" w:hAnsi="Times New Roman" w:cs="Times New Roman"/>
                <w:b/>
                <w:i/>
                <w:sz w:val="20"/>
              </w:rPr>
            </w:pPr>
            <w:r w:rsidRPr="00C655E3">
              <w:rPr>
                <w:b/>
              </w:rPr>
              <w:t>0,00</w:t>
            </w:r>
          </w:p>
        </w:tc>
      </w:tr>
      <w:tr w:rsidR="00C655E3" w:rsidRPr="00895898" w14:paraId="2A3B7BD5" w14:textId="77777777" w:rsidTr="00142154">
        <w:tc>
          <w:tcPr>
            <w:tcW w:w="3681" w:type="dxa"/>
          </w:tcPr>
          <w:p w14:paraId="749ADDB1" w14:textId="6814776F" w:rsidR="00C655E3" w:rsidRPr="00895898" w:rsidRDefault="00C655E3" w:rsidP="00C655E3">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19CA1F26" w:rsidR="00C655E3" w:rsidRPr="00C655E3" w:rsidRDefault="009A65D9" w:rsidP="00C655E3">
            <w:pPr>
              <w:jc w:val="center"/>
              <w:rPr>
                <w:rFonts w:ascii="Times New Roman" w:eastAsia="Calibri" w:hAnsi="Times New Roman" w:cs="Times New Roman"/>
                <w:b/>
                <w:i/>
                <w:sz w:val="20"/>
              </w:rPr>
            </w:pPr>
            <w:r>
              <w:rPr>
                <w:b/>
              </w:rPr>
              <w:t>0</w:t>
            </w:r>
          </w:p>
        </w:tc>
        <w:tc>
          <w:tcPr>
            <w:tcW w:w="2693" w:type="dxa"/>
            <w:shd w:val="clear" w:color="auto" w:fill="92D050"/>
          </w:tcPr>
          <w:p w14:paraId="1A7F8C71" w14:textId="66D8104E" w:rsidR="00C655E3" w:rsidRPr="00C655E3" w:rsidRDefault="00C655E3" w:rsidP="00C655E3">
            <w:pPr>
              <w:jc w:val="center"/>
              <w:rPr>
                <w:rFonts w:ascii="Times New Roman" w:eastAsia="Calibri" w:hAnsi="Times New Roman" w:cs="Times New Roman"/>
                <w:b/>
                <w:i/>
                <w:sz w:val="20"/>
              </w:rPr>
            </w:pPr>
            <w:r w:rsidRPr="00C655E3">
              <w:rPr>
                <w:b/>
              </w:rPr>
              <w:t>0,00</w:t>
            </w:r>
          </w:p>
        </w:tc>
      </w:tr>
      <w:tr w:rsidR="00C655E3" w:rsidRPr="00895898" w14:paraId="5890A2A1" w14:textId="77777777" w:rsidTr="00142154">
        <w:tc>
          <w:tcPr>
            <w:tcW w:w="3681" w:type="dxa"/>
          </w:tcPr>
          <w:p w14:paraId="470A575F" w14:textId="77777777" w:rsidR="00C655E3" w:rsidRPr="00895898" w:rsidRDefault="00C655E3" w:rsidP="00C655E3">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6AB89D58" w:rsidR="00C655E3" w:rsidRPr="00C655E3" w:rsidRDefault="00F12966" w:rsidP="009A65D9">
            <w:pPr>
              <w:jc w:val="center"/>
              <w:rPr>
                <w:rFonts w:ascii="Times New Roman" w:eastAsia="Calibri" w:hAnsi="Times New Roman" w:cs="Times New Roman"/>
                <w:b/>
                <w:i/>
                <w:sz w:val="20"/>
              </w:rPr>
            </w:pPr>
            <w:r>
              <w:rPr>
                <w:b/>
              </w:rPr>
              <w:t xml:space="preserve">150 </w:t>
            </w:r>
            <w:r w:rsidR="009A65D9">
              <w:rPr>
                <w:b/>
              </w:rPr>
              <w:t>00</w:t>
            </w:r>
          </w:p>
        </w:tc>
        <w:tc>
          <w:tcPr>
            <w:tcW w:w="2693" w:type="dxa"/>
            <w:shd w:val="clear" w:color="auto" w:fill="92D050"/>
          </w:tcPr>
          <w:p w14:paraId="4AB9E4F0" w14:textId="652C6C44" w:rsidR="00C655E3" w:rsidRPr="00C655E3" w:rsidRDefault="00C655E3" w:rsidP="00C655E3">
            <w:pPr>
              <w:jc w:val="center"/>
              <w:rPr>
                <w:rFonts w:ascii="Times New Roman" w:eastAsia="Calibri" w:hAnsi="Times New Roman" w:cs="Times New Roman"/>
                <w:b/>
                <w:i/>
                <w:sz w:val="20"/>
              </w:rPr>
            </w:pPr>
            <w:r w:rsidRPr="00C655E3">
              <w:rPr>
                <w:b/>
              </w:rPr>
              <w:t>0,00</w:t>
            </w:r>
          </w:p>
        </w:tc>
      </w:tr>
      <w:tr w:rsidR="00C655E3" w:rsidRPr="00895898" w14:paraId="1915EE9C" w14:textId="77777777" w:rsidTr="00142154">
        <w:tc>
          <w:tcPr>
            <w:tcW w:w="3681" w:type="dxa"/>
          </w:tcPr>
          <w:p w14:paraId="3FBBD35B" w14:textId="77777777" w:rsidR="00C655E3" w:rsidRPr="00895898" w:rsidRDefault="00C655E3" w:rsidP="00C655E3">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6147ED54" w:rsidR="00C655E3" w:rsidRPr="00C655E3" w:rsidRDefault="008A65A0" w:rsidP="009A65D9">
            <w:pPr>
              <w:jc w:val="center"/>
              <w:rPr>
                <w:rFonts w:ascii="Times New Roman" w:eastAsia="Calibri" w:hAnsi="Times New Roman" w:cs="Times New Roman"/>
                <w:b/>
                <w:i/>
                <w:sz w:val="20"/>
              </w:rPr>
            </w:pPr>
            <w:r>
              <w:rPr>
                <w:b/>
              </w:rPr>
              <w:t>2</w:t>
            </w:r>
            <w:r w:rsidR="009A65D9">
              <w:rPr>
                <w:b/>
              </w:rPr>
              <w:t xml:space="preserve"> </w:t>
            </w:r>
            <w:r>
              <w:rPr>
                <w:b/>
              </w:rPr>
              <w:t>3</w:t>
            </w:r>
            <w:r w:rsidR="009A65D9">
              <w:rPr>
                <w:b/>
              </w:rPr>
              <w:t>19</w:t>
            </w:r>
          </w:p>
        </w:tc>
        <w:tc>
          <w:tcPr>
            <w:tcW w:w="2693" w:type="dxa"/>
            <w:shd w:val="clear" w:color="auto" w:fill="92D050"/>
          </w:tcPr>
          <w:p w14:paraId="0128E641" w14:textId="33D4EDA5" w:rsidR="00C655E3" w:rsidRPr="00C655E3" w:rsidRDefault="00C655E3" w:rsidP="00C655E3">
            <w:pPr>
              <w:jc w:val="center"/>
              <w:rPr>
                <w:rFonts w:ascii="Times New Roman" w:eastAsia="Calibri" w:hAnsi="Times New Roman" w:cs="Times New Roman"/>
                <w:b/>
                <w:i/>
                <w:sz w:val="20"/>
              </w:rPr>
            </w:pPr>
            <w:r w:rsidRPr="00C655E3">
              <w:rPr>
                <w:b/>
              </w:rPr>
              <w:t>0,00</w:t>
            </w:r>
          </w:p>
        </w:tc>
      </w:tr>
      <w:tr w:rsidR="00C655E3" w:rsidRPr="00895898" w14:paraId="784F8A51" w14:textId="77777777" w:rsidTr="00142154">
        <w:tc>
          <w:tcPr>
            <w:tcW w:w="3681" w:type="dxa"/>
          </w:tcPr>
          <w:p w14:paraId="796F837A" w14:textId="77777777" w:rsidR="00C655E3" w:rsidRPr="00895898" w:rsidRDefault="00C655E3" w:rsidP="00C655E3">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14CA6C73" w:rsidR="00C655E3" w:rsidRPr="00C655E3" w:rsidRDefault="00F12966" w:rsidP="009A65D9">
            <w:pPr>
              <w:jc w:val="center"/>
              <w:rPr>
                <w:rFonts w:ascii="Times New Roman" w:eastAsia="Calibri" w:hAnsi="Times New Roman" w:cs="Times New Roman"/>
                <w:b/>
                <w:i/>
                <w:sz w:val="20"/>
              </w:rPr>
            </w:pPr>
            <w:r>
              <w:rPr>
                <w:b/>
              </w:rPr>
              <w:t>152 319</w:t>
            </w:r>
          </w:p>
        </w:tc>
        <w:tc>
          <w:tcPr>
            <w:tcW w:w="2693" w:type="dxa"/>
            <w:shd w:val="clear" w:color="auto" w:fill="92D050"/>
          </w:tcPr>
          <w:p w14:paraId="02FE7EB5" w14:textId="35D537C9" w:rsidR="00C655E3" w:rsidRPr="00C655E3" w:rsidRDefault="00C655E3" w:rsidP="00C655E3">
            <w:pPr>
              <w:jc w:val="center"/>
              <w:rPr>
                <w:rFonts w:ascii="Times New Roman" w:eastAsia="Calibri" w:hAnsi="Times New Roman" w:cs="Times New Roman"/>
                <w:b/>
                <w:i/>
                <w:sz w:val="20"/>
              </w:rPr>
            </w:pPr>
            <w:r w:rsidRPr="00C655E3">
              <w:rPr>
                <w:b/>
              </w:rPr>
              <w:t>0,00</w:t>
            </w:r>
          </w:p>
        </w:tc>
      </w:tr>
      <w:tr w:rsidR="00C655E3" w:rsidRPr="00895898" w14:paraId="4440B6DF" w14:textId="77777777" w:rsidTr="00142154">
        <w:tc>
          <w:tcPr>
            <w:tcW w:w="3681" w:type="dxa"/>
          </w:tcPr>
          <w:p w14:paraId="1E7A37D9" w14:textId="05E931F4" w:rsidR="00C655E3" w:rsidRPr="00895898" w:rsidRDefault="00C655E3" w:rsidP="00C655E3">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4FC9D8BC" w:rsidR="00C655E3" w:rsidRPr="00C655E3" w:rsidRDefault="00C655E3" w:rsidP="00C655E3">
            <w:pPr>
              <w:jc w:val="center"/>
              <w:rPr>
                <w:rFonts w:ascii="Times New Roman" w:eastAsia="Calibri" w:hAnsi="Times New Roman" w:cs="Times New Roman"/>
                <w:b/>
                <w:i/>
                <w:sz w:val="20"/>
              </w:rPr>
            </w:pPr>
            <w:r w:rsidRPr="00C655E3">
              <w:rPr>
                <w:b/>
              </w:rPr>
              <w:t xml:space="preserve"> </w:t>
            </w:r>
          </w:p>
        </w:tc>
        <w:tc>
          <w:tcPr>
            <w:tcW w:w="2693" w:type="dxa"/>
            <w:shd w:val="clear" w:color="auto" w:fill="92D050"/>
          </w:tcPr>
          <w:p w14:paraId="623271B2" w14:textId="0D8C7F6A" w:rsidR="00C655E3" w:rsidRPr="00C655E3" w:rsidRDefault="00C655E3" w:rsidP="00C655E3">
            <w:pPr>
              <w:jc w:val="center"/>
              <w:rPr>
                <w:rFonts w:ascii="Times New Roman" w:eastAsia="Calibri" w:hAnsi="Times New Roman" w:cs="Times New Roman"/>
                <w:b/>
                <w:i/>
                <w:sz w:val="20"/>
              </w:rPr>
            </w:pPr>
            <w:r w:rsidRPr="00C655E3">
              <w:rPr>
                <w:b/>
              </w:rPr>
              <w:t xml:space="preserve"> </w:t>
            </w:r>
          </w:p>
        </w:tc>
      </w:tr>
      <w:tr w:rsidR="00C655E3" w:rsidRPr="00895898" w14:paraId="5592CF42" w14:textId="77777777" w:rsidTr="00142154">
        <w:tc>
          <w:tcPr>
            <w:tcW w:w="3681" w:type="dxa"/>
          </w:tcPr>
          <w:p w14:paraId="01B4507F" w14:textId="77777777" w:rsidR="00C655E3" w:rsidRPr="00895898" w:rsidRDefault="00C655E3" w:rsidP="00C655E3">
            <w:pPr>
              <w:rPr>
                <w:rFonts w:ascii="Times New Roman" w:eastAsia="Calibri" w:hAnsi="Times New Roman" w:cs="Times New Roman"/>
                <w:i/>
                <w:sz w:val="20"/>
              </w:rPr>
            </w:pPr>
            <w:r w:rsidRPr="00895898">
              <w:rPr>
                <w:rFonts w:ascii="Times New Roman" w:eastAsia="Calibri" w:hAnsi="Times New Roman" w:cs="Times New Roman"/>
                <w:i/>
                <w:sz w:val="20"/>
              </w:rPr>
              <w:t xml:space="preserve">E. Vplyv na </w:t>
            </w:r>
            <w:proofErr w:type="spellStart"/>
            <w:r w:rsidRPr="00895898">
              <w:rPr>
                <w:rFonts w:ascii="Times New Roman" w:eastAsia="Calibri" w:hAnsi="Times New Roman" w:cs="Times New Roman"/>
                <w:i/>
                <w:sz w:val="20"/>
              </w:rPr>
              <w:t>mikro</w:t>
            </w:r>
            <w:proofErr w:type="spellEnd"/>
            <w:r w:rsidRPr="00895898">
              <w:rPr>
                <w:rFonts w:ascii="Times New Roman" w:eastAsia="Calibri" w:hAnsi="Times New Roman" w:cs="Times New Roman"/>
                <w:i/>
                <w:sz w:val="20"/>
              </w:rPr>
              <w:t>, malé a stredné podniky</w:t>
            </w:r>
          </w:p>
        </w:tc>
        <w:tc>
          <w:tcPr>
            <w:tcW w:w="2693" w:type="dxa"/>
            <w:shd w:val="clear" w:color="auto" w:fill="FFC000"/>
          </w:tcPr>
          <w:p w14:paraId="7D80D68C" w14:textId="3651ACD1" w:rsidR="00C655E3" w:rsidRPr="00C655E3" w:rsidRDefault="009A65D9" w:rsidP="00C655E3">
            <w:pPr>
              <w:jc w:val="center"/>
              <w:rPr>
                <w:rFonts w:ascii="Times New Roman" w:eastAsia="Calibri" w:hAnsi="Times New Roman" w:cs="Times New Roman"/>
                <w:b/>
                <w:i/>
                <w:sz w:val="20"/>
              </w:rPr>
            </w:pPr>
            <w:r>
              <w:rPr>
                <w:b/>
              </w:rPr>
              <w:t>0</w:t>
            </w:r>
          </w:p>
        </w:tc>
        <w:tc>
          <w:tcPr>
            <w:tcW w:w="2693" w:type="dxa"/>
            <w:shd w:val="clear" w:color="auto" w:fill="92D050"/>
          </w:tcPr>
          <w:p w14:paraId="52B3C4D4" w14:textId="4555AB8C" w:rsidR="00C655E3" w:rsidRPr="00C655E3" w:rsidRDefault="00C655E3" w:rsidP="00C655E3">
            <w:pPr>
              <w:jc w:val="center"/>
              <w:rPr>
                <w:rFonts w:ascii="Times New Roman" w:eastAsia="Calibri" w:hAnsi="Times New Roman" w:cs="Times New Roman"/>
                <w:b/>
                <w:i/>
                <w:sz w:val="20"/>
              </w:rPr>
            </w:pPr>
            <w:r w:rsidRPr="00C655E3">
              <w:rPr>
                <w:b/>
              </w:rPr>
              <w:t>0,00</w:t>
            </w:r>
          </w:p>
        </w:tc>
      </w:tr>
      <w:tr w:rsidR="00C655E3" w:rsidRPr="00895898" w14:paraId="22C30EA7" w14:textId="77777777" w:rsidTr="00142154">
        <w:tc>
          <w:tcPr>
            <w:tcW w:w="3681" w:type="dxa"/>
          </w:tcPr>
          <w:p w14:paraId="7C25F36F" w14:textId="77777777" w:rsidR="00C655E3" w:rsidRPr="00895898" w:rsidRDefault="00C655E3" w:rsidP="00C655E3">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A897307" w:rsidR="00C655E3" w:rsidRPr="00C655E3" w:rsidRDefault="00F12966" w:rsidP="00C655E3">
            <w:pPr>
              <w:jc w:val="center"/>
              <w:rPr>
                <w:rFonts w:ascii="Times New Roman" w:eastAsia="Calibri" w:hAnsi="Times New Roman" w:cs="Times New Roman"/>
                <w:b/>
                <w:i/>
                <w:sz w:val="20"/>
              </w:rPr>
            </w:pPr>
            <w:r>
              <w:rPr>
                <w:b/>
              </w:rPr>
              <w:t>152 319</w:t>
            </w:r>
          </w:p>
        </w:tc>
        <w:tc>
          <w:tcPr>
            <w:tcW w:w="2693" w:type="dxa"/>
            <w:shd w:val="clear" w:color="auto" w:fill="92D050"/>
          </w:tcPr>
          <w:p w14:paraId="26F86839" w14:textId="3329FA01" w:rsidR="00C655E3" w:rsidRPr="00C655E3" w:rsidRDefault="00C655E3" w:rsidP="00C655E3">
            <w:pPr>
              <w:jc w:val="center"/>
              <w:rPr>
                <w:rFonts w:ascii="Times New Roman" w:eastAsia="Calibri" w:hAnsi="Times New Roman" w:cs="Times New Roman"/>
                <w:b/>
                <w:i/>
                <w:sz w:val="20"/>
              </w:rPr>
            </w:pPr>
            <w:r w:rsidRPr="00C655E3">
              <w:rPr>
                <w:b/>
              </w:rPr>
              <w:t>0,00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42"/>
        <w:gridCol w:w="1043"/>
        <w:gridCol w:w="1129"/>
        <w:gridCol w:w="1302"/>
        <w:gridCol w:w="934"/>
        <w:gridCol w:w="1356"/>
        <w:gridCol w:w="974"/>
        <w:gridCol w:w="974"/>
        <w:gridCol w:w="982"/>
        <w:gridCol w:w="992"/>
        <w:gridCol w:w="1132"/>
      </w:tblGrid>
      <w:tr w:rsidR="00054C41" w:rsidRPr="00895898" w14:paraId="10CEFB11" w14:textId="77777777" w:rsidTr="009A65D9">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3542"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3"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2"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56"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132"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9A65D9" w:rsidRPr="00895898" w14:paraId="11758B9A" w14:textId="77777777" w:rsidTr="009A65D9">
        <w:trPr>
          <w:trHeight w:val="612"/>
        </w:trPr>
        <w:tc>
          <w:tcPr>
            <w:tcW w:w="501" w:type="dxa"/>
            <w:vAlign w:val="center"/>
          </w:tcPr>
          <w:p w14:paraId="6F827851" w14:textId="7AD2327A" w:rsidR="009A65D9" w:rsidRPr="00895898" w:rsidRDefault="009A65D9" w:rsidP="009A65D9">
            <w:pPr>
              <w:spacing w:after="0" w:line="240" w:lineRule="auto"/>
              <w:rPr>
                <w:rFonts w:ascii="Times New Roman" w:eastAsia="Times New Roman" w:hAnsi="Times New Roman" w:cs="Times New Roman"/>
                <w:sz w:val="20"/>
                <w:szCs w:val="20"/>
                <w:lang w:eastAsia="sk-SK"/>
              </w:rPr>
            </w:pPr>
            <w:r>
              <w:rPr>
                <w:color w:val="000000"/>
                <w:sz w:val="20"/>
                <w:szCs w:val="20"/>
              </w:rPr>
              <w:t>1</w:t>
            </w:r>
          </w:p>
        </w:tc>
        <w:tc>
          <w:tcPr>
            <w:tcW w:w="3542" w:type="dxa"/>
            <w:shd w:val="clear" w:color="auto" w:fill="auto"/>
            <w:vAlign w:val="center"/>
          </w:tcPr>
          <w:p w14:paraId="7B4E9DA7" w14:textId="034A113A" w:rsidR="009A65D9" w:rsidRPr="00895898" w:rsidRDefault="009A65D9" w:rsidP="009A65D9">
            <w:pPr>
              <w:spacing w:after="0" w:line="240" w:lineRule="auto"/>
              <w:rPr>
                <w:rFonts w:ascii="Times New Roman" w:eastAsia="Times New Roman" w:hAnsi="Times New Roman" w:cs="Times New Roman"/>
                <w:sz w:val="20"/>
                <w:szCs w:val="20"/>
                <w:lang w:eastAsia="sk-SK"/>
              </w:rPr>
            </w:pPr>
            <w:r>
              <w:rPr>
                <w:color w:val="000000"/>
                <w:sz w:val="20"/>
                <w:szCs w:val="20"/>
              </w:rPr>
              <w:t>zavedenie nového výkazu - správa s informáciami o dani z príjmov</w:t>
            </w:r>
          </w:p>
        </w:tc>
        <w:tc>
          <w:tcPr>
            <w:tcW w:w="1043" w:type="dxa"/>
            <w:vAlign w:val="center"/>
          </w:tcPr>
          <w:p w14:paraId="120314F8" w14:textId="0EC19893" w:rsidR="009A65D9" w:rsidRPr="00895898" w:rsidRDefault="009A65D9" w:rsidP="009A65D9">
            <w:pPr>
              <w:spacing w:after="0" w:line="240" w:lineRule="auto"/>
              <w:rPr>
                <w:rFonts w:ascii="Times New Roman" w:eastAsia="Times New Roman" w:hAnsi="Times New Roman" w:cs="Times New Roman"/>
                <w:sz w:val="20"/>
                <w:szCs w:val="20"/>
                <w:lang w:eastAsia="sk-SK"/>
              </w:rPr>
            </w:pPr>
            <w:r>
              <w:rPr>
                <w:color w:val="000000"/>
                <w:sz w:val="20"/>
                <w:szCs w:val="20"/>
              </w:rPr>
              <w:t>431/2002 Z. z.</w:t>
            </w:r>
          </w:p>
        </w:tc>
        <w:tc>
          <w:tcPr>
            <w:tcW w:w="1129" w:type="dxa"/>
            <w:shd w:val="clear" w:color="auto" w:fill="auto"/>
            <w:vAlign w:val="center"/>
          </w:tcPr>
          <w:p w14:paraId="1B4826F8" w14:textId="0BBFBAF9" w:rsidR="009A65D9" w:rsidRPr="00895898" w:rsidRDefault="009A65D9" w:rsidP="009A65D9">
            <w:pPr>
              <w:spacing w:after="0" w:line="240" w:lineRule="auto"/>
              <w:rPr>
                <w:rFonts w:ascii="Times New Roman" w:eastAsia="Times New Roman" w:hAnsi="Times New Roman" w:cs="Times New Roman"/>
                <w:sz w:val="20"/>
                <w:szCs w:val="20"/>
                <w:lang w:eastAsia="sk-SK"/>
              </w:rPr>
            </w:pPr>
            <w:r>
              <w:rPr>
                <w:color w:val="000000"/>
                <w:sz w:val="20"/>
                <w:szCs w:val="20"/>
              </w:rPr>
              <w:t xml:space="preserve">§ 21 a </w:t>
            </w:r>
            <w:proofErr w:type="spellStart"/>
            <w:r>
              <w:rPr>
                <w:color w:val="000000"/>
                <w:sz w:val="20"/>
                <w:szCs w:val="20"/>
              </w:rPr>
              <w:t>nasl</w:t>
            </w:r>
            <w:proofErr w:type="spellEnd"/>
            <w:r>
              <w:rPr>
                <w:color w:val="000000"/>
                <w:sz w:val="20"/>
                <w:szCs w:val="20"/>
              </w:rPr>
              <w:t>.</w:t>
            </w:r>
          </w:p>
        </w:tc>
        <w:tc>
          <w:tcPr>
            <w:tcW w:w="1302" w:type="dxa"/>
            <w:vAlign w:val="center"/>
          </w:tcPr>
          <w:p w14:paraId="3A0BA666" w14:textId="72D9F851" w:rsidR="009A65D9" w:rsidRPr="00895898" w:rsidRDefault="009A65D9" w:rsidP="009A65D9">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934" w:type="dxa"/>
            <w:shd w:val="clear" w:color="auto" w:fill="auto"/>
            <w:noWrap/>
            <w:vAlign w:val="center"/>
          </w:tcPr>
          <w:p w14:paraId="6BFB7AA2" w14:textId="4B95709F" w:rsidR="009A65D9" w:rsidRPr="00895898" w:rsidRDefault="009A65D9" w:rsidP="009A65D9">
            <w:pPr>
              <w:spacing w:after="0" w:line="240" w:lineRule="auto"/>
              <w:rPr>
                <w:rFonts w:ascii="Times New Roman" w:eastAsia="Times New Roman" w:hAnsi="Times New Roman" w:cs="Times New Roman"/>
                <w:color w:val="000000"/>
                <w:sz w:val="20"/>
                <w:szCs w:val="20"/>
                <w:lang w:eastAsia="sk-SK"/>
              </w:rPr>
            </w:pPr>
            <w:r>
              <w:rPr>
                <w:color w:val="000000"/>
                <w:sz w:val="20"/>
                <w:szCs w:val="20"/>
              </w:rPr>
              <w:t>22.06.23</w:t>
            </w:r>
          </w:p>
        </w:tc>
        <w:tc>
          <w:tcPr>
            <w:tcW w:w="1356" w:type="dxa"/>
            <w:vAlign w:val="center"/>
          </w:tcPr>
          <w:p w14:paraId="299C820D" w14:textId="27883355" w:rsidR="009A65D9" w:rsidRPr="00895898" w:rsidRDefault="009A65D9" w:rsidP="009A65D9">
            <w:pPr>
              <w:spacing w:after="0" w:line="240" w:lineRule="auto"/>
              <w:rPr>
                <w:rFonts w:ascii="Times New Roman" w:eastAsia="Times New Roman" w:hAnsi="Times New Roman" w:cs="Times New Roman"/>
                <w:sz w:val="20"/>
                <w:szCs w:val="20"/>
                <w:lang w:eastAsia="sk-SK"/>
              </w:rPr>
            </w:pPr>
            <w:r>
              <w:rPr>
                <w:color w:val="000000"/>
                <w:sz w:val="20"/>
                <w:szCs w:val="20"/>
              </w:rPr>
              <w:t xml:space="preserve">veľké </w:t>
            </w:r>
            <w:proofErr w:type="spellStart"/>
            <w:r>
              <w:rPr>
                <w:color w:val="000000"/>
                <w:sz w:val="20"/>
                <w:szCs w:val="20"/>
              </w:rPr>
              <w:t>účt</w:t>
            </w:r>
            <w:proofErr w:type="spellEnd"/>
            <w:r>
              <w:rPr>
                <w:color w:val="000000"/>
                <w:sz w:val="20"/>
                <w:szCs w:val="20"/>
              </w:rPr>
              <w:t>. jednotky s čistým obratom/</w:t>
            </w:r>
            <w:proofErr w:type="spellStart"/>
            <w:r>
              <w:rPr>
                <w:color w:val="000000"/>
                <w:sz w:val="20"/>
                <w:szCs w:val="20"/>
              </w:rPr>
              <w:t>kons</w:t>
            </w:r>
            <w:proofErr w:type="spellEnd"/>
            <w:r>
              <w:rPr>
                <w:color w:val="000000"/>
                <w:sz w:val="20"/>
                <w:szCs w:val="20"/>
              </w:rPr>
              <w:t>. výnosmi nad 750mil.€</w:t>
            </w:r>
          </w:p>
        </w:tc>
        <w:tc>
          <w:tcPr>
            <w:tcW w:w="974" w:type="dxa"/>
            <w:shd w:val="clear" w:color="auto" w:fill="auto"/>
            <w:noWrap/>
            <w:vAlign w:val="center"/>
          </w:tcPr>
          <w:p w14:paraId="74360775" w14:textId="60697A64" w:rsidR="009A65D9" w:rsidRPr="00895898" w:rsidRDefault="009A65D9" w:rsidP="009A65D9">
            <w:pPr>
              <w:spacing w:after="0" w:line="240" w:lineRule="auto"/>
              <w:rPr>
                <w:rFonts w:ascii="Times New Roman" w:eastAsia="Times New Roman" w:hAnsi="Times New Roman" w:cs="Times New Roman"/>
                <w:sz w:val="20"/>
                <w:szCs w:val="20"/>
                <w:lang w:eastAsia="sk-SK"/>
              </w:rPr>
            </w:pPr>
            <w:r>
              <w:rPr>
                <w:color w:val="000000"/>
                <w:sz w:val="20"/>
                <w:szCs w:val="20"/>
              </w:rPr>
              <w:t xml:space="preserve">                 20 </w:t>
            </w:r>
          </w:p>
        </w:tc>
        <w:tc>
          <w:tcPr>
            <w:tcW w:w="974" w:type="dxa"/>
            <w:shd w:val="clear" w:color="auto" w:fill="auto"/>
            <w:noWrap/>
            <w:vAlign w:val="center"/>
          </w:tcPr>
          <w:p w14:paraId="57C9126E" w14:textId="2F5AD9D6" w:rsidR="009A65D9" w:rsidRPr="00895898" w:rsidRDefault="009A65D9" w:rsidP="009A65D9">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   </w:t>
            </w:r>
          </w:p>
        </w:tc>
        <w:tc>
          <w:tcPr>
            <w:tcW w:w="982" w:type="dxa"/>
            <w:shd w:val="clear" w:color="auto" w:fill="auto"/>
            <w:noWrap/>
            <w:vAlign w:val="center"/>
          </w:tcPr>
          <w:p w14:paraId="57D4FAC6" w14:textId="49EBE7D0" w:rsidR="009A65D9" w:rsidRPr="00895898" w:rsidRDefault="009A65D9" w:rsidP="009A65D9">
            <w:pPr>
              <w:spacing w:after="0" w:line="240" w:lineRule="auto"/>
              <w:rPr>
                <w:rFonts w:ascii="Times New Roman" w:eastAsia="Times New Roman" w:hAnsi="Times New Roman" w:cs="Times New Roman"/>
                <w:sz w:val="20"/>
                <w:szCs w:val="20"/>
                <w:lang w:eastAsia="sk-SK"/>
              </w:rPr>
            </w:pPr>
            <w:r>
              <w:rPr>
                <w:color w:val="000000"/>
                <w:sz w:val="20"/>
                <w:szCs w:val="20"/>
              </w:rPr>
              <w:t>116</w:t>
            </w:r>
          </w:p>
        </w:tc>
        <w:tc>
          <w:tcPr>
            <w:tcW w:w="992" w:type="dxa"/>
            <w:shd w:val="clear" w:color="auto" w:fill="auto"/>
            <w:noWrap/>
            <w:vAlign w:val="center"/>
          </w:tcPr>
          <w:p w14:paraId="20A55E97" w14:textId="10FD0130" w:rsidR="009A65D9" w:rsidRPr="00895898" w:rsidRDefault="009A65D9" w:rsidP="009A65D9">
            <w:pPr>
              <w:spacing w:after="0" w:line="240" w:lineRule="auto"/>
              <w:rPr>
                <w:rFonts w:ascii="Times New Roman" w:eastAsia="Times New Roman" w:hAnsi="Times New Roman" w:cs="Times New Roman"/>
                <w:color w:val="000000"/>
                <w:sz w:val="20"/>
                <w:szCs w:val="20"/>
                <w:lang w:eastAsia="sk-SK"/>
              </w:rPr>
            </w:pPr>
            <w:r>
              <w:rPr>
                <w:color w:val="000000"/>
                <w:sz w:val="20"/>
                <w:szCs w:val="20"/>
              </w:rPr>
              <w:t>2 319</w:t>
            </w:r>
          </w:p>
        </w:tc>
        <w:tc>
          <w:tcPr>
            <w:tcW w:w="1132" w:type="dxa"/>
            <w:vAlign w:val="center"/>
          </w:tcPr>
          <w:p w14:paraId="032A8679" w14:textId="435CCE6C" w:rsidR="009A65D9" w:rsidRPr="00895898" w:rsidRDefault="009A65D9" w:rsidP="009A65D9">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F12966" w:rsidRPr="00895898" w14:paraId="3E85FB6C" w14:textId="77777777" w:rsidTr="009A65D9">
        <w:trPr>
          <w:trHeight w:val="600"/>
        </w:trPr>
        <w:tc>
          <w:tcPr>
            <w:tcW w:w="501" w:type="dxa"/>
            <w:vAlign w:val="center"/>
          </w:tcPr>
          <w:p w14:paraId="65795CE6" w14:textId="5A67E810" w:rsidR="00F12966" w:rsidRPr="00895898" w:rsidRDefault="00F12966" w:rsidP="00F12966">
            <w:pPr>
              <w:spacing w:after="0" w:line="240" w:lineRule="auto"/>
              <w:rPr>
                <w:rFonts w:ascii="Times New Roman" w:eastAsia="Times New Roman" w:hAnsi="Times New Roman" w:cs="Times New Roman"/>
                <w:sz w:val="20"/>
                <w:szCs w:val="20"/>
                <w:lang w:eastAsia="sk-SK"/>
              </w:rPr>
            </w:pPr>
            <w:r>
              <w:rPr>
                <w:color w:val="000000"/>
                <w:sz w:val="20"/>
                <w:szCs w:val="20"/>
              </w:rPr>
              <w:t>2</w:t>
            </w:r>
          </w:p>
        </w:tc>
        <w:tc>
          <w:tcPr>
            <w:tcW w:w="3542" w:type="dxa"/>
            <w:shd w:val="clear" w:color="auto" w:fill="auto"/>
            <w:vAlign w:val="center"/>
          </w:tcPr>
          <w:p w14:paraId="7BEDDF1C" w14:textId="6EFB3716" w:rsidR="00F12966" w:rsidRPr="00895898" w:rsidRDefault="004E186D" w:rsidP="004E186D">
            <w:pPr>
              <w:spacing w:after="0" w:line="240" w:lineRule="auto"/>
              <w:rPr>
                <w:rFonts w:ascii="Times New Roman" w:eastAsia="Times New Roman" w:hAnsi="Times New Roman" w:cs="Times New Roman"/>
                <w:sz w:val="20"/>
                <w:szCs w:val="20"/>
                <w:lang w:eastAsia="sk-SK"/>
              </w:rPr>
            </w:pPr>
            <w:r>
              <w:rPr>
                <w:color w:val="000000"/>
                <w:sz w:val="20"/>
                <w:szCs w:val="20"/>
              </w:rPr>
              <w:t xml:space="preserve">kontrola vzniku povinnosti </w:t>
            </w:r>
            <w:r w:rsidR="00C65512">
              <w:rPr>
                <w:color w:val="000000"/>
                <w:sz w:val="20"/>
                <w:szCs w:val="20"/>
              </w:rPr>
              <w:t xml:space="preserve">a </w:t>
            </w:r>
            <w:r w:rsidR="00F12966">
              <w:rPr>
                <w:color w:val="000000"/>
                <w:sz w:val="20"/>
                <w:szCs w:val="20"/>
              </w:rPr>
              <w:t>uloženi</w:t>
            </w:r>
            <w:r>
              <w:rPr>
                <w:color w:val="000000"/>
                <w:sz w:val="20"/>
                <w:szCs w:val="20"/>
              </w:rPr>
              <w:t>a</w:t>
            </w:r>
            <w:r w:rsidR="00F12966">
              <w:rPr>
                <w:color w:val="000000"/>
                <w:sz w:val="20"/>
                <w:szCs w:val="20"/>
              </w:rPr>
              <w:t xml:space="preserve"> výkazu - správa s informáciami o dani z príjmov  </w:t>
            </w:r>
          </w:p>
        </w:tc>
        <w:tc>
          <w:tcPr>
            <w:tcW w:w="1043" w:type="dxa"/>
            <w:vAlign w:val="center"/>
          </w:tcPr>
          <w:p w14:paraId="6F95232A" w14:textId="00425CAD" w:rsidR="00F12966" w:rsidRPr="00895898" w:rsidRDefault="00F12966" w:rsidP="00F12966">
            <w:pPr>
              <w:spacing w:after="0" w:line="240" w:lineRule="auto"/>
              <w:rPr>
                <w:rFonts w:ascii="Times New Roman" w:eastAsia="Times New Roman" w:hAnsi="Times New Roman" w:cs="Times New Roman"/>
                <w:sz w:val="20"/>
                <w:szCs w:val="20"/>
                <w:lang w:eastAsia="sk-SK"/>
              </w:rPr>
            </w:pPr>
            <w:r>
              <w:rPr>
                <w:color w:val="000000"/>
                <w:sz w:val="20"/>
                <w:szCs w:val="20"/>
              </w:rPr>
              <w:t>431/2002 Z. z.</w:t>
            </w:r>
          </w:p>
        </w:tc>
        <w:tc>
          <w:tcPr>
            <w:tcW w:w="1129" w:type="dxa"/>
            <w:shd w:val="clear" w:color="auto" w:fill="auto"/>
            <w:vAlign w:val="center"/>
          </w:tcPr>
          <w:p w14:paraId="4772F4F9" w14:textId="0CEA074F" w:rsidR="00F12966" w:rsidRPr="00895898" w:rsidRDefault="00F12966" w:rsidP="00F12966">
            <w:pPr>
              <w:spacing w:after="0" w:line="240" w:lineRule="auto"/>
              <w:rPr>
                <w:rFonts w:ascii="Times New Roman" w:eastAsia="Times New Roman" w:hAnsi="Times New Roman" w:cs="Times New Roman"/>
                <w:sz w:val="20"/>
                <w:szCs w:val="20"/>
                <w:lang w:eastAsia="sk-SK"/>
              </w:rPr>
            </w:pPr>
            <w:r>
              <w:rPr>
                <w:color w:val="000000"/>
                <w:sz w:val="20"/>
                <w:szCs w:val="20"/>
              </w:rPr>
              <w:t>§ 19 ods. 4</w:t>
            </w:r>
          </w:p>
        </w:tc>
        <w:tc>
          <w:tcPr>
            <w:tcW w:w="1302" w:type="dxa"/>
            <w:vAlign w:val="center"/>
          </w:tcPr>
          <w:p w14:paraId="202CD1E5" w14:textId="0927067F" w:rsidR="00F12966" w:rsidRPr="00895898" w:rsidRDefault="00F12966" w:rsidP="00F12966">
            <w:pPr>
              <w:spacing w:after="0" w:line="240" w:lineRule="auto"/>
              <w:rPr>
                <w:rFonts w:ascii="Times New Roman" w:eastAsia="Times New Roman" w:hAnsi="Times New Roman" w:cs="Times New Roman"/>
                <w:color w:val="000000"/>
                <w:sz w:val="20"/>
                <w:szCs w:val="20"/>
                <w:lang w:eastAsia="sk-SK"/>
              </w:rPr>
            </w:pPr>
            <w:r>
              <w:rPr>
                <w:color w:val="000000"/>
                <w:sz w:val="20"/>
                <w:szCs w:val="20"/>
              </w:rPr>
              <w:t>EÚ úplná harmonizácia</w:t>
            </w:r>
          </w:p>
        </w:tc>
        <w:tc>
          <w:tcPr>
            <w:tcW w:w="934" w:type="dxa"/>
            <w:shd w:val="clear" w:color="auto" w:fill="auto"/>
            <w:noWrap/>
            <w:vAlign w:val="center"/>
          </w:tcPr>
          <w:p w14:paraId="727D0512" w14:textId="3930D8BF" w:rsidR="00F12966" w:rsidRPr="00895898" w:rsidRDefault="00F12966" w:rsidP="00F12966">
            <w:pPr>
              <w:spacing w:after="0" w:line="240" w:lineRule="auto"/>
              <w:rPr>
                <w:rFonts w:ascii="Times New Roman" w:eastAsia="Times New Roman" w:hAnsi="Times New Roman" w:cs="Times New Roman"/>
                <w:color w:val="000000"/>
                <w:sz w:val="20"/>
                <w:szCs w:val="20"/>
                <w:lang w:eastAsia="sk-SK"/>
              </w:rPr>
            </w:pPr>
            <w:r>
              <w:rPr>
                <w:color w:val="000000"/>
                <w:sz w:val="20"/>
                <w:szCs w:val="20"/>
              </w:rPr>
              <w:t>22.06.23</w:t>
            </w:r>
          </w:p>
        </w:tc>
        <w:tc>
          <w:tcPr>
            <w:tcW w:w="1356" w:type="dxa"/>
            <w:vAlign w:val="center"/>
          </w:tcPr>
          <w:p w14:paraId="41387D4C" w14:textId="4E4A9700" w:rsidR="00F12966" w:rsidRPr="00895898" w:rsidRDefault="00F12966" w:rsidP="00F12966">
            <w:pPr>
              <w:spacing w:after="0" w:line="240" w:lineRule="auto"/>
              <w:rPr>
                <w:rFonts w:ascii="Times New Roman" w:eastAsia="Times New Roman" w:hAnsi="Times New Roman" w:cs="Times New Roman"/>
                <w:sz w:val="20"/>
                <w:szCs w:val="20"/>
                <w:lang w:eastAsia="sk-SK"/>
              </w:rPr>
            </w:pPr>
            <w:r>
              <w:rPr>
                <w:color w:val="000000"/>
                <w:sz w:val="20"/>
                <w:szCs w:val="20"/>
              </w:rPr>
              <w:t>obchodné spoločnosti s povinnosťou podľa § 19 ods. 1 písm. a), b) a d)</w:t>
            </w:r>
            <w:r w:rsidR="004E186D">
              <w:rPr>
                <w:color w:val="000000"/>
                <w:sz w:val="20"/>
                <w:szCs w:val="20"/>
              </w:rPr>
              <w:t xml:space="preserve"> alebo § 22 ods.2 </w:t>
            </w:r>
          </w:p>
        </w:tc>
        <w:tc>
          <w:tcPr>
            <w:tcW w:w="974" w:type="dxa"/>
            <w:shd w:val="clear" w:color="auto" w:fill="auto"/>
            <w:noWrap/>
            <w:vAlign w:val="center"/>
          </w:tcPr>
          <w:p w14:paraId="2F2BACE5" w14:textId="6289B6B8" w:rsidR="00F12966" w:rsidRPr="00895898" w:rsidRDefault="00F12966" w:rsidP="004E186D">
            <w:pPr>
              <w:spacing w:after="0" w:line="240" w:lineRule="auto"/>
              <w:rPr>
                <w:rFonts w:ascii="Times New Roman" w:eastAsia="Times New Roman" w:hAnsi="Times New Roman" w:cs="Times New Roman"/>
                <w:sz w:val="20"/>
                <w:szCs w:val="20"/>
                <w:lang w:eastAsia="sk-SK"/>
              </w:rPr>
            </w:pPr>
            <w:r>
              <w:rPr>
                <w:color w:val="000000"/>
                <w:sz w:val="20"/>
                <w:szCs w:val="20"/>
              </w:rPr>
              <w:t xml:space="preserve"> 3 000 </w:t>
            </w:r>
          </w:p>
        </w:tc>
        <w:tc>
          <w:tcPr>
            <w:tcW w:w="974" w:type="dxa"/>
            <w:shd w:val="clear" w:color="auto" w:fill="auto"/>
            <w:noWrap/>
            <w:vAlign w:val="center"/>
          </w:tcPr>
          <w:p w14:paraId="39949054" w14:textId="3F571686" w:rsidR="00F12966" w:rsidRPr="00895898" w:rsidRDefault="00F12966" w:rsidP="00F12966">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   </w:t>
            </w:r>
          </w:p>
        </w:tc>
        <w:tc>
          <w:tcPr>
            <w:tcW w:w="982" w:type="dxa"/>
            <w:shd w:val="clear" w:color="auto" w:fill="auto"/>
            <w:noWrap/>
            <w:vAlign w:val="center"/>
          </w:tcPr>
          <w:p w14:paraId="1371B6C4" w14:textId="4A8DB60A" w:rsidR="00F12966" w:rsidRPr="00895898" w:rsidRDefault="00F12966" w:rsidP="00F12966">
            <w:pPr>
              <w:spacing w:after="0" w:line="240" w:lineRule="auto"/>
              <w:rPr>
                <w:rFonts w:ascii="Times New Roman" w:eastAsia="Times New Roman" w:hAnsi="Times New Roman" w:cs="Times New Roman"/>
                <w:color w:val="000000"/>
                <w:sz w:val="20"/>
                <w:szCs w:val="20"/>
                <w:lang w:eastAsia="sk-SK"/>
              </w:rPr>
            </w:pPr>
            <w:r>
              <w:rPr>
                <w:color w:val="000000"/>
                <w:sz w:val="20"/>
                <w:szCs w:val="20"/>
              </w:rPr>
              <w:t>50</w:t>
            </w:r>
          </w:p>
        </w:tc>
        <w:tc>
          <w:tcPr>
            <w:tcW w:w="992" w:type="dxa"/>
            <w:shd w:val="clear" w:color="auto" w:fill="auto"/>
            <w:noWrap/>
            <w:vAlign w:val="center"/>
          </w:tcPr>
          <w:p w14:paraId="0C7D454A" w14:textId="03722B87" w:rsidR="00F12966" w:rsidRPr="00895898" w:rsidRDefault="00F12966" w:rsidP="00F12966">
            <w:pPr>
              <w:spacing w:after="0" w:line="240" w:lineRule="auto"/>
              <w:rPr>
                <w:rFonts w:ascii="Times New Roman" w:eastAsia="Times New Roman" w:hAnsi="Times New Roman" w:cs="Times New Roman"/>
                <w:color w:val="000000"/>
                <w:sz w:val="20"/>
                <w:szCs w:val="20"/>
                <w:lang w:eastAsia="sk-SK"/>
              </w:rPr>
            </w:pPr>
            <w:r>
              <w:rPr>
                <w:color w:val="000000"/>
                <w:sz w:val="20"/>
                <w:szCs w:val="20"/>
              </w:rPr>
              <w:t>150 000</w:t>
            </w:r>
          </w:p>
        </w:tc>
        <w:tc>
          <w:tcPr>
            <w:tcW w:w="1132" w:type="dxa"/>
            <w:vAlign w:val="center"/>
          </w:tcPr>
          <w:p w14:paraId="3CD7D152" w14:textId="5E2F08BA" w:rsidR="00F12966" w:rsidRPr="00895898" w:rsidRDefault="00F12966" w:rsidP="00F12966">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054C41" w:rsidRPr="00895898" w14:paraId="0922CA33" w14:textId="77777777" w:rsidTr="009A65D9">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42"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3"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2"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56"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2"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9A65D9">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42"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3"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2"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56"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2"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9A65D9">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42"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3"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2"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56"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2"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4B7EFCBA"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 xml:space="preserve">a poplatky, ktorých cieľom je znižovať negatívne </w:t>
      </w:r>
      <w:proofErr w:type="spellStart"/>
      <w:r w:rsidR="00A000DA" w:rsidRPr="00A000DA">
        <w:rPr>
          <w:rFonts w:ascii="Times New Roman" w:eastAsia="Calibri" w:hAnsi="Times New Roman" w:cs="Times New Roman"/>
          <w:bCs/>
          <w:i/>
          <w:iCs/>
          <w:color w:val="000000"/>
          <w:sz w:val="24"/>
          <w:szCs w:val="24"/>
        </w:rPr>
        <w:t>externality</w:t>
      </w:r>
      <w:proofErr w:type="spellEnd"/>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57E2CBB1" w14:textId="3524F469" w:rsidR="00E03807" w:rsidRPr="003315C1" w:rsidRDefault="00C655E3" w:rsidP="00E03807">
      <w:pPr>
        <w:jc w:val="both"/>
        <w:rPr>
          <w:rFonts w:ascii="Times New Roman" w:hAnsi="Times New Roman" w:cs="Times New Roman"/>
          <w:sz w:val="24"/>
          <w:szCs w:val="24"/>
        </w:rPr>
      </w:pPr>
      <w:r w:rsidRPr="003315C1">
        <w:rPr>
          <w:rFonts w:ascii="Times New Roman" w:hAnsi="Times New Roman" w:cs="Times New Roman"/>
          <w:sz w:val="24"/>
          <w:szCs w:val="24"/>
        </w:rPr>
        <w:t xml:space="preserve">Návrhom sú dotknuté </w:t>
      </w:r>
      <w:r w:rsidR="00422FD5" w:rsidRPr="003315C1">
        <w:rPr>
          <w:rFonts w:ascii="Times New Roman" w:hAnsi="Times New Roman" w:cs="Times New Roman"/>
          <w:sz w:val="24"/>
          <w:szCs w:val="24"/>
        </w:rPr>
        <w:t xml:space="preserve">veľké </w:t>
      </w:r>
      <w:r w:rsidRPr="003315C1">
        <w:rPr>
          <w:rFonts w:ascii="Times New Roman" w:hAnsi="Times New Roman" w:cs="Times New Roman"/>
          <w:sz w:val="24"/>
          <w:szCs w:val="24"/>
        </w:rPr>
        <w:t>účtovné jednotky, ktoré v dvoch po sebe nasledujúcich účtovných obdobiach za každé z nich dosiahli čistý obrat viac ako 750 mil. eur a účtovné jednotky, ktoré zostavujú konsolidovanú účtovnú závierku najväčšej skupiny podnikov</w:t>
      </w:r>
      <w:r w:rsidR="00811826" w:rsidRPr="003315C1">
        <w:rPr>
          <w:rFonts w:ascii="Times New Roman" w:hAnsi="Times New Roman" w:cs="Times New Roman"/>
          <w:sz w:val="24"/>
          <w:szCs w:val="24"/>
        </w:rPr>
        <w:t xml:space="preserve"> a dosiahli konsolidované výnosy viac ako 750 mil. eur za každé z </w:t>
      </w:r>
      <w:r w:rsidRPr="003315C1">
        <w:rPr>
          <w:rFonts w:ascii="Times New Roman" w:hAnsi="Times New Roman" w:cs="Times New Roman"/>
          <w:sz w:val="24"/>
          <w:szCs w:val="24"/>
        </w:rPr>
        <w:t>dvoch po sebe nasledujúcich účtovných obdobiach, ak majú stále miesto podnikania alebo trvalú podnikateľskú činnosť na území viacerých členských štátoch alebo viac ako jednu daňovú jurisdikciu. Tiež dcérske účtovné jednotky, ktoré spĺňajú aspoň 2 kritériá (majetok viac ako 4 mil. €, obrat vyšší ako 8 mil.€ a 50 zamestnancov za 2 po sebe idúce úč</w:t>
      </w:r>
      <w:r w:rsidR="00422FD5" w:rsidRPr="003315C1">
        <w:rPr>
          <w:rFonts w:ascii="Times New Roman" w:hAnsi="Times New Roman" w:cs="Times New Roman"/>
          <w:sz w:val="24"/>
          <w:szCs w:val="24"/>
        </w:rPr>
        <w:t xml:space="preserve">tovné obdobia), ktorých zahraničný konečný materský subjekt </w:t>
      </w:r>
      <w:r w:rsidRPr="003315C1">
        <w:rPr>
          <w:rFonts w:ascii="Times New Roman" w:hAnsi="Times New Roman" w:cs="Times New Roman"/>
          <w:sz w:val="24"/>
          <w:szCs w:val="24"/>
        </w:rPr>
        <w:t>má sídlo mimo Európskej únie a prekračuje konsolidované výnosy 750 mil. € v každom z 2 bezprostredne po sebe idúcich účtovných obdobiach</w:t>
      </w:r>
      <w:r w:rsidR="00E03807" w:rsidRPr="003315C1">
        <w:rPr>
          <w:rFonts w:ascii="Times New Roman" w:hAnsi="Times New Roman" w:cs="Times New Roman"/>
          <w:sz w:val="24"/>
          <w:szCs w:val="24"/>
        </w:rPr>
        <w:t xml:space="preserve"> a veľké organizačné zložky podniku zahraničnej právnickej osoby so sídlom mimo územia členských štátov, ktorej </w:t>
      </w:r>
      <w:r w:rsidR="00422FD5" w:rsidRPr="003315C1">
        <w:rPr>
          <w:rFonts w:ascii="Times New Roman" w:hAnsi="Times New Roman" w:cs="Times New Roman"/>
          <w:sz w:val="24"/>
          <w:szCs w:val="24"/>
        </w:rPr>
        <w:t xml:space="preserve"> výnosy resp. </w:t>
      </w:r>
      <w:r w:rsidR="00E03807" w:rsidRPr="003315C1">
        <w:rPr>
          <w:rFonts w:ascii="Times New Roman" w:hAnsi="Times New Roman" w:cs="Times New Roman"/>
          <w:sz w:val="24"/>
          <w:szCs w:val="24"/>
        </w:rPr>
        <w:t xml:space="preserve">konsolidované výnosy prekročili v každom z dvoch bezprostredne po sebe nasledujúcich účtovných obdobiach sumu 750 mil. €, ak sa na </w:t>
      </w:r>
      <w:proofErr w:type="spellStart"/>
      <w:r w:rsidR="00E03807" w:rsidRPr="003315C1">
        <w:rPr>
          <w:rFonts w:ascii="Times New Roman" w:hAnsi="Times New Roman" w:cs="Times New Roman"/>
          <w:sz w:val="24"/>
          <w:szCs w:val="24"/>
        </w:rPr>
        <w:t>ne</w:t>
      </w:r>
      <w:proofErr w:type="spellEnd"/>
      <w:r w:rsidR="00E03807" w:rsidRPr="003315C1">
        <w:rPr>
          <w:rFonts w:ascii="Times New Roman" w:hAnsi="Times New Roman" w:cs="Times New Roman"/>
          <w:sz w:val="24"/>
          <w:szCs w:val="24"/>
        </w:rPr>
        <w:t xml:space="preserve"> nevzťahuje oslobodenie z povinnosti uložiť správu s informáciami o dani z príjmov.</w:t>
      </w:r>
    </w:p>
    <w:p w14:paraId="4CF8ACC3" w14:textId="0E56C879" w:rsidR="00C655E3" w:rsidRPr="003315C1" w:rsidRDefault="00C655E3" w:rsidP="00C655E3">
      <w:pPr>
        <w:jc w:val="both"/>
        <w:rPr>
          <w:rFonts w:ascii="Times New Roman" w:hAnsi="Times New Roman" w:cs="Times New Roman"/>
          <w:sz w:val="24"/>
          <w:szCs w:val="24"/>
        </w:rPr>
      </w:pPr>
      <w:r w:rsidRPr="003315C1">
        <w:rPr>
          <w:rFonts w:ascii="Times New Roman" w:hAnsi="Times New Roman" w:cs="Times New Roman"/>
          <w:sz w:val="24"/>
          <w:szCs w:val="24"/>
        </w:rPr>
        <w:t>Zároveň sa upravuje povinnosť pre subjekty verejného záujmu s počtom zamestnancov nad 500, ktor</w:t>
      </w:r>
      <w:r w:rsidR="00422FD5" w:rsidRPr="003315C1">
        <w:rPr>
          <w:rFonts w:ascii="Times New Roman" w:hAnsi="Times New Roman" w:cs="Times New Roman"/>
          <w:sz w:val="24"/>
          <w:szCs w:val="24"/>
        </w:rPr>
        <w:t>é</w:t>
      </w:r>
      <w:r w:rsidRPr="003315C1">
        <w:rPr>
          <w:rFonts w:ascii="Times New Roman" w:hAnsi="Times New Roman" w:cs="Times New Roman"/>
          <w:sz w:val="24"/>
          <w:szCs w:val="24"/>
        </w:rPr>
        <w:t xml:space="preserve"> doteraz uvádzali vo výročnej správe aj nefinančné informácie, aby sa na nich táto povinnosť vzťahovala len v prípade ak ku dňu, ku ktorému sa zostavuje účtovná závierka a za bezprostredne pred</w:t>
      </w:r>
      <w:r w:rsidR="00811826" w:rsidRPr="003315C1">
        <w:rPr>
          <w:rFonts w:ascii="Times New Roman" w:hAnsi="Times New Roman" w:cs="Times New Roman"/>
          <w:sz w:val="24"/>
          <w:szCs w:val="24"/>
        </w:rPr>
        <w:t>chádzajúce účtovné obdobie, splni</w:t>
      </w:r>
      <w:r w:rsidRPr="003315C1">
        <w:rPr>
          <w:rFonts w:ascii="Times New Roman" w:hAnsi="Times New Roman" w:cs="Times New Roman"/>
          <w:sz w:val="24"/>
          <w:szCs w:val="24"/>
        </w:rPr>
        <w:t>a zároveň aspoň jednu z týchto podmienok:</w:t>
      </w:r>
    </w:p>
    <w:p w14:paraId="7B089F29" w14:textId="77777777" w:rsidR="00C655E3" w:rsidRPr="003315C1" w:rsidRDefault="00C655E3" w:rsidP="00C655E3">
      <w:pPr>
        <w:jc w:val="both"/>
        <w:rPr>
          <w:rFonts w:ascii="Times New Roman" w:hAnsi="Times New Roman" w:cs="Times New Roman"/>
          <w:sz w:val="24"/>
          <w:szCs w:val="24"/>
        </w:rPr>
      </w:pPr>
      <w:r w:rsidRPr="003315C1">
        <w:rPr>
          <w:rFonts w:ascii="Times New Roman" w:hAnsi="Times New Roman" w:cs="Times New Roman"/>
          <w:sz w:val="24"/>
          <w:szCs w:val="24"/>
        </w:rPr>
        <w:t>a) celková suma majetku presiahla sumu 20 000 000 eur, pričom sumou majetku na tento účel sa rozumie suma zistená zo súvahy v ocenení upravenom o položky podľa § 26 ods. 3,</w:t>
      </w:r>
    </w:p>
    <w:p w14:paraId="5F459039" w14:textId="14CEDE6F" w:rsidR="00C655E3" w:rsidRPr="003315C1" w:rsidRDefault="00C655E3" w:rsidP="00C655E3">
      <w:pPr>
        <w:jc w:val="both"/>
        <w:rPr>
          <w:rFonts w:ascii="Times New Roman" w:hAnsi="Times New Roman" w:cs="Times New Roman"/>
          <w:sz w:val="24"/>
          <w:szCs w:val="24"/>
        </w:rPr>
      </w:pPr>
      <w:r w:rsidRPr="003315C1">
        <w:rPr>
          <w:rFonts w:ascii="Times New Roman" w:hAnsi="Times New Roman" w:cs="Times New Roman"/>
          <w:sz w:val="24"/>
          <w:szCs w:val="24"/>
        </w:rPr>
        <w:t>b) čistý obrat presiahol 40 000 000 eur.</w:t>
      </w:r>
    </w:p>
    <w:p w14:paraId="4B9A9D93" w14:textId="77777777" w:rsidR="009A65D9" w:rsidRDefault="00C655E3" w:rsidP="009A65D9">
      <w:pPr>
        <w:jc w:val="both"/>
        <w:rPr>
          <w:rFonts w:ascii="Times New Roman" w:hAnsi="Times New Roman" w:cs="Times New Roman"/>
          <w:sz w:val="24"/>
          <w:szCs w:val="24"/>
        </w:rPr>
      </w:pPr>
      <w:r w:rsidRPr="003315C1">
        <w:rPr>
          <w:rFonts w:ascii="Times New Roman" w:hAnsi="Times New Roman" w:cs="Times New Roman"/>
          <w:sz w:val="24"/>
          <w:szCs w:val="24"/>
        </w:rPr>
        <w:t>Neboli identifikované a následne ani vyčíslené priame finančné náklady</w:t>
      </w:r>
      <w:r w:rsidR="009A65D9">
        <w:rPr>
          <w:rFonts w:ascii="Times New Roman" w:hAnsi="Times New Roman" w:cs="Times New Roman"/>
          <w:sz w:val="24"/>
          <w:szCs w:val="24"/>
        </w:rPr>
        <w:t xml:space="preserve"> regulácie.</w:t>
      </w:r>
      <w:r w:rsidRPr="003315C1">
        <w:rPr>
          <w:rFonts w:ascii="Times New Roman" w:hAnsi="Times New Roman" w:cs="Times New Roman"/>
          <w:sz w:val="24"/>
          <w:szCs w:val="24"/>
        </w:rPr>
        <w:t xml:space="preserve"> </w:t>
      </w:r>
    </w:p>
    <w:p w14:paraId="30AF61FC" w14:textId="1515E527" w:rsidR="009910BA" w:rsidRDefault="009A65D9" w:rsidP="009A65D9">
      <w:pPr>
        <w:jc w:val="both"/>
        <w:rPr>
          <w:rFonts w:ascii="Times New Roman" w:hAnsi="Times New Roman" w:cs="Times New Roman"/>
          <w:sz w:val="24"/>
          <w:szCs w:val="24"/>
        </w:rPr>
      </w:pPr>
      <w:r>
        <w:rPr>
          <w:rFonts w:ascii="Times New Roman" w:hAnsi="Times New Roman" w:cs="Times New Roman"/>
          <w:sz w:val="24"/>
          <w:szCs w:val="24"/>
        </w:rPr>
        <w:t>N</w:t>
      </w:r>
      <w:r w:rsidR="00C655E3" w:rsidRPr="003315C1">
        <w:rPr>
          <w:rFonts w:ascii="Times New Roman" w:hAnsi="Times New Roman" w:cs="Times New Roman"/>
          <w:sz w:val="24"/>
          <w:szCs w:val="24"/>
        </w:rPr>
        <w:t>epriame finančné náklady regulácie</w:t>
      </w:r>
      <w:r>
        <w:rPr>
          <w:rFonts w:ascii="Times New Roman" w:hAnsi="Times New Roman" w:cs="Times New Roman"/>
          <w:sz w:val="24"/>
          <w:szCs w:val="24"/>
        </w:rPr>
        <w:t xml:space="preserve"> vznikajú v súvislosti s povinnosťou audítora uvádzať v správe audítora informáciu o tom, či </w:t>
      </w:r>
      <w:r w:rsidRPr="009A65D9">
        <w:rPr>
          <w:rFonts w:ascii="Times New Roman" w:hAnsi="Times New Roman" w:cs="Times New Roman"/>
          <w:sz w:val="24"/>
          <w:szCs w:val="24"/>
        </w:rPr>
        <w:t>za účtovné obdobie bezprostredne predchádzajúce účtovnému obdobiu, za ktoré je overovaná účtovná závierka zostavená, vznikla účtovnej jednotke povinnosť uloženia správy s informáciami o dani z</w:t>
      </w:r>
      <w:r>
        <w:rPr>
          <w:rFonts w:ascii="Times New Roman" w:hAnsi="Times New Roman" w:cs="Times New Roman"/>
          <w:sz w:val="24"/>
          <w:szCs w:val="24"/>
        </w:rPr>
        <w:t> </w:t>
      </w:r>
      <w:r w:rsidRPr="009A65D9">
        <w:rPr>
          <w:rFonts w:ascii="Times New Roman" w:hAnsi="Times New Roman" w:cs="Times New Roman"/>
          <w:sz w:val="24"/>
          <w:szCs w:val="24"/>
        </w:rPr>
        <w:t>príjmov</w:t>
      </w:r>
      <w:r>
        <w:rPr>
          <w:rFonts w:ascii="Times New Roman" w:hAnsi="Times New Roman" w:cs="Times New Roman"/>
          <w:sz w:val="24"/>
          <w:szCs w:val="24"/>
        </w:rPr>
        <w:t xml:space="preserve"> a či bola správa s informáciami uložená do jedného roka od skončenia účtovného obdobia, za ktoré sa správa s informáciami o dani z príjmov vyhotovila.</w:t>
      </w:r>
      <w:r w:rsidR="00C655E3" w:rsidRPr="003315C1">
        <w:rPr>
          <w:rFonts w:ascii="Times New Roman" w:hAnsi="Times New Roman" w:cs="Times New Roman"/>
          <w:sz w:val="24"/>
          <w:szCs w:val="24"/>
        </w:rPr>
        <w:t xml:space="preserve"> </w:t>
      </w:r>
      <w:r w:rsidR="009910BA">
        <w:rPr>
          <w:rFonts w:ascii="Times New Roman" w:hAnsi="Times New Roman" w:cs="Times New Roman"/>
          <w:sz w:val="24"/>
          <w:szCs w:val="24"/>
        </w:rPr>
        <w:t>V obchodných spoločnostiach, ktoré majú povinnosť overenia účtovnej závierky audítorom, sa činnosť audítora rozšíri o </w:t>
      </w:r>
      <w:r w:rsidR="00EE2CC6">
        <w:rPr>
          <w:rFonts w:ascii="Times New Roman" w:hAnsi="Times New Roman" w:cs="Times New Roman"/>
          <w:sz w:val="24"/>
          <w:szCs w:val="24"/>
        </w:rPr>
        <w:t>úkony</w:t>
      </w:r>
      <w:r w:rsidR="009910BA">
        <w:rPr>
          <w:rFonts w:ascii="Times New Roman" w:hAnsi="Times New Roman" w:cs="Times New Roman"/>
          <w:sz w:val="24"/>
          <w:szCs w:val="24"/>
        </w:rPr>
        <w:t xml:space="preserve">, ktoré v praxi predstavujú </w:t>
      </w:r>
      <w:r w:rsidR="00EE2CC6">
        <w:rPr>
          <w:rFonts w:ascii="Times New Roman" w:hAnsi="Times New Roman" w:cs="Times New Roman"/>
          <w:sz w:val="24"/>
          <w:szCs w:val="24"/>
        </w:rPr>
        <w:t>skontrolovanie</w:t>
      </w:r>
      <w:r w:rsidR="009910BA">
        <w:rPr>
          <w:rFonts w:ascii="Times New Roman" w:hAnsi="Times New Roman" w:cs="Times New Roman"/>
          <w:sz w:val="24"/>
          <w:szCs w:val="24"/>
        </w:rPr>
        <w:t xml:space="preserve"> výšky </w:t>
      </w:r>
      <w:r w:rsidR="00EE2CC6">
        <w:rPr>
          <w:rFonts w:ascii="Times New Roman" w:hAnsi="Times New Roman" w:cs="Times New Roman"/>
          <w:sz w:val="24"/>
          <w:szCs w:val="24"/>
        </w:rPr>
        <w:t>výnosov a splnenia</w:t>
      </w:r>
      <w:r w:rsidR="009910BA">
        <w:rPr>
          <w:rFonts w:ascii="Times New Roman" w:hAnsi="Times New Roman" w:cs="Times New Roman"/>
          <w:sz w:val="24"/>
          <w:szCs w:val="24"/>
        </w:rPr>
        <w:t xml:space="preserve"> </w:t>
      </w:r>
      <w:r w:rsidR="00151BAB">
        <w:rPr>
          <w:rFonts w:ascii="Times New Roman" w:hAnsi="Times New Roman" w:cs="Times New Roman"/>
          <w:sz w:val="24"/>
          <w:szCs w:val="24"/>
        </w:rPr>
        <w:t xml:space="preserve">zverejnenia dokumentu. Pri priemerných hodinových sadzbách a odhadovaného časového rámca týchto </w:t>
      </w:r>
      <w:r w:rsidR="00EE2CC6">
        <w:rPr>
          <w:rFonts w:ascii="Times New Roman" w:hAnsi="Times New Roman" w:cs="Times New Roman"/>
          <w:sz w:val="24"/>
          <w:szCs w:val="24"/>
        </w:rPr>
        <w:t>činností</w:t>
      </w:r>
      <w:r w:rsidR="00151BAB">
        <w:rPr>
          <w:rFonts w:ascii="Times New Roman" w:hAnsi="Times New Roman" w:cs="Times New Roman"/>
          <w:sz w:val="24"/>
          <w:szCs w:val="24"/>
        </w:rPr>
        <w:t>, bola pri výpočte vyčíslen</w:t>
      </w:r>
      <w:r w:rsidR="00E30025">
        <w:rPr>
          <w:rFonts w:ascii="Times New Roman" w:hAnsi="Times New Roman" w:cs="Times New Roman"/>
          <w:sz w:val="24"/>
          <w:szCs w:val="24"/>
        </w:rPr>
        <w:t>á hodnota uvedených aktivít na 5</w:t>
      </w:r>
      <w:r w:rsidR="00151BAB">
        <w:rPr>
          <w:rFonts w:ascii="Times New Roman" w:hAnsi="Times New Roman" w:cs="Times New Roman"/>
          <w:sz w:val="24"/>
          <w:szCs w:val="24"/>
        </w:rPr>
        <w:t xml:space="preserve">0 eur na audit. </w:t>
      </w:r>
      <w:r w:rsidR="00EE2CC6">
        <w:rPr>
          <w:rFonts w:ascii="Times New Roman" w:hAnsi="Times New Roman" w:cs="Times New Roman"/>
          <w:sz w:val="24"/>
          <w:szCs w:val="24"/>
        </w:rPr>
        <w:t xml:space="preserve">Tieto úkony sa prvýkrát </w:t>
      </w:r>
      <w:r w:rsidR="00EE2CC6">
        <w:rPr>
          <w:rFonts w:ascii="Times New Roman" w:hAnsi="Times New Roman" w:cs="Times New Roman"/>
          <w:sz w:val="24"/>
          <w:szCs w:val="24"/>
        </w:rPr>
        <w:lastRenderedPageBreak/>
        <w:t>vykonajú pri správe audítora k účtovnej závierke, ktorá sa zostavuje za účtovné obdobie začínajúce 22. júna 2025.</w:t>
      </w:r>
      <w:r w:rsidR="009910BA">
        <w:rPr>
          <w:rFonts w:ascii="Times New Roman" w:hAnsi="Times New Roman" w:cs="Times New Roman"/>
          <w:sz w:val="24"/>
          <w:szCs w:val="24"/>
        </w:rPr>
        <w:t xml:space="preserve"> </w:t>
      </w:r>
    </w:p>
    <w:p w14:paraId="6B1AEEBE" w14:textId="534ECF72" w:rsidR="00C655E3" w:rsidRPr="003315C1" w:rsidRDefault="00C655E3" w:rsidP="009A65D9">
      <w:pPr>
        <w:jc w:val="both"/>
        <w:rPr>
          <w:rFonts w:ascii="Times New Roman" w:hAnsi="Times New Roman" w:cs="Times New Roman"/>
          <w:sz w:val="24"/>
          <w:szCs w:val="24"/>
        </w:rPr>
      </w:pPr>
      <w:r w:rsidRPr="003315C1">
        <w:rPr>
          <w:rFonts w:ascii="Times New Roman" w:hAnsi="Times New Roman" w:cs="Times New Roman"/>
          <w:sz w:val="24"/>
          <w:szCs w:val="24"/>
        </w:rPr>
        <w:t xml:space="preserve">Dochádza k zavedeniu novej informačnej povinnosti pre samostatnú účtovnú jednotku a konečnú materskú účtovnú jednotku, ktorých čistý obrat </w:t>
      </w:r>
      <w:r w:rsidR="00422FD5" w:rsidRPr="003315C1">
        <w:rPr>
          <w:rFonts w:ascii="Times New Roman" w:hAnsi="Times New Roman" w:cs="Times New Roman"/>
          <w:sz w:val="24"/>
          <w:szCs w:val="24"/>
        </w:rPr>
        <w:t>resp. konsolidované výnosy prekročil sumu</w:t>
      </w:r>
      <w:r w:rsidRPr="003315C1">
        <w:rPr>
          <w:rFonts w:ascii="Times New Roman" w:hAnsi="Times New Roman" w:cs="Times New Roman"/>
          <w:sz w:val="24"/>
          <w:szCs w:val="24"/>
        </w:rPr>
        <w:t xml:space="preserve"> 750 000 000 € v každom z dvoch bezprostredne po sebe nasledujúcich účtovných obdobiach. Zároveň sa uvedená povinnosť vypracovania správy s informáciami o dani z príjmov a</w:t>
      </w:r>
      <w:r w:rsidR="00E03807" w:rsidRPr="003315C1">
        <w:rPr>
          <w:rFonts w:ascii="Times New Roman" w:hAnsi="Times New Roman" w:cs="Times New Roman"/>
          <w:sz w:val="24"/>
          <w:szCs w:val="24"/>
        </w:rPr>
        <w:t xml:space="preserve"> jej </w:t>
      </w:r>
      <w:r w:rsidRPr="003315C1">
        <w:rPr>
          <w:rFonts w:ascii="Times New Roman" w:hAnsi="Times New Roman" w:cs="Times New Roman"/>
          <w:sz w:val="24"/>
          <w:szCs w:val="24"/>
        </w:rPr>
        <w:t>ulož</w:t>
      </w:r>
      <w:r w:rsidR="00E03807" w:rsidRPr="003315C1">
        <w:rPr>
          <w:rFonts w:ascii="Times New Roman" w:hAnsi="Times New Roman" w:cs="Times New Roman"/>
          <w:sz w:val="24"/>
          <w:szCs w:val="24"/>
        </w:rPr>
        <w:t>enia</w:t>
      </w:r>
      <w:r w:rsidRPr="003315C1">
        <w:rPr>
          <w:rFonts w:ascii="Times New Roman" w:hAnsi="Times New Roman" w:cs="Times New Roman"/>
          <w:sz w:val="24"/>
          <w:szCs w:val="24"/>
        </w:rPr>
        <w:t xml:space="preserve"> do registra účtovných záviero</w:t>
      </w:r>
      <w:r w:rsidR="00811826" w:rsidRPr="003315C1">
        <w:rPr>
          <w:rFonts w:ascii="Times New Roman" w:hAnsi="Times New Roman" w:cs="Times New Roman"/>
          <w:sz w:val="24"/>
          <w:szCs w:val="24"/>
        </w:rPr>
        <w:t>k a následne do Zbierky listín O</w:t>
      </w:r>
      <w:r w:rsidRPr="003315C1">
        <w:rPr>
          <w:rFonts w:ascii="Times New Roman" w:hAnsi="Times New Roman" w:cs="Times New Roman"/>
          <w:sz w:val="24"/>
          <w:szCs w:val="24"/>
        </w:rPr>
        <w:t xml:space="preserve">bchodného registra bude vzťahovať aj na </w:t>
      </w:r>
      <w:r w:rsidR="001B401C" w:rsidRPr="003315C1">
        <w:rPr>
          <w:rFonts w:ascii="Times New Roman" w:hAnsi="Times New Roman" w:cs="Times New Roman"/>
          <w:sz w:val="24"/>
          <w:szCs w:val="24"/>
        </w:rPr>
        <w:t xml:space="preserve">veľké dcérske účtovné jednotky a </w:t>
      </w:r>
      <w:r w:rsidRPr="003315C1">
        <w:rPr>
          <w:rFonts w:ascii="Times New Roman" w:hAnsi="Times New Roman" w:cs="Times New Roman"/>
          <w:sz w:val="24"/>
          <w:szCs w:val="24"/>
        </w:rPr>
        <w:t>organizačn</w:t>
      </w:r>
      <w:r w:rsidR="001B401C" w:rsidRPr="003315C1">
        <w:rPr>
          <w:rFonts w:ascii="Times New Roman" w:hAnsi="Times New Roman" w:cs="Times New Roman"/>
          <w:sz w:val="24"/>
          <w:szCs w:val="24"/>
        </w:rPr>
        <w:t>é</w:t>
      </w:r>
      <w:r w:rsidRPr="003315C1">
        <w:rPr>
          <w:rFonts w:ascii="Times New Roman" w:hAnsi="Times New Roman" w:cs="Times New Roman"/>
          <w:sz w:val="24"/>
          <w:szCs w:val="24"/>
        </w:rPr>
        <w:t xml:space="preserve"> zložk</w:t>
      </w:r>
      <w:r w:rsidR="001B401C" w:rsidRPr="003315C1">
        <w:rPr>
          <w:rFonts w:ascii="Times New Roman" w:hAnsi="Times New Roman" w:cs="Times New Roman"/>
          <w:sz w:val="24"/>
          <w:szCs w:val="24"/>
        </w:rPr>
        <w:t>y</w:t>
      </w:r>
      <w:r w:rsidRPr="003315C1">
        <w:rPr>
          <w:rFonts w:ascii="Times New Roman" w:hAnsi="Times New Roman" w:cs="Times New Roman"/>
          <w:sz w:val="24"/>
          <w:szCs w:val="24"/>
        </w:rPr>
        <w:t xml:space="preserve"> podnik</w:t>
      </w:r>
      <w:r w:rsidR="001B401C" w:rsidRPr="003315C1">
        <w:rPr>
          <w:rFonts w:ascii="Times New Roman" w:hAnsi="Times New Roman" w:cs="Times New Roman"/>
          <w:sz w:val="24"/>
          <w:szCs w:val="24"/>
        </w:rPr>
        <w:t>ov zahraničných</w:t>
      </w:r>
      <w:r w:rsidRPr="003315C1">
        <w:rPr>
          <w:rFonts w:ascii="Times New Roman" w:hAnsi="Times New Roman" w:cs="Times New Roman"/>
          <w:sz w:val="24"/>
          <w:szCs w:val="24"/>
        </w:rPr>
        <w:t xml:space="preserve"> </w:t>
      </w:r>
      <w:r w:rsidR="001B401C" w:rsidRPr="003315C1">
        <w:rPr>
          <w:rFonts w:ascii="Times New Roman" w:hAnsi="Times New Roman" w:cs="Times New Roman"/>
          <w:sz w:val="24"/>
          <w:szCs w:val="24"/>
        </w:rPr>
        <w:t>právnických</w:t>
      </w:r>
      <w:r w:rsidR="00E03807" w:rsidRPr="003315C1">
        <w:rPr>
          <w:rFonts w:ascii="Times New Roman" w:hAnsi="Times New Roman" w:cs="Times New Roman"/>
          <w:sz w:val="24"/>
          <w:szCs w:val="24"/>
        </w:rPr>
        <w:t xml:space="preserve"> </w:t>
      </w:r>
      <w:r w:rsidR="001B401C" w:rsidRPr="003315C1">
        <w:rPr>
          <w:rFonts w:ascii="Times New Roman" w:hAnsi="Times New Roman" w:cs="Times New Roman"/>
          <w:sz w:val="24"/>
          <w:szCs w:val="24"/>
        </w:rPr>
        <w:t>osô</w:t>
      </w:r>
      <w:r w:rsidRPr="003315C1">
        <w:rPr>
          <w:rFonts w:ascii="Times New Roman" w:hAnsi="Times New Roman" w:cs="Times New Roman"/>
          <w:sz w:val="24"/>
          <w:szCs w:val="24"/>
        </w:rPr>
        <w:t>b so sídlom mimo územia členských štátov</w:t>
      </w:r>
      <w:r w:rsidR="001B401C" w:rsidRPr="003315C1">
        <w:rPr>
          <w:rFonts w:ascii="Times New Roman" w:hAnsi="Times New Roman" w:cs="Times New Roman"/>
          <w:sz w:val="24"/>
          <w:szCs w:val="24"/>
        </w:rPr>
        <w:t xml:space="preserve"> spĺňajúcich veľkostnú podmienku 750 mil. eur</w:t>
      </w:r>
      <w:r w:rsidR="00E03807" w:rsidRPr="003315C1">
        <w:rPr>
          <w:rFonts w:ascii="Times New Roman" w:hAnsi="Times New Roman" w:cs="Times New Roman"/>
          <w:sz w:val="24"/>
          <w:szCs w:val="24"/>
        </w:rPr>
        <w:t xml:space="preserve">, </w:t>
      </w:r>
      <w:r w:rsidR="001B401C" w:rsidRPr="003315C1">
        <w:rPr>
          <w:rFonts w:ascii="Times New Roman" w:hAnsi="Times New Roman" w:cs="Times New Roman"/>
          <w:sz w:val="24"/>
          <w:szCs w:val="24"/>
        </w:rPr>
        <w:t>ak im správa vyhotovená ich zahraničným konečným materským podnikom nebude</w:t>
      </w:r>
      <w:r w:rsidR="00176DE9" w:rsidRPr="003315C1">
        <w:rPr>
          <w:rFonts w:ascii="Times New Roman" w:hAnsi="Times New Roman" w:cs="Times New Roman"/>
          <w:sz w:val="24"/>
          <w:szCs w:val="24"/>
        </w:rPr>
        <w:t xml:space="preserve"> na účely jej uloženia do registra účtovných závierok </w:t>
      </w:r>
      <w:r w:rsidR="001B401C" w:rsidRPr="003315C1">
        <w:rPr>
          <w:rFonts w:ascii="Times New Roman" w:hAnsi="Times New Roman" w:cs="Times New Roman"/>
          <w:sz w:val="24"/>
          <w:szCs w:val="24"/>
        </w:rPr>
        <w:t xml:space="preserve"> sprístupnená.</w:t>
      </w:r>
    </w:p>
    <w:p w14:paraId="0345E0EB" w14:textId="3BCCB862" w:rsidR="00C655E3" w:rsidRPr="003315C1" w:rsidRDefault="00C655E3" w:rsidP="00C655E3">
      <w:pPr>
        <w:jc w:val="both"/>
        <w:rPr>
          <w:rFonts w:ascii="Times New Roman" w:hAnsi="Times New Roman" w:cs="Times New Roman"/>
          <w:sz w:val="24"/>
          <w:szCs w:val="24"/>
        </w:rPr>
      </w:pPr>
      <w:r w:rsidRPr="003315C1">
        <w:rPr>
          <w:rFonts w:ascii="Times New Roman" w:hAnsi="Times New Roman" w:cs="Times New Roman"/>
          <w:sz w:val="24"/>
          <w:szCs w:val="24"/>
        </w:rPr>
        <w:t xml:space="preserve">Administratívne náklady na splnenie povinnosti predstavujú hodnotu pri cca 20 veľkých účtovných jednotkách,  prípadne </w:t>
      </w:r>
      <w:r w:rsidR="001B401C" w:rsidRPr="003315C1">
        <w:rPr>
          <w:rFonts w:ascii="Times New Roman" w:hAnsi="Times New Roman" w:cs="Times New Roman"/>
          <w:sz w:val="24"/>
          <w:szCs w:val="24"/>
        </w:rPr>
        <w:t>organizačných zložkách</w:t>
      </w:r>
      <w:r w:rsidRPr="003315C1">
        <w:rPr>
          <w:rFonts w:ascii="Times New Roman" w:hAnsi="Times New Roman" w:cs="Times New Roman"/>
          <w:sz w:val="24"/>
          <w:szCs w:val="24"/>
        </w:rPr>
        <w:t xml:space="preserve"> na 1 účtovnú jednotku hodnotu </w:t>
      </w:r>
      <w:r w:rsidR="008A65A0">
        <w:rPr>
          <w:rFonts w:ascii="Times New Roman" w:hAnsi="Times New Roman" w:cs="Times New Roman"/>
          <w:sz w:val="24"/>
          <w:szCs w:val="24"/>
        </w:rPr>
        <w:t>11</w:t>
      </w:r>
      <w:r w:rsidR="009A65D9">
        <w:rPr>
          <w:rFonts w:ascii="Times New Roman" w:hAnsi="Times New Roman" w:cs="Times New Roman"/>
          <w:sz w:val="24"/>
          <w:szCs w:val="24"/>
        </w:rPr>
        <w:t>6</w:t>
      </w:r>
      <w:r w:rsidR="008A65A0">
        <w:rPr>
          <w:rFonts w:ascii="Times New Roman" w:hAnsi="Times New Roman" w:cs="Times New Roman"/>
          <w:sz w:val="24"/>
          <w:szCs w:val="24"/>
        </w:rPr>
        <w:t> </w:t>
      </w:r>
      <w:r w:rsidRPr="003315C1">
        <w:rPr>
          <w:rFonts w:ascii="Times New Roman" w:hAnsi="Times New Roman" w:cs="Times New Roman"/>
          <w:sz w:val="24"/>
          <w:szCs w:val="24"/>
        </w:rPr>
        <w:t>€. Na celé podnikateľské prostredie predpokladáme, pripadne zvýšenie nákladov</w:t>
      </w:r>
      <w:r w:rsidR="00115EC7">
        <w:rPr>
          <w:rFonts w:ascii="Times New Roman" w:hAnsi="Times New Roman" w:cs="Times New Roman"/>
          <w:sz w:val="24"/>
          <w:szCs w:val="24"/>
        </w:rPr>
        <w:t xml:space="preserve"> vrátane nepriamych nákladov</w:t>
      </w:r>
      <w:r w:rsidRPr="003315C1">
        <w:rPr>
          <w:rFonts w:ascii="Times New Roman" w:hAnsi="Times New Roman" w:cs="Times New Roman"/>
          <w:sz w:val="24"/>
          <w:szCs w:val="24"/>
        </w:rPr>
        <w:t xml:space="preserve"> v celkovej hodnote </w:t>
      </w:r>
      <w:r w:rsidR="00056768">
        <w:rPr>
          <w:rFonts w:ascii="Times New Roman" w:hAnsi="Times New Roman" w:cs="Times New Roman"/>
          <w:sz w:val="24"/>
          <w:szCs w:val="24"/>
        </w:rPr>
        <w:t>152 3</w:t>
      </w:r>
      <w:r w:rsidR="009A65D9">
        <w:rPr>
          <w:rFonts w:ascii="Times New Roman" w:hAnsi="Times New Roman" w:cs="Times New Roman"/>
          <w:sz w:val="24"/>
          <w:szCs w:val="24"/>
        </w:rPr>
        <w:t>19</w:t>
      </w:r>
      <w:r w:rsidRPr="003315C1">
        <w:rPr>
          <w:rFonts w:ascii="Times New Roman" w:hAnsi="Times New Roman" w:cs="Times New Roman"/>
          <w:sz w:val="24"/>
          <w:szCs w:val="24"/>
        </w:rPr>
        <w:t xml:space="preserve"> €. Takéto náklady predpokladáme, budú mať pri splnení si tejto povinnosti podnikatelia podľa kalkulačky nákladov spojené s časovou náročnosťou prípravy dokumentu a jeho zaslaním prostredníctvom portálu FS. Následne bude správa s informáciami zverejnená v registri účtovných závierok a Zbierke </w:t>
      </w:r>
      <w:r w:rsidR="00811826" w:rsidRPr="003315C1">
        <w:rPr>
          <w:rFonts w:ascii="Times New Roman" w:hAnsi="Times New Roman" w:cs="Times New Roman"/>
          <w:sz w:val="24"/>
          <w:szCs w:val="24"/>
        </w:rPr>
        <w:t>listín</w:t>
      </w:r>
      <w:r w:rsidRPr="003315C1">
        <w:rPr>
          <w:rFonts w:ascii="Times New Roman" w:hAnsi="Times New Roman" w:cs="Times New Roman"/>
          <w:sz w:val="24"/>
          <w:szCs w:val="24"/>
        </w:rPr>
        <w:t xml:space="preserve"> </w:t>
      </w:r>
      <w:r w:rsidR="00811826" w:rsidRPr="003315C1">
        <w:rPr>
          <w:rFonts w:ascii="Times New Roman" w:hAnsi="Times New Roman" w:cs="Times New Roman"/>
          <w:sz w:val="24"/>
          <w:szCs w:val="24"/>
        </w:rPr>
        <w:t>O</w:t>
      </w:r>
      <w:r w:rsidRPr="003315C1">
        <w:rPr>
          <w:rFonts w:ascii="Times New Roman" w:hAnsi="Times New Roman" w:cs="Times New Roman"/>
          <w:sz w:val="24"/>
          <w:szCs w:val="24"/>
        </w:rPr>
        <w:t>bchodného registra.</w:t>
      </w:r>
    </w:p>
    <w:p w14:paraId="13B2860B" w14:textId="2AD24E72" w:rsidR="00054C41" w:rsidRPr="003315C1" w:rsidRDefault="00C655E3" w:rsidP="00C655E3">
      <w:pPr>
        <w:rPr>
          <w:rFonts w:ascii="Times New Roman" w:eastAsia="Calibri" w:hAnsi="Times New Roman" w:cs="Times New Roman"/>
          <w:i/>
          <w:sz w:val="24"/>
          <w:szCs w:val="24"/>
        </w:rPr>
      </w:pPr>
      <w:r w:rsidRPr="003315C1">
        <w:rPr>
          <w:rFonts w:ascii="Times New Roman" w:hAnsi="Times New Roman" w:cs="Times New Roman"/>
          <w:sz w:val="24"/>
          <w:szCs w:val="24"/>
        </w:rPr>
        <w:t>Navrhovaná úprava sa nebude týkať malých a stredných podnikov.</w:t>
      </w: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340B0894" w14:textId="77777777" w:rsidR="00C655E3" w:rsidRDefault="00C655E3" w:rsidP="00C655E3"/>
    <w:p w14:paraId="687610E9" w14:textId="1A94FBEF" w:rsidR="00C655E3" w:rsidRPr="003315C1" w:rsidRDefault="00C655E3" w:rsidP="00C655E3">
      <w:pPr>
        <w:jc w:val="both"/>
        <w:rPr>
          <w:rFonts w:ascii="Times New Roman" w:hAnsi="Times New Roman" w:cs="Times New Roman"/>
          <w:sz w:val="24"/>
          <w:szCs w:val="24"/>
        </w:rPr>
      </w:pPr>
      <w:r w:rsidRPr="003315C1">
        <w:rPr>
          <w:rFonts w:ascii="Times New Roman" w:hAnsi="Times New Roman" w:cs="Times New Roman"/>
          <w:sz w:val="24"/>
          <w:szCs w:val="24"/>
        </w:rPr>
        <w:t xml:space="preserve">MF SR </w:t>
      </w:r>
      <w:r w:rsidR="00422FD5" w:rsidRPr="003315C1">
        <w:rPr>
          <w:rFonts w:ascii="Times New Roman" w:hAnsi="Times New Roman" w:cs="Times New Roman"/>
          <w:sz w:val="24"/>
          <w:szCs w:val="24"/>
        </w:rPr>
        <w:t>uskutočnilo</w:t>
      </w:r>
      <w:r w:rsidRPr="003315C1">
        <w:rPr>
          <w:rFonts w:ascii="Times New Roman" w:hAnsi="Times New Roman" w:cs="Times New Roman"/>
          <w:sz w:val="24"/>
          <w:szCs w:val="24"/>
        </w:rPr>
        <w:t xml:space="preserve"> </w:t>
      </w:r>
      <w:r w:rsidR="001B401C" w:rsidRPr="003315C1">
        <w:rPr>
          <w:rFonts w:ascii="Times New Roman" w:hAnsi="Times New Roman" w:cs="Times New Roman"/>
          <w:sz w:val="24"/>
          <w:szCs w:val="24"/>
        </w:rPr>
        <w:t xml:space="preserve">vo februári 2022 </w:t>
      </w:r>
      <w:r w:rsidRPr="003315C1">
        <w:rPr>
          <w:rFonts w:ascii="Times New Roman" w:hAnsi="Times New Roman" w:cs="Times New Roman"/>
          <w:sz w:val="24"/>
          <w:szCs w:val="24"/>
        </w:rPr>
        <w:t>konzultácie k predbežnej informáci</w:t>
      </w:r>
      <w:r w:rsidR="00176DE9" w:rsidRPr="003315C1">
        <w:rPr>
          <w:rFonts w:ascii="Times New Roman" w:hAnsi="Times New Roman" w:cs="Times New Roman"/>
          <w:sz w:val="24"/>
          <w:szCs w:val="24"/>
        </w:rPr>
        <w:t>i</w:t>
      </w:r>
      <w:r w:rsidR="001B401C" w:rsidRPr="003315C1">
        <w:rPr>
          <w:rFonts w:ascii="Times New Roman" w:hAnsi="Times New Roman" w:cs="Times New Roman"/>
          <w:sz w:val="24"/>
          <w:szCs w:val="24"/>
        </w:rPr>
        <w:t xml:space="preserve"> PI/2022/10, </w:t>
      </w:r>
      <w:r w:rsidR="00811826" w:rsidRPr="003315C1">
        <w:rPr>
          <w:rFonts w:ascii="Times New Roman" w:hAnsi="Times New Roman" w:cs="Times New Roman"/>
          <w:sz w:val="24"/>
          <w:szCs w:val="24"/>
        </w:rPr>
        <w:t xml:space="preserve">o </w:t>
      </w:r>
      <w:r w:rsidRPr="003315C1">
        <w:rPr>
          <w:rFonts w:ascii="Times New Roman" w:hAnsi="Times New Roman" w:cs="Times New Roman"/>
          <w:sz w:val="24"/>
          <w:szCs w:val="24"/>
        </w:rPr>
        <w:t>ktor</w:t>
      </w:r>
      <w:r w:rsidR="00811826" w:rsidRPr="003315C1">
        <w:rPr>
          <w:rFonts w:ascii="Times New Roman" w:hAnsi="Times New Roman" w:cs="Times New Roman"/>
          <w:sz w:val="24"/>
          <w:szCs w:val="24"/>
        </w:rPr>
        <w:t>é</w:t>
      </w:r>
      <w:r w:rsidRPr="003315C1">
        <w:rPr>
          <w:rFonts w:ascii="Times New Roman" w:hAnsi="Times New Roman" w:cs="Times New Roman"/>
          <w:sz w:val="24"/>
          <w:szCs w:val="24"/>
        </w:rPr>
        <w:t xml:space="preserve"> prejavil</w:t>
      </w:r>
      <w:r w:rsidR="001B401C" w:rsidRPr="003315C1">
        <w:rPr>
          <w:rFonts w:ascii="Times New Roman" w:hAnsi="Times New Roman" w:cs="Times New Roman"/>
          <w:sz w:val="24"/>
          <w:szCs w:val="24"/>
        </w:rPr>
        <w:t>i</w:t>
      </w:r>
      <w:r w:rsidRPr="003315C1">
        <w:rPr>
          <w:rFonts w:ascii="Times New Roman" w:hAnsi="Times New Roman" w:cs="Times New Roman"/>
          <w:sz w:val="24"/>
          <w:szCs w:val="24"/>
        </w:rPr>
        <w:t xml:space="preserve"> záujem Zväz automobilového priemyslu Slovenskej republiky, Klub 500, Slovenská asociácia finančníkov a Slovenská komora daňových poradcov.</w:t>
      </w:r>
    </w:p>
    <w:p w14:paraId="50FC6718" w14:textId="2A34EB5A" w:rsidR="00054C41" w:rsidRPr="003315C1" w:rsidRDefault="001B401C" w:rsidP="00C655E3">
      <w:pPr>
        <w:spacing w:after="0"/>
        <w:jc w:val="both"/>
        <w:rPr>
          <w:rFonts w:ascii="Times New Roman" w:eastAsia="Calibri" w:hAnsi="Times New Roman" w:cs="Times New Roman"/>
          <w:i/>
          <w:sz w:val="24"/>
          <w:szCs w:val="24"/>
        </w:rPr>
      </w:pPr>
      <w:r w:rsidRPr="003315C1">
        <w:rPr>
          <w:rFonts w:ascii="Times New Roman" w:hAnsi="Times New Roman" w:cs="Times New Roman"/>
          <w:sz w:val="24"/>
          <w:szCs w:val="24"/>
        </w:rPr>
        <w:t xml:space="preserve">Hlavným bodom konzultácie bolo predstavenie </w:t>
      </w:r>
      <w:r w:rsidR="00C655E3" w:rsidRPr="003315C1">
        <w:rPr>
          <w:rFonts w:ascii="Times New Roman" w:hAnsi="Times New Roman" w:cs="Times New Roman"/>
          <w:sz w:val="24"/>
          <w:szCs w:val="24"/>
        </w:rPr>
        <w:t>požiadav</w:t>
      </w:r>
      <w:r w:rsidRPr="003315C1">
        <w:rPr>
          <w:rFonts w:ascii="Times New Roman" w:hAnsi="Times New Roman" w:cs="Times New Roman"/>
          <w:sz w:val="24"/>
          <w:szCs w:val="24"/>
        </w:rPr>
        <w:t>ie</w:t>
      </w:r>
      <w:r w:rsidR="00C655E3" w:rsidRPr="003315C1">
        <w:rPr>
          <w:rFonts w:ascii="Times New Roman" w:hAnsi="Times New Roman" w:cs="Times New Roman"/>
          <w:sz w:val="24"/>
          <w:szCs w:val="24"/>
        </w:rPr>
        <w:t>k smernice</w:t>
      </w:r>
      <w:r w:rsidR="00C07EBD">
        <w:rPr>
          <w:rFonts w:ascii="Times New Roman" w:hAnsi="Times New Roman" w:cs="Times New Roman"/>
          <w:sz w:val="24"/>
          <w:szCs w:val="24"/>
        </w:rPr>
        <w:t xml:space="preserve"> (EÚ) </w:t>
      </w:r>
      <w:r w:rsidR="00176DE9" w:rsidRPr="003315C1">
        <w:rPr>
          <w:rFonts w:ascii="Times New Roman" w:hAnsi="Times New Roman" w:cs="Times New Roman"/>
          <w:sz w:val="24"/>
          <w:szCs w:val="24"/>
        </w:rPr>
        <w:t xml:space="preserve"> 2021/2101</w:t>
      </w:r>
      <w:r w:rsidR="00C655E3" w:rsidRPr="003315C1">
        <w:rPr>
          <w:rFonts w:ascii="Times New Roman" w:hAnsi="Times New Roman" w:cs="Times New Roman"/>
          <w:sz w:val="24"/>
          <w:szCs w:val="24"/>
        </w:rPr>
        <w:t xml:space="preserve"> na zavedenie predkladania správy s informáciami o dani z</w:t>
      </w:r>
      <w:r w:rsidR="00176DE9" w:rsidRPr="003315C1">
        <w:rPr>
          <w:rFonts w:ascii="Times New Roman" w:hAnsi="Times New Roman" w:cs="Times New Roman"/>
          <w:sz w:val="24"/>
          <w:szCs w:val="24"/>
        </w:rPr>
        <w:t> </w:t>
      </w:r>
      <w:r w:rsidR="00C655E3" w:rsidRPr="003315C1">
        <w:rPr>
          <w:rFonts w:ascii="Times New Roman" w:hAnsi="Times New Roman" w:cs="Times New Roman"/>
          <w:sz w:val="24"/>
          <w:szCs w:val="24"/>
        </w:rPr>
        <w:t>príjmov</w:t>
      </w:r>
      <w:r w:rsidR="00176DE9" w:rsidRPr="003315C1">
        <w:rPr>
          <w:rFonts w:ascii="Times New Roman" w:hAnsi="Times New Roman" w:cs="Times New Roman"/>
          <w:sz w:val="24"/>
          <w:szCs w:val="24"/>
        </w:rPr>
        <w:t>, ktoré budú transponované do návrhu zákona</w:t>
      </w:r>
      <w:r w:rsidR="00C655E3" w:rsidRPr="003315C1">
        <w:rPr>
          <w:rFonts w:ascii="Times New Roman" w:hAnsi="Times New Roman" w:cs="Times New Roman"/>
          <w:sz w:val="24"/>
          <w:szCs w:val="24"/>
        </w:rPr>
        <w:t xml:space="preserve">. Konzultujúci boli informovaní koho sa nová povinnosť dotkne, približný obsah správy s informáciami o dani z príjmov a o spôsobe ukladania </w:t>
      </w:r>
      <w:r w:rsidR="00811826" w:rsidRPr="003315C1">
        <w:rPr>
          <w:rFonts w:ascii="Times New Roman" w:hAnsi="Times New Roman" w:cs="Times New Roman"/>
          <w:sz w:val="24"/>
          <w:szCs w:val="24"/>
        </w:rPr>
        <w:t xml:space="preserve">tejto správy </w:t>
      </w:r>
      <w:r w:rsidR="00C655E3" w:rsidRPr="003315C1">
        <w:rPr>
          <w:rFonts w:ascii="Times New Roman" w:hAnsi="Times New Roman" w:cs="Times New Roman"/>
          <w:sz w:val="24"/>
          <w:szCs w:val="24"/>
        </w:rPr>
        <w:t xml:space="preserve">prostredníctvom portálu Finančnej správy.   </w:t>
      </w: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lastRenderedPageBreak/>
        <w:t>3.3 Vplyvy na konkurencieschopnosť a produktivitu</w:t>
      </w:r>
    </w:p>
    <w:bookmarkEnd w:id="1"/>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6131264D" w14:textId="77777777" w:rsidR="00811826" w:rsidRDefault="00811826" w:rsidP="00F72438">
      <w:pPr>
        <w:spacing w:after="0" w:line="240" w:lineRule="auto"/>
        <w:jc w:val="both"/>
        <w:rPr>
          <w:rFonts w:ascii="Arial Narrow" w:hAnsi="Arial Narrow"/>
        </w:rPr>
      </w:pPr>
    </w:p>
    <w:p w14:paraId="163659A7" w14:textId="77777777" w:rsidR="00C655E3" w:rsidRPr="003315C1" w:rsidRDefault="00C655E3" w:rsidP="00F72438">
      <w:pPr>
        <w:spacing w:after="0"/>
        <w:jc w:val="both"/>
        <w:rPr>
          <w:rFonts w:ascii="Times New Roman" w:hAnsi="Times New Roman" w:cs="Times New Roman"/>
          <w:sz w:val="24"/>
          <w:szCs w:val="24"/>
        </w:rPr>
      </w:pPr>
      <w:r w:rsidRPr="003315C1">
        <w:rPr>
          <w:rFonts w:ascii="Times New Roman" w:hAnsi="Times New Roman" w:cs="Times New Roman"/>
          <w:sz w:val="24"/>
          <w:szCs w:val="24"/>
        </w:rPr>
        <w:t xml:space="preserve">Nie, nedochádza k vytvoreniu bariér pre vstup na trh pre nových dodávateľov alebo poskytovateľov služieb, ani nebude mať vplyv na vyvolanie cezhraničných investícií. </w:t>
      </w:r>
    </w:p>
    <w:p w14:paraId="28438383" w14:textId="3E1A15F6" w:rsidR="00C655E3" w:rsidRPr="003315C1" w:rsidRDefault="00C655E3" w:rsidP="00F72438">
      <w:pPr>
        <w:spacing w:after="0"/>
        <w:jc w:val="both"/>
        <w:rPr>
          <w:rFonts w:ascii="Times New Roman" w:hAnsi="Times New Roman" w:cs="Times New Roman"/>
          <w:i/>
          <w:sz w:val="24"/>
          <w:szCs w:val="24"/>
        </w:rPr>
      </w:pPr>
      <w:r w:rsidRPr="003315C1">
        <w:rPr>
          <w:rFonts w:ascii="Times New Roman" w:hAnsi="Times New Roman" w:cs="Times New Roman"/>
          <w:sz w:val="24"/>
          <w:szCs w:val="24"/>
        </w:rPr>
        <w:t>Návrh zákona sa netýka oblasti inovácií, nových výrobných metód ani technológií.</w:t>
      </w:r>
    </w:p>
    <w:p w14:paraId="7C7DB60C" w14:textId="77777777" w:rsidR="00054C41" w:rsidRPr="00D8247C" w:rsidRDefault="00054C41" w:rsidP="00F72438">
      <w:pPr>
        <w:spacing w:after="0" w:line="240" w:lineRule="auto"/>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406DA195" w:rsidR="00054C41" w:rsidRPr="00D8247C" w:rsidRDefault="00EF4F44"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C655E3">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F72438">
      <w:pPr>
        <w:spacing w:after="0" w:line="240" w:lineRule="auto"/>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762A72E9" w:rsidR="00054C41" w:rsidRPr="00D8247C" w:rsidRDefault="00EF4F44"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C655E3">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72C8CE5E" w14:textId="77777777" w:rsidR="00054C41" w:rsidRPr="00D8247C" w:rsidRDefault="00054C41" w:rsidP="00F72438">
      <w:pPr>
        <w:spacing w:after="0" w:line="240" w:lineRule="auto"/>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72438">
      <w:pPr>
        <w:pStyle w:val="Odsekzoznamu"/>
        <w:numPr>
          <w:ilvl w:val="0"/>
          <w:numId w:val="6"/>
        </w:numPr>
        <w:spacing w:line="254" w:lineRule="auto"/>
        <w:ind w:left="714" w:hanging="357"/>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567581BF" w14:textId="5B42A9CE" w:rsidR="00054C41" w:rsidRPr="00F72438" w:rsidRDefault="00C74B40" w:rsidP="00054C41">
      <w:pPr>
        <w:spacing w:after="0"/>
        <w:jc w:val="both"/>
        <w:rPr>
          <w:rFonts w:ascii="Times New Roman" w:eastAsia="Calibri" w:hAnsi="Times New Roman" w:cs="Times New Roman"/>
          <w:sz w:val="24"/>
          <w:szCs w:val="24"/>
        </w:rPr>
      </w:pPr>
      <w:r w:rsidRPr="00F72438">
        <w:rPr>
          <w:rFonts w:ascii="Times New Roman" w:eastAsia="Calibri" w:hAnsi="Times New Roman" w:cs="Times New Roman"/>
          <w:sz w:val="24"/>
          <w:szCs w:val="24"/>
        </w:rPr>
        <w:t xml:space="preserve">Ako dôsledok porušenia navrhovaných právne záväzných ustanovení, </w:t>
      </w:r>
      <w:proofErr w:type="spellStart"/>
      <w:r w:rsidRPr="00F72438">
        <w:rPr>
          <w:rFonts w:ascii="Times New Roman" w:eastAsia="Calibri" w:hAnsi="Times New Roman" w:cs="Times New Roman"/>
          <w:sz w:val="24"/>
          <w:szCs w:val="24"/>
        </w:rPr>
        <w:t>t.j</w:t>
      </w:r>
      <w:proofErr w:type="spellEnd"/>
      <w:r w:rsidRPr="00F72438">
        <w:rPr>
          <w:rFonts w:ascii="Times New Roman" w:eastAsia="Calibri" w:hAnsi="Times New Roman" w:cs="Times New Roman"/>
          <w:sz w:val="24"/>
          <w:szCs w:val="24"/>
        </w:rPr>
        <w:t>.</w:t>
      </w:r>
      <w:r w:rsidRPr="00F72438">
        <w:rPr>
          <w:rFonts w:ascii="Times New Roman" w:hAnsi="Times New Roman" w:cs="Times New Roman"/>
          <w:sz w:val="24"/>
          <w:szCs w:val="24"/>
        </w:rPr>
        <w:t xml:space="preserve"> § 38 ods. 2 písm. g),</w:t>
      </w:r>
      <w:r w:rsidRPr="00F72438">
        <w:rPr>
          <w:rFonts w:ascii="Times New Roman" w:eastAsia="Calibri" w:hAnsi="Times New Roman" w:cs="Times New Roman"/>
          <w:sz w:val="24"/>
          <w:szCs w:val="24"/>
        </w:rPr>
        <w:t xml:space="preserve"> ak podnikateľský subjekt, na ktorého sa vzťahuje povinnosť podať správu s informáciami o dani z príjmov</w:t>
      </w:r>
      <w:r w:rsidRPr="00F72438">
        <w:rPr>
          <w:rFonts w:ascii="Times New Roman" w:hAnsi="Times New Roman" w:cs="Times New Roman"/>
          <w:sz w:val="24"/>
          <w:szCs w:val="24"/>
        </w:rPr>
        <w:t>, sa ustanovuje</w:t>
      </w:r>
      <w:r w:rsidRPr="00F72438">
        <w:rPr>
          <w:rFonts w:ascii="Times New Roman" w:eastAsia="Calibri" w:hAnsi="Times New Roman" w:cs="Times New Roman"/>
          <w:sz w:val="24"/>
          <w:szCs w:val="24"/>
        </w:rPr>
        <w:t xml:space="preserve"> pokuta za</w:t>
      </w:r>
      <w:r w:rsidR="00F72438" w:rsidRPr="00F72438">
        <w:rPr>
          <w:rFonts w:ascii="Times New Roman" w:eastAsia="Calibri" w:hAnsi="Times New Roman" w:cs="Times New Roman"/>
          <w:sz w:val="24"/>
          <w:szCs w:val="24"/>
        </w:rPr>
        <w:t xml:space="preserve"> nedodržanie náležitostí správy s informáciami o dani z príjmov vrátane jej vzoru, </w:t>
      </w:r>
      <w:r w:rsidRPr="00F72438">
        <w:rPr>
          <w:rFonts w:ascii="Times New Roman" w:eastAsia="Calibri" w:hAnsi="Times New Roman" w:cs="Times New Roman"/>
          <w:sz w:val="24"/>
          <w:szCs w:val="24"/>
        </w:rPr>
        <w:t>neuloženie alebo nezverejnenie správy s informáciami o dani z príjmov. Ministerstvo financií Slovenskej republiky predpokladá, že udeľovanie pokuty za toto porušenie môže nastať najskôr v roku 2026. V súlade so zásadou opatrnosti a vzhľadom na zatiaľ neznámy počet účtovných jednotiek, ktorých by sa prípadné pokuty</w:t>
      </w:r>
      <w:r w:rsidR="00115EC7" w:rsidRPr="00F72438">
        <w:rPr>
          <w:rFonts w:ascii="Times New Roman" w:eastAsia="Calibri" w:hAnsi="Times New Roman" w:cs="Times New Roman"/>
          <w:sz w:val="24"/>
          <w:szCs w:val="24"/>
        </w:rPr>
        <w:t xml:space="preserve"> za nesplnenie si povinností</w:t>
      </w:r>
      <w:r w:rsidRPr="00F72438">
        <w:rPr>
          <w:rFonts w:ascii="Times New Roman" w:eastAsia="Calibri" w:hAnsi="Times New Roman" w:cs="Times New Roman"/>
          <w:sz w:val="24"/>
          <w:szCs w:val="24"/>
        </w:rPr>
        <w:t xml:space="preserve"> mohli týkať, sa k predpokladaným negatívnym vplyvom na podnikateľské prostredie </w:t>
      </w:r>
      <w:r w:rsidR="00115EC7" w:rsidRPr="00F72438">
        <w:rPr>
          <w:rFonts w:ascii="Times New Roman" w:eastAsia="Calibri" w:hAnsi="Times New Roman" w:cs="Times New Roman"/>
          <w:sz w:val="24"/>
          <w:szCs w:val="24"/>
        </w:rPr>
        <w:t xml:space="preserve">finančne </w:t>
      </w:r>
      <w:r w:rsidRPr="00F72438">
        <w:rPr>
          <w:rFonts w:ascii="Times New Roman" w:eastAsia="Calibri" w:hAnsi="Times New Roman" w:cs="Times New Roman"/>
          <w:sz w:val="24"/>
          <w:szCs w:val="24"/>
        </w:rPr>
        <w:t xml:space="preserve">nevyjadrujeme. </w:t>
      </w:r>
    </w:p>
    <w:sectPr w:rsidR="00054C41" w:rsidRPr="00F724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FE9B2" w14:textId="77777777" w:rsidR="00EF4F44" w:rsidRDefault="00EF4F44" w:rsidP="00054C41">
      <w:pPr>
        <w:spacing w:after="0" w:line="240" w:lineRule="auto"/>
      </w:pPr>
      <w:r>
        <w:separator/>
      </w:r>
    </w:p>
  </w:endnote>
  <w:endnote w:type="continuationSeparator" w:id="0">
    <w:p w14:paraId="3F0994BD" w14:textId="77777777" w:rsidR="00EF4F44" w:rsidRDefault="00EF4F44"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altName w:val="Century Gothic"/>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79BCE4E0" w:rsidR="00142154" w:rsidRPr="006045CB" w:rsidRDefault="0014215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AE20DE">
          <w:rPr>
            <w:rFonts w:ascii="Times New Roman" w:hAnsi="Times New Roman" w:cs="Times New Roman"/>
            <w:noProof/>
            <w:sz w:val="24"/>
            <w:szCs w:val="24"/>
          </w:rPr>
          <w:t>5</w:t>
        </w:r>
        <w:r w:rsidRPr="006045CB">
          <w:rPr>
            <w:rFonts w:ascii="Times New Roman" w:hAnsi="Times New Roman" w:cs="Times New Roman"/>
            <w:sz w:val="24"/>
            <w:szCs w:val="24"/>
          </w:rPr>
          <w:fldChar w:fldCharType="end"/>
        </w:r>
      </w:p>
    </w:sdtContent>
  </w:sdt>
  <w:p w14:paraId="7D48B09B" w14:textId="77777777" w:rsidR="00142154" w:rsidRPr="00FF7125" w:rsidRDefault="00142154" w:rsidP="00054C41">
    <w:pPr>
      <w:pStyle w:val="Pta"/>
      <w:rPr>
        <w:sz w:val="24"/>
        <w:szCs w:val="24"/>
      </w:rPr>
    </w:pPr>
  </w:p>
  <w:p w14:paraId="68AC3825" w14:textId="77777777" w:rsidR="00142154" w:rsidRDefault="0014215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52F44" w14:textId="77777777" w:rsidR="00EF4F44" w:rsidRDefault="00EF4F44" w:rsidP="00054C41">
      <w:pPr>
        <w:spacing w:after="0" w:line="240" w:lineRule="auto"/>
      </w:pPr>
      <w:r>
        <w:separator/>
      </w:r>
    </w:p>
  </w:footnote>
  <w:footnote w:type="continuationSeparator" w:id="0">
    <w:p w14:paraId="4F8A6C44" w14:textId="77777777" w:rsidR="00EF4F44" w:rsidRDefault="00EF4F44" w:rsidP="00054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F3C60" w14:textId="35DE3B53" w:rsidR="00142154" w:rsidRPr="006045CB" w:rsidRDefault="00142154"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142154" w:rsidRPr="006045CB" w:rsidRDefault="00142154" w:rsidP="0014215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56768"/>
    <w:rsid w:val="00060DA1"/>
    <w:rsid w:val="000C5E9A"/>
    <w:rsid w:val="00115EC7"/>
    <w:rsid w:val="00142154"/>
    <w:rsid w:val="00151BAB"/>
    <w:rsid w:val="001667AA"/>
    <w:rsid w:val="00176DE9"/>
    <w:rsid w:val="00177870"/>
    <w:rsid w:val="001A1FEA"/>
    <w:rsid w:val="001B401C"/>
    <w:rsid w:val="001B4C03"/>
    <w:rsid w:val="001D1083"/>
    <w:rsid w:val="001D3FA0"/>
    <w:rsid w:val="001E53CB"/>
    <w:rsid w:val="00225A83"/>
    <w:rsid w:val="00270EA5"/>
    <w:rsid w:val="003315C1"/>
    <w:rsid w:val="00340CFD"/>
    <w:rsid w:val="0038255E"/>
    <w:rsid w:val="00391648"/>
    <w:rsid w:val="0039304E"/>
    <w:rsid w:val="003E58B8"/>
    <w:rsid w:val="003F06D7"/>
    <w:rsid w:val="00422FD5"/>
    <w:rsid w:val="00445638"/>
    <w:rsid w:val="00446432"/>
    <w:rsid w:val="00457F49"/>
    <w:rsid w:val="00490D8E"/>
    <w:rsid w:val="004D20CB"/>
    <w:rsid w:val="004E186D"/>
    <w:rsid w:val="00631FBC"/>
    <w:rsid w:val="006A2CED"/>
    <w:rsid w:val="007259CB"/>
    <w:rsid w:val="0077106D"/>
    <w:rsid w:val="007B40FB"/>
    <w:rsid w:val="007D3BD2"/>
    <w:rsid w:val="007E24B2"/>
    <w:rsid w:val="00811826"/>
    <w:rsid w:val="008634E9"/>
    <w:rsid w:val="008801B5"/>
    <w:rsid w:val="008A65A0"/>
    <w:rsid w:val="008B4AA1"/>
    <w:rsid w:val="008C1C71"/>
    <w:rsid w:val="00923C0C"/>
    <w:rsid w:val="009910BA"/>
    <w:rsid w:val="009A4D56"/>
    <w:rsid w:val="009A65D9"/>
    <w:rsid w:val="009E09F7"/>
    <w:rsid w:val="00A000DA"/>
    <w:rsid w:val="00A1736E"/>
    <w:rsid w:val="00A33525"/>
    <w:rsid w:val="00A43592"/>
    <w:rsid w:val="00AE20DE"/>
    <w:rsid w:val="00B44A4C"/>
    <w:rsid w:val="00B66E33"/>
    <w:rsid w:val="00BA4B4E"/>
    <w:rsid w:val="00BD0EF7"/>
    <w:rsid w:val="00BD4519"/>
    <w:rsid w:val="00BD627A"/>
    <w:rsid w:val="00BF6FD5"/>
    <w:rsid w:val="00C07EBD"/>
    <w:rsid w:val="00C21399"/>
    <w:rsid w:val="00C560C4"/>
    <w:rsid w:val="00C65512"/>
    <w:rsid w:val="00C655E3"/>
    <w:rsid w:val="00C6748F"/>
    <w:rsid w:val="00C73292"/>
    <w:rsid w:val="00C74B40"/>
    <w:rsid w:val="00D005F2"/>
    <w:rsid w:val="00D631FA"/>
    <w:rsid w:val="00D634D9"/>
    <w:rsid w:val="00D6421B"/>
    <w:rsid w:val="00D82356"/>
    <w:rsid w:val="00D84EEE"/>
    <w:rsid w:val="00D90A61"/>
    <w:rsid w:val="00DB3AC1"/>
    <w:rsid w:val="00DC7CBA"/>
    <w:rsid w:val="00DF02CE"/>
    <w:rsid w:val="00DF095B"/>
    <w:rsid w:val="00E030DA"/>
    <w:rsid w:val="00E03807"/>
    <w:rsid w:val="00E12561"/>
    <w:rsid w:val="00E30025"/>
    <w:rsid w:val="00E92DA0"/>
    <w:rsid w:val="00EB2BEC"/>
    <w:rsid w:val="00EC0704"/>
    <w:rsid w:val="00ED6B5D"/>
    <w:rsid w:val="00EE2CC6"/>
    <w:rsid w:val="00EE4C99"/>
    <w:rsid w:val="00EF4F44"/>
    <w:rsid w:val="00F12966"/>
    <w:rsid w:val="00F46D53"/>
    <w:rsid w:val="00F644C5"/>
    <w:rsid w:val="00F72438"/>
    <w:rsid w:val="00F74FC9"/>
    <w:rsid w:val="00FB3CFB"/>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6_2_analyza_podnikatelske_prostredie"/>
    <f:field ref="objsubject" par="" edit="true" text=""/>
    <f:field ref="objcreatedby" par="" text="Matulová, Silvia, Ing."/>
    <f:field ref="objcreatedat" par="" text="13.5.2022 11:42:35"/>
    <f:field ref="objchangedby" par="" text="Administrator, System"/>
    <f:field ref="objmodifiedat" par="" text="13.5.2022 11:42:3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2623F4A-4730-4ADC-B3B3-947DC908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1764</Words>
  <Characters>10056</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Matulova Silvia</cp:lastModifiedBy>
  <cp:revision>3</cp:revision>
  <cp:lastPrinted>2022-07-26T13:57:00Z</cp:lastPrinted>
  <dcterms:created xsi:type="dcterms:W3CDTF">2022-07-25T13:19:00Z</dcterms:created>
  <dcterms:modified xsi:type="dcterms:W3CDTF">2022-07-26T13:58:00Z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&lt;ol&gt;				&lt;li&gt;&lt;strong&gt;Správa o účasti verejnosti na tvorbe právneho predpisu&lt;/strong&gt;&lt;/li</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právo_x000d_
Účtovníctvo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Silvia Matulová</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431/2002 Z. z. o účtovníctve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2022</vt:lpwstr>
  </property>
  <property fmtid="{D5CDD505-2E9C-101B-9397-08002B2CF9AE}" pid="23" name="FSC#SKEDITIONSLOVLEX@103.510:plnynazovpredpis">
    <vt:lpwstr> Zákon, ktorým sa mení a dopĺňa zákon č. 431/2002 Z. z. o účtovníctve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MF/005491/2022-74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LP/2022/266</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4 ods. 2  Zmluvy o fungovaní Európskej únie (Ú. v. EÚ C 202, 7.6.2016) v platnom znení.</vt:lpwstr>
  </property>
  <property fmtid="{D5CDD505-2E9C-101B-9397-08002B2CF9AE}" pid="47" name="FSC#SKEDITIONSLOVLEX@103.510:AttrStrListDocPropSekundarneLegPravoPO">
    <vt:lpwstr>• smernica Európskeho parlamentu a Rady (EÚ) 2021/2101 z 24. novembra 2021, ktorou sa mení smernica 2013/34/EÚ, pokiaľ ide o zverejňovanie informácií o dani z príjmov určitými podnikmi a pobočkami (Ú. v. EÚ L 429, 1.12.2021), gestor: zatiaľ nebol určený,_x000d_</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rozhodnutie Súdneho dvora vo veci C - 306/1999, Banque internationale pour l'Afrique occidentale SA (BIAO) v. Finanzamt für Großunternehmen in Hamburg, [2003], Výrok rozhodnutia: 1. Otázky uvedené v druhej a tretej časti návrhu na začatie prejudiciálneh</vt:lpwstr>
  </property>
  <property fmtid="{D5CDD505-2E9C-101B-9397-08002B2CF9AE}" pid="52" name="FSC#SKEDITIONSLOVLEX@103.510:AttrStrListDocPropLehotaPrebratieSmernice">
    <vt:lpwstr>Lehota na prebratie smernice (EÚ) 2021/2101 bola určená do 22. júna 2023._x000d_
Lehota na prebratie smernice 2014/95/EÚ bola určená do 6. decembra 2016._x000d_
Lehota na prebratie smernice 2013/34/EÚ bola určená do 20. júla 2015._x000d_
Lehota na prebratie smernice 2004/2</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EK ako aj  nebolo začaté konanie Súdneho dvora EÚ proti SR podľa čl. 258 až 260 Zmluvy o fungovaní Európskej únie.</vt:lpwstr>
  </property>
  <property fmtid="{D5CDD505-2E9C-101B-9397-08002B2CF9AE}" pid="55" name="FSC#SKEDITIONSLOVLEX@103.510:AttrStrListDocPropInfoUzPreberanePP">
    <vt:lpwstr>Smernica 2014/95/EÚ bola prebratá do:_x000d_
- zákona č. 431/2002 Z. z. o účtovníctve v znení neskorších predpisov, _x000d_
- zákona č. 530/2003 Z. z. o obchodnom registri a o zmene a doplnení niektorých zákonov v znení neskorších predpisov,_x000d_
- zákona č. 513/1991 Zb.</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13. 4. 2022</vt:lpwstr>
  </property>
  <property fmtid="{D5CDD505-2E9C-101B-9397-08002B2CF9AE}" pid="59" name="FSC#SKEDITIONSLOVLEX@103.510:AttrDateDocPropUkonceniePKK">
    <vt:lpwstr>26. 4. 2022</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&lt;p&gt;Identifikované vplyvy v&amp;nbsp;rámci ich analýz indikujú negatívny vplyv návrhu zákona na rozpočet a&amp;nbsp;negatívny a&amp;nbsp;pozitívny vplyv na podnikateľské prostredie. Návrh zákona bude mať negatívny vplyv na podnikateľské prostredie v&amp;nbsp;dôsledku vzni</vt:lpwstr>
  </property>
  <property fmtid="{D5CDD505-2E9C-101B-9397-08002B2CF9AE}" pid="66" name="FSC#SKEDITIONSLOVLEX@103.510:AttrStrListDocPropAltRiesenia">
    <vt:lpwstr>V prípade nulového variantu by Slovenská republika nesplnila povinnosť transpozície smernice EÚ, ktorá musí byť transponovaná do 22. júna 2023.</vt:lpwstr>
  </property>
  <property fmtid="{D5CDD505-2E9C-101B-9397-08002B2CF9AE}" pid="67" name="FSC#SKEDITIONSLOVLEX@103.510:AttrStrListDocPropStanoviskoGest">
    <vt:lpwstr>Nesúhlasné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style="margin-left: 40px; text-align: justify;"&gt;Návrh zákona, ktorým sa mení a dopĺňa zákon č. 431/2002 Z. z. o&amp;nbsp;účtovníctve v&amp;nbsp;znení neskorších predpisov a&amp;nbsp;ktorým sa menia a&amp;nbsp;dopĺňajú niektoré zákony, sa predkladá na základe Plánu leg</vt:lpwstr>
  </property>
  <property fmtid="{D5CDD505-2E9C-101B-9397-08002B2CF9AE}" pid="150" name="FSC#SKEDITIONSLOVLEX@103.510:vytvorenedna">
    <vt:lpwstr>13. 5. 2022</vt:lpwstr>
  </property>
  <property fmtid="{D5CDD505-2E9C-101B-9397-08002B2CF9AE}" pid="151" name="FSC#COOSYSTEM@1.1:Container">
    <vt:lpwstr>COO.2145.1000.3.4954113</vt:lpwstr>
  </property>
  <property fmtid="{D5CDD505-2E9C-101B-9397-08002B2CF9AE}" pid="152" name="FSC#FSCFOLIO@1.1001:docpropproject">
    <vt:lpwstr/>
  </property>
</Properties>
</file>