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800D7" w14:textId="77777777" w:rsidR="00E266D6" w:rsidRPr="00F9528E" w:rsidRDefault="00E266D6" w:rsidP="006A5032">
      <w:pPr>
        <w:widowControl/>
        <w:jc w:val="center"/>
        <w:rPr>
          <w:b/>
          <w:caps/>
          <w:color w:val="000000"/>
          <w:spacing w:val="30"/>
        </w:rPr>
      </w:pPr>
      <w:r w:rsidRPr="00F9528E">
        <w:rPr>
          <w:b/>
          <w:caps/>
          <w:color w:val="000000"/>
          <w:spacing w:val="30"/>
        </w:rPr>
        <w:t>Predkladacia správa</w:t>
      </w:r>
    </w:p>
    <w:p w14:paraId="4175232E" w14:textId="77777777" w:rsidR="00856250" w:rsidRPr="00F9528E" w:rsidRDefault="00856250" w:rsidP="006A5032">
      <w:pPr>
        <w:widowControl/>
        <w:jc w:val="both"/>
        <w:rPr>
          <w:color w:val="000000"/>
        </w:rPr>
      </w:pPr>
    </w:p>
    <w:p w14:paraId="45D364D7" w14:textId="77777777" w:rsidR="00815FEA" w:rsidRDefault="00815FEA" w:rsidP="006A5032">
      <w:pPr>
        <w:widowControl/>
        <w:ind w:firstLine="720"/>
        <w:jc w:val="both"/>
        <w:rPr>
          <w:noProof/>
        </w:rPr>
      </w:pPr>
    </w:p>
    <w:p w14:paraId="59D070BC" w14:textId="46E4C1FD" w:rsidR="00A76BF9" w:rsidRDefault="00CF0566" w:rsidP="006A5032">
      <w:pPr>
        <w:widowControl/>
        <w:ind w:firstLine="567"/>
        <w:jc w:val="both"/>
      </w:pPr>
      <w:r>
        <w:t>„N</w:t>
      </w:r>
      <w:r w:rsidRPr="00164F71">
        <w:t xml:space="preserve">ávrh na </w:t>
      </w:r>
      <w:r>
        <w:t>pr</w:t>
      </w:r>
      <w:r w:rsidR="004242B7">
        <w:t>ístup</w:t>
      </w:r>
      <w:r>
        <w:t xml:space="preserve"> Slovenskej republiky </w:t>
      </w:r>
      <w:r w:rsidRPr="00164F71">
        <w:t>k Ženevskému aktu Lisabonskej dohody o označeniach pôvodu a zemepisných označeniach</w:t>
      </w:r>
      <w:r>
        <w:t>“</w:t>
      </w:r>
      <w:r w:rsidRPr="00164F71">
        <w:t xml:space="preserve"> prijatému v Ženeve 20. mája 2015 (ďalej </w:t>
      </w:r>
      <w:r w:rsidR="00AD64A9">
        <w:t>aj</w:t>
      </w:r>
      <w:r w:rsidRPr="00164F71">
        <w:t xml:space="preserve"> „dohovor“)</w:t>
      </w:r>
      <w:r>
        <w:t xml:space="preserve"> </w:t>
      </w:r>
      <w:r w:rsidRPr="00164F71">
        <w:t>predkladá</w:t>
      </w:r>
      <w:r>
        <w:t xml:space="preserve"> </w:t>
      </w:r>
      <w:r w:rsidR="00A76BF9">
        <w:t xml:space="preserve">v súlade s článkom 10 Pravidiel pre uzatváranie medzinárodných zmlúv a zmluvnú prax </w:t>
      </w:r>
      <w:r w:rsidR="003951A4" w:rsidRPr="00164F71">
        <w:t xml:space="preserve">na rokovanie </w:t>
      </w:r>
      <w:r w:rsidR="00E32A41">
        <w:t xml:space="preserve">Legislatívnej rady </w:t>
      </w:r>
      <w:r w:rsidR="003951A4" w:rsidRPr="00164F71">
        <w:t>vlády Slovenskej republiky</w:t>
      </w:r>
      <w:r>
        <w:t xml:space="preserve"> Úrad priemyselného vlastníctva </w:t>
      </w:r>
      <w:r w:rsidRPr="00164F71">
        <w:t xml:space="preserve"> Slovenskej republiky</w:t>
      </w:r>
      <w:r w:rsidR="003951A4" w:rsidRPr="00164F71">
        <w:t xml:space="preserve"> </w:t>
      </w:r>
      <w:r w:rsidR="00815FEA" w:rsidRPr="00164F71">
        <w:t>ako iniciatívny materiál</w:t>
      </w:r>
      <w:r w:rsidR="00307940" w:rsidRPr="00164F71">
        <w:t xml:space="preserve">. </w:t>
      </w:r>
    </w:p>
    <w:p w14:paraId="2C81B3F7" w14:textId="77777777" w:rsidR="006A5032" w:rsidRDefault="006A5032" w:rsidP="006A5032">
      <w:pPr>
        <w:widowControl/>
        <w:ind w:firstLine="567"/>
        <w:jc w:val="both"/>
      </w:pPr>
    </w:p>
    <w:p w14:paraId="06E1D224" w14:textId="77777777" w:rsidR="00C35B58" w:rsidRDefault="006F42F2" w:rsidP="006A5032">
      <w:pPr>
        <w:widowControl/>
        <w:ind w:firstLine="567"/>
        <w:jc w:val="both"/>
        <w:rPr>
          <w:rStyle w:val="Zstupntext"/>
          <w:color w:val="000000"/>
        </w:rPr>
      </w:pPr>
      <w:r w:rsidRPr="00164F71">
        <w:t>Dohovor</w:t>
      </w:r>
      <w:r w:rsidR="000277AC" w:rsidRPr="00164F71">
        <w:t xml:space="preserve"> </w:t>
      </w:r>
      <w:r w:rsidR="00EC4F9C" w:rsidRPr="00164F71">
        <w:t>predstavuje revidované znenie</w:t>
      </w:r>
      <w:r w:rsidR="00084864" w:rsidRPr="00164F71">
        <w:rPr>
          <w:rStyle w:val="Zstupntext"/>
          <w:color w:val="000000"/>
        </w:rPr>
        <w:t xml:space="preserve"> ustanovení Lisabonskej dohody o ochrane označení</w:t>
      </w:r>
      <w:r w:rsidR="00084864" w:rsidRPr="001F2716">
        <w:rPr>
          <w:rStyle w:val="Zstupntext"/>
          <w:color w:val="000000"/>
        </w:rPr>
        <w:t xml:space="preserve"> pôvodu a ich medzinárodného zápisu z 31. októbra 1958 revidovanej v Štokholme 14. júla 1967</w:t>
      </w:r>
      <w:r w:rsidR="00A76BF9">
        <w:rPr>
          <w:rStyle w:val="Zstupntext"/>
          <w:color w:val="000000"/>
        </w:rPr>
        <w:t>.</w:t>
      </w:r>
      <w:r w:rsidR="00E1748A" w:rsidRPr="00E1748A">
        <w:t xml:space="preserve"> </w:t>
      </w:r>
      <w:r w:rsidR="00E1748A" w:rsidRPr="00E1748A">
        <w:rPr>
          <w:rStyle w:val="Zstupntext"/>
          <w:color w:val="000000"/>
        </w:rPr>
        <w:t xml:space="preserve">Slovenská republika </w:t>
      </w:r>
      <w:r w:rsidR="00A76BF9">
        <w:rPr>
          <w:rStyle w:val="Zstupntext"/>
          <w:color w:val="000000"/>
        </w:rPr>
        <w:t xml:space="preserve">je </w:t>
      </w:r>
      <w:r w:rsidR="00E1748A" w:rsidRPr="00E1748A">
        <w:rPr>
          <w:rStyle w:val="Zstupntext"/>
          <w:color w:val="000000"/>
        </w:rPr>
        <w:t xml:space="preserve">zmluvnou stranou </w:t>
      </w:r>
      <w:r w:rsidR="00A76BF9" w:rsidRPr="00164F71">
        <w:rPr>
          <w:rStyle w:val="Zstupntext"/>
          <w:color w:val="000000"/>
        </w:rPr>
        <w:t>Lisabonskej dohody o ochrane označení</w:t>
      </w:r>
      <w:r w:rsidR="00A76BF9" w:rsidRPr="001F2716">
        <w:rPr>
          <w:rStyle w:val="Zstupntext"/>
          <w:color w:val="000000"/>
        </w:rPr>
        <w:t xml:space="preserve"> pôvodu a ich medzinárodného zápisu</w:t>
      </w:r>
      <w:r w:rsidR="00A76BF9" w:rsidRPr="00E1748A">
        <w:rPr>
          <w:rStyle w:val="Zstupntext"/>
          <w:color w:val="000000"/>
        </w:rPr>
        <w:t xml:space="preserve"> </w:t>
      </w:r>
      <w:r w:rsidR="00E1748A" w:rsidRPr="00E1748A">
        <w:rPr>
          <w:rStyle w:val="Zstupntext"/>
          <w:color w:val="000000"/>
        </w:rPr>
        <w:t>od r</w:t>
      </w:r>
      <w:r w:rsidR="00CA5B6D">
        <w:rPr>
          <w:rStyle w:val="Zstupntext"/>
          <w:color w:val="000000"/>
        </w:rPr>
        <w:t>oku</w:t>
      </w:r>
      <w:r w:rsidR="00E1748A">
        <w:rPr>
          <w:rStyle w:val="Zstupntext"/>
          <w:color w:val="000000"/>
        </w:rPr>
        <w:t xml:space="preserve"> 1993 ako nástupnícky štát ČS</w:t>
      </w:r>
      <w:r w:rsidR="00AD64A9">
        <w:rPr>
          <w:rStyle w:val="Zstupntext"/>
          <w:color w:val="000000"/>
        </w:rPr>
        <w:t>F</w:t>
      </w:r>
      <w:r w:rsidR="00E1748A">
        <w:rPr>
          <w:rStyle w:val="Zstupntext"/>
          <w:color w:val="000000"/>
        </w:rPr>
        <w:t>R</w:t>
      </w:r>
      <w:r w:rsidR="003C203E">
        <w:rPr>
          <w:rStyle w:val="Zstupntext"/>
          <w:color w:val="000000"/>
        </w:rPr>
        <w:t>,</w:t>
      </w:r>
      <w:r w:rsidR="00CF0566">
        <w:rPr>
          <w:rStyle w:val="Zstupntext"/>
          <w:color w:val="000000"/>
        </w:rPr>
        <w:t xml:space="preserve"> </w:t>
      </w:r>
      <w:r w:rsidR="003C203E">
        <w:rPr>
          <w:rStyle w:val="Zstupntext"/>
          <w:color w:val="000000"/>
        </w:rPr>
        <w:t>pričom</w:t>
      </w:r>
      <w:r w:rsidR="00E1748A">
        <w:rPr>
          <w:rStyle w:val="Zstupntext"/>
          <w:color w:val="000000"/>
        </w:rPr>
        <w:t xml:space="preserve"> </w:t>
      </w:r>
      <w:r w:rsidR="00A76BF9">
        <w:rPr>
          <w:rStyle w:val="Zstupntext"/>
          <w:color w:val="000000"/>
        </w:rPr>
        <w:t>ČS</w:t>
      </w:r>
      <w:r w:rsidR="00AD64A9">
        <w:rPr>
          <w:rStyle w:val="Zstupntext"/>
          <w:color w:val="000000"/>
        </w:rPr>
        <w:t>F</w:t>
      </w:r>
      <w:r w:rsidR="00A76BF9">
        <w:rPr>
          <w:rStyle w:val="Zstupntext"/>
          <w:color w:val="000000"/>
        </w:rPr>
        <w:t>R</w:t>
      </w:r>
      <w:r w:rsidR="00E1748A" w:rsidRPr="00E1748A">
        <w:rPr>
          <w:rStyle w:val="Zstupntext"/>
          <w:color w:val="000000"/>
        </w:rPr>
        <w:t xml:space="preserve"> bol</w:t>
      </w:r>
      <w:r w:rsidR="00E1748A">
        <w:rPr>
          <w:rStyle w:val="Zstupntext"/>
          <w:color w:val="000000"/>
        </w:rPr>
        <w:t>a</w:t>
      </w:r>
      <w:r w:rsidR="00E1748A" w:rsidRPr="00E1748A">
        <w:rPr>
          <w:rStyle w:val="Zstupntext"/>
          <w:color w:val="000000"/>
        </w:rPr>
        <w:t xml:space="preserve"> zmluvnou stranou tejto dohody od roku 1961</w:t>
      </w:r>
      <w:r w:rsidR="00084864" w:rsidRPr="001F2716">
        <w:rPr>
          <w:rStyle w:val="Zstupntext"/>
          <w:color w:val="000000"/>
        </w:rPr>
        <w:t xml:space="preserve">. </w:t>
      </w:r>
    </w:p>
    <w:p w14:paraId="20476687" w14:textId="77777777" w:rsidR="006A5032" w:rsidRDefault="006A5032" w:rsidP="006A5032">
      <w:pPr>
        <w:widowControl/>
        <w:ind w:firstLine="567"/>
        <w:jc w:val="both"/>
        <w:rPr>
          <w:rStyle w:val="Zstupntext"/>
          <w:color w:val="000000"/>
        </w:rPr>
      </w:pPr>
    </w:p>
    <w:p w14:paraId="6E350C67" w14:textId="77777777" w:rsidR="00EE40BA" w:rsidRDefault="00EE40BA" w:rsidP="006A5032">
      <w:pPr>
        <w:widowControl/>
        <w:ind w:firstLine="567"/>
        <w:jc w:val="both"/>
        <w:rPr>
          <w:color w:val="000000"/>
        </w:rPr>
      </w:pPr>
      <w:r w:rsidRPr="00EE40BA">
        <w:rPr>
          <w:color w:val="000000"/>
        </w:rPr>
        <w:t>Lisabonská dohoda o ochrane označení pôvodu a</w:t>
      </w:r>
      <w:r w:rsidR="00CA5B6D">
        <w:rPr>
          <w:color w:val="000000"/>
        </w:rPr>
        <w:t> ich medzinárodného zápisu</w:t>
      </w:r>
      <w:r w:rsidRPr="00EE40BA">
        <w:rPr>
          <w:color w:val="000000"/>
        </w:rPr>
        <w:t xml:space="preserve"> je zmluva, ktorú spravuje Svetová organizácia duševného vlastníctva (WIPO)</w:t>
      </w:r>
      <w:r w:rsidR="000A103B">
        <w:rPr>
          <w:color w:val="000000"/>
        </w:rPr>
        <w:t xml:space="preserve"> a na základe ktorej bola zriadená osobitná únia v rámci Únie na ochranu priemyslového vlastníctva</w:t>
      </w:r>
      <w:r w:rsidRPr="00EE40BA">
        <w:rPr>
          <w:color w:val="000000"/>
        </w:rPr>
        <w:t>. Jej zmluvné strany s</w:t>
      </w:r>
      <w:r w:rsidR="00AF3DFB">
        <w:rPr>
          <w:color w:val="000000"/>
        </w:rPr>
        <w:t>a zaväzujú</w:t>
      </w:r>
      <w:r w:rsidRPr="00EE40BA">
        <w:rPr>
          <w:color w:val="000000"/>
        </w:rPr>
        <w:t xml:space="preserve"> na svojich územiach c</w:t>
      </w:r>
      <w:r w:rsidR="008D182C">
        <w:rPr>
          <w:color w:val="000000"/>
        </w:rPr>
        <w:t>hrániť označenia pôvodu</w:t>
      </w:r>
      <w:r w:rsidRPr="00EE40BA">
        <w:rPr>
          <w:color w:val="000000"/>
        </w:rPr>
        <w:t xml:space="preserve"> iných zmluvných strán, ktoré sú ako také uznané a chránené v krajine pôvodu a zapísané na medzinárodnom úrade WIPO, pokiaľ tieto strany do jedného roka od podania žiadosti o zápis neoznámia, že takúto ochranu nie sú schopné zabezpečiť. </w:t>
      </w:r>
      <w:r w:rsidR="00BF29E4">
        <w:rPr>
          <w:color w:val="000000"/>
        </w:rPr>
        <w:t xml:space="preserve">V zmysle Lisabonskej dohody sa </w:t>
      </w:r>
      <w:r w:rsidR="00BF29E4">
        <w:t xml:space="preserve">pod pojmom označenie pôvodu rozumie zemepisný názov krajiny, oblasti </w:t>
      </w:r>
      <w:r w:rsidR="00480E07">
        <w:t>ale</w:t>
      </w:r>
      <w:r w:rsidR="00BF29E4">
        <w:t>bo miesta slúžiaci na označenie, odkiaľ pochádza výrobok, ktorého akosť alebo znaky sú dané výlučne alebo podstatne zemepisným prostred</w:t>
      </w:r>
      <w:r w:rsidR="007E5E64">
        <w:t>ím, počítajúc do toho prírodné činitele a ľudské činitele</w:t>
      </w:r>
      <w:r w:rsidR="00AB0483">
        <w:t>.</w:t>
      </w:r>
      <w:r w:rsidR="001846AA">
        <w:rPr>
          <w:rStyle w:val="Odkaznapoznmkupodiarou"/>
          <w:color w:val="000000"/>
        </w:rPr>
        <w:footnoteReference w:id="1"/>
      </w:r>
      <w:r w:rsidR="00BF29E4">
        <w:t xml:space="preserve"> </w:t>
      </w:r>
      <w:r w:rsidRPr="00EE40BA">
        <w:rPr>
          <w:color w:val="000000"/>
        </w:rPr>
        <w:t>Zmluvnými stranami Lisabonskej dohody</w:t>
      </w:r>
      <w:r w:rsidR="000A103B">
        <w:rPr>
          <w:color w:val="000000"/>
        </w:rPr>
        <w:t xml:space="preserve"> </w:t>
      </w:r>
      <w:r w:rsidR="000A103B" w:rsidRPr="00EE40BA">
        <w:rPr>
          <w:color w:val="000000"/>
        </w:rPr>
        <w:t>o ochrane označení pôvodu a</w:t>
      </w:r>
      <w:r w:rsidR="00CA5B6D">
        <w:rPr>
          <w:color w:val="000000"/>
        </w:rPr>
        <w:t xml:space="preserve"> ich medzinárodného zápisu </w:t>
      </w:r>
      <w:r w:rsidRPr="00EE40BA">
        <w:rPr>
          <w:color w:val="000000"/>
        </w:rPr>
        <w:t>je 30 krajín vrátane s</w:t>
      </w:r>
      <w:r w:rsidR="00AF3DFB">
        <w:rPr>
          <w:color w:val="000000"/>
        </w:rPr>
        <w:t>iedmych</w:t>
      </w:r>
      <w:r w:rsidRPr="00EE40BA">
        <w:rPr>
          <w:color w:val="000000"/>
        </w:rPr>
        <w:t xml:space="preserve"> členských štátov E</w:t>
      </w:r>
      <w:r w:rsidR="00CF0566">
        <w:rPr>
          <w:color w:val="000000"/>
        </w:rPr>
        <w:t>urópskej únie</w:t>
      </w:r>
      <w:r w:rsidR="00AD64A9">
        <w:rPr>
          <w:color w:val="000000"/>
        </w:rPr>
        <w:t xml:space="preserve"> -</w:t>
      </w:r>
      <w:r w:rsidRPr="00EE40BA">
        <w:rPr>
          <w:color w:val="000000"/>
        </w:rPr>
        <w:t xml:space="preserve"> Bulharsk</w:t>
      </w:r>
      <w:r w:rsidR="0048535F">
        <w:rPr>
          <w:color w:val="000000"/>
        </w:rPr>
        <w:t>a</w:t>
      </w:r>
      <w:r w:rsidRPr="00EE40BA">
        <w:rPr>
          <w:color w:val="000000"/>
        </w:rPr>
        <w:t>, Česk</w:t>
      </w:r>
      <w:r w:rsidR="0048535F">
        <w:rPr>
          <w:color w:val="000000"/>
        </w:rPr>
        <w:t>a</w:t>
      </w:r>
      <w:r w:rsidRPr="00EE40BA">
        <w:rPr>
          <w:color w:val="000000"/>
        </w:rPr>
        <w:t xml:space="preserve">, </w:t>
      </w:r>
      <w:r w:rsidR="00D852F9" w:rsidRPr="00EE40BA">
        <w:rPr>
          <w:color w:val="000000"/>
        </w:rPr>
        <w:t>Francúzsk</w:t>
      </w:r>
      <w:r w:rsidR="0048535F">
        <w:rPr>
          <w:color w:val="000000"/>
        </w:rPr>
        <w:t>a</w:t>
      </w:r>
      <w:r w:rsidR="00D852F9">
        <w:rPr>
          <w:color w:val="000000"/>
        </w:rPr>
        <w:t>,</w:t>
      </w:r>
      <w:r w:rsidR="00D852F9" w:rsidRPr="00EE40BA">
        <w:rPr>
          <w:color w:val="000000"/>
        </w:rPr>
        <w:t xml:space="preserve"> Maďarsk</w:t>
      </w:r>
      <w:r w:rsidR="0048535F">
        <w:rPr>
          <w:color w:val="000000"/>
        </w:rPr>
        <w:t>a</w:t>
      </w:r>
      <w:r w:rsidR="00D852F9">
        <w:rPr>
          <w:color w:val="000000"/>
        </w:rPr>
        <w:t>,</w:t>
      </w:r>
      <w:r w:rsidR="00D852F9" w:rsidRPr="00EE40BA">
        <w:rPr>
          <w:color w:val="000000"/>
        </w:rPr>
        <w:t xml:space="preserve"> Portugalsk</w:t>
      </w:r>
      <w:r w:rsidR="0048535F">
        <w:rPr>
          <w:color w:val="000000"/>
        </w:rPr>
        <w:t>a</w:t>
      </w:r>
      <w:r w:rsidR="00D852F9">
        <w:rPr>
          <w:color w:val="000000"/>
        </w:rPr>
        <w:t>,</w:t>
      </w:r>
      <w:r w:rsidR="00D852F9" w:rsidRPr="00EE40BA">
        <w:rPr>
          <w:color w:val="000000"/>
        </w:rPr>
        <w:t xml:space="preserve"> </w:t>
      </w:r>
      <w:r w:rsidRPr="00EE40BA">
        <w:rPr>
          <w:color w:val="000000"/>
        </w:rPr>
        <w:t>Slov</w:t>
      </w:r>
      <w:r w:rsidR="0048535F">
        <w:rPr>
          <w:color w:val="000000"/>
        </w:rPr>
        <w:t>enskej republiky</w:t>
      </w:r>
      <w:r w:rsidRPr="00EE40BA">
        <w:rPr>
          <w:color w:val="000000"/>
        </w:rPr>
        <w:t xml:space="preserve"> </w:t>
      </w:r>
      <w:r w:rsidR="00D852F9">
        <w:rPr>
          <w:color w:val="000000"/>
        </w:rPr>
        <w:t xml:space="preserve">a </w:t>
      </w:r>
      <w:r w:rsidR="00D852F9" w:rsidRPr="00EE40BA">
        <w:rPr>
          <w:color w:val="000000"/>
        </w:rPr>
        <w:t>Taliansk</w:t>
      </w:r>
      <w:r w:rsidR="0048535F">
        <w:rPr>
          <w:color w:val="000000"/>
        </w:rPr>
        <w:t>a</w:t>
      </w:r>
      <w:r w:rsidRPr="00EE40BA">
        <w:rPr>
          <w:color w:val="000000"/>
        </w:rPr>
        <w:t>.</w:t>
      </w:r>
    </w:p>
    <w:p w14:paraId="0429B093" w14:textId="77777777" w:rsidR="006A5032" w:rsidRPr="00F9528E" w:rsidRDefault="006A5032" w:rsidP="006A5032">
      <w:pPr>
        <w:widowControl/>
        <w:ind w:firstLine="567"/>
        <w:jc w:val="both"/>
        <w:rPr>
          <w:color w:val="000000"/>
        </w:rPr>
      </w:pPr>
    </w:p>
    <w:p w14:paraId="4E67B345" w14:textId="2B97F8BC" w:rsidR="00474117" w:rsidRDefault="00AF3DFB" w:rsidP="006A5032">
      <w:pPr>
        <w:widowControl/>
        <w:ind w:firstLine="567"/>
        <w:jc w:val="both"/>
        <w:rPr>
          <w:rStyle w:val="Zstupntext"/>
          <w:color w:val="000000"/>
        </w:rPr>
      </w:pPr>
      <w:r>
        <w:t xml:space="preserve">V roku 2015 bola Lisabonská dohoda </w:t>
      </w:r>
      <w:r>
        <w:rPr>
          <w:color w:val="000000"/>
        </w:rPr>
        <w:t>o ochrane označení pôvodu a</w:t>
      </w:r>
      <w:r w:rsidR="00CA5B6D">
        <w:rPr>
          <w:color w:val="000000"/>
        </w:rPr>
        <w:t xml:space="preserve"> ich medzinárodného zápisu </w:t>
      </w:r>
      <w:r>
        <w:t xml:space="preserve"> </w:t>
      </w:r>
      <w:r w:rsidR="000A103B" w:rsidRPr="0098104F">
        <w:t>revidovaná</w:t>
      </w:r>
      <w:r>
        <w:t xml:space="preserve"> Ženevským aktom Lisabonskej dohody o označeniach pôvodu a zemepisných označeniach, ktorý rozšíril jej pôsobnosť z označení pôvodu aj</w:t>
      </w:r>
      <w:r w:rsidR="00992070">
        <w:t xml:space="preserve"> na zemepisné označenia </w:t>
      </w:r>
      <w:r w:rsidR="00BF29E4">
        <w:t xml:space="preserve"> v zmysle Dohody o obchodných aspektoch práv duševného vlastníctva (TRIPS)</w:t>
      </w:r>
      <w:r w:rsidR="00B6642A" w:rsidRPr="00380686">
        <w:rPr>
          <w:rStyle w:val="Zstupntext"/>
          <w:color w:val="000000"/>
        </w:rPr>
        <w:t>, t</w:t>
      </w:r>
      <w:r w:rsidR="00073291">
        <w:rPr>
          <w:rStyle w:val="Zstupntext"/>
          <w:color w:val="000000"/>
        </w:rPr>
        <w:t>eda</w:t>
      </w:r>
      <w:r w:rsidR="00B6642A" w:rsidRPr="00380686">
        <w:rPr>
          <w:rStyle w:val="Zstupntext"/>
          <w:color w:val="000000"/>
        </w:rPr>
        <w:t xml:space="preserve"> ochrana sa poskytuje nielen označeniam pôvodu ale aj zemepisným označeniam,</w:t>
      </w:r>
      <w:r w:rsidR="00BF29E4">
        <w:rPr>
          <w:rStyle w:val="Odkaznapoznmkupodiarou"/>
        </w:rPr>
        <w:footnoteReference w:id="2"/>
      </w:r>
      <w:r>
        <w:t xml:space="preserve"> a rovnako umožnil pristúpenie medzivládnym organizáciám, ako je EÚ. </w:t>
      </w:r>
      <w:r w:rsidR="006F42F2">
        <w:t>Dohovor</w:t>
      </w:r>
      <w:r w:rsidR="00403E9F">
        <w:t xml:space="preserve"> </w:t>
      </w:r>
      <w:r w:rsidR="00403E9F">
        <w:rPr>
          <w:rStyle w:val="Zstupntext"/>
          <w:color w:val="000000"/>
        </w:rPr>
        <w:t xml:space="preserve">nadobudol platnosť dňa 26. februára 2020. Doteraz </w:t>
      </w:r>
      <w:r w:rsidR="006F42F2">
        <w:rPr>
          <w:rStyle w:val="Zstupntext"/>
          <w:color w:val="000000"/>
        </w:rPr>
        <w:t>dohovor</w:t>
      </w:r>
      <w:r w:rsidR="00403E9F">
        <w:rPr>
          <w:rStyle w:val="Zstupntext"/>
          <w:color w:val="000000"/>
        </w:rPr>
        <w:t xml:space="preserve"> ratifikovalo</w:t>
      </w:r>
      <w:r w:rsidR="0098104F">
        <w:rPr>
          <w:rStyle w:val="Zstupntext"/>
          <w:color w:val="000000"/>
        </w:rPr>
        <w:t xml:space="preserve"> alebo k nemu pristúpilo</w:t>
      </w:r>
      <w:r w:rsidR="00C95042">
        <w:rPr>
          <w:rStyle w:val="Zstupntext"/>
          <w:color w:val="000000"/>
        </w:rPr>
        <w:t xml:space="preserve"> Albánsko, Európska únia, </w:t>
      </w:r>
      <w:r w:rsidR="00942807">
        <w:rPr>
          <w:rStyle w:val="Zstupntext"/>
          <w:color w:val="000000"/>
        </w:rPr>
        <w:t xml:space="preserve">Francúzsko, </w:t>
      </w:r>
      <w:r w:rsidR="0098104F">
        <w:rPr>
          <w:rStyle w:val="Zstupntext"/>
          <w:color w:val="000000"/>
        </w:rPr>
        <w:t xml:space="preserve">Ghana, </w:t>
      </w:r>
      <w:r w:rsidR="00C95042">
        <w:rPr>
          <w:rStyle w:val="Zstupntext"/>
          <w:color w:val="000000"/>
        </w:rPr>
        <w:t xml:space="preserve">Kambodža, </w:t>
      </w:r>
      <w:r w:rsidR="00497513">
        <w:rPr>
          <w:rStyle w:val="Zstupntext"/>
          <w:color w:val="000000"/>
        </w:rPr>
        <w:t xml:space="preserve">Kapverdy, </w:t>
      </w:r>
      <w:r w:rsidR="00C95042">
        <w:rPr>
          <w:rStyle w:val="Zstupntext"/>
          <w:color w:val="000000"/>
        </w:rPr>
        <w:t>Kórejská ľudovodemokratická republika</w:t>
      </w:r>
      <w:r w:rsidR="00942807">
        <w:rPr>
          <w:rStyle w:val="Zstupntext"/>
          <w:color w:val="000000"/>
        </w:rPr>
        <w:t>, Laos, Maďarsko, Omán,</w:t>
      </w:r>
      <w:r w:rsidR="006F42F2">
        <w:rPr>
          <w:rStyle w:val="Zstupntext"/>
          <w:color w:val="000000"/>
        </w:rPr>
        <w:t xml:space="preserve"> </w:t>
      </w:r>
      <w:r w:rsidR="00942807">
        <w:rPr>
          <w:rStyle w:val="Zstupntext"/>
          <w:color w:val="000000"/>
        </w:rPr>
        <w:t> </w:t>
      </w:r>
      <w:r w:rsidR="00C95042">
        <w:rPr>
          <w:rStyle w:val="Zstupntext"/>
          <w:color w:val="000000"/>
        </w:rPr>
        <w:t>Samoa</w:t>
      </w:r>
      <w:r w:rsidR="00942807">
        <w:rPr>
          <w:rStyle w:val="Zstupntext"/>
          <w:color w:val="000000"/>
        </w:rPr>
        <w:t xml:space="preserve"> a Švajčiarsko</w:t>
      </w:r>
      <w:r w:rsidR="00C95042">
        <w:rPr>
          <w:rStyle w:val="Zstupntext"/>
          <w:color w:val="000000"/>
        </w:rPr>
        <w:t>.</w:t>
      </w:r>
      <w:r w:rsidR="00626BA5">
        <w:rPr>
          <w:rStyle w:val="Odkaznapoznmkupodiarou"/>
          <w:color w:val="000000"/>
        </w:rPr>
        <w:footnoteReference w:id="3"/>
      </w:r>
      <w:r w:rsidR="00380686">
        <w:rPr>
          <w:rStyle w:val="Zstupntext"/>
          <w:color w:val="000000"/>
        </w:rPr>
        <w:t xml:space="preserve"> </w:t>
      </w:r>
    </w:p>
    <w:p w14:paraId="7B553CEC" w14:textId="77777777" w:rsidR="00474117" w:rsidRDefault="00AF3DFB" w:rsidP="006A5032">
      <w:pPr>
        <w:widowControl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V</w:t>
      </w:r>
      <w:r w:rsidR="0048535F">
        <w:rPr>
          <w:color w:val="000000"/>
          <w:shd w:val="clear" w:color="auto" w:fill="FFFFFF"/>
        </w:rPr>
        <w:t> súvislosti s členstvom Slovenskej republiky v Európskej únii je potrebné zdôrazniť, že v</w:t>
      </w:r>
      <w:r>
        <w:rPr>
          <w:color w:val="000000"/>
          <w:shd w:val="clear" w:color="auto" w:fill="FFFFFF"/>
        </w:rPr>
        <w:t> oblastiach, na ktoré sa vzťahuje dohovor, má</w:t>
      </w:r>
      <w:r w:rsidR="007F6D9D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výlučnú právomoc Európska únia</w:t>
      </w:r>
      <w:r w:rsidRPr="008C14DE">
        <w:rPr>
          <w:color w:val="000000"/>
          <w:shd w:val="clear" w:color="auto" w:fill="FFFFFF"/>
          <w:vertAlign w:val="superscript"/>
        </w:rPr>
        <w:footnoteReference w:id="4"/>
      </w:r>
      <w:r>
        <w:rPr>
          <w:color w:val="000000"/>
          <w:shd w:val="clear" w:color="auto" w:fill="FFFFFF"/>
        </w:rPr>
        <w:t>.</w:t>
      </w:r>
      <w:r w:rsidR="00764E9C">
        <w:rPr>
          <w:color w:val="000000"/>
          <w:shd w:val="clear" w:color="auto" w:fill="FFFFFF"/>
        </w:rPr>
        <w:t xml:space="preserve"> </w:t>
      </w:r>
      <w:r w:rsidR="000A103B" w:rsidRPr="00D424AC">
        <w:rPr>
          <w:color w:val="000000"/>
          <w:shd w:val="clear" w:color="auto" w:fill="FFFFFF"/>
        </w:rPr>
        <w:t>E</w:t>
      </w:r>
      <w:r w:rsidR="000A103B">
        <w:rPr>
          <w:color w:val="000000"/>
          <w:shd w:val="clear" w:color="auto" w:fill="FFFFFF"/>
        </w:rPr>
        <w:t>urópska únia</w:t>
      </w:r>
      <w:r w:rsidR="000A103B" w:rsidRPr="00D424AC">
        <w:rPr>
          <w:color w:val="000000"/>
          <w:shd w:val="clear" w:color="auto" w:fill="FFFFFF"/>
        </w:rPr>
        <w:t xml:space="preserve"> </w:t>
      </w:r>
      <w:r w:rsidR="0048535F">
        <w:rPr>
          <w:color w:val="000000"/>
          <w:shd w:val="clear" w:color="auto" w:fill="FFFFFF"/>
        </w:rPr>
        <w:t xml:space="preserve">preto </w:t>
      </w:r>
      <w:r w:rsidR="000A103B">
        <w:rPr>
          <w:color w:val="000000"/>
          <w:shd w:val="clear" w:color="auto" w:fill="FFFFFF"/>
        </w:rPr>
        <w:t>v</w:t>
      </w:r>
      <w:r>
        <w:rPr>
          <w:color w:val="000000"/>
          <w:shd w:val="clear" w:color="auto" w:fill="FFFFFF"/>
        </w:rPr>
        <w:t> </w:t>
      </w:r>
      <w:r w:rsidR="00CB619A">
        <w:rPr>
          <w:color w:val="000000"/>
          <w:shd w:val="clear" w:color="auto" w:fill="FFFFFF"/>
        </w:rPr>
        <w:t>záujme</w:t>
      </w:r>
      <w:r>
        <w:rPr>
          <w:color w:val="000000"/>
          <w:shd w:val="clear" w:color="auto" w:fill="FFFFFF"/>
        </w:rPr>
        <w:t xml:space="preserve"> riadneho</w:t>
      </w:r>
      <w:r w:rsidR="00CB619A">
        <w:rPr>
          <w:color w:val="000000"/>
          <w:shd w:val="clear" w:color="auto" w:fill="FFFFFF"/>
        </w:rPr>
        <w:t xml:space="preserve"> uplatňovania svojej </w:t>
      </w:r>
      <w:r w:rsidR="00CB619A" w:rsidRPr="00474117">
        <w:rPr>
          <w:rStyle w:val="Zstupntext"/>
          <w:color w:val="000000"/>
        </w:rPr>
        <w:t>výlučn</w:t>
      </w:r>
      <w:r w:rsidR="00CB619A">
        <w:rPr>
          <w:rStyle w:val="Zstupntext"/>
          <w:color w:val="000000"/>
        </w:rPr>
        <w:t>ej</w:t>
      </w:r>
      <w:r w:rsidR="00CB619A" w:rsidRPr="00474117">
        <w:rPr>
          <w:rStyle w:val="Zstupntext"/>
          <w:color w:val="000000"/>
        </w:rPr>
        <w:t xml:space="preserve"> právomoc</w:t>
      </w:r>
      <w:r w:rsidR="00CB619A">
        <w:rPr>
          <w:rStyle w:val="Zstupntext"/>
          <w:color w:val="000000"/>
        </w:rPr>
        <w:t>i</w:t>
      </w:r>
      <w:r w:rsidR="00CB619A" w:rsidRPr="00474117">
        <w:rPr>
          <w:rStyle w:val="Zstupntext"/>
          <w:color w:val="000000"/>
        </w:rPr>
        <w:t xml:space="preserve"> v súvislosti s</w:t>
      </w:r>
      <w:r w:rsidR="006F42F2">
        <w:rPr>
          <w:rStyle w:val="Zstupntext"/>
          <w:color w:val="000000"/>
        </w:rPr>
        <w:t xml:space="preserve"> dohovorom</w:t>
      </w:r>
      <w:r w:rsidR="00CB619A" w:rsidRPr="00474117">
        <w:rPr>
          <w:rStyle w:val="Zstupntext"/>
          <w:color w:val="000000"/>
        </w:rPr>
        <w:t xml:space="preserve"> </w:t>
      </w:r>
      <w:r w:rsidR="00CB619A">
        <w:rPr>
          <w:rStyle w:val="Zstupntext"/>
          <w:color w:val="000000"/>
        </w:rPr>
        <w:t>a</w:t>
      </w:r>
      <w:r w:rsidR="006A4008">
        <w:rPr>
          <w:rStyle w:val="Zstupntext"/>
          <w:color w:val="000000"/>
        </w:rPr>
        <w:t> </w:t>
      </w:r>
      <w:r w:rsidR="00CF0566">
        <w:rPr>
          <w:rStyle w:val="Zstupntext"/>
          <w:color w:val="000000"/>
        </w:rPr>
        <w:t xml:space="preserve">aj v záujme uplatňovania svojej </w:t>
      </w:r>
      <w:r w:rsidR="00CB619A" w:rsidRPr="00474117">
        <w:rPr>
          <w:rStyle w:val="Zstupntext"/>
          <w:color w:val="000000"/>
        </w:rPr>
        <w:t>funkcie v kontexte svojich úplných systémov ochrany poľnohospodárskych zemepisných označení</w:t>
      </w:r>
      <w:r w:rsidR="00992070">
        <w:rPr>
          <w:rStyle w:val="Odkaznapoznmkupodiarou"/>
          <w:color w:val="000000"/>
        </w:rPr>
        <w:footnoteReference w:id="5"/>
      </w:r>
      <w:r w:rsidR="00CB619A">
        <w:rPr>
          <w:rStyle w:val="Zstupntext"/>
          <w:color w:val="000000"/>
        </w:rPr>
        <w:t xml:space="preserve"> </w:t>
      </w:r>
      <w:r w:rsidR="006A4008">
        <w:rPr>
          <w:rStyle w:val="Zstupntext"/>
          <w:color w:val="000000"/>
        </w:rPr>
        <w:t>rozhodla o svojom pr</w:t>
      </w:r>
      <w:r w:rsidR="00073291">
        <w:rPr>
          <w:rStyle w:val="Zstupntext"/>
          <w:color w:val="000000"/>
        </w:rPr>
        <w:t>ístupe</w:t>
      </w:r>
      <w:r w:rsidR="006A4008">
        <w:rPr>
          <w:rStyle w:val="Zstupntext"/>
          <w:color w:val="000000"/>
        </w:rPr>
        <w:t xml:space="preserve"> k dohovoru</w:t>
      </w:r>
      <w:r w:rsidR="006A4008">
        <w:rPr>
          <w:rStyle w:val="Odkaznapoznmkupodiarou"/>
          <w:color w:val="000000"/>
        </w:rPr>
        <w:footnoteReference w:id="6"/>
      </w:r>
      <w:r w:rsidR="006A4008">
        <w:rPr>
          <w:rStyle w:val="Zstupntext"/>
          <w:color w:val="000000"/>
        </w:rPr>
        <w:t xml:space="preserve"> a </w:t>
      </w:r>
      <w:r w:rsidR="0083257D" w:rsidRPr="00D424AC">
        <w:rPr>
          <w:color w:val="000000"/>
          <w:shd w:val="clear" w:color="auto" w:fill="FFFFFF"/>
        </w:rPr>
        <w:t>dňa 26. novembra 2019</w:t>
      </w:r>
      <w:r w:rsidR="0083257D">
        <w:rPr>
          <w:color w:val="000000"/>
          <w:shd w:val="clear" w:color="auto" w:fill="FFFFFF"/>
        </w:rPr>
        <w:t xml:space="preserve"> </w:t>
      </w:r>
      <w:r w:rsidR="006A4008" w:rsidRPr="00D424AC">
        <w:rPr>
          <w:color w:val="000000"/>
          <w:shd w:val="clear" w:color="auto" w:fill="FFFFFF"/>
        </w:rPr>
        <w:t xml:space="preserve">uložila </w:t>
      </w:r>
      <w:r w:rsidR="0083257D" w:rsidRPr="00D424AC">
        <w:rPr>
          <w:color w:val="000000"/>
          <w:shd w:val="clear" w:color="auto" w:fill="FFFFFF"/>
        </w:rPr>
        <w:t>prístupové listiny k</w:t>
      </w:r>
      <w:r w:rsidR="00CF0566">
        <w:rPr>
          <w:color w:val="000000"/>
          <w:shd w:val="clear" w:color="auto" w:fill="FFFFFF"/>
        </w:rPr>
        <w:t xml:space="preserve"> dohovoru </w:t>
      </w:r>
      <w:r w:rsidR="00474117" w:rsidRPr="00D424AC">
        <w:rPr>
          <w:color w:val="000000"/>
          <w:shd w:val="clear" w:color="auto" w:fill="FFFFFF"/>
        </w:rPr>
        <w:t>na pôde Svetovej organizácie duševného vlastníctva</w:t>
      </w:r>
      <w:r w:rsidR="006A4008">
        <w:rPr>
          <w:color w:val="000000"/>
          <w:shd w:val="clear" w:color="auto" w:fill="FFFFFF"/>
        </w:rPr>
        <w:t xml:space="preserve"> (WIPO)</w:t>
      </w:r>
      <w:r w:rsidR="00474117" w:rsidRPr="00D424AC">
        <w:rPr>
          <w:color w:val="000000"/>
          <w:shd w:val="clear" w:color="auto" w:fill="FFFFFF"/>
        </w:rPr>
        <w:t xml:space="preserve"> v Ženeve.</w:t>
      </w:r>
      <w:r w:rsidR="00CB619A">
        <w:rPr>
          <w:color w:val="000000"/>
          <w:shd w:val="clear" w:color="auto" w:fill="FFFFFF"/>
        </w:rPr>
        <w:t xml:space="preserve"> </w:t>
      </w:r>
      <w:r w:rsidR="00F66F4E">
        <w:rPr>
          <w:color w:val="000000"/>
          <w:shd w:val="clear" w:color="auto" w:fill="FFFFFF"/>
        </w:rPr>
        <w:t>Cieľom p</w:t>
      </w:r>
      <w:r w:rsidR="00713727">
        <w:rPr>
          <w:color w:val="000000"/>
          <w:shd w:val="clear" w:color="auto" w:fill="FFFFFF"/>
        </w:rPr>
        <w:t>rístup</w:t>
      </w:r>
      <w:r w:rsidR="002537CE">
        <w:rPr>
          <w:color w:val="000000"/>
          <w:shd w:val="clear" w:color="auto" w:fill="FFFFFF"/>
        </w:rPr>
        <w:t>u Európskej únie</w:t>
      </w:r>
      <w:r w:rsidR="00713727">
        <w:rPr>
          <w:color w:val="000000"/>
          <w:shd w:val="clear" w:color="auto" w:fill="FFFFFF"/>
        </w:rPr>
        <w:t xml:space="preserve"> k Ženevskému aktu </w:t>
      </w:r>
      <w:r w:rsidR="002537CE">
        <w:rPr>
          <w:color w:val="000000"/>
          <w:shd w:val="clear" w:color="auto" w:fill="FFFFFF"/>
        </w:rPr>
        <w:t xml:space="preserve">je </w:t>
      </w:r>
      <w:r w:rsidR="00713727">
        <w:rPr>
          <w:color w:val="000000"/>
          <w:shd w:val="clear" w:color="auto" w:fill="FFFFFF"/>
        </w:rPr>
        <w:t>umožniť výrobcom z členských štátov EÚ využívať výhody vyplývajúce z</w:t>
      </w:r>
      <w:r w:rsidR="00F66F4E">
        <w:rPr>
          <w:color w:val="000000"/>
          <w:shd w:val="clear" w:color="auto" w:fill="FFFFFF"/>
        </w:rPr>
        <w:t xml:space="preserve"> lisabonského systému medzinárodného zápisu označení pôvodu a zemepisných označení a súčasne </w:t>
      </w:r>
      <w:r w:rsidR="002537CE">
        <w:rPr>
          <w:color w:val="000000"/>
          <w:shd w:val="clear" w:color="auto" w:fill="FFFFFF"/>
        </w:rPr>
        <w:t>poskytnúť</w:t>
      </w:r>
      <w:r w:rsidR="00F66F4E">
        <w:rPr>
          <w:color w:val="000000"/>
          <w:shd w:val="clear" w:color="auto" w:fill="FFFFFF"/>
        </w:rPr>
        <w:t xml:space="preserve"> výrobcom z tretích krajín, ktoré sú zmluvnými stranami Ženevského aktu, ochranu ich označen</w:t>
      </w:r>
      <w:r w:rsidR="002537CE">
        <w:rPr>
          <w:color w:val="000000"/>
          <w:shd w:val="clear" w:color="auto" w:fill="FFFFFF"/>
        </w:rPr>
        <w:t>iam</w:t>
      </w:r>
      <w:r w:rsidR="00F66F4E">
        <w:rPr>
          <w:color w:val="000000"/>
          <w:shd w:val="clear" w:color="auto" w:fill="FFFFFF"/>
        </w:rPr>
        <w:t xml:space="preserve"> pôvodu a zemepisný</w:t>
      </w:r>
      <w:r w:rsidR="002537CE">
        <w:rPr>
          <w:color w:val="000000"/>
          <w:shd w:val="clear" w:color="auto" w:fill="FFFFFF"/>
        </w:rPr>
        <w:t>m</w:t>
      </w:r>
      <w:r w:rsidR="00F66F4E">
        <w:rPr>
          <w:color w:val="000000"/>
          <w:shd w:val="clear" w:color="auto" w:fill="FFFFFF"/>
        </w:rPr>
        <w:t xml:space="preserve"> označen</w:t>
      </w:r>
      <w:r w:rsidR="002537CE">
        <w:rPr>
          <w:color w:val="000000"/>
          <w:shd w:val="clear" w:color="auto" w:fill="FFFFFF"/>
        </w:rPr>
        <w:t>iam</w:t>
      </w:r>
      <w:r w:rsidR="00F66F4E">
        <w:rPr>
          <w:color w:val="000000"/>
          <w:shd w:val="clear" w:color="auto" w:fill="FFFFFF"/>
        </w:rPr>
        <w:t xml:space="preserve"> na území Európskej únie.</w:t>
      </w:r>
      <w:r w:rsidR="00713727">
        <w:rPr>
          <w:color w:val="000000"/>
          <w:shd w:val="clear" w:color="auto" w:fill="FFFFFF"/>
        </w:rPr>
        <w:t xml:space="preserve"> </w:t>
      </w:r>
    </w:p>
    <w:p w14:paraId="100F284B" w14:textId="77777777" w:rsidR="006A5032" w:rsidRDefault="006A5032" w:rsidP="006A5032">
      <w:pPr>
        <w:widowControl/>
        <w:ind w:firstLine="567"/>
        <w:jc w:val="both"/>
        <w:rPr>
          <w:color w:val="000000"/>
          <w:shd w:val="clear" w:color="auto" w:fill="FFFFFF"/>
        </w:rPr>
      </w:pPr>
    </w:p>
    <w:p w14:paraId="308970C8" w14:textId="77777777" w:rsidR="00AF3DFB" w:rsidRDefault="004242B7" w:rsidP="006A5032">
      <w:pPr>
        <w:ind w:firstLine="720"/>
        <w:jc w:val="both"/>
      </w:pPr>
      <w:r>
        <w:rPr>
          <w:color w:val="000000"/>
          <w:shd w:val="clear" w:color="auto" w:fill="FFFFFF"/>
        </w:rPr>
        <w:t>Pokiaľ ide o možnosť prístupu</w:t>
      </w:r>
      <w:r w:rsidR="00AD64A9">
        <w:rPr>
          <w:color w:val="000000"/>
          <w:shd w:val="clear" w:color="auto" w:fill="FFFFFF"/>
        </w:rPr>
        <w:t xml:space="preserve"> </w:t>
      </w:r>
      <w:r w:rsidR="00411E6B">
        <w:rPr>
          <w:color w:val="000000"/>
          <w:shd w:val="clear" w:color="auto" w:fill="FFFFFF"/>
        </w:rPr>
        <w:t xml:space="preserve">samotných </w:t>
      </w:r>
      <w:r w:rsidR="00AD64A9">
        <w:rPr>
          <w:color w:val="000000"/>
          <w:shd w:val="clear" w:color="auto" w:fill="FFFFFF"/>
        </w:rPr>
        <w:t>členských štátov Európskej únie k dohovoru, č</w:t>
      </w:r>
      <w:r w:rsidR="00AF3DFB">
        <w:rPr>
          <w:color w:val="000000"/>
          <w:shd w:val="clear" w:color="auto" w:fill="FFFFFF"/>
        </w:rPr>
        <w:t xml:space="preserve">lánok 3 </w:t>
      </w:r>
      <w:r w:rsidR="00AF3DFB">
        <w:t>rozhodnutia Rady (EÚ) 2019/1754 zo 7. októbra 2019 o pristúpení Európskej únie k Ženevskému aktu Lisabonskej dohody o označeniach pôvodu a zemepisných označen</w:t>
      </w:r>
      <w:r w:rsidR="00E061A7">
        <w:t xml:space="preserve">iach </w:t>
      </w:r>
      <w:r w:rsidR="00E061A7">
        <w:lastRenderedPageBreak/>
        <w:t>povoľuje členským štátom Európskej únie</w:t>
      </w:r>
      <w:r w:rsidR="00AF3DFB">
        <w:t>, ktoré si to želajú, ratifikovať dohovor alebo k nem</w:t>
      </w:r>
      <w:r w:rsidR="00E061A7">
        <w:t>u pristúpiť popri Európskej únii</w:t>
      </w:r>
      <w:r w:rsidR="00AF3DFB">
        <w:t>.</w:t>
      </w:r>
    </w:p>
    <w:p w14:paraId="23B87097" w14:textId="77777777" w:rsidR="006A5032" w:rsidRDefault="006A5032" w:rsidP="006A5032">
      <w:pPr>
        <w:ind w:firstLine="720"/>
        <w:jc w:val="both"/>
      </w:pPr>
    </w:p>
    <w:p w14:paraId="75C412B7" w14:textId="77777777" w:rsidR="00B27003" w:rsidRDefault="00D34AAA" w:rsidP="006A5032">
      <w:pPr>
        <w:ind w:firstLine="720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 xml:space="preserve">Je potrebné zdôrazniť, že pre </w:t>
      </w:r>
      <w:r w:rsidR="003158B7">
        <w:rPr>
          <w:color w:val="000000"/>
          <w:shd w:val="clear" w:color="auto" w:fill="FFFFFF"/>
        </w:rPr>
        <w:t>s</w:t>
      </w:r>
      <w:r>
        <w:rPr>
          <w:color w:val="000000"/>
          <w:shd w:val="clear" w:color="auto" w:fill="FFFFFF"/>
        </w:rPr>
        <w:t xml:space="preserve">edem </w:t>
      </w:r>
      <w:r w:rsidR="003158B7">
        <w:rPr>
          <w:color w:val="000000"/>
          <w:shd w:val="clear" w:color="auto" w:fill="FFFFFF"/>
        </w:rPr>
        <w:t>členských štátov Európskej únie</w:t>
      </w:r>
      <w:r w:rsidR="002537CE">
        <w:rPr>
          <w:color w:val="000000"/>
          <w:shd w:val="clear" w:color="auto" w:fill="FFFFFF"/>
        </w:rPr>
        <w:t xml:space="preserve">, ktoré sú </w:t>
      </w:r>
      <w:r w:rsidR="002537CE" w:rsidRPr="00D424AC">
        <w:rPr>
          <w:color w:val="000000"/>
          <w:shd w:val="clear" w:color="auto" w:fill="FFFFFF"/>
        </w:rPr>
        <w:t>zmluv</w:t>
      </w:r>
      <w:r w:rsidR="002537CE">
        <w:rPr>
          <w:color w:val="000000"/>
          <w:shd w:val="clear" w:color="auto" w:fill="FFFFFF"/>
        </w:rPr>
        <w:t xml:space="preserve">nou stranou Lisabonskej dohody </w:t>
      </w:r>
      <w:r w:rsidR="002537CE" w:rsidRPr="00164F71">
        <w:rPr>
          <w:rStyle w:val="Zstupntext"/>
          <w:color w:val="000000"/>
        </w:rPr>
        <w:t>o ochrane označení</w:t>
      </w:r>
      <w:r w:rsidR="002537CE" w:rsidRPr="001F2716">
        <w:rPr>
          <w:rStyle w:val="Zstupntext"/>
          <w:color w:val="000000"/>
        </w:rPr>
        <w:t xml:space="preserve"> pôvodu a ich medzinárodného zápisu</w:t>
      </w:r>
      <w:r>
        <w:rPr>
          <w:rStyle w:val="Zstupntext"/>
          <w:color w:val="000000"/>
        </w:rPr>
        <w:t>, a medzi ktoré patrí aj Slovenská republika</w:t>
      </w:r>
      <w:r w:rsidR="002537CE">
        <w:rPr>
          <w:rStyle w:val="Zstupntext"/>
          <w:color w:val="000000"/>
        </w:rPr>
        <w:t>,</w:t>
      </w:r>
      <w:r>
        <w:rPr>
          <w:rStyle w:val="Zstupntext"/>
          <w:color w:val="000000"/>
        </w:rPr>
        <w:t xml:space="preserve"> má</w:t>
      </w:r>
      <w:r w:rsidR="003158B7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prístup </w:t>
      </w:r>
      <w:r w:rsidR="003158B7">
        <w:rPr>
          <w:color w:val="000000"/>
          <w:shd w:val="clear" w:color="auto" w:fill="FFFFFF"/>
        </w:rPr>
        <w:t xml:space="preserve">k Ženevskému aktu zásadný význam </w:t>
      </w:r>
      <w:r w:rsidR="00D73940">
        <w:rPr>
          <w:color w:val="000000"/>
          <w:shd w:val="clear" w:color="auto" w:fill="FFFFFF"/>
        </w:rPr>
        <w:t>z dôvodu</w:t>
      </w:r>
      <w:r w:rsidR="003158B7">
        <w:rPr>
          <w:color w:val="000000"/>
          <w:shd w:val="clear" w:color="auto" w:fill="FFFFFF"/>
        </w:rPr>
        <w:t xml:space="preserve"> zachovani</w:t>
      </w:r>
      <w:r w:rsidR="00D73940">
        <w:rPr>
          <w:color w:val="000000"/>
          <w:shd w:val="clear" w:color="auto" w:fill="FFFFFF"/>
        </w:rPr>
        <w:t>a</w:t>
      </w:r>
      <w:r w:rsidR="00764E9C">
        <w:rPr>
          <w:color w:val="000000"/>
          <w:shd w:val="clear" w:color="auto" w:fill="FFFFFF"/>
        </w:rPr>
        <w:t xml:space="preserve"> medzinárodn</w:t>
      </w:r>
      <w:r w:rsidR="00CB4C37">
        <w:rPr>
          <w:color w:val="000000"/>
          <w:shd w:val="clear" w:color="auto" w:fill="FFFFFF"/>
        </w:rPr>
        <w:t>ých</w:t>
      </w:r>
      <w:r w:rsidR="00764E9C">
        <w:rPr>
          <w:color w:val="000000"/>
          <w:shd w:val="clear" w:color="auto" w:fill="FFFFFF"/>
        </w:rPr>
        <w:t xml:space="preserve"> zápis</w:t>
      </w:r>
      <w:r w:rsidR="00CB4C37">
        <w:rPr>
          <w:color w:val="000000"/>
          <w:shd w:val="clear" w:color="auto" w:fill="FFFFFF"/>
        </w:rPr>
        <w:t>ov</w:t>
      </w:r>
      <w:r w:rsidR="00764E9C">
        <w:rPr>
          <w:color w:val="000000"/>
          <w:shd w:val="clear" w:color="auto" w:fill="FFFFFF"/>
        </w:rPr>
        <w:t xml:space="preserve"> a</w:t>
      </w:r>
      <w:r w:rsidR="003158B7">
        <w:rPr>
          <w:color w:val="000000"/>
          <w:shd w:val="clear" w:color="auto" w:fill="FFFFFF"/>
        </w:rPr>
        <w:t xml:space="preserve"> kontinuity ochrany </w:t>
      </w:r>
      <w:r w:rsidR="00764E9C">
        <w:rPr>
          <w:color w:val="000000"/>
          <w:shd w:val="clear" w:color="auto" w:fill="FFFFFF"/>
        </w:rPr>
        <w:t>existujúcich práv</w:t>
      </w:r>
      <w:r w:rsidR="003158B7">
        <w:rPr>
          <w:color w:val="000000"/>
          <w:shd w:val="clear" w:color="auto" w:fill="FFFFFF"/>
        </w:rPr>
        <w:t xml:space="preserve"> v systéme Lisabonskej dohody</w:t>
      </w:r>
      <w:r w:rsidR="00411E6B">
        <w:rPr>
          <w:color w:val="000000"/>
          <w:shd w:val="clear" w:color="auto" w:fill="FFFFFF"/>
        </w:rPr>
        <w:t xml:space="preserve"> </w:t>
      </w:r>
      <w:r w:rsidR="00411E6B" w:rsidRPr="00164F71">
        <w:rPr>
          <w:rStyle w:val="Zstupntext"/>
          <w:color w:val="000000"/>
        </w:rPr>
        <w:t>o ochrane označení</w:t>
      </w:r>
      <w:r w:rsidR="00411E6B" w:rsidRPr="001F2716">
        <w:rPr>
          <w:rStyle w:val="Zstupntext"/>
          <w:color w:val="000000"/>
        </w:rPr>
        <w:t xml:space="preserve"> pôvodu a ich medzinárodného zápisu</w:t>
      </w:r>
      <w:r>
        <w:rPr>
          <w:color w:val="000000"/>
          <w:shd w:val="clear" w:color="auto" w:fill="FFFFFF"/>
        </w:rPr>
        <w:t>.</w:t>
      </w:r>
      <w:r w:rsidR="00B27003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Prístup</w:t>
      </w:r>
      <w:r w:rsidR="00B27003">
        <w:rPr>
          <w:color w:val="000000"/>
          <w:shd w:val="clear" w:color="auto" w:fill="FFFFFF"/>
        </w:rPr>
        <w:t xml:space="preserve"> </w:t>
      </w:r>
      <w:r w:rsidR="00B27003">
        <w:rPr>
          <w:shd w:val="clear" w:color="auto" w:fill="FFFFFF"/>
        </w:rPr>
        <w:t>zabezpečí naplnenie požiadaviek ustanovených čl</w:t>
      </w:r>
      <w:r w:rsidR="008428DA">
        <w:rPr>
          <w:shd w:val="clear" w:color="auto" w:fill="FFFFFF"/>
        </w:rPr>
        <w:t>ánkom</w:t>
      </w:r>
      <w:r w:rsidR="00B27003">
        <w:rPr>
          <w:shd w:val="clear" w:color="auto" w:fill="FFFFFF"/>
        </w:rPr>
        <w:t xml:space="preserve"> 11 nariadenia Európskeho parlamentu a Rady (EÚ) 2019</w:t>
      </w:r>
      <w:r w:rsidR="00B27003" w:rsidRPr="00411E6B">
        <w:rPr>
          <w:shd w:val="clear" w:color="auto" w:fill="FFFFFF"/>
        </w:rPr>
        <w:t xml:space="preserve">/1753 </w:t>
      </w:r>
      <w:r w:rsidR="00B27003" w:rsidRPr="00411E6B">
        <w:t xml:space="preserve">z 23. októbra 2019 </w:t>
      </w:r>
      <w:r w:rsidR="00B27003" w:rsidRPr="00411E6B">
        <w:rPr>
          <w:shd w:val="clear" w:color="auto" w:fill="FFFFFF"/>
        </w:rPr>
        <w:t>o činnosti Únie po jej pristúpení k Ženevskému aktu Lisabonskej</w:t>
      </w:r>
      <w:r w:rsidR="00B27003">
        <w:rPr>
          <w:shd w:val="clear" w:color="auto" w:fill="FFFFFF"/>
        </w:rPr>
        <w:t xml:space="preserve"> dohody o označeniach pôvodu a zemepisných označeniach pre zachovanie ochrany práv udelených podľa Lisabonskej dohody.</w:t>
      </w:r>
      <w:r w:rsidR="00B27003">
        <w:rPr>
          <w:rStyle w:val="Odkaznapoznmkupodiarou"/>
          <w:shd w:val="clear" w:color="auto" w:fill="FFFFFF"/>
        </w:rPr>
        <w:footnoteReference w:id="7"/>
      </w:r>
      <w:r w:rsidR="007F7F4E" w:rsidRPr="007F7F4E">
        <w:t xml:space="preserve"> </w:t>
      </w:r>
      <w:r w:rsidR="007F7F4E">
        <w:t>N</w:t>
      </w:r>
      <w:r w:rsidR="007F7F4E" w:rsidRPr="006F50C8">
        <w:t>e</w:t>
      </w:r>
      <w:r w:rsidR="007F7F4E">
        <w:t>pristúpenie S</w:t>
      </w:r>
      <w:r w:rsidR="00D73940">
        <w:t>lovenskej republiky</w:t>
      </w:r>
      <w:r w:rsidR="007F7F4E" w:rsidRPr="006F50C8">
        <w:t xml:space="preserve"> k Ženevskému</w:t>
      </w:r>
      <w:r w:rsidR="007F7F4E">
        <w:t xml:space="preserve"> aktu by malo v súlade s článkom</w:t>
      </w:r>
      <w:r w:rsidR="007F7F4E" w:rsidRPr="006F50C8">
        <w:t xml:space="preserve"> 11 ods. 1 a 2 nariadenia Európskeho parlamentu a Rady (EÚ) 2019/1753 z 23. októbra 2019 o činnosti Únie po jej pristúpení k Ženevskému aktu Lisabonskej dohody o označeniach pôvodu a zemepisných označeniach za následok povinnosť dotknutých subjektov požiadať o zrušenie existujúcich zápisov označení v medzinárodnom registri WIPO.</w:t>
      </w:r>
      <w:r w:rsidR="00B27003">
        <w:rPr>
          <w:shd w:val="clear" w:color="auto" w:fill="FFFFFF"/>
        </w:rPr>
        <w:t xml:space="preserve"> </w:t>
      </w:r>
    </w:p>
    <w:p w14:paraId="7E0EE9B7" w14:textId="77777777" w:rsidR="008428DA" w:rsidRDefault="008428DA" w:rsidP="006A5032">
      <w:pPr>
        <w:ind w:firstLine="567"/>
        <w:jc w:val="both"/>
        <w:rPr>
          <w:shd w:val="clear" w:color="auto" w:fill="FFFFFF"/>
        </w:rPr>
      </w:pPr>
    </w:p>
    <w:p w14:paraId="1D291FC6" w14:textId="77777777" w:rsidR="008428DA" w:rsidRDefault="008428DA" w:rsidP="006A5032">
      <w:pPr>
        <w:ind w:firstLine="720"/>
        <w:jc w:val="both"/>
        <w:rPr>
          <w:color w:val="000000"/>
          <w:shd w:val="clear" w:color="auto" w:fill="FFFFFF"/>
        </w:rPr>
      </w:pPr>
      <w:r>
        <w:t>Európska komisia vo vyhlásení 2019/C 360/02 síce povolenie ratifikácie alebo prístupu k dohovoru všetkým členským štátom Európskej únie namietla a vyhradila si právo proti rozhodnutiu Rady využiť opravné prostriedk</w:t>
      </w:r>
      <w:r w:rsidRPr="008428DA">
        <w:t>y,</w:t>
      </w:r>
      <w:r>
        <w:t xml:space="preserve"> avšak súčasne vyhlásila, že je </w:t>
      </w:r>
      <w:r w:rsidRPr="00D424AC">
        <w:rPr>
          <w:color w:val="000000"/>
          <w:shd w:val="clear" w:color="auto" w:fill="FFFFFF"/>
        </w:rPr>
        <w:t>výnimočne</w:t>
      </w:r>
      <w:r>
        <w:rPr>
          <w:color w:val="000000"/>
          <w:shd w:val="clear" w:color="auto" w:fill="FFFFFF"/>
        </w:rPr>
        <w:t xml:space="preserve"> pripravená súhlasiť</w:t>
      </w:r>
      <w:r w:rsidRPr="00D424AC">
        <w:rPr>
          <w:color w:val="000000"/>
          <w:shd w:val="clear" w:color="auto" w:fill="FFFFFF"/>
        </w:rPr>
        <w:t xml:space="preserve"> s tým, aby v tomto konkrétnom prípade bolo v záujme E</w:t>
      </w:r>
      <w:r>
        <w:rPr>
          <w:color w:val="000000"/>
          <w:shd w:val="clear" w:color="auto" w:fill="FFFFFF"/>
        </w:rPr>
        <w:t>urópskej únie</w:t>
      </w:r>
      <w:r w:rsidRPr="00D424AC">
        <w:rPr>
          <w:color w:val="000000"/>
          <w:shd w:val="clear" w:color="auto" w:fill="FFFFFF"/>
        </w:rPr>
        <w:t xml:space="preserve"> povo</w:t>
      </w:r>
      <w:r>
        <w:rPr>
          <w:color w:val="000000"/>
          <w:shd w:val="clear" w:color="auto" w:fill="FFFFFF"/>
        </w:rPr>
        <w:t>lené Bulharsku, Česku, Slovenskej republike</w:t>
      </w:r>
      <w:r w:rsidRPr="00D424AC">
        <w:rPr>
          <w:color w:val="000000"/>
          <w:shd w:val="clear" w:color="auto" w:fill="FFFFFF"/>
        </w:rPr>
        <w:t xml:space="preserve">, Francúzsku, Maďarsku, Taliansku a Portugalsku pristúpiť k </w:t>
      </w:r>
      <w:r>
        <w:rPr>
          <w:color w:val="000000"/>
          <w:shd w:val="clear" w:color="auto" w:fill="FFFFFF"/>
        </w:rPr>
        <w:t>dohovoru</w:t>
      </w:r>
      <w:r w:rsidRPr="00D424AC">
        <w:rPr>
          <w:color w:val="000000"/>
          <w:shd w:val="clear" w:color="auto" w:fill="FFFFFF"/>
        </w:rPr>
        <w:t xml:space="preserve">. Dôvodom sú výnimočné okolnosti, ktoré spočívajú v tom, že </w:t>
      </w:r>
      <w:r>
        <w:rPr>
          <w:color w:val="000000"/>
          <w:shd w:val="clear" w:color="auto" w:fill="FFFFFF"/>
        </w:rPr>
        <w:t>týchto sedem členských štátov Európskej únie</w:t>
      </w:r>
      <w:r w:rsidRPr="00D424AC">
        <w:rPr>
          <w:color w:val="000000"/>
          <w:shd w:val="clear" w:color="auto" w:fill="FFFFFF"/>
        </w:rPr>
        <w:t xml:space="preserve"> je už dlhodobo zmluv</w:t>
      </w:r>
      <w:r>
        <w:rPr>
          <w:color w:val="000000"/>
          <w:shd w:val="clear" w:color="auto" w:fill="FFFFFF"/>
        </w:rPr>
        <w:t xml:space="preserve">nou stranou Lisabonskej dohody </w:t>
      </w:r>
      <w:r w:rsidRPr="00164F71">
        <w:rPr>
          <w:rStyle w:val="Zstupntext"/>
          <w:color w:val="000000"/>
        </w:rPr>
        <w:t>o ochrane označení</w:t>
      </w:r>
      <w:r w:rsidRPr="001F2716">
        <w:rPr>
          <w:rStyle w:val="Zstupntext"/>
          <w:color w:val="000000"/>
        </w:rPr>
        <w:t xml:space="preserve"> pôvodu a ich medzinárodného zápisu</w:t>
      </w:r>
      <w:r>
        <w:rPr>
          <w:color w:val="000000"/>
          <w:shd w:val="clear" w:color="auto" w:fill="FFFFFF"/>
        </w:rPr>
        <w:t>,</w:t>
      </w:r>
      <w:r w:rsidRPr="00D424AC">
        <w:rPr>
          <w:color w:val="000000"/>
          <w:shd w:val="clear" w:color="auto" w:fill="FFFFFF"/>
        </w:rPr>
        <w:t xml:space="preserve"> majú na jej základe zapísané </w:t>
      </w:r>
      <w:r>
        <w:rPr>
          <w:color w:val="000000"/>
          <w:shd w:val="clear" w:color="auto" w:fill="FFFFFF"/>
        </w:rPr>
        <w:t xml:space="preserve">v medzinárodnom registri </w:t>
      </w:r>
      <w:r w:rsidRPr="00D424AC">
        <w:rPr>
          <w:color w:val="000000"/>
          <w:shd w:val="clear" w:color="auto" w:fill="FFFFFF"/>
        </w:rPr>
        <w:t>značné duševné vlastníctvo</w:t>
      </w:r>
      <w:r>
        <w:rPr>
          <w:color w:val="000000"/>
          <w:shd w:val="clear" w:color="auto" w:fill="FFFFFF"/>
        </w:rPr>
        <w:t xml:space="preserve"> a je potrebné zabezpečiť kontinuitu práv vyplývajúcich z existujúceho členstva týchto siedmych členských štátov Európskej únie v osobitnej únii.</w:t>
      </w:r>
    </w:p>
    <w:p w14:paraId="4DB4A002" w14:textId="77777777" w:rsidR="003158B7" w:rsidRDefault="003158B7" w:rsidP="006A5032">
      <w:pPr>
        <w:jc w:val="both"/>
      </w:pPr>
    </w:p>
    <w:p w14:paraId="256B4598" w14:textId="77777777" w:rsidR="00AF3DFB" w:rsidRDefault="00AF3DFB" w:rsidP="006A5032">
      <w:pPr>
        <w:pStyle w:val="c01pointaltn"/>
        <w:spacing w:before="0" w:beforeAutospacing="0" w:after="0" w:afterAutospacing="0"/>
        <w:ind w:firstLine="567"/>
        <w:jc w:val="both"/>
      </w:pPr>
      <w:r>
        <w:t>Európska komisia žalobou podanou 17.</w:t>
      </w:r>
      <w:r w:rsidR="00E061A7">
        <w:t xml:space="preserve"> januára 2020 </w:t>
      </w:r>
      <w:r w:rsidR="00824FFC">
        <w:t>na</w:t>
      </w:r>
      <w:r w:rsidR="00E061A7">
        <w:t> Súdn</w:t>
      </w:r>
      <w:r w:rsidR="00824FFC">
        <w:t>y</w:t>
      </w:r>
      <w:r w:rsidR="00E061A7">
        <w:t xml:space="preserve"> dvor Európskej únie</w:t>
      </w:r>
      <w:r>
        <w:t xml:space="preserve"> (konanie C-24/20) žal</w:t>
      </w:r>
      <w:r w:rsidR="00F037EE">
        <w:t>uje</w:t>
      </w:r>
      <w:r>
        <w:t xml:space="preserve"> Radu Európskej únie a navrhuje zrušiť článok 3 rozhodnutia Rady (EÚ) 2019/175</w:t>
      </w:r>
      <w:r w:rsidRPr="00B977F3">
        <w:t>4</w:t>
      </w:r>
      <w:r>
        <w:t xml:space="preserve"> zo 7. októbra 2019 o pristúpení Európskej únie k Ženevskému aktu Lisabonskej dohody o označeniach pôvodu a zemepisných označeniach a rozhodnúť, že do nadobudnutia účinnosti rozhodnutia Rady Európskej únie, ku ktorému dôjde v rozumnej dobe neprekračujúcej šesť mesiacov od vydania rozsudku, zostávajú v platnosti účinky častí rozhodnutia </w:t>
      </w:r>
      <w:r w:rsidR="00B26538">
        <w:t xml:space="preserve">(EÚ) </w:t>
      </w:r>
      <w:r>
        <w:t>2019/1754, ktoré boli zrušené, a to najmä akékoľvek využitie povolenia udeleného podľa článku 3, ktoré členské štáty, ktoré sú momentálne zmluvnými stranam</w:t>
      </w:r>
      <w:r w:rsidR="00E061A7">
        <w:t xml:space="preserve">i Lisabonskej dohody </w:t>
      </w:r>
      <w:r w:rsidR="00E061A7" w:rsidRPr="00164F71">
        <w:rPr>
          <w:rStyle w:val="Zstupntext"/>
          <w:color w:val="000000"/>
        </w:rPr>
        <w:t>o ochrane označení</w:t>
      </w:r>
      <w:r w:rsidR="00E061A7" w:rsidRPr="001F2716">
        <w:rPr>
          <w:rStyle w:val="Zstupntext"/>
          <w:color w:val="000000"/>
        </w:rPr>
        <w:t xml:space="preserve"> pôvodu a ich medzinárodného zápisu</w:t>
      </w:r>
      <w:r>
        <w:t>, uplatnili pred vydaním rozsudku.</w:t>
      </w:r>
      <w:r w:rsidR="00A86BFA">
        <w:rPr>
          <w:rStyle w:val="Odkaznapoznmkupodiarou"/>
        </w:rPr>
        <w:footnoteReference w:id="8"/>
      </w:r>
      <w:r w:rsidR="00CB4C37">
        <w:t xml:space="preserve"> </w:t>
      </w:r>
      <w:r w:rsidR="00824FFC">
        <w:t>Dňa</w:t>
      </w:r>
      <w:r w:rsidR="00621284">
        <w:t xml:space="preserve"> 19. mája 2022 predniesol stanovisko vo veci C-24/20 g</w:t>
      </w:r>
      <w:r w:rsidR="00621284" w:rsidRPr="00621284">
        <w:t>enerálny advokát</w:t>
      </w:r>
      <w:r w:rsidR="001F191D">
        <w:rPr>
          <w:rStyle w:val="Odkaznapoznmkupodiarou"/>
        </w:rPr>
        <w:footnoteReference w:id="9"/>
      </w:r>
      <w:r w:rsidR="00621284">
        <w:t xml:space="preserve">. Vzhľadom na návrh Európskej </w:t>
      </w:r>
      <w:r w:rsidR="00621284">
        <w:lastRenderedPageBreak/>
        <w:t>komisie ako aj vzhľadom na stanovisko generálneho advokáta je žiaduce proces smerujúci k prístupu Slovenskej republiky k dohovoru neodkladať.</w:t>
      </w:r>
      <w:r w:rsidR="00B403F8">
        <w:t xml:space="preserve"> </w:t>
      </w:r>
      <w:r w:rsidR="003D5DEE">
        <w:t>Je</w:t>
      </w:r>
      <w:r w:rsidR="00A8025E">
        <w:t xml:space="preserve"> </w:t>
      </w:r>
      <w:r w:rsidR="00A86BFA">
        <w:t>zjavné</w:t>
      </w:r>
      <w:r w:rsidR="003D5DEE">
        <w:t xml:space="preserve">, že v zmysle článku </w:t>
      </w:r>
      <w:r w:rsidR="003D5DEE" w:rsidRPr="006F50C8">
        <w:t>11 ods. 1 a 2 nariadenia Európskeho parlamentu a Rady (EÚ) 2019/1753 z 23. októbra 2019 o činnosti Únie po jej pristúpení k Ženevskému aktu Lisabonskej dohody o označeniach pôvodu a zemepisných označeniach</w:t>
      </w:r>
      <w:r w:rsidR="00A86BFA">
        <w:t xml:space="preserve"> je</w:t>
      </w:r>
      <w:r w:rsidR="003D5DEE">
        <w:t xml:space="preserve"> n</w:t>
      </w:r>
      <w:r w:rsidR="00A86BFA">
        <w:t>evyhnutné</w:t>
      </w:r>
      <w:r w:rsidR="003D5DEE">
        <w:t xml:space="preserve"> pr</w:t>
      </w:r>
      <w:r w:rsidR="00A86BFA">
        <w:t>ístup Slovenskej republiky</w:t>
      </w:r>
      <w:r w:rsidR="003D5DEE">
        <w:t xml:space="preserve"> k</w:t>
      </w:r>
      <w:r w:rsidR="00A8025E">
        <w:t> </w:t>
      </w:r>
      <w:r w:rsidR="003D5DEE">
        <w:t>dohovoru</w:t>
      </w:r>
      <w:r w:rsidR="00A8025E">
        <w:t xml:space="preserve"> včas</w:t>
      </w:r>
      <w:r w:rsidR="003D5DEE">
        <w:t xml:space="preserve"> zabezpečiť. Odloženie procesu by mohlo mať za následok stratu významných slovenských označení pôvodu </w:t>
      </w:r>
      <w:r w:rsidR="003D5DEE" w:rsidRPr="003D5DEE">
        <w:t>zapísan</w:t>
      </w:r>
      <w:r w:rsidR="003D5DEE">
        <w:t>ých</w:t>
      </w:r>
      <w:r w:rsidR="003D5DEE" w:rsidRPr="003D5DEE">
        <w:t xml:space="preserve"> v medzinárodnom registri na základe Lisabonskej dohody</w:t>
      </w:r>
      <w:r w:rsidR="003D5DEE">
        <w:t>.</w:t>
      </w:r>
    </w:p>
    <w:p w14:paraId="1F599C08" w14:textId="77777777" w:rsidR="006A5032" w:rsidRDefault="006A5032" w:rsidP="006A5032">
      <w:pPr>
        <w:pStyle w:val="c01pointaltn"/>
        <w:spacing w:before="0" w:beforeAutospacing="0" w:after="0" w:afterAutospacing="0"/>
        <w:ind w:firstLine="567"/>
        <w:jc w:val="both"/>
      </w:pPr>
    </w:p>
    <w:p w14:paraId="4BC3A124" w14:textId="77777777" w:rsidR="00DA7419" w:rsidRDefault="00A3530D" w:rsidP="006A5032">
      <w:pPr>
        <w:widowControl/>
        <w:ind w:firstLine="567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>Materiál</w:t>
      </w:r>
      <w:r w:rsidR="0048535F">
        <w:rPr>
          <w:rStyle w:val="Zstupntext"/>
          <w:color w:val="000000"/>
        </w:rPr>
        <w:t xml:space="preserve"> </w:t>
      </w:r>
      <w:r>
        <w:t>nemá vplyv</w:t>
      </w:r>
      <w:r w:rsidRPr="009775FA">
        <w:t xml:space="preserve"> na rozpočet verejnej správy, podnikateľské prostredie, sociálne vplyvy, vplyvy na životné prostredie, na informatizáciu spoločnosti, vplyvy na služby verejnej správy pre občana a ani vplyvy na manželstvo, rodičovstvo a</w:t>
      </w:r>
      <w:r>
        <w:t> </w:t>
      </w:r>
      <w:r w:rsidRPr="009775FA">
        <w:t>r</w:t>
      </w:r>
      <w:r>
        <w:t>odinu.</w:t>
      </w:r>
      <w:r w:rsidR="008B1FD8" w:rsidRPr="00D424AC">
        <w:rPr>
          <w:rStyle w:val="Zstupntext"/>
          <w:color w:val="000000"/>
        </w:rPr>
        <w:t xml:space="preserve"> </w:t>
      </w:r>
    </w:p>
    <w:p w14:paraId="2B09D1CC" w14:textId="77777777" w:rsidR="006A5032" w:rsidRPr="00D424AC" w:rsidRDefault="006A5032" w:rsidP="006A5032">
      <w:pPr>
        <w:widowControl/>
        <w:ind w:firstLine="567"/>
        <w:jc w:val="both"/>
        <w:rPr>
          <w:rStyle w:val="Zstupntext"/>
          <w:color w:val="000000"/>
        </w:rPr>
      </w:pPr>
    </w:p>
    <w:p w14:paraId="32C25248" w14:textId="77777777" w:rsidR="006A5032" w:rsidRDefault="006A183D" w:rsidP="006A5032">
      <w:pPr>
        <w:pStyle w:val="Normlnywebov"/>
        <w:spacing w:before="0" w:beforeAutospacing="0" w:after="0" w:afterAutospacing="0"/>
        <w:ind w:firstLine="567"/>
        <w:jc w:val="both"/>
      </w:pPr>
      <w:r>
        <w:rPr>
          <w:rStyle w:val="Zstupntext"/>
          <w:color w:val="000000"/>
        </w:rPr>
        <w:t xml:space="preserve">Dohovor je mnohostrannou medzinárodnou zmluvou </w:t>
      </w:r>
      <w:r>
        <w:t>prezidentskej povahy podľa čl. 7 ods. 4 Ústavy Slovenskej republiky, ktorá priamo zakladá práva alebo povinnosti fyzických osôb alebo právnických osôb a ktorá si vyžaduje pred ratifikáciou súhlas Národnej rady Slovenskej republiky.  </w:t>
      </w:r>
    </w:p>
    <w:p w14:paraId="63DB5F75" w14:textId="77777777" w:rsidR="006A183D" w:rsidRDefault="006A183D" w:rsidP="006A5032">
      <w:pPr>
        <w:pStyle w:val="Normlnywebov"/>
        <w:spacing w:before="0" w:beforeAutospacing="0" w:after="0" w:afterAutospacing="0"/>
        <w:ind w:firstLine="567"/>
        <w:jc w:val="both"/>
      </w:pPr>
      <w:r>
        <w:t> </w:t>
      </w:r>
    </w:p>
    <w:p w14:paraId="71E9FA65" w14:textId="77777777" w:rsidR="006A183D" w:rsidRDefault="006A183D" w:rsidP="006A5032">
      <w:pPr>
        <w:pStyle w:val="Normlnywebov"/>
        <w:spacing w:before="0" w:beforeAutospacing="0" w:after="0" w:afterAutospacing="0"/>
        <w:ind w:firstLine="567"/>
        <w:jc w:val="both"/>
      </w:pPr>
      <w:r>
        <w:t xml:space="preserve">Dohovor je súčasne mnohostrannou medzinárodnou zmluvou prezidentskej povahy podľa čl. 7 ods. 5 Ústavy Slovenskej republiky, ktorá priamo zakladá práva alebo povinnosti fyzických osôb alebo právnických osôb a ktorá </w:t>
      </w:r>
      <w:r w:rsidR="0053044B">
        <w:t xml:space="preserve">bude mať </w:t>
      </w:r>
      <w:r>
        <w:t>po ratifikácii a vyhlásení spôsobom ustanoveným zákonom</w:t>
      </w:r>
      <w:r w:rsidR="0053044B">
        <w:t xml:space="preserve"> </w:t>
      </w:r>
      <w:r>
        <w:t>prednosť pred zákonmi.</w:t>
      </w:r>
    </w:p>
    <w:p w14:paraId="3837EE4D" w14:textId="77777777" w:rsidR="006A5032" w:rsidRDefault="006A5032" w:rsidP="006A5032">
      <w:pPr>
        <w:pStyle w:val="Normlnywebov"/>
        <w:spacing w:before="0" w:beforeAutospacing="0" w:after="0" w:afterAutospacing="0"/>
        <w:ind w:firstLine="567"/>
        <w:jc w:val="both"/>
      </w:pPr>
    </w:p>
    <w:p w14:paraId="54BDD251" w14:textId="77777777" w:rsidR="00C522EE" w:rsidRPr="00D424AC" w:rsidRDefault="006F42F2" w:rsidP="006A5032">
      <w:pPr>
        <w:tabs>
          <w:tab w:val="left" w:pos="567"/>
        </w:tabs>
        <w:ind w:firstLine="567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>Dohovor</w:t>
      </w:r>
      <w:r w:rsidR="00C522EE" w:rsidRPr="00D424AC">
        <w:rPr>
          <w:rStyle w:val="Zstupntext"/>
          <w:color w:val="000000"/>
        </w:rPr>
        <w:t xml:space="preserve"> zodpovedá záujmom zahraničnej politiky Slovenskej republiky. Je v súlade s právnym poriadkom Slovenskej republiky a všeobecnými zásadami medzinárodného práva, ako aj s medzinárodnými záväzkami Slovenskej republiky vyplývajúcimi z iných medzinárodných dokumentov. </w:t>
      </w:r>
    </w:p>
    <w:p w14:paraId="6589E698" w14:textId="60BF383D" w:rsidR="009E78DB" w:rsidRDefault="00497513" w:rsidP="009E78DB">
      <w:pPr>
        <w:pStyle w:val="Normlnywebov"/>
        <w:ind w:firstLine="567"/>
        <w:jc w:val="both"/>
      </w:pPr>
      <w:r>
        <w:t>Materiál</w:t>
      </w:r>
      <w:r w:rsidR="009E78DB">
        <w:t xml:space="preserve"> sa predkladá na rokovanie bez rozporov s povinne pripomienkujúcimi subjektmi a bez rozporov s verejnosťou.</w:t>
      </w:r>
    </w:p>
    <w:p w14:paraId="656818BD" w14:textId="77777777" w:rsidR="009E78DB" w:rsidRDefault="009E78DB" w:rsidP="006A5032">
      <w:pPr>
        <w:widowControl/>
        <w:rPr>
          <w:rStyle w:val="Zstupntext"/>
          <w:color w:val="000000"/>
        </w:rPr>
      </w:pPr>
    </w:p>
    <w:sectPr w:rsidR="009E78DB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B3E1E" w14:textId="77777777" w:rsidR="0020781C" w:rsidRDefault="0020781C" w:rsidP="003951A4">
      <w:r>
        <w:separator/>
      </w:r>
    </w:p>
  </w:endnote>
  <w:endnote w:type="continuationSeparator" w:id="0">
    <w:p w14:paraId="4E3E7C74" w14:textId="77777777" w:rsidR="0020781C" w:rsidRDefault="0020781C" w:rsidP="0039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6778772"/>
      <w:docPartObj>
        <w:docPartGallery w:val="Page Numbers (Bottom of Page)"/>
        <w:docPartUnique/>
      </w:docPartObj>
    </w:sdtPr>
    <w:sdtEndPr/>
    <w:sdtContent>
      <w:p w14:paraId="41545771" w14:textId="5B9F454E" w:rsidR="00E75833" w:rsidRDefault="00E7583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E1C923" w14:textId="77777777" w:rsidR="00E75833" w:rsidRDefault="00E7583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1C420" w14:textId="77777777" w:rsidR="0020781C" w:rsidRDefault="0020781C" w:rsidP="003951A4">
      <w:r>
        <w:separator/>
      </w:r>
    </w:p>
  </w:footnote>
  <w:footnote w:type="continuationSeparator" w:id="0">
    <w:p w14:paraId="3D21B09C" w14:textId="77777777" w:rsidR="0020781C" w:rsidRDefault="0020781C" w:rsidP="003951A4">
      <w:r>
        <w:continuationSeparator/>
      </w:r>
    </w:p>
  </w:footnote>
  <w:footnote w:id="1">
    <w:p w14:paraId="048BFAB1" w14:textId="77777777" w:rsidR="00CA1919" w:rsidRDefault="001846AA" w:rsidP="001846A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 w:rsidRPr="008D182C">
        <w:rPr>
          <w:rFonts w:ascii="Times New Roman" w:hAnsi="Times New Roman"/>
          <w:sz w:val="20"/>
          <w:szCs w:val="20"/>
        </w:rPr>
        <w:t>Označenie pôvodu</w:t>
      </w:r>
      <w:r>
        <w:rPr>
          <w:rFonts w:ascii="Times New Roman" w:hAnsi="Times New Roman"/>
          <w:sz w:val="20"/>
          <w:szCs w:val="20"/>
        </w:rPr>
        <w:t xml:space="preserve"> (ako aj zemepisné označenie) patrí medzi práva priemyselného vlastníctva na označenie a je významným</w:t>
      </w:r>
      <w:r w:rsidRPr="008D182C">
        <w:rPr>
          <w:rFonts w:ascii="Times New Roman" w:hAnsi="Times New Roman"/>
          <w:sz w:val="20"/>
          <w:szCs w:val="20"/>
        </w:rPr>
        <w:t xml:space="preserve"> nástrojom na podporu, rozvoj a ochranu výnimočných regionálnych výrobkov, ktorých  špecifické vlastnosti, kvalita alebo povesť sú  dané zemepisným prostredím s jeho charakteristickými prírodnými a ľudskými faktormi.</w:t>
      </w:r>
      <w:r w:rsidR="00BD71F9">
        <w:rPr>
          <w:rFonts w:ascii="Times New Roman" w:hAnsi="Times New Roman"/>
          <w:sz w:val="20"/>
          <w:szCs w:val="20"/>
        </w:rPr>
        <w:t xml:space="preserve"> Označenia pôvodu sú kolektívnym nástrojom na podporu a rozvoj regionálnych produktov, pomáhajú udržať ich kvalitu a povesť, čím prispievajú k propagácii a rozvoju regiónov.</w:t>
      </w:r>
    </w:p>
  </w:footnote>
  <w:footnote w:id="2">
    <w:p w14:paraId="091D0064" w14:textId="77777777" w:rsidR="00CA1919" w:rsidRDefault="00BF29E4" w:rsidP="00992070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="00992070" w:rsidRPr="00992070">
        <w:rPr>
          <w:rFonts w:ascii="Times New Roman" w:hAnsi="Times New Roman" w:cs="Times New Roman"/>
        </w:rPr>
        <w:t>Zemepisnými označeniami sa na účely dohody TRIPS rozumejú označenia, ktoré označujú tovar ako pochádzajúci z územia člena alebo z oblasti, alebo z lokality na tomto území, ak danú kvalitu, povesť a iné charakteristické znaky tovaru možno v podstate pripísať jeho zemepisnému pôvodu.</w:t>
      </w:r>
    </w:p>
  </w:footnote>
  <w:footnote w:id="3">
    <w:p w14:paraId="38A4B6A0" w14:textId="77777777" w:rsidR="0013645F" w:rsidRDefault="00626BA5" w:rsidP="001846AA">
      <w:pPr>
        <w:pStyle w:val="Textkomentra"/>
        <w:jc w:val="both"/>
      </w:pPr>
      <w:r>
        <w:rPr>
          <w:rStyle w:val="Odkaznapoznmkupodiarou"/>
        </w:rPr>
        <w:footnoteRef/>
      </w:r>
      <w:r>
        <w:t xml:space="preserve"> </w:t>
      </w:r>
      <w:r w:rsidR="001F191D">
        <w:t>28. se</w:t>
      </w:r>
      <w:r w:rsidR="00327BBF">
        <w:t>ptembra 201</w:t>
      </w:r>
      <w:r w:rsidR="001846AA">
        <w:t xml:space="preserve">8 </w:t>
      </w:r>
      <w:r w:rsidR="002E4D02">
        <w:t>uložilo prístupovú listinu</w:t>
      </w:r>
      <w:r w:rsidR="001846AA">
        <w:t xml:space="preserve"> k dohovoru Pobrežie</w:t>
      </w:r>
      <w:r w:rsidR="00327BBF">
        <w:t xml:space="preserve"> Slonoviny,</w:t>
      </w:r>
      <w:r w:rsidR="001846AA">
        <w:t xml:space="preserve"> jeho</w:t>
      </w:r>
      <w:r w:rsidR="0013645F">
        <w:t xml:space="preserve">  prístupová listina určuje deň viazanosti dohovorom v</w:t>
      </w:r>
      <w:r w:rsidR="001846AA">
        <w:t> </w:t>
      </w:r>
      <w:r w:rsidR="0013645F">
        <w:t>nadväznosti</w:t>
      </w:r>
      <w:r w:rsidR="001846AA">
        <w:t xml:space="preserve"> na</w:t>
      </w:r>
      <w:r w:rsidR="0013645F">
        <w:t xml:space="preserve"> prístup Africkej organizácie duševného vlastníctva k dohovoru (3 mesiace po uložení prístupovej listiny</w:t>
      </w:r>
      <w:r w:rsidR="0013645F" w:rsidRPr="0013645F">
        <w:t xml:space="preserve"> </w:t>
      </w:r>
      <w:r w:rsidR="0013645F">
        <w:t>Africkej organizácie duševného vlastníctva).</w:t>
      </w:r>
    </w:p>
    <w:p w14:paraId="48A74FAB" w14:textId="5BCB3748" w:rsidR="00CA1919" w:rsidRDefault="002E4D02">
      <w:pPr>
        <w:pStyle w:val="Textpoznmkypodiaro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júna 2022 uložila prístupovú listinu Česká republika</w:t>
      </w:r>
      <w:r w:rsidR="009E78DB">
        <w:rPr>
          <w:rFonts w:ascii="Times New Roman" w:hAnsi="Times New Roman" w:cs="Times New Roman"/>
        </w:rPr>
        <w:t xml:space="preserve">, </w:t>
      </w:r>
      <w:r w:rsidR="009E78DB" w:rsidRPr="00626BA5">
        <w:rPr>
          <w:rFonts w:ascii="Times New Roman" w:hAnsi="Times New Roman" w:cs="Times New Roman"/>
        </w:rPr>
        <w:t>v zmysle čl. 29 ods. 3 dohovoru sú ním viazané 3 mesiace po uložení prístupovej listiny (</w:t>
      </w:r>
      <w:r w:rsidR="009E78DB">
        <w:rPr>
          <w:rFonts w:ascii="Times New Roman" w:hAnsi="Times New Roman" w:cs="Times New Roman"/>
        </w:rPr>
        <w:t>2</w:t>
      </w:r>
      <w:r w:rsidR="009E78DB" w:rsidRPr="00626BA5">
        <w:rPr>
          <w:rFonts w:ascii="Times New Roman" w:hAnsi="Times New Roman" w:cs="Times New Roman"/>
        </w:rPr>
        <w:t xml:space="preserve">. </w:t>
      </w:r>
      <w:r w:rsidR="009E78DB">
        <w:rPr>
          <w:rFonts w:ascii="Times New Roman" w:hAnsi="Times New Roman" w:cs="Times New Roman"/>
        </w:rPr>
        <w:t>september</w:t>
      </w:r>
      <w:r w:rsidR="009E78DB" w:rsidRPr="00626BA5">
        <w:rPr>
          <w:rFonts w:ascii="Times New Roman" w:hAnsi="Times New Roman" w:cs="Times New Roman"/>
        </w:rPr>
        <w:t xml:space="preserve"> 2022)</w:t>
      </w:r>
      <w:r>
        <w:rPr>
          <w:rFonts w:ascii="Times New Roman" w:hAnsi="Times New Roman" w:cs="Times New Roman"/>
        </w:rPr>
        <w:t>.</w:t>
      </w:r>
    </w:p>
    <w:p w14:paraId="4F689FE8" w14:textId="68337E6B" w:rsidR="009E78DB" w:rsidRDefault="009E78DB">
      <w:pPr>
        <w:pStyle w:val="Textpoznmkypodiarou"/>
      </w:pPr>
      <w:r>
        <w:rPr>
          <w:rFonts w:ascii="Times New Roman" w:hAnsi="Times New Roman" w:cs="Times New Roman"/>
        </w:rPr>
        <w:t xml:space="preserve">18. júla 2022 uložilo prístupovú listinu Peru, </w:t>
      </w:r>
      <w:r w:rsidRPr="00626BA5">
        <w:rPr>
          <w:rFonts w:ascii="Times New Roman" w:hAnsi="Times New Roman" w:cs="Times New Roman"/>
        </w:rPr>
        <w:t>v zmysle čl. 29 ods. 3 dohovoru sú ním viazané 3 mesiace po uložení prístupovej listiny (</w:t>
      </w:r>
      <w:r>
        <w:rPr>
          <w:rFonts w:ascii="Times New Roman" w:hAnsi="Times New Roman" w:cs="Times New Roman"/>
        </w:rPr>
        <w:t>18. október</w:t>
      </w:r>
      <w:r w:rsidRPr="00626BA5">
        <w:rPr>
          <w:rFonts w:ascii="Times New Roman" w:hAnsi="Times New Roman" w:cs="Times New Roman"/>
        </w:rPr>
        <w:t xml:space="preserve"> 2022)</w:t>
      </w:r>
      <w:r>
        <w:rPr>
          <w:rFonts w:ascii="Times New Roman" w:hAnsi="Times New Roman" w:cs="Times New Roman"/>
        </w:rPr>
        <w:t>.</w:t>
      </w:r>
    </w:p>
  </w:footnote>
  <w:footnote w:id="4">
    <w:p w14:paraId="55A81D13" w14:textId="77777777" w:rsidR="00CA1919" w:rsidRDefault="00AF3DFB" w:rsidP="00AF3DFB">
      <w:pPr>
        <w:pStyle w:val="Textpoznmkypodiarou"/>
        <w:jc w:val="both"/>
      </w:pPr>
      <w:r w:rsidRPr="006136EC">
        <w:rPr>
          <w:rStyle w:val="Odkaznapoznmkupodiarou"/>
          <w:rFonts w:ascii="Times New Roman" w:hAnsi="Times New Roman"/>
        </w:rPr>
        <w:footnoteRef/>
      </w:r>
      <w:r w:rsidRPr="006136EC">
        <w:rPr>
          <w:rFonts w:ascii="Times New Roman" w:hAnsi="Times New Roman" w:cs="Times New Roman"/>
        </w:rPr>
        <w:t xml:space="preserve"> </w:t>
      </w:r>
      <w:r w:rsidRPr="00D424AC">
        <w:rPr>
          <w:rFonts w:ascii="Times New Roman" w:hAnsi="Times New Roman" w:cs="Times New Roman"/>
        </w:rPr>
        <w:t>R</w:t>
      </w:r>
      <w:r w:rsidRPr="00E478C5">
        <w:rPr>
          <w:rFonts w:ascii="Times New Roman" w:hAnsi="Times New Roman" w:cs="Times New Roman"/>
        </w:rPr>
        <w:t>ozsudok Súdneho dvora Európskej únie z 25. októbra 2017 vo veci C-389/15, v ktorom sa objasnilo, že návrh revidovanej Lisabonskej dohody, ktorý bol následne prijatý ako Ženevský akt</w:t>
      </w:r>
      <w:r w:rsidR="005D6925">
        <w:rPr>
          <w:rFonts w:ascii="Times New Roman" w:hAnsi="Times New Roman" w:cs="Times New Roman"/>
        </w:rPr>
        <w:t xml:space="preserve"> </w:t>
      </w:r>
      <w:r w:rsidR="005D6925" w:rsidRPr="005D6925">
        <w:rPr>
          <w:rFonts w:ascii="Times New Roman" w:hAnsi="Times New Roman" w:cs="Times New Roman"/>
        </w:rPr>
        <w:t>Lisabonskej dohody o označeniach pôvodu a zemepisných označeniach</w:t>
      </w:r>
      <w:r w:rsidRPr="005D6925">
        <w:rPr>
          <w:rFonts w:ascii="Times New Roman" w:hAnsi="Times New Roman" w:cs="Times New Roman"/>
        </w:rPr>
        <w:t>, má v zásade za cieľ uľahčiť a</w:t>
      </w:r>
      <w:r w:rsidRPr="00E478C5">
        <w:rPr>
          <w:rFonts w:ascii="Times New Roman" w:hAnsi="Times New Roman" w:cs="Times New Roman"/>
        </w:rPr>
        <w:t xml:space="preserve"> spravovať obchod medzi Úniou a tretími krajinami a má priamy a bezprostredný vplyv na tento obchod.</w:t>
      </w:r>
    </w:p>
  </w:footnote>
  <w:footnote w:id="5">
    <w:p w14:paraId="2D704675" w14:textId="77777777" w:rsidR="00992070" w:rsidRPr="00992070" w:rsidRDefault="00992070" w:rsidP="00151F66">
      <w:pPr>
        <w:jc w:val="both"/>
        <w:rPr>
          <w:sz w:val="20"/>
          <w:szCs w:val="20"/>
        </w:rPr>
      </w:pPr>
      <w:r>
        <w:rPr>
          <w:rStyle w:val="Odkaznapoznmkupodiarou"/>
        </w:rPr>
        <w:footnoteRef/>
      </w:r>
      <w:r>
        <w:t xml:space="preserve"> </w:t>
      </w:r>
      <w:r w:rsidR="00151F66" w:rsidRPr="00151F66">
        <w:rPr>
          <w:sz w:val="20"/>
          <w:szCs w:val="20"/>
        </w:rPr>
        <w:t xml:space="preserve">V EÚ sa uplatňujú </w:t>
      </w:r>
      <w:r w:rsidR="00151F66">
        <w:rPr>
          <w:sz w:val="20"/>
          <w:szCs w:val="20"/>
        </w:rPr>
        <w:t>j</w:t>
      </w:r>
      <w:r w:rsidR="00151F66" w:rsidRPr="00151F66">
        <w:rPr>
          <w:sz w:val="20"/>
          <w:szCs w:val="20"/>
        </w:rPr>
        <w:t>ednotné</w:t>
      </w:r>
      <w:r w:rsidR="00151F66">
        <w:t xml:space="preserve"> </w:t>
      </w:r>
      <w:r w:rsidR="00151F66">
        <w:rPr>
          <w:sz w:val="20"/>
          <w:szCs w:val="20"/>
        </w:rPr>
        <w:t>s</w:t>
      </w:r>
      <w:r w:rsidRPr="00992070">
        <w:rPr>
          <w:sz w:val="20"/>
          <w:szCs w:val="20"/>
        </w:rPr>
        <w:t>ystém</w:t>
      </w:r>
      <w:r w:rsidR="00151F66">
        <w:rPr>
          <w:sz w:val="20"/>
          <w:szCs w:val="20"/>
        </w:rPr>
        <w:t>y</w:t>
      </w:r>
      <w:r w:rsidRPr="00992070">
        <w:rPr>
          <w:sz w:val="20"/>
          <w:szCs w:val="20"/>
        </w:rPr>
        <w:t xml:space="preserve"> ochrany označení pôvodu a zemepisných označení </w:t>
      </w:r>
      <w:r w:rsidR="00151F66">
        <w:rPr>
          <w:sz w:val="20"/>
          <w:szCs w:val="20"/>
        </w:rPr>
        <w:t xml:space="preserve">pre </w:t>
      </w:r>
      <w:r w:rsidR="00B27003">
        <w:rPr>
          <w:sz w:val="20"/>
          <w:szCs w:val="20"/>
        </w:rPr>
        <w:t xml:space="preserve">kategóriu </w:t>
      </w:r>
      <w:r w:rsidR="006A4008">
        <w:rPr>
          <w:sz w:val="20"/>
          <w:szCs w:val="20"/>
        </w:rPr>
        <w:t>tzv. poľnohospodárskych výrobkov</w:t>
      </w:r>
      <w:r w:rsidR="00151F66">
        <w:rPr>
          <w:sz w:val="20"/>
          <w:szCs w:val="20"/>
        </w:rPr>
        <w:t xml:space="preserve"> </w:t>
      </w:r>
      <w:r w:rsidR="00151F66" w:rsidRPr="00151F66">
        <w:rPr>
          <w:sz w:val="20"/>
          <w:szCs w:val="20"/>
        </w:rPr>
        <w:t>(poľnohospodárske výrobky a potraviny, víno, aromatizované vínne výrobky a liehoviny); pri týchto výrobkoch je</w:t>
      </w:r>
      <w:r w:rsidRPr="00151F66">
        <w:rPr>
          <w:sz w:val="20"/>
          <w:szCs w:val="20"/>
        </w:rPr>
        <w:t xml:space="preserve"> ochrana zabezpečená </w:t>
      </w:r>
      <w:r w:rsidR="00151F66" w:rsidRPr="00151F66">
        <w:rPr>
          <w:sz w:val="20"/>
          <w:szCs w:val="20"/>
        </w:rPr>
        <w:t xml:space="preserve">výlučne </w:t>
      </w:r>
      <w:r w:rsidRPr="00151F66">
        <w:rPr>
          <w:sz w:val="20"/>
          <w:szCs w:val="20"/>
        </w:rPr>
        <w:t>na úrovni EÚ prostredníctvom</w:t>
      </w:r>
      <w:r w:rsidRPr="00992070">
        <w:rPr>
          <w:sz w:val="20"/>
          <w:szCs w:val="20"/>
        </w:rPr>
        <w:t xml:space="preserve"> nariadení, tzn. prostredníctvom právnych aktov EÚ, ktoré majú všeobecnú platnosť, sú záväzné vo svojej </w:t>
      </w:r>
      <w:r w:rsidR="007F6D9D">
        <w:rPr>
          <w:sz w:val="20"/>
          <w:szCs w:val="20"/>
        </w:rPr>
        <w:t>celosti</w:t>
      </w:r>
      <w:r w:rsidR="007F6D9D" w:rsidRPr="00992070">
        <w:rPr>
          <w:sz w:val="20"/>
          <w:szCs w:val="20"/>
        </w:rPr>
        <w:t xml:space="preserve"> </w:t>
      </w:r>
      <w:r w:rsidRPr="00992070">
        <w:rPr>
          <w:sz w:val="20"/>
          <w:szCs w:val="20"/>
        </w:rPr>
        <w:t>a sú priamo uplatniteľné vo všetkých členských štátoch</w:t>
      </w:r>
      <w:r w:rsidR="006A4008">
        <w:rPr>
          <w:sz w:val="20"/>
          <w:szCs w:val="20"/>
        </w:rPr>
        <w:t xml:space="preserve"> EÚ</w:t>
      </w:r>
      <w:r w:rsidRPr="00992070">
        <w:rPr>
          <w:sz w:val="20"/>
          <w:szCs w:val="20"/>
        </w:rPr>
        <w:t xml:space="preserve"> (čl. 288 ZFEÚ). </w:t>
      </w:r>
      <w:r w:rsidR="00151F66">
        <w:rPr>
          <w:sz w:val="20"/>
          <w:szCs w:val="20"/>
        </w:rPr>
        <w:t xml:space="preserve">Ide </w:t>
      </w:r>
      <w:r w:rsidRPr="00992070">
        <w:rPr>
          <w:sz w:val="20"/>
          <w:szCs w:val="20"/>
        </w:rPr>
        <w:t>o tieto nariadenia:</w:t>
      </w:r>
    </w:p>
    <w:p w14:paraId="474BC734" w14:textId="77777777" w:rsidR="00992070" w:rsidRPr="003158B7" w:rsidRDefault="00992070" w:rsidP="00151F66">
      <w:pPr>
        <w:pStyle w:val="Odsekzoznamu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158B7">
        <w:rPr>
          <w:rFonts w:ascii="Times New Roman" w:hAnsi="Times New Roman"/>
          <w:sz w:val="20"/>
          <w:szCs w:val="20"/>
        </w:rPr>
        <w:t>nariadenie Európskeho parlamentu a Rady (EÚ) č. 1151/2012 z  21. novembra 2012 o systémoch kvality pre poľnohospodárske výrobky a potraviny v platnom znení</w:t>
      </w:r>
      <w:r w:rsidR="00151F66" w:rsidRPr="003158B7">
        <w:rPr>
          <w:rFonts w:ascii="Times New Roman" w:hAnsi="Times New Roman"/>
          <w:sz w:val="20"/>
          <w:szCs w:val="20"/>
        </w:rPr>
        <w:t xml:space="preserve"> (poľnohospodárske výrobky a potraviny)</w:t>
      </w:r>
      <w:r w:rsidRPr="003158B7">
        <w:rPr>
          <w:rFonts w:ascii="Times New Roman" w:hAnsi="Times New Roman"/>
          <w:sz w:val="20"/>
          <w:szCs w:val="20"/>
        </w:rPr>
        <w:t>,</w:t>
      </w:r>
    </w:p>
    <w:p w14:paraId="4125E16B" w14:textId="77777777" w:rsidR="00992070" w:rsidRPr="003158B7" w:rsidRDefault="00992070" w:rsidP="00151F66">
      <w:pPr>
        <w:pStyle w:val="Odsekzoznamu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158B7">
        <w:rPr>
          <w:rFonts w:ascii="Times New Roman" w:hAnsi="Times New Roman"/>
          <w:sz w:val="20"/>
          <w:szCs w:val="20"/>
        </w:rPr>
        <w:t>nariadenie Európskeho parlamentu a Rady (EÚ) č. 1308/2013 zo 17. decembra 2013, ktorým sa vytvára spoločná organizácia trhov s poľnohospodárskymi výrobkami, a ktorým sa zrušujú nariadenia Rady (EHS) č. 922/72, (EHS) č. 234/79, (ES) č. 1037/2001 a (ES) č. 1234/2007 v platnom znení</w:t>
      </w:r>
      <w:r w:rsidR="003158B7" w:rsidRPr="003158B7">
        <w:rPr>
          <w:rFonts w:ascii="Times New Roman" w:hAnsi="Times New Roman"/>
          <w:sz w:val="20"/>
          <w:szCs w:val="20"/>
        </w:rPr>
        <w:t xml:space="preserve"> (víno)</w:t>
      </w:r>
      <w:r w:rsidRPr="003158B7">
        <w:rPr>
          <w:rFonts w:ascii="Times New Roman" w:hAnsi="Times New Roman"/>
          <w:sz w:val="20"/>
          <w:szCs w:val="20"/>
        </w:rPr>
        <w:t>,</w:t>
      </w:r>
    </w:p>
    <w:p w14:paraId="6545A34E" w14:textId="77777777" w:rsidR="00992070" w:rsidRPr="003158B7" w:rsidRDefault="00992070" w:rsidP="00151F66">
      <w:pPr>
        <w:pStyle w:val="Odsekzoznamu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158B7">
        <w:rPr>
          <w:rFonts w:ascii="Times New Roman" w:hAnsi="Times New Roman"/>
          <w:sz w:val="20"/>
          <w:szCs w:val="20"/>
        </w:rPr>
        <w:t>nariadenie Európskeho parlamentu a Rady (EÚ) č. 251/2014 z  26. februára 2014 o vymedzení, opise, obchodnej úprave, označovaní a ochrane zemepisných označení aromatizovaných vínnych výrobkov a o zrušení nariadenia Rady (EHS) č. 1601/91</w:t>
      </w:r>
      <w:r w:rsidR="003158B7" w:rsidRPr="003158B7">
        <w:rPr>
          <w:rFonts w:ascii="Times New Roman" w:hAnsi="Times New Roman"/>
          <w:sz w:val="20"/>
          <w:szCs w:val="20"/>
        </w:rPr>
        <w:t>(aromatizované vínne výrobky)</w:t>
      </w:r>
      <w:r w:rsidRPr="003158B7">
        <w:rPr>
          <w:rFonts w:ascii="Times New Roman" w:hAnsi="Times New Roman"/>
          <w:sz w:val="20"/>
          <w:szCs w:val="20"/>
        </w:rPr>
        <w:t>,</w:t>
      </w:r>
    </w:p>
    <w:p w14:paraId="3B96D495" w14:textId="77777777" w:rsidR="00992070" w:rsidRPr="003158B7" w:rsidRDefault="00992070" w:rsidP="00151F66">
      <w:pPr>
        <w:pStyle w:val="Odsekzoznamu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158B7">
        <w:rPr>
          <w:rFonts w:ascii="Times New Roman" w:hAnsi="Times New Roman"/>
          <w:sz w:val="20"/>
          <w:szCs w:val="20"/>
        </w:rPr>
        <w:t>nariadenie Európskeho parlamentu a Rady (EÚ) 2019/787 zo 17. apríla 2019 o definovaní, popise, prezentácii a označovaní liehovín, používaní názvov liehovín pri prezentácii a označovaní iných potravín, ochrane zemepisných označení liehovín, používaní etylalkoholu a destilátov poľnohospodárskeho pôvodu v alkoholických nápojoch a o zrušení nariadenia (ES) č. 110/2008</w:t>
      </w:r>
      <w:r w:rsidR="003158B7" w:rsidRPr="003158B7">
        <w:rPr>
          <w:rFonts w:ascii="Times New Roman" w:hAnsi="Times New Roman"/>
          <w:sz w:val="20"/>
          <w:szCs w:val="20"/>
        </w:rPr>
        <w:t xml:space="preserve"> (liehoviny)</w:t>
      </w:r>
      <w:r w:rsidRPr="003158B7">
        <w:rPr>
          <w:rFonts w:ascii="Times New Roman" w:hAnsi="Times New Roman"/>
          <w:sz w:val="20"/>
          <w:szCs w:val="20"/>
        </w:rPr>
        <w:t>.</w:t>
      </w:r>
    </w:p>
    <w:p w14:paraId="24662B87" w14:textId="77777777" w:rsidR="00CA1919" w:rsidRDefault="00992070" w:rsidP="00151F66">
      <w:pPr>
        <w:pStyle w:val="Textpoznmkypodiarou"/>
        <w:jc w:val="both"/>
      </w:pPr>
      <w:r w:rsidRPr="003158B7">
        <w:rPr>
          <w:rFonts w:ascii="Times New Roman" w:hAnsi="Times New Roman" w:cs="Times New Roman"/>
        </w:rPr>
        <w:t xml:space="preserve">Pre iné druhy výrobkov, ktoré sú súhrnne označované ako </w:t>
      </w:r>
      <w:r w:rsidR="006A4008">
        <w:rPr>
          <w:rFonts w:ascii="Times New Roman" w:hAnsi="Times New Roman" w:cs="Times New Roman"/>
        </w:rPr>
        <w:t>tzv. nepoľnohospodárske výrobky</w:t>
      </w:r>
      <w:r w:rsidRPr="003158B7">
        <w:rPr>
          <w:rFonts w:ascii="Times New Roman" w:hAnsi="Times New Roman" w:cs="Times New Roman"/>
        </w:rPr>
        <w:t xml:space="preserve"> v súčasnosti neexistuje ochrana označení pôvodu výrobkov a zemepisných označení výrobkov na úrovni EÚ. Tieto sú v niektorých členských štátoch</w:t>
      </w:r>
      <w:r w:rsidR="00B27003">
        <w:rPr>
          <w:rFonts w:ascii="Times New Roman" w:hAnsi="Times New Roman" w:cs="Times New Roman"/>
        </w:rPr>
        <w:t xml:space="preserve"> EÚ</w:t>
      </w:r>
      <w:r w:rsidRPr="003158B7">
        <w:rPr>
          <w:rFonts w:ascii="Times New Roman" w:hAnsi="Times New Roman" w:cs="Times New Roman"/>
        </w:rPr>
        <w:t xml:space="preserve"> chránené prostredníctvom špecifických právnych noriem</w:t>
      </w:r>
      <w:r w:rsidRPr="00992070">
        <w:rPr>
          <w:rFonts w:ascii="Times New Roman" w:hAnsi="Times New Roman" w:cs="Times New Roman"/>
        </w:rPr>
        <w:t xml:space="preserve"> týkajúcich sa konkrétnych výrobkov, resp. prostredníctvom národných právnych predpisov súhrnne upravujúcich oblasť označení pôvodu výrobkov a zemepisných označení výrobkov. Druhá z uvedených možností platí aj pre Slovenskú republiku; v súčasnosti je ochrana</w:t>
      </w:r>
      <w:r w:rsidR="003158B7">
        <w:rPr>
          <w:rFonts w:ascii="Times New Roman" w:hAnsi="Times New Roman" w:cs="Times New Roman"/>
        </w:rPr>
        <w:t xml:space="preserve"> pre nepoľnohospodárske výrobky</w:t>
      </w:r>
      <w:r w:rsidRPr="00992070">
        <w:rPr>
          <w:rFonts w:ascii="Times New Roman" w:hAnsi="Times New Roman" w:cs="Times New Roman"/>
        </w:rPr>
        <w:t xml:space="preserve"> na vnútroštátnej úrovni zabezpečená prostredníctvom zákona č. 469/2003 Z. z. o označeniach pôvodu výrobkov a zemepisných označeniach výrobkov a o zmene a doplnení niektorých zákonov v znení neskorších predpisov</w:t>
      </w:r>
      <w:r w:rsidR="003158B7">
        <w:rPr>
          <w:rFonts w:ascii="Times New Roman" w:hAnsi="Times New Roman" w:cs="Times New Roman"/>
        </w:rPr>
        <w:t>.</w:t>
      </w:r>
    </w:p>
  </w:footnote>
  <w:footnote w:id="6">
    <w:p w14:paraId="7EA093E2" w14:textId="77777777" w:rsidR="00CA1919" w:rsidRDefault="006A4008" w:rsidP="006A4008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Rozhodnutie</w:t>
      </w:r>
      <w:r w:rsidRPr="006A4008">
        <w:rPr>
          <w:rFonts w:ascii="Times New Roman" w:hAnsi="Times New Roman" w:cs="Times New Roman"/>
        </w:rPr>
        <w:t xml:space="preserve"> Rady (EÚ) 2019/1754 zo 7. októbra 2019 o pristúpení Európskej únie k Ženevskému aktu Lisabonskej dohody o označeniach pôvodu a zemepisných označeniach</w:t>
      </w:r>
      <w:r>
        <w:rPr>
          <w:rFonts w:ascii="Times New Roman" w:hAnsi="Times New Roman" w:cs="Times New Roman"/>
        </w:rPr>
        <w:t>.</w:t>
      </w:r>
    </w:p>
  </w:footnote>
  <w:footnote w:id="7">
    <w:p w14:paraId="71564DFE" w14:textId="77777777" w:rsidR="00CA1919" w:rsidRDefault="00B27003" w:rsidP="00B27003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6F50C8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prípade</w:t>
      </w:r>
      <w:r w:rsidRPr="006F50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SR</w:t>
      </w:r>
      <w:r w:rsidRPr="006F50C8">
        <w:rPr>
          <w:rFonts w:ascii="Times New Roman" w:hAnsi="Times New Roman" w:cs="Times New Roman"/>
        </w:rPr>
        <w:t xml:space="preserve"> ide o tieto označenia pôvodu zapísané v medzinárodnom registri</w:t>
      </w:r>
      <w:r>
        <w:rPr>
          <w:rFonts w:ascii="Times New Roman" w:hAnsi="Times New Roman" w:cs="Times New Roman"/>
        </w:rPr>
        <w:t xml:space="preserve"> na základe Lisabonskej dohody</w:t>
      </w:r>
      <w:r w:rsidRPr="006F50C8">
        <w:rPr>
          <w:rFonts w:ascii="Times New Roman" w:hAnsi="Times New Roman" w:cs="Times New Roman"/>
        </w:rPr>
        <w:t xml:space="preserve"> – SLOVENSKÝ OŠTIEPOK, TOKAJSKÉ VÍNO de la </w:t>
      </w:r>
      <w:proofErr w:type="spellStart"/>
      <w:r w:rsidRPr="006F50C8">
        <w:rPr>
          <w:rFonts w:ascii="Times New Roman" w:hAnsi="Times New Roman" w:cs="Times New Roman"/>
        </w:rPr>
        <w:t>région</w:t>
      </w:r>
      <w:proofErr w:type="spellEnd"/>
      <w:r w:rsidRPr="006F50C8">
        <w:rPr>
          <w:rFonts w:ascii="Times New Roman" w:hAnsi="Times New Roman" w:cs="Times New Roman"/>
        </w:rPr>
        <w:t xml:space="preserve"> </w:t>
      </w:r>
      <w:proofErr w:type="spellStart"/>
      <w:r w:rsidRPr="006F50C8">
        <w:rPr>
          <w:rFonts w:ascii="Times New Roman" w:hAnsi="Times New Roman" w:cs="Times New Roman"/>
        </w:rPr>
        <w:t>slovaque</w:t>
      </w:r>
      <w:proofErr w:type="spellEnd"/>
      <w:r w:rsidRPr="006F50C8">
        <w:rPr>
          <w:rFonts w:ascii="Times New Roman" w:hAnsi="Times New Roman" w:cs="Times New Roman"/>
        </w:rPr>
        <w:t>, TRENČIANSKA BOROVIČKA „JUNIPERIERS“ – TRENČIN DISTILLERY, KARPATSKÉ BRANDY, KARPATSKÁ PERLA.</w:t>
      </w:r>
      <w:r>
        <w:rPr>
          <w:rFonts w:ascii="Times New Roman" w:hAnsi="Times New Roman" w:cs="Times New Roman"/>
        </w:rPr>
        <w:t xml:space="preserve"> </w:t>
      </w:r>
    </w:p>
  </w:footnote>
  <w:footnote w:id="8">
    <w:p w14:paraId="16FB0415" w14:textId="77777777" w:rsidR="00CA1919" w:rsidRDefault="00A86BFA" w:rsidP="00A86BFA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A86BFA">
        <w:rPr>
          <w:rFonts w:ascii="Times New Roman" w:hAnsi="Times New Roman" w:cs="Times New Roman"/>
        </w:rPr>
        <w:t xml:space="preserve">Dôvod žaloby v zásade je, že Rada zmenila návrh </w:t>
      </w:r>
      <w:r w:rsidR="00A8025E">
        <w:rPr>
          <w:rFonts w:ascii="Times New Roman" w:hAnsi="Times New Roman" w:cs="Times New Roman"/>
        </w:rPr>
        <w:t xml:space="preserve">tohto </w:t>
      </w:r>
      <w:r w:rsidRPr="00A86BFA">
        <w:rPr>
          <w:rFonts w:ascii="Times New Roman" w:hAnsi="Times New Roman" w:cs="Times New Roman"/>
        </w:rPr>
        <w:t xml:space="preserve">rozhodnutia zavedením možnosti </w:t>
      </w:r>
      <w:r w:rsidR="00A8025E" w:rsidRPr="00A86BFA">
        <w:rPr>
          <w:rFonts w:ascii="Times New Roman" w:hAnsi="Times New Roman" w:cs="Times New Roman"/>
        </w:rPr>
        <w:t>pristúpiť k Ženevskému aktu</w:t>
      </w:r>
      <w:r w:rsidR="00A8025E">
        <w:rPr>
          <w:rFonts w:ascii="Times New Roman" w:hAnsi="Times New Roman" w:cs="Times New Roman"/>
        </w:rPr>
        <w:t xml:space="preserve"> pre </w:t>
      </w:r>
      <w:r w:rsidRPr="00A86BFA">
        <w:rPr>
          <w:rFonts w:ascii="Times New Roman" w:hAnsi="Times New Roman" w:cs="Times New Roman"/>
        </w:rPr>
        <w:t>všetk</w:t>
      </w:r>
      <w:r w:rsidR="00A8025E">
        <w:rPr>
          <w:rFonts w:ascii="Times New Roman" w:hAnsi="Times New Roman" w:cs="Times New Roman"/>
        </w:rPr>
        <w:t>y</w:t>
      </w:r>
      <w:r w:rsidRPr="00A86BFA">
        <w:rPr>
          <w:rFonts w:ascii="Times New Roman" w:hAnsi="Times New Roman" w:cs="Times New Roman"/>
        </w:rPr>
        <w:t xml:space="preserve"> člensk</w:t>
      </w:r>
      <w:r w:rsidR="00A8025E">
        <w:rPr>
          <w:rFonts w:ascii="Times New Roman" w:hAnsi="Times New Roman" w:cs="Times New Roman"/>
        </w:rPr>
        <w:t>é</w:t>
      </w:r>
      <w:r w:rsidRPr="00A86BFA">
        <w:rPr>
          <w:rFonts w:ascii="Times New Roman" w:hAnsi="Times New Roman" w:cs="Times New Roman"/>
        </w:rPr>
        <w:t xml:space="preserve"> štát</w:t>
      </w:r>
      <w:r w:rsidR="00A8025E">
        <w:rPr>
          <w:rFonts w:ascii="Times New Roman" w:hAnsi="Times New Roman" w:cs="Times New Roman"/>
        </w:rPr>
        <w:t>y</w:t>
      </w:r>
      <w:r w:rsidRPr="00A86BFA">
        <w:rPr>
          <w:rFonts w:ascii="Times New Roman" w:hAnsi="Times New Roman" w:cs="Times New Roman"/>
        </w:rPr>
        <w:t>, a teda konala bez podnetu Komisie, čim porušila č</w:t>
      </w:r>
      <w:r w:rsidR="00A8025E">
        <w:rPr>
          <w:rFonts w:ascii="Times New Roman" w:hAnsi="Times New Roman" w:cs="Times New Roman"/>
        </w:rPr>
        <w:t>l</w:t>
      </w:r>
      <w:r w:rsidRPr="00A86BFA">
        <w:rPr>
          <w:rFonts w:ascii="Times New Roman" w:hAnsi="Times New Roman" w:cs="Times New Roman"/>
        </w:rPr>
        <w:t>. 293 ods. 1 ZFEÚ a narušila inštitucionálnu rovnováhu zakotvenú v čl. 13 ods. 2 ZEÚ.</w:t>
      </w:r>
    </w:p>
  </w:footnote>
  <w:footnote w:id="9">
    <w:p w14:paraId="36D86861" w14:textId="77777777" w:rsidR="001F191D" w:rsidRPr="001F191D" w:rsidRDefault="001F191D" w:rsidP="00992070">
      <w:pPr>
        <w:pStyle w:val="c01pointaltn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Odkaznapoznmkupodiarou"/>
        </w:rPr>
        <w:footnoteRef/>
      </w:r>
      <w:r>
        <w:t xml:space="preserve"> </w:t>
      </w:r>
      <w:r w:rsidRPr="001F191D">
        <w:rPr>
          <w:sz w:val="20"/>
          <w:szCs w:val="20"/>
        </w:rPr>
        <w:t xml:space="preserve">Generálny advokát M. </w:t>
      </w:r>
      <w:proofErr w:type="spellStart"/>
      <w:r w:rsidRPr="001F191D">
        <w:rPr>
          <w:sz w:val="20"/>
          <w:szCs w:val="20"/>
        </w:rPr>
        <w:t>Szpunar</w:t>
      </w:r>
      <w:proofErr w:type="spellEnd"/>
      <w:r w:rsidRPr="001F191D">
        <w:rPr>
          <w:sz w:val="20"/>
          <w:szCs w:val="20"/>
        </w:rPr>
        <w:t xml:space="preserve"> vo svojom stanovisku prednesenom dňa 19. mája 2022 uvádza (body 128 a 129): „</w:t>
      </w:r>
      <w:r w:rsidRPr="001F191D">
        <w:rPr>
          <w:i/>
          <w:sz w:val="20"/>
          <w:szCs w:val="20"/>
        </w:rPr>
        <w:t>V súlade s článkom 3 napadnutého rozhodnutia už Ženevský akt podpísali a ratifikovali Francúzska republika a Maďarsko. Nie je vylúčené, že v nadväznosti na rozsudok Súdneho dvora Komisia predloží Rade návrh rozhodnutia o zmocnení členských štátov, aby pristúpili k Ženevskému aktu, ktorý bude v súlade so závermi obsiahnutými v rozsudku Súdneho dvora. V medzičase je podľa môjho názoru treba zachovať účinky článkov 3 a 4 napadnutého rozhodnutia v rozsahu, v akom predstavujú právny základ pre konania, ktoré môžu byť z pohľadu budúceho rozhodnutia považované za oprávnené. Z týchto dôvodov a s ohľadom na odlišnú situáciu siedmich dotknutých členských štátov navrhujem Súdnemu dvoru, aby zachoval účinky článkov 3 a 4 napadnutého rozhodnutia v rozsahu, v akom sa týkajú možného pristúpenia siedmich dotknutých členských štátov k Ženevskému aktu pred dátumom vydania rozsudku Súdneho dvora, až do okamihu, kedy nadobudne platnosť nové rozhodnutie Rady, a to v primeranej dobe nepresahujúcej šesť mesiacov odo dňa vyhlásenia rozsudku.</w:t>
      </w:r>
      <w:r w:rsidRPr="001F191D">
        <w:rPr>
          <w:sz w:val="20"/>
          <w:szCs w:val="20"/>
        </w:rPr>
        <w:t>“</w:t>
      </w:r>
    </w:p>
    <w:p w14:paraId="27292768" w14:textId="77777777" w:rsidR="00CA1919" w:rsidRDefault="00CA1919" w:rsidP="00992070">
      <w:pPr>
        <w:pStyle w:val="c01pointaltn"/>
        <w:spacing w:before="0" w:beforeAutospacing="0" w:after="0" w:afterAutospacing="0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47EFC"/>
    <w:multiLevelType w:val="hybridMultilevel"/>
    <w:tmpl w:val="BD76D212"/>
    <w:lvl w:ilvl="0" w:tplc="F01873B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51634"/>
    <w:multiLevelType w:val="hybridMultilevel"/>
    <w:tmpl w:val="213C7148"/>
    <w:lvl w:ilvl="0" w:tplc="1E8435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5BE"/>
    <w:rsid w:val="000203B5"/>
    <w:rsid w:val="000277AC"/>
    <w:rsid w:val="0006274C"/>
    <w:rsid w:val="00073291"/>
    <w:rsid w:val="00084864"/>
    <w:rsid w:val="000A103B"/>
    <w:rsid w:val="000E0F26"/>
    <w:rsid w:val="000E65FA"/>
    <w:rsid w:val="00111C71"/>
    <w:rsid w:val="00112283"/>
    <w:rsid w:val="0013576C"/>
    <w:rsid w:val="0013645F"/>
    <w:rsid w:val="00151F66"/>
    <w:rsid w:val="00164239"/>
    <w:rsid w:val="00164F71"/>
    <w:rsid w:val="00174AC7"/>
    <w:rsid w:val="001778D2"/>
    <w:rsid w:val="00181754"/>
    <w:rsid w:val="001846AA"/>
    <w:rsid w:val="00194861"/>
    <w:rsid w:val="001B0B7A"/>
    <w:rsid w:val="001C5580"/>
    <w:rsid w:val="001F191D"/>
    <w:rsid w:val="001F2716"/>
    <w:rsid w:val="001F632D"/>
    <w:rsid w:val="001F6916"/>
    <w:rsid w:val="0020254A"/>
    <w:rsid w:val="0020781C"/>
    <w:rsid w:val="002135BE"/>
    <w:rsid w:val="00234345"/>
    <w:rsid w:val="002537CE"/>
    <w:rsid w:val="002B5A7A"/>
    <w:rsid w:val="002C4A65"/>
    <w:rsid w:val="002E4D02"/>
    <w:rsid w:val="00307940"/>
    <w:rsid w:val="003149D4"/>
    <w:rsid w:val="003158B7"/>
    <w:rsid w:val="00327BBF"/>
    <w:rsid w:val="0033750E"/>
    <w:rsid w:val="00341C5A"/>
    <w:rsid w:val="00354804"/>
    <w:rsid w:val="00380686"/>
    <w:rsid w:val="003951A4"/>
    <w:rsid w:val="0039760A"/>
    <w:rsid w:val="003C0B6E"/>
    <w:rsid w:val="003C203E"/>
    <w:rsid w:val="003D5DEE"/>
    <w:rsid w:val="003E5C9B"/>
    <w:rsid w:val="003F6143"/>
    <w:rsid w:val="003F6A7D"/>
    <w:rsid w:val="00403E9F"/>
    <w:rsid w:val="00411E6B"/>
    <w:rsid w:val="00412CC9"/>
    <w:rsid w:val="004242B7"/>
    <w:rsid w:val="004563D0"/>
    <w:rsid w:val="00474117"/>
    <w:rsid w:val="00480883"/>
    <w:rsid w:val="00480E07"/>
    <w:rsid w:val="0048535F"/>
    <w:rsid w:val="00497513"/>
    <w:rsid w:val="004A650D"/>
    <w:rsid w:val="004B6681"/>
    <w:rsid w:val="004B6C45"/>
    <w:rsid w:val="004E1FA1"/>
    <w:rsid w:val="00514BB2"/>
    <w:rsid w:val="0053041D"/>
    <w:rsid w:val="0053044B"/>
    <w:rsid w:val="00540E9E"/>
    <w:rsid w:val="00544022"/>
    <w:rsid w:val="00575687"/>
    <w:rsid w:val="005D6925"/>
    <w:rsid w:val="005F1648"/>
    <w:rsid w:val="005F78B4"/>
    <w:rsid w:val="00605168"/>
    <w:rsid w:val="006136EC"/>
    <w:rsid w:val="00621284"/>
    <w:rsid w:val="00624544"/>
    <w:rsid w:val="00626BA5"/>
    <w:rsid w:val="006466D8"/>
    <w:rsid w:val="006633F3"/>
    <w:rsid w:val="00690EBB"/>
    <w:rsid w:val="006A183D"/>
    <w:rsid w:val="006A4008"/>
    <w:rsid w:val="006A5032"/>
    <w:rsid w:val="006C5DD0"/>
    <w:rsid w:val="006D3964"/>
    <w:rsid w:val="006D756B"/>
    <w:rsid w:val="006F42F2"/>
    <w:rsid w:val="006F50C8"/>
    <w:rsid w:val="00713727"/>
    <w:rsid w:val="00742B7F"/>
    <w:rsid w:val="007449D8"/>
    <w:rsid w:val="00764E9C"/>
    <w:rsid w:val="0076648D"/>
    <w:rsid w:val="00775C22"/>
    <w:rsid w:val="00780A61"/>
    <w:rsid w:val="007811AA"/>
    <w:rsid w:val="007A748A"/>
    <w:rsid w:val="007A7923"/>
    <w:rsid w:val="007E503B"/>
    <w:rsid w:val="007E5E64"/>
    <w:rsid w:val="007F6D9D"/>
    <w:rsid w:val="007F7F4E"/>
    <w:rsid w:val="00815FEA"/>
    <w:rsid w:val="00824FFC"/>
    <w:rsid w:val="00830DA1"/>
    <w:rsid w:val="0083257D"/>
    <w:rsid w:val="008428DA"/>
    <w:rsid w:val="00856250"/>
    <w:rsid w:val="008579C8"/>
    <w:rsid w:val="00875BA3"/>
    <w:rsid w:val="008835D8"/>
    <w:rsid w:val="008B1FD8"/>
    <w:rsid w:val="008C14DE"/>
    <w:rsid w:val="008D182C"/>
    <w:rsid w:val="009079A6"/>
    <w:rsid w:val="00914D08"/>
    <w:rsid w:val="0092627C"/>
    <w:rsid w:val="00926D03"/>
    <w:rsid w:val="00942807"/>
    <w:rsid w:val="00972FCE"/>
    <w:rsid w:val="009775FA"/>
    <w:rsid w:val="0098104F"/>
    <w:rsid w:val="0098129F"/>
    <w:rsid w:val="00985C4D"/>
    <w:rsid w:val="00992070"/>
    <w:rsid w:val="009E59B8"/>
    <w:rsid w:val="009E78DB"/>
    <w:rsid w:val="00A21E6D"/>
    <w:rsid w:val="00A306A0"/>
    <w:rsid w:val="00A3530D"/>
    <w:rsid w:val="00A70AEA"/>
    <w:rsid w:val="00A76BF9"/>
    <w:rsid w:val="00A8025E"/>
    <w:rsid w:val="00A86BFA"/>
    <w:rsid w:val="00AB0483"/>
    <w:rsid w:val="00AC6F09"/>
    <w:rsid w:val="00AD64A9"/>
    <w:rsid w:val="00AE39BE"/>
    <w:rsid w:val="00AF08FF"/>
    <w:rsid w:val="00AF3046"/>
    <w:rsid w:val="00AF3DFB"/>
    <w:rsid w:val="00B04539"/>
    <w:rsid w:val="00B26538"/>
    <w:rsid w:val="00B27003"/>
    <w:rsid w:val="00B35069"/>
    <w:rsid w:val="00B403F8"/>
    <w:rsid w:val="00B6642A"/>
    <w:rsid w:val="00B715C8"/>
    <w:rsid w:val="00B81148"/>
    <w:rsid w:val="00B93F5E"/>
    <w:rsid w:val="00B977F3"/>
    <w:rsid w:val="00BA333C"/>
    <w:rsid w:val="00BB1773"/>
    <w:rsid w:val="00BB2433"/>
    <w:rsid w:val="00BD05AD"/>
    <w:rsid w:val="00BD71F9"/>
    <w:rsid w:val="00BF29E4"/>
    <w:rsid w:val="00C20044"/>
    <w:rsid w:val="00C2468E"/>
    <w:rsid w:val="00C35B58"/>
    <w:rsid w:val="00C50B3E"/>
    <w:rsid w:val="00C522EE"/>
    <w:rsid w:val="00C641CA"/>
    <w:rsid w:val="00C95042"/>
    <w:rsid w:val="00CA1919"/>
    <w:rsid w:val="00CA4593"/>
    <w:rsid w:val="00CA5B6D"/>
    <w:rsid w:val="00CB0E31"/>
    <w:rsid w:val="00CB4C37"/>
    <w:rsid w:val="00CB619A"/>
    <w:rsid w:val="00CF0566"/>
    <w:rsid w:val="00D16EB6"/>
    <w:rsid w:val="00D34AAA"/>
    <w:rsid w:val="00D424AC"/>
    <w:rsid w:val="00D53BE1"/>
    <w:rsid w:val="00D542AA"/>
    <w:rsid w:val="00D73940"/>
    <w:rsid w:val="00D776F0"/>
    <w:rsid w:val="00D852F9"/>
    <w:rsid w:val="00DA2348"/>
    <w:rsid w:val="00DA7419"/>
    <w:rsid w:val="00DD5FA0"/>
    <w:rsid w:val="00E061A7"/>
    <w:rsid w:val="00E117CA"/>
    <w:rsid w:val="00E130B8"/>
    <w:rsid w:val="00E1748A"/>
    <w:rsid w:val="00E266D6"/>
    <w:rsid w:val="00E32A41"/>
    <w:rsid w:val="00E478C5"/>
    <w:rsid w:val="00E62CD8"/>
    <w:rsid w:val="00E75833"/>
    <w:rsid w:val="00E76074"/>
    <w:rsid w:val="00EA77C0"/>
    <w:rsid w:val="00EC3209"/>
    <w:rsid w:val="00EC4F9C"/>
    <w:rsid w:val="00EE40BA"/>
    <w:rsid w:val="00EF4E3D"/>
    <w:rsid w:val="00F013A9"/>
    <w:rsid w:val="00F037EE"/>
    <w:rsid w:val="00F62D55"/>
    <w:rsid w:val="00F66F4E"/>
    <w:rsid w:val="00F71D2E"/>
    <w:rsid w:val="00F9528E"/>
    <w:rsid w:val="00FD5E42"/>
    <w:rsid w:val="00FE0D4A"/>
    <w:rsid w:val="00FF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83590F"/>
  <w14:defaultImageDpi w14:val="0"/>
  <w15:docId w15:val="{3BD54993-117E-4809-ACB4-2E7C6C8C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customStyle="1" w:styleId="TableMsoNormalTable">
    <w:name w:val="Table_MsoNormalTable"/>
    <w:basedOn w:val="Normlny"/>
    <w:pPr>
      <w:spacing w:line="276" w:lineRule="auto"/>
    </w:pPr>
    <w:rPr>
      <w:rFonts w:ascii="Calibri" w:hAnsi="Calibri" w:cs="Calibri"/>
      <w:sz w:val="22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951A4"/>
    <w:pPr>
      <w:widowControl/>
      <w:adjustRightInd/>
    </w:pPr>
    <w:rPr>
      <w:rFonts w:ascii="Arial" w:hAnsi="Arial" w:cs="Arial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3951A4"/>
    <w:rPr>
      <w:rFonts w:ascii="Arial" w:hAnsi="Arial" w:cs="Arial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951A4"/>
    <w:rPr>
      <w:rFonts w:cs="Times New Roman"/>
      <w:vertAlign w:val="superscript"/>
    </w:rPr>
  </w:style>
  <w:style w:type="paragraph" w:customStyle="1" w:styleId="Text1">
    <w:name w:val="Text 1"/>
    <w:basedOn w:val="Normlny"/>
    <w:rsid w:val="00480883"/>
    <w:pPr>
      <w:widowControl/>
      <w:adjustRightInd/>
      <w:spacing w:before="120" w:after="120"/>
      <w:ind w:left="850"/>
      <w:jc w:val="both"/>
    </w:pPr>
    <w:rPr>
      <w:szCs w:val="22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AF3DF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F3DF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F3DF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F3DF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F3DFB"/>
    <w:rPr>
      <w:rFonts w:ascii="Times New Roman" w:hAnsi="Times New Roman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AF3DFB"/>
    <w:pPr>
      <w:widowControl/>
      <w:adjustRightInd/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semiHidden/>
    <w:unhideWhenUsed/>
    <w:rsid w:val="00AF3DFB"/>
    <w:rPr>
      <w:rFonts w:cs="Times New Roman"/>
      <w:color w:val="0000FF"/>
      <w:u w:val="single"/>
    </w:rPr>
  </w:style>
  <w:style w:type="paragraph" w:customStyle="1" w:styleId="c01pointaltn">
    <w:name w:val="c01pointaltn"/>
    <w:basedOn w:val="Normlny"/>
    <w:rsid w:val="00B403F8"/>
    <w:pPr>
      <w:widowControl/>
      <w:adjustRightInd/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locked/>
    <w:rsid w:val="00992070"/>
    <w:pPr>
      <w:widowControl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E758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75833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758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7583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63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8AD3B-6602-4FA1-9E86-1B467F078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1209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Harachová Lucia</cp:lastModifiedBy>
  <cp:revision>4</cp:revision>
  <cp:lastPrinted>2022-07-27T06:21:00Z</cp:lastPrinted>
  <dcterms:created xsi:type="dcterms:W3CDTF">2022-07-19T08:12:00Z</dcterms:created>
  <dcterms:modified xsi:type="dcterms:W3CDTF">2022-07-27T06:21:00Z</dcterms:modified>
</cp:coreProperties>
</file>