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895898" w:rsidRDefault="00054C41" w:rsidP="00054C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98">
        <w:rPr>
          <w:rFonts w:ascii="Times New Roman" w:eastAsia="Calibri" w:hAnsi="Times New Roman" w:cs="Times New Roman"/>
          <w:b/>
          <w:sz w:val="28"/>
          <w:szCs w:val="28"/>
        </w:rPr>
        <w:t>Analýza vplyvov na podnikateľské prostredie</w:t>
      </w:r>
    </w:p>
    <w:p w14:paraId="37B35A25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61D92" w14:textId="6A230410" w:rsidR="00054C41" w:rsidRPr="00AB20EA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AB2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0EA" w:rsidRPr="00AB20EA">
        <w:rPr>
          <w:rFonts w:ascii="Times New Roman" w:eastAsia="Calibri" w:hAnsi="Times New Roman" w:cs="Times New Roman"/>
          <w:sz w:val="24"/>
          <w:szCs w:val="24"/>
        </w:rPr>
        <w:t xml:space="preserve">Nariadenie vlády Slovenskej republiky, </w:t>
      </w:r>
      <w:r w:rsidR="00AB20EA" w:rsidRPr="00AB20EA">
        <w:rPr>
          <w:rFonts w:ascii="Times New Roman" w:eastAsia="Calibri" w:hAnsi="Times New Roman" w:cs="Times New Roman"/>
          <w:bCs/>
          <w:sz w:val="24"/>
          <w:szCs w:val="24"/>
        </w:rPr>
        <w:t xml:space="preserve">ktorým sa </w:t>
      </w:r>
      <w:r w:rsidR="008E5972">
        <w:rPr>
          <w:rFonts w:ascii="Times New Roman" w:eastAsia="Calibri" w:hAnsi="Times New Roman" w:cs="Times New Roman"/>
          <w:bCs/>
          <w:sz w:val="24"/>
          <w:szCs w:val="24"/>
        </w:rPr>
        <w:t xml:space="preserve">mení a </w:t>
      </w:r>
      <w:r w:rsidR="00AB20EA" w:rsidRPr="00AB20EA">
        <w:rPr>
          <w:rFonts w:ascii="Times New Roman" w:eastAsia="Calibri" w:hAnsi="Times New Roman" w:cs="Times New Roman"/>
          <w:bCs/>
          <w:sz w:val="24"/>
          <w:szCs w:val="24"/>
        </w:rPr>
        <w:t>dopĺňa nariadenie vlády Slovenskej republiky č. 200/2019 Z. z. o poskytovaní pomoci na dodávanie a distribúciu ovocia, zeleniny, mlieka a výrobkov z nich pre deti a žiakov v školách v znení neskorších predpisov</w:t>
      </w:r>
      <w:bookmarkStart w:id="0" w:name="_GoBack"/>
      <w:bookmarkEnd w:id="0"/>
    </w:p>
    <w:p w14:paraId="77F96BF6" w14:textId="5D653177" w:rsidR="00054C41" w:rsidRDefault="00054C41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</w:p>
    <w:p w14:paraId="4EA31B7E" w14:textId="3ED46942" w:rsidR="008E3803" w:rsidRPr="008E3803" w:rsidRDefault="008E3803" w:rsidP="00054C4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803">
        <w:rPr>
          <w:rFonts w:ascii="Times New Roman" w:eastAsia="Calibri" w:hAnsi="Times New Roman" w:cs="Times New Roman"/>
          <w:sz w:val="24"/>
          <w:szCs w:val="24"/>
        </w:rPr>
        <w:t>Ministerstvo pôdohospodárstva a rozvoja vidieka Slovenskej republiky</w:t>
      </w:r>
    </w:p>
    <w:p w14:paraId="36AFBB5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1F1B43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6794C6C1" w:rsidR="00054C41" w:rsidRPr="001F1B43" w:rsidRDefault="005450D5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Navrhované nariadenie vlády takéto vplyvy na náklady podnikateľov nebude mať. Jeho vplyvom je len ustanovenie </w:t>
      </w:r>
      <w:r w:rsidR="00776B43">
        <w:rPr>
          <w:rFonts w:ascii="Times New Roman" w:eastAsia="Calibri" w:hAnsi="Times New Roman" w:cs="Times New Roman"/>
          <w:b/>
          <w:sz w:val="24"/>
          <w:szCs w:val="24"/>
        </w:rPr>
        <w:t xml:space="preserve">niektorých nových poľnohospodárskych výrobkov ovocia a zeleniny alebo mlieka a mliečnych výrobkov, na ktorých dodávanie alebo distribúciu v rámci školského programu možno poskytovať pomoc, ustanovenie zvýšených paušálnych výšok pomoci na toto ich dodávanie alebo distribúciu, ako aj ustanovenie zvýšených horných limitov úhrad, ktoré možno </w:t>
      </w:r>
      <w:r w:rsidR="00776B43" w:rsidRPr="00776B43">
        <w:rPr>
          <w:rFonts w:ascii="Times New Roman" w:eastAsia="Calibri" w:hAnsi="Times New Roman" w:cs="Times New Roman"/>
          <w:b/>
          <w:bCs/>
          <w:sz w:val="24"/>
          <w:szCs w:val="24"/>
        </w:rPr>
        <w:t>za tieto poľnohospodárske výrobky v rámci školského programu okrem pomoci požadovať</w:t>
      </w:r>
      <w:r w:rsidR="00776B4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1F2ADA32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D8247C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(ďalej len </w:t>
      </w:r>
      <w:r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Kalkulačka nákladov</w:t>
      </w:r>
      <w:r>
        <w:rPr>
          <w:rFonts w:ascii="Times New Roman" w:eastAsia="Calibri" w:hAnsi="Times New Roman" w:cs="Times New Roman"/>
          <w:i/>
          <w:sz w:val="24"/>
          <w:szCs w:val="24"/>
        </w:rPr>
        <w:t>“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>):</w:t>
      </w:r>
    </w:p>
    <w:p w14:paraId="332752F1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895898" w14:paraId="200C7519" w14:textId="77777777" w:rsidTr="00142154">
        <w:tc>
          <w:tcPr>
            <w:tcW w:w="3681" w:type="dxa"/>
          </w:tcPr>
          <w:p w14:paraId="06A5A4C5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</w:rPr>
              <w:t>Zníženie nákladov v € na PP</w:t>
            </w:r>
          </w:p>
        </w:tc>
      </w:tr>
      <w:tr w:rsidR="00054C41" w:rsidRPr="0089589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A. Dane, odvody, clá</w:t>
            </w:r>
            <w:r w:rsid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 a poplatk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y</w:t>
            </w:r>
            <w:r w:rsidR="00A000DA" w:rsidRPr="00A00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 xml:space="preserve">ktorých cieľom je znižovať negatívne </w:t>
            </w:r>
            <w:proofErr w:type="spellStart"/>
            <w:r w:rsidR="00A000DA" w:rsidRPr="00A000D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</w:rPr>
              <w:t>externality</w:t>
            </w:r>
            <w:proofErr w:type="spellEnd"/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A3B7BD5" w14:textId="77777777" w:rsidTr="00142154">
        <w:tc>
          <w:tcPr>
            <w:tcW w:w="3681" w:type="dxa"/>
          </w:tcPr>
          <w:p w14:paraId="749ADDB1" w14:textId="6814776F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B. </w:t>
            </w:r>
            <w:r w:rsidR="00A000DA">
              <w:rPr>
                <w:rFonts w:ascii="Times New Roman" w:eastAsia="Calibri" w:hAnsi="Times New Roman" w:cs="Times New Roman"/>
                <w:i/>
                <w:sz w:val="20"/>
              </w:rPr>
              <w:t>Iné p</w:t>
            </w: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890A2A1" w14:textId="77777777" w:rsidTr="00142154">
        <w:tc>
          <w:tcPr>
            <w:tcW w:w="3681" w:type="dxa"/>
          </w:tcPr>
          <w:p w14:paraId="470A575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1915EE9C" w14:textId="77777777" w:rsidTr="00142154">
        <w:tc>
          <w:tcPr>
            <w:tcW w:w="3681" w:type="dxa"/>
          </w:tcPr>
          <w:p w14:paraId="3FBBD35B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784F8A51" w14:textId="77777777" w:rsidTr="00142154">
        <w:tc>
          <w:tcPr>
            <w:tcW w:w="3681" w:type="dxa"/>
          </w:tcPr>
          <w:p w14:paraId="796F837A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0</w:t>
            </w:r>
          </w:p>
        </w:tc>
      </w:tr>
      <w:tr w:rsidR="00054C41" w:rsidRPr="00895898" w14:paraId="4440B6DF" w14:textId="77777777" w:rsidTr="00142154">
        <w:tc>
          <w:tcPr>
            <w:tcW w:w="3681" w:type="dxa"/>
          </w:tcPr>
          <w:p w14:paraId="1E7A37D9" w14:textId="05E931F4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z</w:t>
            </w:r>
            <w:r w:rsidR="00E030DA">
              <w:rPr>
                <w:rFonts w:ascii="Times New Roman" w:eastAsia="Calibri" w:hAnsi="Times New Roman" w:cs="Times New Roman"/>
                <w:b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054C41" w:rsidRPr="00895898" w14:paraId="5592CF42" w14:textId="77777777" w:rsidTr="00142154">
        <w:tc>
          <w:tcPr>
            <w:tcW w:w="3681" w:type="dxa"/>
          </w:tcPr>
          <w:p w14:paraId="01B4507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 xml:space="preserve">E. Vplyv na </w:t>
            </w:r>
            <w:proofErr w:type="spellStart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mikro</w:t>
            </w:r>
            <w:proofErr w:type="spellEnd"/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22C30EA7" w14:textId="77777777" w:rsidTr="00142154">
        <w:tc>
          <w:tcPr>
            <w:tcW w:w="3681" w:type="dxa"/>
          </w:tcPr>
          <w:p w14:paraId="7C25F36F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i/>
                <w:sz w:val="20"/>
              </w:rPr>
              <w:t>0</w:t>
            </w:r>
          </w:p>
        </w:tc>
      </w:tr>
      <w:tr w:rsidR="00054C41" w:rsidRPr="0089589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</w:p>
        </w:tc>
      </w:tr>
      <w:tr w:rsidR="00054C41" w:rsidRPr="00895898" w14:paraId="0478A44B" w14:textId="77777777" w:rsidTr="00142154">
        <w:tc>
          <w:tcPr>
            <w:tcW w:w="3681" w:type="dxa"/>
          </w:tcPr>
          <w:p w14:paraId="223D796F" w14:textId="5E2E036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VÝPOČET mechanizmu znižovania byrokracie a</w:t>
            </w:r>
            <w:r w:rsidR="00E030DA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 </w:t>
            </w: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OUT</w:t>
            </w:r>
          </w:p>
        </w:tc>
      </w:tr>
      <w:tr w:rsidR="00054C41" w:rsidRPr="00895898" w14:paraId="5011BAE2" w14:textId="77777777" w:rsidTr="00142154">
        <w:tc>
          <w:tcPr>
            <w:tcW w:w="3681" w:type="dxa"/>
          </w:tcPr>
          <w:p w14:paraId="23438493" w14:textId="77777777" w:rsidR="00054C41" w:rsidRPr="0089589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i/>
                <w:sz w:val="20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89589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</w:pPr>
            <w:r w:rsidRPr="00895898">
              <w:rPr>
                <w:rFonts w:ascii="Times New Roman" w:eastAsia="Calibri" w:hAnsi="Times New Roman" w:cs="Times New Roman"/>
                <w:b/>
                <w:bCs/>
                <w:i/>
                <w:sz w:val="20"/>
              </w:rPr>
              <w:t>0</w:t>
            </w:r>
          </w:p>
        </w:tc>
      </w:tr>
    </w:tbl>
    <w:p w14:paraId="533B49DD" w14:textId="77777777" w:rsidR="00054C41" w:rsidRPr="00895898" w:rsidRDefault="00054C41" w:rsidP="00054C41">
      <w:pPr>
        <w:spacing w:after="0"/>
        <w:rPr>
          <w:rFonts w:ascii="Times New Roman" w:eastAsia="Calibri" w:hAnsi="Times New Roman" w:cs="Times New Roman"/>
          <w:i/>
        </w:rPr>
      </w:pPr>
    </w:p>
    <w:p w14:paraId="248D945B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6811E34" w14:textId="77777777" w:rsidR="00054C41" w:rsidRPr="00895898" w:rsidRDefault="00054C41" w:rsidP="00054C41">
      <w:pPr>
        <w:rPr>
          <w:rFonts w:ascii="Times New Roman" w:eastAsia="Calibri" w:hAnsi="Times New Roman" w:cs="Times New Roman"/>
          <w:b/>
          <w:sz w:val="24"/>
          <w:szCs w:val="24"/>
        </w:rPr>
        <w:sectPr w:rsidR="00054C41" w:rsidRPr="00895898" w:rsidSect="00FB5E52">
          <w:footerReference w:type="default" r:id="rId10"/>
          <w:pgSz w:w="11906" w:h="16838"/>
          <w:pgMar w:top="993" w:right="1417" w:bottom="1417" w:left="1417" w:header="708" w:footer="708" w:gutter="0"/>
          <w:pgNumType w:start="10"/>
          <w:cols w:space="708"/>
          <w:docGrid w:linePitch="360"/>
        </w:sectPr>
      </w:pPr>
    </w:p>
    <w:p w14:paraId="0270A51C" w14:textId="77777777" w:rsidR="00054C41" w:rsidRPr="001F1B43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3.1.2 Výpočty vplyvov jednotlivých regulácií na zmeny v nákladoch podnikateľov</w:t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D8247C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557"/>
        <w:gridCol w:w="1044"/>
        <w:gridCol w:w="1129"/>
        <w:gridCol w:w="1303"/>
        <w:gridCol w:w="934"/>
        <w:gridCol w:w="1337"/>
        <w:gridCol w:w="974"/>
        <w:gridCol w:w="974"/>
        <w:gridCol w:w="982"/>
        <w:gridCol w:w="992"/>
        <w:gridCol w:w="1134"/>
      </w:tblGrid>
      <w:tr w:rsidR="00054C41" w:rsidRPr="0089589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14:paraId="5694B3C6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Číslo normy</w:t>
            </w:r>
          </w:p>
          <w:p w14:paraId="21C1A8D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Lokalizácia </w:t>
            </w: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Pôvod regulácie:</w:t>
            </w:r>
          </w:p>
          <w:p w14:paraId="4C175F7C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SK/EÚ úplná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./EÚ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harm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Účinnosť</w:t>
            </w:r>
          </w:p>
          <w:p w14:paraId="019DF54E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regulácie</w:t>
            </w:r>
          </w:p>
          <w:p w14:paraId="23D8516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Kategória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 subjektov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subjektov MSP v 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kategóriu </w:t>
            </w:r>
            <w:proofErr w:type="spellStart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dotk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Druh vplyvu</w:t>
            </w:r>
          </w:p>
          <w:p w14:paraId="3EF161D7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In (zvyšuje náklady) / </w:t>
            </w:r>
          </w:p>
          <w:p w14:paraId="4D4343DB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Out</w:t>
            </w:r>
            <w:proofErr w:type="spellEnd"/>
            <w:r w:rsidRPr="008958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 xml:space="preserve"> (znižuje náklady</w:t>
            </w:r>
            <w:r w:rsidRPr="00895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  <w:p w14:paraId="288EFEBA" w14:textId="77777777" w:rsidR="00054C41" w:rsidRPr="0089589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054C41" w:rsidRPr="0089589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0314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0BA66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99C820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32A867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E85FB6C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65795CE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7BEDDF1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F95232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772F4F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02CD1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27D051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1387D4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F2BAC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994905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1371B6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7D454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CD7D15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922CA33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350B46C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CA669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71FAD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4A93B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59119F8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4220C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93D10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6AA08E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342400C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643D8B22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0F78D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749B694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4F4C8F0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16B3AE5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331E3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21ACDB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952C5F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478252F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DB51E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5860EA3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9075E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AC36E7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46718E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839B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CF1026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16C58F86" w14:textId="77777777" w:rsidTr="00142154">
        <w:trPr>
          <w:trHeight w:val="600"/>
        </w:trPr>
        <w:tc>
          <w:tcPr>
            <w:tcW w:w="501" w:type="dxa"/>
            <w:vAlign w:val="center"/>
          </w:tcPr>
          <w:p w14:paraId="0DCD4B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17C9A25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2D66994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41354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04A3109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EC031B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2E412B6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52ADF1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28BE4D6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27AD2C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7F1C2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5C67D79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3386FCD5" w14:textId="77777777" w:rsidTr="00142154">
        <w:trPr>
          <w:trHeight w:val="655"/>
        </w:trPr>
        <w:tc>
          <w:tcPr>
            <w:tcW w:w="501" w:type="dxa"/>
            <w:vAlign w:val="center"/>
          </w:tcPr>
          <w:p w14:paraId="341FC3D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41A9303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12AB029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58F7AE7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C6AC92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17B3EA3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6C2BE11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A663AC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EE9592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90D1E5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525B1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0D7DF0A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7EB0E4DE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5C9E450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ECA1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6A0B3DA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C4980A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3AD9044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3285AC1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4D281D8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702048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4374C79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721A0B86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3916C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652CB1E1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06C32329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63491A9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068D520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7691454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1B10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2F4D48A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8A0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7159C8CA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1C78D70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62DE2C3D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0054144E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B9648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4FE1067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54C41" w:rsidRPr="00895898" w14:paraId="4742F14C" w14:textId="77777777" w:rsidTr="00142154">
        <w:trPr>
          <w:trHeight w:val="578"/>
        </w:trPr>
        <w:tc>
          <w:tcPr>
            <w:tcW w:w="501" w:type="dxa"/>
            <w:vAlign w:val="center"/>
          </w:tcPr>
          <w:p w14:paraId="07289A6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14:paraId="3BB78E2C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44" w:type="dxa"/>
          </w:tcPr>
          <w:p w14:paraId="0BD60F6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194E4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03" w:type="dxa"/>
            <w:vAlign w:val="center"/>
          </w:tcPr>
          <w:p w14:paraId="1BDC3F80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7CDF3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37" w:type="dxa"/>
            <w:vAlign w:val="center"/>
          </w:tcPr>
          <w:p w14:paraId="308B8F3B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5028CE4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DE40B73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30982819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472185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14:paraId="3BDDCE5F" w14:textId="77777777" w:rsidR="00054C41" w:rsidRPr="00895898" w:rsidRDefault="00054C41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6E2FC1D4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i/>
        </w:rPr>
      </w:pPr>
    </w:p>
    <w:p w14:paraId="392BDE53" w14:textId="77777777" w:rsidR="00054C41" w:rsidRPr="0089589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895898" w:rsidSect="0014215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1F1B4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D8247C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</w:t>
      </w:r>
      <w:proofErr w:type="spellStart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link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na konkrétne štatistiky, ak sú dostupné na internete). Jednotlivé regulácie môžu mať jeden alebo viac typov nákladov (A. Dane, odvody, clá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a poplatky, ktorých cieľom je znižovať negatívne </w:t>
      </w:r>
      <w:proofErr w:type="spellStart"/>
      <w:r w:rsidR="00A000DA" w:rsidRP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externality</w:t>
      </w:r>
      <w:proofErr w:type="spellEnd"/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D8247C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D8247C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32C39D8D" w14:textId="77777777" w:rsidR="00FE4D6F" w:rsidRPr="00FE4D6F" w:rsidRDefault="00FE4D6F" w:rsidP="00FE4D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6F">
        <w:rPr>
          <w:rFonts w:ascii="Times New Roman" w:eastAsia="Calibri" w:hAnsi="Times New Roman" w:cs="Times New Roman"/>
          <w:sz w:val="24"/>
          <w:szCs w:val="24"/>
        </w:rPr>
        <w:t>Konzultácie na účely prípravy navrhovaného nariadenia vlády boli vykonané so zastupiteľskými organizáciami podnikateľských subjektov, ktoré vykonávajú činnosti školského programu Slovenskej republiky.</w:t>
      </w:r>
    </w:p>
    <w:p w14:paraId="2F2C4915" w14:textId="5C0439BA" w:rsidR="00054C41" w:rsidRPr="008E2D42" w:rsidRDefault="00FE4D6F" w:rsidP="00FE4D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D6F">
        <w:rPr>
          <w:rFonts w:ascii="Times New Roman" w:eastAsia="Calibri" w:hAnsi="Times New Roman" w:cs="Times New Roman"/>
          <w:sz w:val="24"/>
          <w:szCs w:val="24"/>
        </w:rPr>
        <w:t>Tieto konzultácie prebiehali formou rokovaní, písomnou formou a formou komunikácie na diaľku (telefonicky, elektronickou poštou).</w:t>
      </w:r>
    </w:p>
    <w:p w14:paraId="50FC671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E0BF3F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1F1B43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4A6C288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Dochádza k vytvoreniu resp. k zmene bariér na trhu? </w:t>
      </w:r>
    </w:p>
    <w:p w14:paraId="3C81D3E4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Bude sa s niektorými podnikmi alebo produktmi zaobchádzať v porovnateľnej situácii rôzne (napr. špeciálne režimy pre </w:t>
      </w:r>
      <w:proofErr w:type="spellStart"/>
      <w:r w:rsidRPr="00D8247C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, malé a stredné podniky tzv. MSP)? </w:t>
      </w:r>
    </w:p>
    <w:p w14:paraId="5BAAAEA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Ovplyvňuje zmena regulácie cezhraničné investície (príliv/odliv zahraničných investícií resp. uplatnenie slovenských podnikov na zahraničných trhoch)? </w:t>
      </w:r>
    </w:p>
    <w:p w14:paraId="3DFB8B9F" w14:textId="7341CF82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Ovplyvní dostupnosť základných zdrojov (financie, pracovná sila, suroviny, mechanizmy, energie atď.)? </w:t>
      </w:r>
    </w:p>
    <w:p w14:paraId="3EC29FF8" w14:textId="52A06123" w:rsidR="007259CB" w:rsidRPr="00D8247C" w:rsidRDefault="007259CB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Ovplyvňuje zmena regulácie inovácie, vedu a výskum?</w:t>
      </w:r>
    </w:p>
    <w:p w14:paraId="762820C2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iCs/>
          <w:sz w:val="24"/>
          <w:szCs w:val="24"/>
        </w:rPr>
        <w:t>Ako prispieva zmena regulácie k cieľu Slovenska mať najlepšie podnikateľské prostredie spomedzi susediacich krajín EÚ?</w:t>
      </w:r>
    </w:p>
    <w:p w14:paraId="7C7DB60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77777777" w:rsidR="00054C41" w:rsidRPr="00D8247C" w:rsidRDefault="00FB5E52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8247C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77777777" w:rsidR="00054C41" w:rsidRPr="00D8247C" w:rsidRDefault="00FB5E52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D8247C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D8247C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E4F647" w14:textId="77777777" w:rsidR="00054C41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2C8CE5E" w14:textId="77777777" w:rsidR="00054C41" w:rsidRPr="00D8247C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978982" w14:textId="77777777" w:rsidR="007D4608" w:rsidRDefault="007D460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CA1DE6B" w14:textId="5F266257" w:rsidR="00054C41" w:rsidRPr="001F1B43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3.4  Iné vplyvy na podnikateľské prostredie </w:t>
      </w:r>
    </w:p>
    <w:p w14:paraId="567581BF" w14:textId="66FB9699" w:rsidR="00054C41" w:rsidRDefault="00830828" w:rsidP="002576BC">
      <w:pPr>
        <w:spacing w:after="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0828">
        <w:rPr>
          <w:rFonts w:ascii="Times New Roman" w:eastAsia="Calibri" w:hAnsi="Times New Roman" w:cs="Times New Roman"/>
          <w:bCs/>
          <w:sz w:val="24"/>
          <w:szCs w:val="24"/>
        </w:rPr>
        <w:t>Navrhované nariadenie vlády</w:t>
      </w:r>
      <w:r w:rsidR="00CA5339">
        <w:rPr>
          <w:rFonts w:ascii="Times New Roman" w:eastAsia="Calibri" w:hAnsi="Times New Roman" w:cs="Times New Roman"/>
          <w:sz w:val="24"/>
          <w:szCs w:val="24"/>
        </w:rPr>
        <w:t xml:space="preserve"> má pozitívny vplyv na </w:t>
      </w:r>
      <w:r w:rsidR="0071777B">
        <w:rPr>
          <w:rFonts w:ascii="Times New Roman" w:eastAsia="Calibri" w:hAnsi="Times New Roman" w:cs="Times New Roman"/>
          <w:sz w:val="24"/>
          <w:szCs w:val="24"/>
        </w:rPr>
        <w:t xml:space="preserve">tých </w:t>
      </w:r>
      <w:r w:rsidR="0071777B" w:rsidRPr="0071777B">
        <w:rPr>
          <w:rFonts w:ascii="Times New Roman" w:eastAsia="Calibri" w:hAnsi="Times New Roman" w:cs="Times New Roman"/>
          <w:sz w:val="24"/>
          <w:szCs w:val="24"/>
        </w:rPr>
        <w:t xml:space="preserve">podnikateľov, ktorí v rámci školského programu dodávajú alebo distribuujú školské ovocie a zeleninu alebo školské mlieko a mliečne výrobky pre deti alebo žiakov, pretože </w:t>
      </w:r>
      <w:r w:rsidR="0071777B">
        <w:rPr>
          <w:rFonts w:ascii="Times New Roman" w:eastAsia="Calibri" w:hAnsi="Times New Roman" w:cs="Times New Roman"/>
          <w:sz w:val="24"/>
          <w:szCs w:val="24"/>
        </w:rPr>
        <w:t>rozširuje</w:t>
      </w:r>
      <w:r w:rsidR="0071777B" w:rsidRPr="0071777B">
        <w:rPr>
          <w:rFonts w:ascii="Times New Roman" w:eastAsia="Calibri" w:hAnsi="Times New Roman" w:cs="Times New Roman"/>
          <w:sz w:val="24"/>
          <w:szCs w:val="24"/>
        </w:rPr>
        <w:t xml:space="preserve"> zoznam </w:t>
      </w:r>
      <w:r w:rsidR="0071777B" w:rsidRPr="0071777B">
        <w:rPr>
          <w:rFonts w:ascii="Times New Roman" w:eastAsia="Calibri" w:hAnsi="Times New Roman" w:cs="Times New Roman"/>
          <w:bCs/>
          <w:sz w:val="24"/>
          <w:szCs w:val="24"/>
        </w:rPr>
        <w:t xml:space="preserve">poľnohospodárskych výrobkov, na dodávanie alebo distribúciu v rámci vykonávania školského programu ktorých možno v Slovenskej republike výlučne poskytovať pomoc, teda zoznam poľnohospodárskych výrobkov tohto školského ovocia a zeleniny a tohto školského mlieka a mliečnych výrobkov, a pretože zároveň </w:t>
      </w:r>
      <w:r w:rsidR="0071777B">
        <w:rPr>
          <w:rFonts w:ascii="Times New Roman" w:eastAsia="Calibri" w:hAnsi="Times New Roman" w:cs="Times New Roman"/>
          <w:bCs/>
          <w:sz w:val="24"/>
          <w:szCs w:val="24"/>
        </w:rPr>
        <w:t>zvyšuje</w:t>
      </w:r>
      <w:r w:rsidR="0071777B" w:rsidRPr="0071777B">
        <w:rPr>
          <w:rFonts w:ascii="Times New Roman" w:eastAsia="Calibri" w:hAnsi="Times New Roman" w:cs="Times New Roman"/>
          <w:bCs/>
          <w:sz w:val="24"/>
          <w:szCs w:val="24"/>
        </w:rPr>
        <w:t xml:space="preserve"> paušálne ustanovené výšky pomoci na dodávanie alebo distribúciu týchto poľnohospodárskych výrobkov v rámci školského programu, ako aj výšky úhrad, ktoré možno za tieto poľnohospodárske výrobky v rámci školského programu Slovenskej republiky najviac žiadať okrem pomoci samotnej. Keďže </w:t>
      </w:r>
      <w:r w:rsidR="0071777B">
        <w:rPr>
          <w:rFonts w:ascii="Times New Roman" w:eastAsia="Calibri" w:hAnsi="Times New Roman" w:cs="Times New Roman"/>
          <w:bCs/>
          <w:sz w:val="24"/>
          <w:szCs w:val="24"/>
        </w:rPr>
        <w:t xml:space="preserve">teda </w:t>
      </w:r>
      <w:r w:rsidR="0071777B" w:rsidRPr="0071777B">
        <w:rPr>
          <w:rFonts w:ascii="Times New Roman" w:eastAsia="Calibri" w:hAnsi="Times New Roman" w:cs="Times New Roman"/>
          <w:bCs/>
          <w:sz w:val="24"/>
          <w:szCs w:val="24"/>
        </w:rPr>
        <w:t>dochádza k zvýšeniu týchto paušálov a limitov týchto dodatočných úhrad, navrhované nariadenie vlády má pozitívny vplyv na dodávateľov alebo distribútorov školského ovocia a zeleniny alebo školského mlieka a mliečnych výrobkov pre deti alebo žiakov v rámci školského programu, pretože za toto ich dodanie alebo distribúciu dostanú väčšiu protihodnotu.</w:t>
      </w:r>
    </w:p>
    <w:p w14:paraId="11CD52DD" w14:textId="73EC3E74" w:rsidR="00830828" w:rsidRPr="002576BC" w:rsidRDefault="00830828" w:rsidP="002576BC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828">
        <w:rPr>
          <w:rFonts w:ascii="Times New Roman" w:eastAsia="Calibri" w:hAnsi="Times New Roman" w:cs="Times New Roman"/>
          <w:bCs/>
          <w:sz w:val="24"/>
          <w:szCs w:val="24"/>
        </w:rPr>
        <w:t xml:space="preserve">Navrhované nariadenie vlády </w:t>
      </w:r>
      <w:r w:rsidR="007D4608">
        <w:rPr>
          <w:rFonts w:ascii="Times New Roman" w:eastAsia="Calibri" w:hAnsi="Times New Roman" w:cs="Times New Roman"/>
          <w:bCs/>
          <w:sz w:val="24"/>
          <w:szCs w:val="24"/>
        </w:rPr>
        <w:t>má</w:t>
      </w:r>
      <w:r w:rsidRPr="00830828">
        <w:rPr>
          <w:rFonts w:ascii="Times New Roman" w:eastAsia="Calibri" w:hAnsi="Times New Roman" w:cs="Times New Roman"/>
          <w:bCs/>
          <w:sz w:val="24"/>
          <w:szCs w:val="24"/>
        </w:rPr>
        <w:t xml:space="preserve"> ďalej </w:t>
      </w:r>
      <w:r w:rsidR="007D4608">
        <w:rPr>
          <w:rFonts w:ascii="Times New Roman" w:eastAsia="Calibri" w:hAnsi="Times New Roman" w:cs="Times New Roman"/>
          <w:bCs/>
          <w:sz w:val="24"/>
          <w:szCs w:val="24"/>
        </w:rPr>
        <w:t>nepriamy pozitívny vplyv</w:t>
      </w:r>
      <w:r w:rsidRPr="00830828">
        <w:rPr>
          <w:rFonts w:ascii="Times New Roman" w:eastAsia="Calibri" w:hAnsi="Times New Roman" w:cs="Times New Roman"/>
          <w:bCs/>
          <w:sz w:val="24"/>
          <w:szCs w:val="24"/>
        </w:rPr>
        <w:t xml:space="preserve"> podnikateľov a právnických osôb, ktorí vykonávajú slovenské sprievodné opatrenia, pretože školy zapojené do školského programu si budú vo väčšej miere objednávať ich vykonávanie, aby splnili svoju novo-ustanovovanú povinnosť zabezpečiť, aby sa pre ich deti alebo žiakov, pre ktorých sa v rámci školského programu v príslušnom školskom roku dodáva školské ovocie a zelenina alebo pre ktorých sa v rámci školského programu v príslušnom školskom roku dodáva alebo distribuuje školské mlieko a mliečne výrobky, v tomto školskom roku zabezpečovali aj slovenské sprievodné opatrenia.</w:t>
      </w:r>
    </w:p>
    <w:sectPr w:rsidR="00830828" w:rsidRPr="0025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3516" w14:textId="77777777" w:rsidR="004A5B1A" w:rsidRDefault="004A5B1A" w:rsidP="00054C41">
      <w:pPr>
        <w:spacing w:after="0" w:line="240" w:lineRule="auto"/>
      </w:pPr>
      <w:r>
        <w:separator/>
      </w:r>
    </w:p>
  </w:endnote>
  <w:endnote w:type="continuationSeparator" w:id="0">
    <w:p w14:paraId="26DCE806" w14:textId="77777777" w:rsidR="004A5B1A" w:rsidRDefault="004A5B1A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50945"/>
      <w:docPartObj>
        <w:docPartGallery w:val="Page Numbers (Bottom of Page)"/>
        <w:docPartUnique/>
      </w:docPartObj>
    </w:sdtPr>
    <w:sdtContent>
      <w:p w14:paraId="68AC3825" w14:textId="216A0DA9" w:rsidR="00142154" w:rsidRDefault="00FB5E52" w:rsidP="00FB5E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FAB43" w14:textId="77777777" w:rsidR="004A5B1A" w:rsidRDefault="004A5B1A" w:rsidP="00054C41">
      <w:pPr>
        <w:spacing w:after="0" w:line="240" w:lineRule="auto"/>
      </w:pPr>
      <w:r>
        <w:separator/>
      </w:r>
    </w:p>
  </w:footnote>
  <w:footnote w:type="continuationSeparator" w:id="0">
    <w:p w14:paraId="048928A8" w14:textId="77777777" w:rsidR="004A5B1A" w:rsidRDefault="004A5B1A" w:rsidP="0005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C5E9A"/>
    <w:rsid w:val="00142154"/>
    <w:rsid w:val="001B4C03"/>
    <w:rsid w:val="001D1083"/>
    <w:rsid w:val="001D3FA0"/>
    <w:rsid w:val="001E53CB"/>
    <w:rsid w:val="001F11F9"/>
    <w:rsid w:val="00225A83"/>
    <w:rsid w:val="0023031D"/>
    <w:rsid w:val="002576BC"/>
    <w:rsid w:val="00270EA5"/>
    <w:rsid w:val="00340CFD"/>
    <w:rsid w:val="0038255E"/>
    <w:rsid w:val="00391648"/>
    <w:rsid w:val="0039304E"/>
    <w:rsid w:val="003E58B8"/>
    <w:rsid w:val="003F06D7"/>
    <w:rsid w:val="00432E4D"/>
    <w:rsid w:val="00445638"/>
    <w:rsid w:val="00446432"/>
    <w:rsid w:val="00456CDE"/>
    <w:rsid w:val="004A5B1A"/>
    <w:rsid w:val="004D20CB"/>
    <w:rsid w:val="00524F38"/>
    <w:rsid w:val="005450D5"/>
    <w:rsid w:val="005A5C5A"/>
    <w:rsid w:val="005E2867"/>
    <w:rsid w:val="0071777B"/>
    <w:rsid w:val="007259CB"/>
    <w:rsid w:val="007611AE"/>
    <w:rsid w:val="0077106D"/>
    <w:rsid w:val="00776B43"/>
    <w:rsid w:val="00791E51"/>
    <w:rsid w:val="007B40FB"/>
    <w:rsid w:val="007D4608"/>
    <w:rsid w:val="007E24B2"/>
    <w:rsid w:val="00830828"/>
    <w:rsid w:val="008634E9"/>
    <w:rsid w:val="008801B5"/>
    <w:rsid w:val="008953FB"/>
    <w:rsid w:val="008B4AA1"/>
    <w:rsid w:val="008C1C71"/>
    <w:rsid w:val="008E2D42"/>
    <w:rsid w:val="008E3803"/>
    <w:rsid w:val="008E5972"/>
    <w:rsid w:val="00923C0C"/>
    <w:rsid w:val="0094784D"/>
    <w:rsid w:val="0095602F"/>
    <w:rsid w:val="009A4D56"/>
    <w:rsid w:val="009E09F7"/>
    <w:rsid w:val="00A000DA"/>
    <w:rsid w:val="00A1736E"/>
    <w:rsid w:val="00A642D9"/>
    <w:rsid w:val="00AB20EA"/>
    <w:rsid w:val="00B66E33"/>
    <w:rsid w:val="00B8608D"/>
    <w:rsid w:val="00BD0EF7"/>
    <w:rsid w:val="00C21399"/>
    <w:rsid w:val="00C560C4"/>
    <w:rsid w:val="00C6748F"/>
    <w:rsid w:val="00CA5339"/>
    <w:rsid w:val="00CE6D44"/>
    <w:rsid w:val="00D005F2"/>
    <w:rsid w:val="00D631FA"/>
    <w:rsid w:val="00D82356"/>
    <w:rsid w:val="00D84EEE"/>
    <w:rsid w:val="00D90A61"/>
    <w:rsid w:val="00DF02CE"/>
    <w:rsid w:val="00E030DA"/>
    <w:rsid w:val="00EB2BEC"/>
    <w:rsid w:val="00EC0704"/>
    <w:rsid w:val="00ED2EEE"/>
    <w:rsid w:val="00ED6B5D"/>
    <w:rsid w:val="00EE4C99"/>
    <w:rsid w:val="00F74FC9"/>
    <w:rsid w:val="00FB5E52"/>
    <w:rsid w:val="00FE4D6F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C79F9B-D619-4F4D-9314-5726FAF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10</cp:revision>
  <cp:lastPrinted>2022-08-05T08:29:00Z</cp:lastPrinted>
  <dcterms:created xsi:type="dcterms:W3CDTF">2022-05-27T07:53:00Z</dcterms:created>
  <dcterms:modified xsi:type="dcterms:W3CDTF">2022-08-05T08:29:00Z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