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7D5748" w:rsidRPr="007D5748" w:rsidRDefault="00E963A3" w:rsidP="00E804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E804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  <w:r w:rsidR="00E804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</w:t>
      </w:r>
      <w:r w:rsidR="007D5748"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993"/>
        <w:gridCol w:w="1417"/>
        <w:gridCol w:w="1418"/>
        <w:gridCol w:w="1370"/>
      </w:tblGrid>
      <w:tr w:rsidR="007D5748" w:rsidRPr="007D5748" w:rsidTr="00E80488">
        <w:trPr>
          <w:cantSplit/>
          <w:trHeight w:val="194"/>
          <w:jc w:val="center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9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80488">
        <w:trPr>
          <w:cantSplit/>
          <w:trHeight w:val="70"/>
          <w:jc w:val="center"/>
        </w:trPr>
        <w:tc>
          <w:tcPr>
            <w:tcW w:w="453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D5748" w:rsidRPr="007D5748" w:rsidRDefault="007774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5748" w:rsidRPr="007D5748" w:rsidRDefault="007774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7774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7D5748" w:rsidRPr="007D5748" w:rsidRDefault="007774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E80488">
        <w:trPr>
          <w:trHeight w:val="70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D5748" w:rsidRPr="007D5748" w:rsidRDefault="00185F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23 152 500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D5748" w:rsidRPr="007D5748" w:rsidRDefault="00185F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7D5748" w:rsidRPr="007D5748" w:rsidRDefault="00185FE2" w:rsidP="004C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22 625 50</w:t>
            </w:r>
            <w:r w:rsidR="004C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99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7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3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D5748" w:rsidRPr="007D5748" w:rsidRDefault="00185F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23 152 500</w:t>
            </w:r>
          </w:p>
        </w:tc>
        <w:tc>
          <w:tcPr>
            <w:tcW w:w="1418" w:type="dxa"/>
            <w:noWrap/>
            <w:vAlign w:val="center"/>
          </w:tcPr>
          <w:p w:rsidR="007D5748" w:rsidRPr="004C7A2E" w:rsidRDefault="004C7A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370" w:type="dxa"/>
            <w:noWrap/>
            <w:vAlign w:val="center"/>
          </w:tcPr>
          <w:p w:rsidR="007D5748" w:rsidRPr="007D5748" w:rsidRDefault="004C7A2E" w:rsidP="004C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22 625 500</w:t>
            </w:r>
          </w:p>
        </w:tc>
      </w:tr>
      <w:tr w:rsidR="007B7D17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7B7D17" w:rsidRPr="007D5748" w:rsidRDefault="007B7D17" w:rsidP="007B7D1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93" w:type="dxa"/>
            <w:noWrap/>
            <w:vAlign w:val="center"/>
          </w:tcPr>
          <w:p w:rsidR="007B7D17" w:rsidRPr="007D5748" w:rsidRDefault="007B7D17" w:rsidP="007B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B7D17" w:rsidRPr="007D5748" w:rsidRDefault="007B7D17" w:rsidP="007B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23 152 500</w:t>
            </w:r>
          </w:p>
        </w:tc>
        <w:tc>
          <w:tcPr>
            <w:tcW w:w="1418" w:type="dxa"/>
            <w:noWrap/>
            <w:vAlign w:val="center"/>
          </w:tcPr>
          <w:p w:rsidR="007B7D17" w:rsidRPr="004C7A2E" w:rsidRDefault="004C7A2E" w:rsidP="007B7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370" w:type="dxa"/>
            <w:noWrap/>
            <w:vAlign w:val="center"/>
          </w:tcPr>
          <w:p w:rsidR="007B7D17" w:rsidRPr="007D5748" w:rsidRDefault="004C7A2E" w:rsidP="004C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22 625 500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Default="00632A7C" w:rsidP="00632A7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 tom (112) daň z príjmov právnických osôb</w:t>
            </w:r>
          </w:p>
        </w:tc>
        <w:tc>
          <w:tcPr>
            <w:tcW w:w="993" w:type="dxa"/>
            <w:noWrap/>
            <w:vAlign w:val="center"/>
          </w:tcPr>
          <w:p w:rsidR="00632A7C" w:rsidRPr="00175721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175721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23 152 500</w:t>
            </w:r>
          </w:p>
        </w:tc>
        <w:tc>
          <w:tcPr>
            <w:tcW w:w="1418" w:type="dxa"/>
            <w:noWrap/>
            <w:vAlign w:val="center"/>
          </w:tcPr>
          <w:p w:rsidR="00632A7C" w:rsidRPr="00175721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5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370" w:type="dxa"/>
            <w:noWrap/>
            <w:vAlign w:val="center"/>
          </w:tcPr>
          <w:p w:rsidR="00632A7C" w:rsidRPr="00175721" w:rsidRDefault="00632A7C" w:rsidP="004C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22 625 50</w:t>
            </w:r>
            <w:r w:rsidR="004C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Default="00632A7C" w:rsidP="00632A7C">
            <w:pPr>
              <w:spacing w:after="0" w:line="240" w:lineRule="auto"/>
              <w:ind w:left="918" w:hanging="6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toho: zavedenie pravidla o obmedzení úrokových nákladov</w:t>
            </w:r>
          </w:p>
        </w:tc>
        <w:tc>
          <w:tcPr>
            <w:tcW w:w="993" w:type="dxa"/>
            <w:noWrap/>
            <w:vAlign w:val="center"/>
          </w:tcPr>
          <w:p w:rsidR="00632A7C" w:rsidRPr="00175721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175721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175721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4 057 000</w:t>
            </w:r>
          </w:p>
        </w:tc>
        <w:tc>
          <w:tcPr>
            <w:tcW w:w="1370" w:type="dxa"/>
            <w:noWrap/>
            <w:vAlign w:val="center"/>
          </w:tcPr>
          <w:p w:rsidR="00632A7C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6 088 000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Default="00632A7C" w:rsidP="00632A7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toho:</w:t>
            </w:r>
            <w:r w:rsidR="001115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prvotná implementácia IFRS 17</w:t>
            </w:r>
          </w:p>
        </w:tc>
        <w:tc>
          <w:tcPr>
            <w:tcW w:w="993" w:type="dxa"/>
            <w:noWrap/>
            <w:vAlign w:val="center"/>
          </w:tcPr>
          <w:p w:rsidR="00632A7C" w:rsidRPr="00175721" w:rsidRDefault="0011154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175721" w:rsidRDefault="0011154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23 152 500</w:t>
            </w:r>
          </w:p>
        </w:tc>
        <w:tc>
          <w:tcPr>
            <w:tcW w:w="1418" w:type="dxa"/>
            <w:noWrap/>
            <w:vAlign w:val="center"/>
          </w:tcPr>
          <w:p w:rsidR="00632A7C" w:rsidRPr="00175721" w:rsidRDefault="0011154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26 460 000</w:t>
            </w:r>
          </w:p>
        </w:tc>
        <w:tc>
          <w:tcPr>
            <w:tcW w:w="1370" w:type="dxa"/>
            <w:noWrap/>
            <w:vAlign w:val="center"/>
          </w:tcPr>
          <w:p w:rsidR="00632A7C" w:rsidRDefault="0011154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16 537 500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993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126 084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389 343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shd w:val="clear" w:color="auto" w:fill="C0C0C0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126 084</w:t>
            </w:r>
          </w:p>
        </w:tc>
        <w:tc>
          <w:tcPr>
            <w:tcW w:w="1417" w:type="dxa"/>
            <w:noWrap/>
            <w:vAlign w:val="center"/>
          </w:tcPr>
          <w:p w:rsidR="00632A7C" w:rsidRPr="004C7A2E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389 343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126 084</w:t>
            </w:r>
          </w:p>
        </w:tc>
        <w:tc>
          <w:tcPr>
            <w:tcW w:w="1417" w:type="dxa"/>
            <w:noWrap/>
            <w:vAlign w:val="center"/>
          </w:tcPr>
          <w:p w:rsidR="00632A7C" w:rsidRPr="004C7A2E" w:rsidRDefault="004C7A2E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7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389 343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Default="00632A7C" w:rsidP="00632A7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v tom: </w:t>
            </w:r>
            <w:r w:rsidRPr="0076631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kapitola MF SR/0EK 0D IT financované zo ŠR – MF SR (org. FR SR)</w:t>
            </w:r>
          </w:p>
        </w:tc>
        <w:tc>
          <w:tcPr>
            <w:tcW w:w="993" w:type="dxa"/>
            <w:noWrap/>
            <w:vAlign w:val="center"/>
          </w:tcPr>
          <w:p w:rsidR="00632A7C" w:rsidRPr="00527ECB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126 084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389 343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3F7A04" w:rsidRDefault="00632A7C" w:rsidP="00632A7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993" w:type="dxa"/>
            <w:noWrap/>
            <w:vAlign w:val="center"/>
          </w:tcPr>
          <w:p w:rsidR="00632A7C" w:rsidRPr="003F7A04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3F7A04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3F7A04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3F7A04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3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993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126 084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389 343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shd w:val="clear" w:color="auto" w:fill="C0C0C0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32A7C" w:rsidRPr="007D5748" w:rsidTr="00E80488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shd w:val="clear" w:color="auto" w:fill="BFBFBF" w:themeFill="background1" w:themeFillShade="BF"/>
            <w:noWrap/>
            <w:vAlign w:val="center"/>
          </w:tcPr>
          <w:p w:rsidR="00632A7C" w:rsidRPr="007D5748" w:rsidRDefault="00632A7C" w:rsidP="0063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80488" w:rsidRPr="007D5748" w:rsidTr="00E80488">
        <w:trPr>
          <w:trHeight w:val="70"/>
          <w:jc w:val="center"/>
        </w:trPr>
        <w:tc>
          <w:tcPr>
            <w:tcW w:w="4531" w:type="dxa"/>
            <w:shd w:val="clear" w:color="auto" w:fill="A6A6A6" w:themeFill="background1" w:themeFillShade="A6"/>
            <w:noWrap/>
            <w:vAlign w:val="center"/>
          </w:tcPr>
          <w:p w:rsidR="00E80488" w:rsidRPr="007D5748" w:rsidRDefault="00E80488" w:rsidP="00E80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(+)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/ úspora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(-)</w:t>
            </w:r>
          </w:p>
        </w:tc>
        <w:tc>
          <w:tcPr>
            <w:tcW w:w="993" w:type="dxa"/>
            <w:shd w:val="clear" w:color="auto" w:fill="A6A6A6" w:themeFill="background1" w:themeFillShade="A6"/>
            <w:noWrap/>
            <w:vAlign w:val="center"/>
          </w:tcPr>
          <w:p w:rsidR="00E80488" w:rsidRPr="007D5748" w:rsidRDefault="00E80488" w:rsidP="00E80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E80488" w:rsidRPr="007D5748" w:rsidRDefault="00E80488" w:rsidP="00E80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-22 763 157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E80488" w:rsidRPr="007D5748" w:rsidRDefault="00E80488" w:rsidP="00E80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-30 517 000</w:t>
            </w:r>
          </w:p>
        </w:tc>
        <w:tc>
          <w:tcPr>
            <w:tcW w:w="1370" w:type="dxa"/>
            <w:shd w:val="clear" w:color="auto" w:fill="A6A6A6" w:themeFill="background1" w:themeFillShade="A6"/>
            <w:noWrap/>
            <w:vAlign w:val="center"/>
          </w:tcPr>
          <w:p w:rsidR="00E80488" w:rsidRPr="007D5748" w:rsidRDefault="00E80488" w:rsidP="00E80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-22 625 500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B7D17" w:rsidRDefault="007B7D17" w:rsidP="007B7D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predpokladá v roku 2022 negatívny vplyv na rozpočet súvisiaci s úpravou informačných systémov finančnej správy vo výške </w:t>
      </w:r>
      <w:r w:rsidRPr="00C651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126 084 eur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C651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rok 2022 má kapitola MF SR zabezpečené finančné prostriedky v sume 126 084 eur na úpravu informačného systému [Integrovaný systém Finančnej správy – správa daní (ISFS-SD)]. Výdavky na úpravu informačného systému [Integrovaný systém Finančnej správy – správa daní (ISFS-SD)] na rok 2023 v sume 389 343 eur s DPH budú predmetom riešenia v rámci procesu spracovania návrhu rozpočtu verejnej správy pre kapitolu Ministerstva financií Slovenskej republiky na roky 2023 – 2025.</w:t>
      </w:r>
    </w:p>
    <w:p w:rsidR="007B7D17" w:rsidRPr="0011154C" w:rsidRDefault="007B7D17" w:rsidP="007B7D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metodické zjednodušenie pri výpočte vplyvov na rozpočet verejnej správy sa už pri pôvodnom návrhu uvažovalo s obmedzením výšky daňového bonusu do percenta základu dane na úrovni rodiny. Súčasný návrh tak neprináša dodatočné náklady nad rámec pôvodných rozpočtových vplyvov</w:t>
      </w:r>
      <w:r w:rsidR="00434522" w:rsidRP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t>, t.j. vplyvy na rozpočet verejnej správy boli zapracované už do návrhu zákona o financovaní voľného času dieťaťa a o zmene a doplnení niektorých zákonov a</w:t>
      </w:r>
      <w:r w:rsidR="005531BF" w:rsidRP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sú súčasťou makroekonomickej a </w:t>
      </w:r>
      <w:r w:rsidR="00434522" w:rsidRP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daňovej prognózy</w:t>
      </w:r>
      <w:r w:rsidR="005531BF" w:rsidRP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Inštitútu finančnej politiky prezentovanej v júni 2022</w:t>
      </w:r>
      <w:r w:rsidRP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B4E3C" w:rsidRDefault="003B4E3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4E3C" w:rsidRDefault="003B4E3C" w:rsidP="003B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24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novele zákona o dani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EC24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príjmov</w:t>
      </w:r>
    </w:p>
    <w:p w:rsidR="003B4E3C" w:rsidRDefault="003B4E3C" w:rsidP="003B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Zámerom návrhu zákona je</w:t>
      </w:r>
    </w:p>
    <w:p w:rsidR="003B4E3C" w:rsidRPr="005D0EE4" w:rsidRDefault="003B4E3C" w:rsidP="003B4E3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EE4">
        <w:rPr>
          <w:rFonts w:ascii="Times New Roman" w:hAnsi="Times New Roman" w:cs="Times New Roman"/>
          <w:sz w:val="24"/>
          <w:szCs w:val="24"/>
        </w:rPr>
        <w:t>zavedenie pravidla o obmedzení úrokových nákladov zacieleného proti praktikám, ktoré na umelé znižovanie základu dane z príjmov využívajú nadmerné dlhové financovanie,</w:t>
      </w:r>
    </w:p>
    <w:p w:rsidR="006E0FCC" w:rsidRDefault="006E0FCC" w:rsidP="006E0FC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zavedenie možnosti vyššieho odpočtu daňového bonusu na vyživované dieťa (deti) z dôvodu započítania príjmov (čiastkových základov dane) obidvoch oprávnených osôb (napr. obidvoch rodičov) do úhrnu príjmov pre účely daňového bonusu,</w:t>
      </w:r>
    </w:p>
    <w:p w:rsidR="006E0FCC" w:rsidRDefault="006E0FCC" w:rsidP="006E0FC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397">
        <w:rPr>
          <w:rFonts w:ascii="Times New Roman" w:hAnsi="Times New Roman" w:cs="Times New Roman"/>
          <w:sz w:val="24"/>
          <w:szCs w:val="24"/>
        </w:rPr>
        <w:t>implementácia nového medzinárodného štandardu finančného výkazníctva IFRS 17 a s ním spojená úprava základu dane v súvislosti s prvotným uplatnením</w:t>
      </w:r>
      <w:r>
        <w:rPr>
          <w:rFonts w:ascii="Times New Roman" w:hAnsi="Times New Roman" w:cs="Times New Roman"/>
          <w:sz w:val="24"/>
          <w:szCs w:val="24"/>
        </w:rPr>
        <w:t xml:space="preserve"> tohto medzinárodného štandardu,</w:t>
      </w:r>
    </w:p>
    <w:p w:rsidR="008208EE" w:rsidRDefault="003B4E3C" w:rsidP="003B4E3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zavedenie možnosti daňového odpisu pohľadávok pri tzv. preventívnej reštrukturalizácii a zahrnovania tvorby opravných položiek k pohľadávkam voči dlžníkovi v preventívnom reštrukturalizačnom konaní do daňových výdavkov v nadväznosti na zákon č. 111/2022 Z. z. o riešení hroziaceho úpadku a o zmene a doplnení niektorých zákonov</w:t>
      </w:r>
      <w:r w:rsidR="006E0FCC">
        <w:rPr>
          <w:rFonts w:ascii="Times New Roman" w:hAnsi="Times New Roman" w:cs="Times New Roman"/>
          <w:sz w:val="24"/>
          <w:szCs w:val="24"/>
        </w:rPr>
        <w:t>.</w:t>
      </w:r>
    </w:p>
    <w:p w:rsidR="0011154C" w:rsidRPr="009E7397" w:rsidRDefault="0011154C" w:rsidP="009E7397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4E3C" w:rsidRDefault="003B4E3C" w:rsidP="003B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42D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novele daňového poriadku</w:t>
      </w:r>
    </w:p>
    <w:p w:rsidR="003B4E3C" w:rsidRPr="009437FC" w:rsidRDefault="003B4E3C" w:rsidP="003B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7FC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Zámerom návrhu zákona je</w:t>
      </w:r>
    </w:p>
    <w:p w:rsidR="003B4E3C" w:rsidRPr="005D0EE4" w:rsidRDefault="003B4E3C" w:rsidP="003B4E3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0EE4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zavedenie systému tzv. „druhej šance“, podľa ktorého správca dane pokutu, ktorú je možné určiť v rámci intervalového rozpätia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prvom porušení</w:t>
      </w:r>
      <w:r w:rsidRPr="005D0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neuloží, ale vyzve na splnenie povinnosti s upozornením, že pri ďalšom porušení už bude uložená pokuta,</w:t>
      </w:r>
    </w:p>
    <w:p w:rsidR="003B4E3C" w:rsidRDefault="003B4E3C" w:rsidP="003B4E3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skrátenie lehoty na vyrubenie úroku z omeškania pri úplnej úhrade nedoplatku.</w:t>
      </w:r>
    </w:p>
    <w:p w:rsidR="00E80488" w:rsidRDefault="00E80488" w:rsidP="00E8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0488" w:rsidRDefault="00E80488" w:rsidP="00E8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0488" w:rsidRDefault="00E80488" w:rsidP="00E8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3B4E3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9E7397" w:rsidRPr="00311F7F" w:rsidRDefault="009E7397" w:rsidP="009E73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87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1276"/>
        <w:gridCol w:w="1275"/>
        <w:gridCol w:w="1276"/>
        <w:gridCol w:w="1276"/>
      </w:tblGrid>
      <w:tr w:rsidR="009E7397" w:rsidRPr="00311F7F" w:rsidTr="007B7D17">
        <w:trPr>
          <w:cantSplit/>
          <w:trHeight w:val="70"/>
        </w:trPr>
        <w:tc>
          <w:tcPr>
            <w:tcW w:w="3603" w:type="dxa"/>
            <w:vMerge w:val="restart"/>
            <w:shd w:val="clear" w:color="auto" w:fill="BFBFBF"/>
            <w:vAlign w:val="center"/>
          </w:tcPr>
          <w:p w:rsidR="009E7397" w:rsidRPr="00311F7F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103" w:type="dxa"/>
            <w:gridSpan w:val="4"/>
            <w:shd w:val="clear" w:color="auto" w:fill="BFBFBF"/>
            <w:vAlign w:val="center"/>
          </w:tcPr>
          <w:p w:rsidR="009E7397" w:rsidRPr="00311F7F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E7397" w:rsidRPr="00311F7F" w:rsidTr="007B7D17">
        <w:trPr>
          <w:cantSplit/>
          <w:trHeight w:val="70"/>
        </w:trPr>
        <w:tc>
          <w:tcPr>
            <w:tcW w:w="3603" w:type="dxa"/>
            <w:vMerge/>
            <w:shd w:val="clear" w:color="auto" w:fill="BFBFBF"/>
          </w:tcPr>
          <w:p w:rsidR="009E7397" w:rsidRPr="00311F7F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E7397" w:rsidRPr="00311F7F" w:rsidRDefault="009E7397" w:rsidP="007B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E7397" w:rsidRPr="00311F7F" w:rsidRDefault="009E7397" w:rsidP="007B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E7397" w:rsidRPr="00311F7F" w:rsidRDefault="009E7397" w:rsidP="007B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E7397" w:rsidRPr="00311F7F" w:rsidRDefault="009E7397" w:rsidP="007B7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9E7397" w:rsidRPr="00311F7F" w:rsidTr="007B7D17">
        <w:trPr>
          <w:trHeight w:val="519"/>
        </w:trPr>
        <w:tc>
          <w:tcPr>
            <w:tcW w:w="3603" w:type="dxa"/>
            <w:vAlign w:val="center"/>
          </w:tcPr>
          <w:p w:rsidR="009E7397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počet rodín, ktoré požiadajú o doplatok daňového bonusu za daný rok</w:t>
            </w:r>
          </w:p>
        </w:tc>
        <w:tc>
          <w:tcPr>
            <w:tcW w:w="1276" w:type="dxa"/>
            <w:vAlign w:val="center"/>
          </w:tcPr>
          <w:p w:rsidR="009E7397" w:rsidRPr="00F253AC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vAlign w:val="center"/>
          </w:tcPr>
          <w:p w:rsidR="009E7397" w:rsidRPr="000671ED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71ED">
              <w:rPr>
                <w:rFonts w:ascii="Times New Roman" w:hAnsi="Times New Roman"/>
                <w:sz w:val="24"/>
                <w:szCs w:val="24"/>
                <w:lang w:eastAsia="sk-SK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0671ED">
              <w:rPr>
                <w:rFonts w:ascii="Times New Roman" w:hAnsi="Times New Roman"/>
                <w:sz w:val="24"/>
                <w:szCs w:val="24"/>
                <w:lang w:eastAsia="sk-SK"/>
              </w:rPr>
              <w:t>803</w:t>
            </w:r>
          </w:p>
        </w:tc>
        <w:tc>
          <w:tcPr>
            <w:tcW w:w="1276" w:type="dxa"/>
            <w:vAlign w:val="center"/>
          </w:tcPr>
          <w:p w:rsidR="009E7397" w:rsidRPr="000671ED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71ED">
              <w:rPr>
                <w:rFonts w:ascii="Times New Roman" w:hAnsi="Times New Roman"/>
                <w:sz w:val="24"/>
                <w:szCs w:val="24"/>
                <w:lang w:eastAsia="sk-SK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0671ED">
              <w:rPr>
                <w:rFonts w:ascii="Times New Roman" w:hAnsi="Times New Roman"/>
                <w:sz w:val="24"/>
                <w:szCs w:val="24"/>
                <w:lang w:eastAsia="sk-SK"/>
              </w:rPr>
              <w:t>404</w:t>
            </w:r>
          </w:p>
        </w:tc>
        <w:tc>
          <w:tcPr>
            <w:tcW w:w="1276" w:type="dxa"/>
            <w:vAlign w:val="center"/>
          </w:tcPr>
          <w:p w:rsidR="009E7397" w:rsidRPr="000671ED" w:rsidRDefault="009E7397" w:rsidP="007B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71ED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0671ED"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3B4E3C" w:rsidRPr="00424C91" w:rsidRDefault="003B4E3C" w:rsidP="003B4E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24C91">
        <w:rPr>
          <w:rFonts w:ascii="Times New Roman" w:hAnsi="Times New Roman"/>
          <w:bCs/>
          <w:sz w:val="24"/>
          <w:szCs w:val="24"/>
          <w:lang w:eastAsia="sk-SK"/>
        </w:rPr>
        <w:t xml:space="preserve">Kvantifikácia predpokladá </w:t>
      </w:r>
      <w:r>
        <w:rPr>
          <w:rFonts w:ascii="Times New Roman" w:hAnsi="Times New Roman"/>
          <w:bCs/>
          <w:sz w:val="24"/>
          <w:szCs w:val="24"/>
          <w:lang w:eastAsia="sk-SK"/>
        </w:rPr>
        <w:t>negatívny akruálny vplyv na rozpočet verejnej správy v roku 2022 na úrovni 126 084 eur a pozitívny akruálny vplyv na rozpočet verejnej správy na úrovni</w:t>
      </w:r>
      <w:r w:rsidR="006E0FC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80488" w:rsidRPr="00E8048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22 763</w:t>
      </w:r>
      <w:r w:rsidR="00E8048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="00E80488" w:rsidRPr="00E8048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157</w:t>
      </w:r>
      <w:r w:rsidR="00E804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E0FCC">
        <w:rPr>
          <w:rFonts w:ascii="Times New Roman" w:hAnsi="Times New Roman"/>
          <w:bCs/>
          <w:sz w:val="24"/>
          <w:szCs w:val="24"/>
          <w:lang w:eastAsia="sk-SK"/>
        </w:rPr>
        <w:t xml:space="preserve">v roku 2022,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80488">
        <w:rPr>
          <w:rFonts w:ascii="Times New Roman" w:hAnsi="Times New Roman"/>
          <w:bCs/>
          <w:sz w:val="24"/>
          <w:szCs w:val="24"/>
          <w:lang w:eastAsia="sk-SK"/>
        </w:rPr>
        <w:t>30 517 000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eur v roku 2024 a</w:t>
      </w:r>
      <w:r w:rsidR="00E80488">
        <w:rPr>
          <w:rFonts w:ascii="Times New Roman" w:hAnsi="Times New Roman"/>
          <w:bCs/>
          <w:sz w:val="24"/>
          <w:szCs w:val="24"/>
          <w:lang w:eastAsia="sk-SK"/>
        </w:rPr>
        <w:t> 22 625 50</w:t>
      </w:r>
      <w:r w:rsidR="00B03132">
        <w:rPr>
          <w:rFonts w:ascii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eur v roku 2025. </w:t>
      </w:r>
    </w:p>
    <w:p w:rsidR="003B4E3C" w:rsidRPr="00591FC4" w:rsidRDefault="003B4E3C" w:rsidP="003B4E3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B4E3C" w:rsidRPr="00AC6744" w:rsidRDefault="003B4E3C" w:rsidP="003B4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C67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Kvantifikácia príjmov</w:t>
      </w:r>
    </w:p>
    <w:p w:rsidR="003B4E3C" w:rsidRDefault="003B4E3C" w:rsidP="003B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zákonu o dani z príjmov</w:t>
      </w:r>
    </w:p>
    <w:p w:rsidR="003B4E3C" w:rsidRPr="007B3F4D" w:rsidRDefault="003B4E3C" w:rsidP="003B4E3C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3F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zavedenie pravidla o obmedzení úrokových nákladov</w:t>
      </w:r>
    </w:p>
    <w:p w:rsidR="003B4E3C" w:rsidRDefault="003B4E3C" w:rsidP="003B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E4">
        <w:rPr>
          <w:rFonts w:ascii="Times New Roman" w:hAnsi="Times New Roman" w:cs="Times New Roman"/>
          <w:sz w:val="24"/>
          <w:szCs w:val="24"/>
        </w:rPr>
        <w:t>Opatrenie sa dotkne približne 20 subjektov ročne (</w:t>
      </w:r>
      <w:r w:rsidRPr="005D0EE4">
        <w:rPr>
          <w:rFonts w:ascii="Times New Roman" w:hAnsi="Times New Roman" w:cs="Times New Roman"/>
          <w:sz w:val="24"/>
          <w:szCs w:val="24"/>
          <w:lang w:eastAsia="sk-SK"/>
        </w:rPr>
        <w:t>0,008% z počtu firiem, ktoré spadajú pod DPPO) s priemerným vplyvom na subjekt 237 tis. eur.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14CAB">
        <w:rPr>
          <w:rFonts w:ascii="Times New Roman" w:hAnsi="Times New Roman" w:cs="Times New Roman"/>
          <w:sz w:val="24"/>
          <w:szCs w:val="24"/>
          <w:lang w:eastAsia="sk-SK"/>
        </w:rPr>
        <w:t xml:space="preserve">Akruálny profil fiškálneho vplyvu návrhu  vychádza z historických prepočtov. </w:t>
      </w:r>
      <w:r w:rsidR="00D14CAB">
        <w:rPr>
          <w:rFonts w:ascii="Times New Roman" w:hAnsi="Times New Roman" w:cs="Times New Roman"/>
          <w:sz w:val="24"/>
          <w:szCs w:val="24"/>
        </w:rPr>
        <w:t xml:space="preserve">Predpokladá sa mierny nárast daňových príjmov, ktorý je spojený s novými úvermi – keďže ide o statický prepočet, nepočíta sa s dynamickými efektmi v podobe zmeny správania sa subjektov. </w:t>
      </w:r>
      <w:r w:rsidRPr="005D0EE4">
        <w:rPr>
          <w:rFonts w:ascii="Times New Roman" w:hAnsi="Times New Roman" w:cs="Times New Roman"/>
          <w:sz w:val="24"/>
          <w:szCs w:val="24"/>
        </w:rPr>
        <w:t>Na výpočet fiškálneho vplyvu boli použité údaje z účtovných závierok, ktoré obsahujú údaje potrebné na výpočet čistých úrokových nákladov a údaje z daňových priznaní.</w:t>
      </w:r>
      <w:r w:rsidR="00D14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CC" w:rsidRDefault="006E0FCC" w:rsidP="003B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CC" w:rsidRDefault="006E0FCC" w:rsidP="006E0FCC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0F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zavedenie možnosti vyššieho odpočtu daňového bonusu na vyživované dieťa (deti)</w:t>
      </w:r>
    </w:p>
    <w:p w:rsidR="006E0FCC" w:rsidRDefault="006E0FCC" w:rsidP="006E0FCC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311F7F">
        <w:rPr>
          <w:b w:val="0"/>
          <w:bCs/>
          <w:sz w:val="24"/>
          <w:szCs w:val="24"/>
        </w:rPr>
        <w:t xml:space="preserve">Pri odhadoch objemu finančných prostriedkov, ktoré budú mať vplyv na rozpočet verejnej </w:t>
      </w:r>
      <w:r>
        <w:rPr>
          <w:b w:val="0"/>
          <w:bCs/>
          <w:sz w:val="24"/>
          <w:szCs w:val="24"/>
        </w:rPr>
        <w:t>správy sa vychádzalo z</w:t>
      </w:r>
      <w:r>
        <w:rPr>
          <w:b w:val="0"/>
          <w:bCs/>
          <w:sz w:val="24"/>
          <w:szCs w:val="24"/>
          <w:lang w:val="sk-SK"/>
        </w:rPr>
        <w:t>o</w:t>
      </w:r>
      <w:r>
        <w:rPr>
          <w:b w:val="0"/>
          <w:bCs/>
          <w:sz w:val="24"/>
          <w:szCs w:val="24"/>
        </w:rPr>
        <w:t> </w:t>
      </w:r>
    </w:p>
    <w:p w:rsidR="006E0FCC" w:rsidRPr="000671ED" w:rsidRDefault="006E0FCC" w:rsidP="006E0FCC">
      <w:pPr>
        <w:pStyle w:val="Zkladntext"/>
        <w:numPr>
          <w:ilvl w:val="0"/>
          <w:numId w:val="6"/>
        </w:numPr>
        <w:ind w:left="284" w:hanging="284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z</w:t>
      </w:r>
      <w:r w:rsidRPr="000671ED">
        <w:rPr>
          <w:b w:val="0"/>
          <w:bCs/>
          <w:sz w:val="24"/>
          <w:szCs w:val="24"/>
          <w:lang w:val="sk-SK"/>
        </w:rPr>
        <w:t>isťovania o príjmoch a životných podmienkach domácností v</w:t>
      </w:r>
      <w:r>
        <w:rPr>
          <w:b w:val="0"/>
          <w:bCs/>
          <w:sz w:val="24"/>
          <w:szCs w:val="24"/>
          <w:lang w:val="sk-SK"/>
        </w:rPr>
        <w:t> </w:t>
      </w:r>
      <w:r w:rsidRPr="000671ED">
        <w:rPr>
          <w:b w:val="0"/>
          <w:bCs/>
          <w:sz w:val="24"/>
          <w:szCs w:val="24"/>
          <w:lang w:val="sk-SK"/>
        </w:rPr>
        <w:t>SR</w:t>
      </w:r>
      <w:r>
        <w:rPr>
          <w:b w:val="0"/>
          <w:bCs/>
          <w:sz w:val="24"/>
          <w:szCs w:val="24"/>
          <w:lang w:val="sk-SK"/>
        </w:rPr>
        <w:t xml:space="preserve"> (SILC) 2020</w:t>
      </w:r>
    </w:p>
    <w:p w:rsidR="006E0FCC" w:rsidRDefault="006E0FCC" w:rsidP="006E0FCC">
      <w:pPr>
        <w:pStyle w:val="Zkladntext"/>
        <w:numPr>
          <w:ilvl w:val="0"/>
          <w:numId w:val="6"/>
        </w:numPr>
        <w:ind w:left="284" w:hanging="284"/>
        <w:jc w:val="both"/>
        <w:rPr>
          <w:b w:val="0"/>
          <w:bCs/>
          <w:sz w:val="24"/>
          <w:szCs w:val="24"/>
          <w:lang w:val="sk-SK"/>
        </w:rPr>
      </w:pPr>
      <w:r>
        <w:rPr>
          <w:b w:val="0"/>
          <w:bCs/>
          <w:sz w:val="24"/>
          <w:szCs w:val="24"/>
          <w:lang w:val="sk-SK"/>
        </w:rPr>
        <w:t>Makroekonomickej</w:t>
      </w:r>
      <w:r w:rsidRPr="00AC56EF">
        <w:rPr>
          <w:b w:val="0"/>
          <w:bCs/>
          <w:sz w:val="24"/>
          <w:szCs w:val="24"/>
          <w:lang w:val="sk-SK"/>
        </w:rPr>
        <w:t xml:space="preserve"> prognóz</w:t>
      </w:r>
      <w:r>
        <w:rPr>
          <w:b w:val="0"/>
          <w:bCs/>
          <w:sz w:val="24"/>
          <w:szCs w:val="24"/>
          <w:lang w:val="sk-SK"/>
        </w:rPr>
        <w:t>y</w:t>
      </w:r>
      <w:r w:rsidRPr="00AC56EF">
        <w:rPr>
          <w:b w:val="0"/>
          <w:bCs/>
          <w:sz w:val="24"/>
          <w:szCs w:val="24"/>
          <w:lang w:val="sk-SK"/>
        </w:rPr>
        <w:t xml:space="preserve"> IFP z</w:t>
      </w:r>
      <w:r>
        <w:rPr>
          <w:b w:val="0"/>
          <w:bCs/>
          <w:sz w:val="24"/>
          <w:szCs w:val="24"/>
          <w:lang w:val="sk-SK"/>
        </w:rPr>
        <w:t> júna 2022</w:t>
      </w:r>
    </w:p>
    <w:p w:rsidR="006E0FCC" w:rsidRPr="00AC56EF" w:rsidRDefault="006E0FCC" w:rsidP="006E0FCC">
      <w:pPr>
        <w:pStyle w:val="Zkladntext"/>
        <w:ind w:left="284"/>
        <w:jc w:val="both"/>
        <w:rPr>
          <w:b w:val="0"/>
          <w:bCs/>
          <w:sz w:val="24"/>
          <w:szCs w:val="24"/>
          <w:lang w:val="sk-SK"/>
        </w:rPr>
      </w:pPr>
    </w:p>
    <w:p w:rsidR="003B4E3C" w:rsidRDefault="006E0FCC" w:rsidP="006E0FCC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Prvotné uplatnenie medzinárodného štandardu pre finančné výkazníctvo – IFRS 17</w:t>
      </w:r>
    </w:p>
    <w:p w:rsidR="006E0FCC" w:rsidRPr="006E0FCC" w:rsidRDefault="006E0FCC" w:rsidP="006E0FCC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6E0FCC">
        <w:rPr>
          <w:b w:val="0"/>
          <w:bCs/>
          <w:sz w:val="24"/>
          <w:szCs w:val="24"/>
        </w:rPr>
        <w:t xml:space="preserve">Kvantifikácia vychádza z informácii, ktoré boli poskytnuté Slovenskou asociáciou poisťovní. Pri výpočte </w:t>
      </w:r>
      <w:r>
        <w:rPr>
          <w:b w:val="0"/>
          <w:bCs/>
          <w:sz w:val="24"/>
          <w:szCs w:val="24"/>
          <w:lang w:val="sk-SK"/>
        </w:rPr>
        <w:t xml:space="preserve">sa </w:t>
      </w:r>
      <w:r w:rsidRPr="006E0FCC">
        <w:rPr>
          <w:b w:val="0"/>
          <w:bCs/>
          <w:sz w:val="24"/>
          <w:szCs w:val="24"/>
        </w:rPr>
        <w:t>uvažoval</w:t>
      </w:r>
      <w:r>
        <w:rPr>
          <w:b w:val="0"/>
          <w:bCs/>
          <w:sz w:val="24"/>
          <w:szCs w:val="24"/>
          <w:lang w:val="sk-SK"/>
        </w:rPr>
        <w:t>o</w:t>
      </w:r>
      <w:r w:rsidRPr="006E0FCC">
        <w:rPr>
          <w:b w:val="0"/>
          <w:bCs/>
          <w:sz w:val="24"/>
          <w:szCs w:val="24"/>
        </w:rPr>
        <w:t xml:space="preserve"> o rozložení vplyvu do 3 rokov, ako to umožňuje aj zmena zákona.</w:t>
      </w:r>
    </w:p>
    <w:p w:rsidR="006E0FCC" w:rsidRPr="006E0FCC" w:rsidRDefault="006E0FCC" w:rsidP="006E0FCC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p w:rsidR="0011154C" w:rsidRDefault="003B4E3C" w:rsidP="0011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2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Opatrenia </w:t>
      </w:r>
      <w:r w:rsidR="006E0F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Pr="00452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až </w:t>
      </w:r>
      <w:r w:rsidR="006E0F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dôvodu neexistencie vhodných dát nie je možné kvantifikovať.</w:t>
      </w:r>
      <w:r w:rsidR="0011154C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EE34F7" w:rsidTr="007B7D17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EE34F7" w:rsidRDefault="00EE34F7" w:rsidP="00864A6E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="0011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11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</w:t>
            </w:r>
            <w:r w:rsidR="00864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akruál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EE34F7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EE34F7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E34F7" w:rsidTr="007B7D17">
        <w:tc>
          <w:tcPr>
            <w:tcW w:w="4957" w:type="dxa"/>
            <w:vMerge/>
            <w:shd w:val="clear" w:color="auto" w:fill="BFBFBF" w:themeFill="background1" w:themeFillShade="BF"/>
          </w:tcPr>
          <w:p w:rsidR="00EE34F7" w:rsidRDefault="00EE34F7" w:rsidP="007B7D1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E34F7" w:rsidRPr="00526826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E34F7" w:rsidRPr="00526826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E34F7" w:rsidRPr="00526826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E34F7" w:rsidRPr="00526826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EE34F7" w:rsidRDefault="00EE34F7" w:rsidP="007B7D1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E34F7" w:rsidTr="007B7D17">
        <w:tc>
          <w:tcPr>
            <w:tcW w:w="4957" w:type="dxa"/>
            <w:shd w:val="clear" w:color="auto" w:fill="FFFFFF" w:themeFill="background1"/>
          </w:tcPr>
          <w:p w:rsidR="00EE34F7" w:rsidRDefault="00EE34F7" w:rsidP="007B7D1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EE34F7" w:rsidRPr="00396C96" w:rsidRDefault="00EE34F7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E34F7" w:rsidRPr="00396C96" w:rsidRDefault="002F33CC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23 152 500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E34F7" w:rsidRPr="00396C96" w:rsidRDefault="002F33CC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34F7" w:rsidRPr="00396C96" w:rsidRDefault="002F33CC" w:rsidP="007B7D17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22 625 500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E34F7" w:rsidRPr="00A97B22" w:rsidRDefault="00EE34F7" w:rsidP="0044581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2F33CC" w:rsidTr="001D62B0">
        <w:tc>
          <w:tcPr>
            <w:tcW w:w="4957" w:type="dxa"/>
            <w:shd w:val="clear" w:color="auto" w:fill="FFFFFF" w:themeFill="background1"/>
          </w:tcPr>
          <w:p w:rsidR="002F33CC" w:rsidRDefault="002F33CC" w:rsidP="002F33C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417" w:type="dxa"/>
            <w:shd w:val="clear" w:color="auto" w:fill="FFFFFF" w:themeFill="background1"/>
          </w:tcPr>
          <w:p w:rsidR="002F33CC" w:rsidRPr="00396C96" w:rsidRDefault="002F33CC" w:rsidP="002F33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2F33CC" w:rsidRPr="00396C96" w:rsidRDefault="002F33CC" w:rsidP="002F33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23 152 500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F33CC" w:rsidRPr="00396C96" w:rsidRDefault="002F33CC" w:rsidP="002F33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33CC" w:rsidRPr="00396C96" w:rsidRDefault="002F33CC" w:rsidP="002F33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22 625 500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2F33CC" w:rsidRDefault="002F33CC" w:rsidP="002F33C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396C96" w:rsidTr="00396C96">
        <w:tc>
          <w:tcPr>
            <w:tcW w:w="4957" w:type="dxa"/>
            <w:shd w:val="clear" w:color="auto" w:fill="FFFFFF" w:themeFill="background1"/>
            <w:vAlign w:val="center"/>
          </w:tcPr>
          <w:p w:rsidR="00396C96" w:rsidRDefault="00396C96" w:rsidP="00396C96">
            <w:pPr>
              <w:tabs>
                <w:tab w:val="num" w:pos="1080"/>
              </w:tabs>
              <w:ind w:left="1156" w:hanging="115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toho: zavedenie pravidla o obmedzení úrokových nákladov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96C96" w:rsidRPr="00396C96" w:rsidRDefault="002F33CC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4 057 000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6C96" w:rsidRPr="00396C96" w:rsidRDefault="00396C96" w:rsidP="002F33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F33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088 000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396C96" w:rsidTr="00E80488">
        <w:tc>
          <w:tcPr>
            <w:tcW w:w="4957" w:type="dxa"/>
            <w:shd w:val="clear" w:color="auto" w:fill="FFFFFF" w:themeFill="background1"/>
            <w:vAlign w:val="center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toho: prvotná implementácia IFRS 17</w:t>
            </w:r>
          </w:p>
        </w:tc>
        <w:tc>
          <w:tcPr>
            <w:tcW w:w="1417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96C96" w:rsidRPr="00396C96" w:rsidRDefault="002F33CC" w:rsidP="00396C96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23 152 500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96C96" w:rsidRPr="00396C96" w:rsidRDefault="002F33CC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26 460 000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96C96" w:rsidRPr="00396C96" w:rsidRDefault="00864A6E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16 537 500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396C96" w:rsidTr="007B7D17">
        <w:tc>
          <w:tcPr>
            <w:tcW w:w="4957" w:type="dxa"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396C96" w:rsidTr="007B7D17">
        <w:tc>
          <w:tcPr>
            <w:tcW w:w="4957" w:type="dxa"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396C96" w:rsidTr="007B7D17">
        <w:tc>
          <w:tcPr>
            <w:tcW w:w="4957" w:type="dxa"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396C96" w:rsidTr="007B7D17">
        <w:tc>
          <w:tcPr>
            <w:tcW w:w="4957" w:type="dxa"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396C96" w:rsidRPr="00396C96" w:rsidRDefault="00396C96" w:rsidP="00396C9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96C96" w:rsidRDefault="00396C96" w:rsidP="00396C9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20DCC" w:rsidTr="003E05C7">
        <w:tc>
          <w:tcPr>
            <w:tcW w:w="4957" w:type="dxa"/>
            <w:shd w:val="clear" w:color="auto" w:fill="BFBFBF" w:themeFill="background1" w:themeFillShade="BF"/>
          </w:tcPr>
          <w:p w:rsidR="00E20DCC" w:rsidRDefault="00E20DCC" w:rsidP="00E20DC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0DCC" w:rsidRPr="00396C96" w:rsidRDefault="00E20DCC" w:rsidP="00E20D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E20DCC" w:rsidRPr="00396C96" w:rsidRDefault="00E20DCC" w:rsidP="00E20D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23 152 500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E20DCC" w:rsidRPr="00396C96" w:rsidRDefault="00E20DCC" w:rsidP="00E20D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30 517 000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0DCC" w:rsidRPr="00396C96" w:rsidRDefault="00E20DCC" w:rsidP="00E20DC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22 625 500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20DCC" w:rsidRDefault="00E20DCC" w:rsidP="00E20DC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525D33" w:rsidRDefault="00E8048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E80488" w:rsidTr="00E80488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E80488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cash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E80488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E80488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80488" w:rsidTr="00E80488">
        <w:tc>
          <w:tcPr>
            <w:tcW w:w="4957" w:type="dxa"/>
            <w:vMerge/>
            <w:shd w:val="clear" w:color="auto" w:fill="BFBFBF" w:themeFill="background1" w:themeFillShade="BF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E80488" w:rsidRPr="0052682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80488" w:rsidRPr="0052682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80488" w:rsidRPr="0052682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80488" w:rsidRPr="0052682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34 728 750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34 199 250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80488" w:rsidRPr="00A97B22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664314">
              <w:rPr>
                <w:rFonts w:ascii="Times New Roman" w:eastAsia="Times New Roman" w:hAnsi="Times New Roman" w:cs="Times New Roman"/>
                <w:lang w:eastAsia="sk-SK"/>
              </w:rPr>
              <w:t>Neočakáva sa nárast cash príjmov v roku 202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64314">
              <w:rPr>
                <w:rFonts w:ascii="Times New Roman" w:eastAsia="Times New Roman" w:hAnsi="Times New Roman" w:cs="Times New Roman"/>
                <w:lang w:eastAsia="sk-SK"/>
              </w:rPr>
              <w:t xml:space="preserve"> a to z dôvodu, že ide o daň z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64314">
              <w:rPr>
                <w:rFonts w:ascii="Times New Roman" w:eastAsia="Times New Roman" w:hAnsi="Times New Roman" w:cs="Times New Roman"/>
                <w:lang w:eastAsia="sk-SK"/>
              </w:rPr>
              <w:t>príjmov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právnických osôb</w:t>
            </w:r>
            <w:r w:rsidRPr="00664314">
              <w:rPr>
                <w:rFonts w:ascii="Times New Roman" w:eastAsia="Times New Roman" w:hAnsi="Times New Roman" w:cs="Times New Roman"/>
                <w:lang w:eastAsia="sk-SK"/>
              </w:rPr>
              <w:t>, kde sa hotovostne vplyv prvýkrát prejaví až v roku 202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  <w:r w:rsidRPr="00664314">
              <w:rPr>
                <w:rFonts w:ascii="Times New Roman" w:eastAsia="Times New Roman" w:hAnsi="Times New Roman" w:cs="Times New Roman"/>
                <w:lang w:eastAsia="sk-SK"/>
              </w:rPr>
              <w:t>, kde bude podané daňové priznanie za rok 202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Pr="00664314">
              <w:rPr>
                <w:rFonts w:ascii="Times New Roman" w:eastAsia="Times New Roman" w:hAnsi="Times New Roman" w:cs="Times New Roman"/>
                <w:lang w:eastAsia="sk-SK"/>
              </w:rPr>
              <w:t xml:space="preserve"> a subjekt zaplatí vyrovnanie dane. Následne sa mu upraví preddavková povinnosť, ktorá už bude obsahovať aj uvedenú legislatívnu zmenu.</w:t>
            </w: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417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34 728 750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34 199 250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  <w:vAlign w:val="center"/>
          </w:tcPr>
          <w:p w:rsidR="00E80488" w:rsidRDefault="00E80488" w:rsidP="00E80488">
            <w:pPr>
              <w:tabs>
                <w:tab w:val="num" w:pos="1080"/>
              </w:tabs>
              <w:ind w:left="1156" w:hanging="115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toho: zavedenie pravidla o obmedzení úrokových nákladov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6 085 500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  <w:vAlign w:val="center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toho: prvotná implementácia IFRS 17</w:t>
            </w:r>
          </w:p>
        </w:tc>
        <w:tc>
          <w:tcPr>
            <w:tcW w:w="1417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C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34 728 750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28 113 750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E80488" w:rsidTr="00E80488">
        <w:tc>
          <w:tcPr>
            <w:tcW w:w="4957" w:type="dxa"/>
            <w:shd w:val="clear" w:color="auto" w:fill="BFBFBF" w:themeFill="background1" w:themeFillShade="BF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6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34 728 750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bottom"/>
          </w:tcPr>
          <w:p w:rsidR="00E80488" w:rsidRPr="00396C96" w:rsidRDefault="00E80488" w:rsidP="00E80488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34 199 250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80488" w:rsidRDefault="00E80488" w:rsidP="00E80488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E80488" w:rsidRDefault="00E8048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E804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44581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B4E3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B4E3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B4E3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3B4E3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316FF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FF" w:rsidRDefault="008316FF" w:rsidP="008316FF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FF" w:rsidRDefault="00864A6E" w:rsidP="008316F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FF" w:rsidRDefault="00864A6E" w:rsidP="008316F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FF" w:rsidRDefault="00864A6E" w:rsidP="008316F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6FF" w:rsidRPr="007D5748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4E3C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4E3C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4E3C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4E3C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864A6E" w:rsidP="008316FF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864A6E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864A6E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4E3C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4E3C" w:rsidRPr="007D5748" w:rsidTr="00F51E4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Pr="003B4E3C" w:rsidRDefault="003B4E3C" w:rsidP="003B4E3C">
            <w:pPr>
              <w:spacing w:after="0"/>
              <w:jc w:val="right"/>
              <w:rPr>
                <w:b/>
                <w:color w:val="000000"/>
                <w:sz w:val="20"/>
                <w:szCs w:val="20"/>
              </w:rPr>
            </w:pPr>
            <w:r w:rsidRPr="003B4E3C">
              <w:rPr>
                <w:b/>
                <w:color w:val="000000"/>
                <w:sz w:val="20"/>
                <w:szCs w:val="20"/>
              </w:rPr>
              <w:t>126 084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Pr="00864A6E" w:rsidRDefault="008316FF" w:rsidP="003B4E3C">
            <w:pPr>
              <w:spacing w:after="0"/>
              <w:jc w:val="right"/>
              <w:rPr>
                <w:b/>
                <w:color w:val="000000"/>
                <w:sz w:val="20"/>
                <w:szCs w:val="20"/>
              </w:rPr>
            </w:pPr>
            <w:r w:rsidRPr="00864A6E">
              <w:rPr>
                <w:b/>
                <w:color w:val="000000"/>
                <w:sz w:val="20"/>
                <w:szCs w:val="20"/>
              </w:rPr>
              <w:t>389 343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E3C" w:rsidRDefault="003B4E3C" w:rsidP="003B4E3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16FF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Pr="00864A6E" w:rsidRDefault="008316FF" w:rsidP="008316F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4A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126 084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Default="008316FF" w:rsidP="008316FF">
            <w:pPr>
              <w:spacing w:after="0"/>
              <w:jc w:val="right"/>
            </w:pPr>
            <w:r w:rsidRPr="00F3571D">
              <w:rPr>
                <w:color w:val="000000"/>
                <w:sz w:val="20"/>
                <w:szCs w:val="20"/>
              </w:rPr>
              <w:t>389 343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6FF" w:rsidRPr="007D5748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16FF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tom: Rekonštrukcia a modernizácia (718)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Pr="00864A6E" w:rsidRDefault="008316FF" w:rsidP="008316F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4A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126 084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Default="008316FF" w:rsidP="008316FF">
            <w:pPr>
              <w:spacing w:after="0"/>
              <w:jc w:val="right"/>
            </w:pPr>
            <w:r w:rsidRPr="00F3571D">
              <w:rPr>
                <w:color w:val="000000"/>
                <w:sz w:val="20"/>
                <w:szCs w:val="20"/>
              </w:rPr>
              <w:t>389 343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FF" w:rsidRPr="007D5748" w:rsidRDefault="008316FF" w:rsidP="0083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6FF" w:rsidRPr="007D5748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4E3C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B4E3C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4E3C" w:rsidRPr="007D5748" w:rsidRDefault="003B4E3C" w:rsidP="003B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E3C" w:rsidRPr="007D5748" w:rsidRDefault="003B4E3C" w:rsidP="003B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16FF" w:rsidRPr="007D5748" w:rsidTr="007B7D1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FF" w:rsidRPr="007D5748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FF" w:rsidRPr="007D5748" w:rsidRDefault="008316FF" w:rsidP="0083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126 084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FF" w:rsidRPr="007D5748" w:rsidRDefault="00864A6E" w:rsidP="0083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389 343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6FF" w:rsidRPr="008316FF" w:rsidRDefault="00864A6E" w:rsidP="0083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6FF" w:rsidRPr="008316FF" w:rsidRDefault="00864A6E" w:rsidP="00831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6FF" w:rsidRPr="008316FF" w:rsidRDefault="008316FF" w:rsidP="0083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31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525D33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44581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44581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122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122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122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122E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F1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F1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F1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F1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4458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25D33" w:rsidRDefault="00525D33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525D33" w:rsidSect="00525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88" w:rsidRDefault="00E80488">
      <w:pPr>
        <w:spacing w:after="0" w:line="240" w:lineRule="auto"/>
      </w:pPr>
      <w:r>
        <w:separator/>
      </w:r>
    </w:p>
  </w:endnote>
  <w:endnote w:type="continuationSeparator" w:id="0">
    <w:p w:rsidR="00E80488" w:rsidRDefault="00E8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Default="00E804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80488" w:rsidRDefault="00E8048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Default="00E80488" w:rsidP="00332F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D630A">
      <w:rPr>
        <w:noProof/>
      </w:rPr>
      <w:t>1</w:t>
    </w:r>
    <w:r>
      <w:fldChar w:fldCharType="end"/>
    </w:r>
  </w:p>
  <w:p w:rsidR="00E80488" w:rsidRDefault="00E8048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Default="00E8048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80488" w:rsidRDefault="00E804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88" w:rsidRDefault="00E80488">
      <w:pPr>
        <w:spacing w:after="0" w:line="240" w:lineRule="auto"/>
      </w:pPr>
      <w:r>
        <w:separator/>
      </w:r>
    </w:p>
  </w:footnote>
  <w:footnote w:type="continuationSeparator" w:id="0">
    <w:p w:rsidR="00E80488" w:rsidRDefault="00E8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Default="00E80488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80488" w:rsidRPr="00EB59C8" w:rsidRDefault="00E80488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Pr="0024067A" w:rsidRDefault="00E80488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Pr="000A15AE" w:rsidRDefault="00E80488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43834"/>
    <w:multiLevelType w:val="hybridMultilevel"/>
    <w:tmpl w:val="0332CC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B70AD"/>
    <w:multiLevelType w:val="hybridMultilevel"/>
    <w:tmpl w:val="BBAAD950"/>
    <w:lvl w:ilvl="0" w:tplc="518CBFB8">
      <w:start w:val="1"/>
      <w:numFmt w:val="upperLetter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41A06"/>
    <w:rsid w:val="00057135"/>
    <w:rsid w:val="00094BB1"/>
    <w:rsid w:val="0011154C"/>
    <w:rsid w:val="001127A8"/>
    <w:rsid w:val="00170D2B"/>
    <w:rsid w:val="00175721"/>
    <w:rsid w:val="00185FE2"/>
    <w:rsid w:val="001B1CFE"/>
    <w:rsid w:val="001C5726"/>
    <w:rsid w:val="00200898"/>
    <w:rsid w:val="00212894"/>
    <w:rsid w:val="00230980"/>
    <w:rsid w:val="002642D4"/>
    <w:rsid w:val="002F33CC"/>
    <w:rsid w:val="00317B90"/>
    <w:rsid w:val="00332F34"/>
    <w:rsid w:val="003468BE"/>
    <w:rsid w:val="00396C96"/>
    <w:rsid w:val="003B4E3C"/>
    <w:rsid w:val="003C181F"/>
    <w:rsid w:val="003D1BA7"/>
    <w:rsid w:val="003F7A04"/>
    <w:rsid w:val="00434522"/>
    <w:rsid w:val="00445818"/>
    <w:rsid w:val="004624D0"/>
    <w:rsid w:val="00487203"/>
    <w:rsid w:val="004C7A2E"/>
    <w:rsid w:val="005005EC"/>
    <w:rsid w:val="00522F28"/>
    <w:rsid w:val="00523AAC"/>
    <w:rsid w:val="00525D33"/>
    <w:rsid w:val="00527ECB"/>
    <w:rsid w:val="005531BF"/>
    <w:rsid w:val="006320E4"/>
    <w:rsid w:val="00632A7C"/>
    <w:rsid w:val="00664314"/>
    <w:rsid w:val="006E0FCC"/>
    <w:rsid w:val="007246BD"/>
    <w:rsid w:val="007247BB"/>
    <w:rsid w:val="00766310"/>
    <w:rsid w:val="007774A8"/>
    <w:rsid w:val="007777F4"/>
    <w:rsid w:val="007B7D17"/>
    <w:rsid w:val="007D5748"/>
    <w:rsid w:val="008208EE"/>
    <w:rsid w:val="008316FF"/>
    <w:rsid w:val="00864A6E"/>
    <w:rsid w:val="008D339D"/>
    <w:rsid w:val="008E2736"/>
    <w:rsid w:val="00917D66"/>
    <w:rsid w:val="009706B7"/>
    <w:rsid w:val="0098553A"/>
    <w:rsid w:val="009E7397"/>
    <w:rsid w:val="00A55839"/>
    <w:rsid w:val="00A6641F"/>
    <w:rsid w:val="00B03132"/>
    <w:rsid w:val="00B53063"/>
    <w:rsid w:val="00B5535C"/>
    <w:rsid w:val="00BF5400"/>
    <w:rsid w:val="00C15212"/>
    <w:rsid w:val="00C51FD4"/>
    <w:rsid w:val="00CB3623"/>
    <w:rsid w:val="00CE299A"/>
    <w:rsid w:val="00D14CAB"/>
    <w:rsid w:val="00D46EB7"/>
    <w:rsid w:val="00DE5BF1"/>
    <w:rsid w:val="00DF4F27"/>
    <w:rsid w:val="00E07CE9"/>
    <w:rsid w:val="00E20DCC"/>
    <w:rsid w:val="00E723C5"/>
    <w:rsid w:val="00E80488"/>
    <w:rsid w:val="00E963A3"/>
    <w:rsid w:val="00EA1E90"/>
    <w:rsid w:val="00EE34F7"/>
    <w:rsid w:val="00EF5D7E"/>
    <w:rsid w:val="00F122E6"/>
    <w:rsid w:val="00F40136"/>
    <w:rsid w:val="00F51E41"/>
    <w:rsid w:val="00FD630A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4E3C"/>
    <w:pPr>
      <w:ind w:left="720"/>
      <w:contextualSpacing/>
    </w:pPr>
  </w:style>
  <w:style w:type="table" w:styleId="Mriekatabuky">
    <w:name w:val="Table Grid"/>
    <w:basedOn w:val="Normlnatabuka"/>
    <w:uiPriority w:val="59"/>
    <w:rsid w:val="003B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6E0FC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E0FCC"/>
    <w:rPr>
      <w:rFonts w:ascii="Times New Roman" w:eastAsia="Times New Roman" w:hAnsi="Times New Roman" w:cs="Times New Roman"/>
      <w:b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04B39C-74AF-45D2-8B33-1B50B95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8242</Characters>
  <Application>Microsoft Office Word</Application>
  <DocSecurity>0</DocSecurity>
  <Lines>749</Lines>
  <Paragraphs>311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Vidova Michaela</cp:lastModifiedBy>
  <cp:revision>2</cp:revision>
  <cp:lastPrinted>2022-07-07T12:25:00Z</cp:lastPrinted>
  <dcterms:created xsi:type="dcterms:W3CDTF">2022-08-10T14:45:00Z</dcterms:created>
  <dcterms:modified xsi:type="dcterms:W3CDTF">2022-08-10T14:45:00Z</dcterms:modified>
</cp:coreProperties>
</file>