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C4D1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37B35A25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61D92" w14:textId="7075E6E5" w:rsidR="00054C41" w:rsidRPr="0006704F" w:rsidRDefault="00054C41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0670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704F" w:rsidRPr="0006704F">
        <w:rPr>
          <w:rFonts w:ascii="Times New Roman" w:eastAsia="Calibri" w:hAnsi="Times New Roman" w:cs="Times New Roman"/>
          <w:sz w:val="24"/>
          <w:szCs w:val="24"/>
        </w:rPr>
        <w:t>Zákon, ktorým sa mení a dopĺňa zákon Národnej rady Slovenskej republiky č. 13/1993 Z. z. o umeleckých fondoch v znení neskorších predpisov</w:t>
      </w:r>
    </w:p>
    <w:p w14:paraId="77F96BF6" w14:textId="5467C03D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0670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704F" w:rsidRPr="0006704F">
        <w:rPr>
          <w:rFonts w:ascii="Times New Roman" w:eastAsia="Calibri" w:hAnsi="Times New Roman" w:cs="Times New Roman"/>
          <w:sz w:val="24"/>
          <w:szCs w:val="24"/>
        </w:rPr>
        <w:t>Ministerstvo kultúry Slovenskej republiky</w:t>
      </w:r>
    </w:p>
    <w:p w14:paraId="36AFBB5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400DC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1F1B4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0C56119" w14:textId="77777777" w:rsidR="00054C41" w:rsidRPr="001F1B43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2ADA32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1: Zmeny nákladov (ročne) v prepočte na podnikateľské prostredie</w:t>
      </w:r>
      <w:bookmarkStart w:id="0" w:name="_GoBack"/>
      <w:bookmarkEnd w:id="0"/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(PP), vyhodnotenie mechanizmu znižovania byrokracie a nákladov. </w:t>
      </w:r>
    </w:p>
    <w:p w14:paraId="4A016909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Nahraďte rovnakou tabuľkou po vyplnení Kalkulačky nákladov podnikateľského prostredia, ktorá je povinnou prílohou tejto analýzy a nájdete ju na </w:t>
      </w:r>
      <w:hyperlink r:id="rId10" w:history="1">
        <w:r w:rsidRPr="00D8247C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webovom sídle MH SR</w:t>
        </w:r>
      </w:hyperlink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(ďalej len </w:t>
      </w: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Kalkulačka nákladov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14:paraId="332752F1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800"/>
        <w:gridCol w:w="1220"/>
        <w:gridCol w:w="1540"/>
        <w:gridCol w:w="1140"/>
      </w:tblGrid>
      <w:tr w:rsidR="00EF354E" w:rsidRPr="00EF354E" w14:paraId="4771D197" w14:textId="77777777" w:rsidTr="00EF354E">
        <w:trPr>
          <w:trHeight w:val="51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F169" w14:textId="77777777" w:rsidR="00EF354E" w:rsidRPr="00EF354E" w:rsidRDefault="00EF354E" w:rsidP="00E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TYP NÁKLADOV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C3314C" w14:textId="77777777" w:rsidR="00EF354E" w:rsidRPr="00EF354E" w:rsidRDefault="00EF354E" w:rsidP="00E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Zvýšenie nákladov v € na PP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246F6AC" w14:textId="77777777" w:rsidR="00EF354E" w:rsidRPr="00EF354E" w:rsidRDefault="00EF354E" w:rsidP="00E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Zníženie nákladov v € na PP</w:t>
            </w:r>
          </w:p>
        </w:tc>
      </w:tr>
      <w:tr w:rsidR="00EF354E" w:rsidRPr="00EF354E" w14:paraId="1882162C" w14:textId="77777777" w:rsidTr="00EF354E">
        <w:trPr>
          <w:trHeight w:val="6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7507" w14:textId="77777777"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F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A.Dane</w:t>
            </w:r>
            <w:proofErr w:type="spellEnd"/>
            <w:r w:rsidRPr="00EF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, odvody, clá a poplatky, ktorých cieľom je znižovať negatívne </w:t>
            </w:r>
            <w:proofErr w:type="spellStart"/>
            <w:r w:rsidRPr="00EF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externality</w:t>
            </w:r>
            <w:proofErr w:type="spellEnd"/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D09251" w14:textId="77777777" w:rsidR="00EF354E" w:rsidRPr="00EF354E" w:rsidRDefault="00EF354E" w:rsidP="00E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B8A022C" w14:textId="77777777" w:rsidR="00EF354E" w:rsidRPr="00F634C4" w:rsidRDefault="00EF354E" w:rsidP="00E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634C4" w:rsidRPr="00EF354E" w14:paraId="3288D953" w14:textId="77777777" w:rsidTr="00EF35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4B3" w14:textId="77777777" w:rsidR="00F634C4" w:rsidRPr="00EF354E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B. Iné poplatky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533225" w14:textId="77777777" w:rsidR="00F634C4" w:rsidRPr="00EF354E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CB7641F" w14:textId="275F16BF" w:rsidR="00F634C4" w:rsidRPr="00F634C4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3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1 080 000</w:t>
            </w:r>
          </w:p>
        </w:tc>
      </w:tr>
      <w:tr w:rsidR="00F634C4" w:rsidRPr="00EF354E" w14:paraId="69E21ECC" w14:textId="77777777" w:rsidTr="00EF35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0A63" w14:textId="77777777" w:rsidR="00F634C4" w:rsidRPr="00EF354E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C. Nepriame finančné náklady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DC94B82" w14:textId="77777777" w:rsidR="00F634C4" w:rsidRPr="00EF354E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E62A85F" w14:textId="26732FB8" w:rsidR="00F634C4" w:rsidRPr="00F634C4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3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34C4" w:rsidRPr="00EF354E" w14:paraId="1C2A5864" w14:textId="77777777" w:rsidTr="00EF35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7398" w14:textId="77777777" w:rsidR="00F634C4" w:rsidRPr="00EF354E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D. Administratívne náklady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5934EE1" w14:textId="77777777" w:rsidR="00F634C4" w:rsidRPr="00EF354E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F460493" w14:textId="438B538C" w:rsidR="00F634C4" w:rsidRPr="00F634C4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3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58 818</w:t>
            </w:r>
          </w:p>
        </w:tc>
      </w:tr>
      <w:tr w:rsidR="00F634C4" w:rsidRPr="00EF354E" w14:paraId="54532DD0" w14:textId="77777777" w:rsidTr="00EF35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7C4" w14:textId="77777777" w:rsidR="00F634C4" w:rsidRPr="00EF354E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Spolu = A+B+C+D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ACF9FF7" w14:textId="77777777" w:rsidR="00F634C4" w:rsidRPr="00EF354E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A387E54" w14:textId="4FD699B4" w:rsidR="00F634C4" w:rsidRPr="00F634C4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3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1 138 818</w:t>
            </w:r>
          </w:p>
        </w:tc>
      </w:tr>
      <w:tr w:rsidR="00F634C4" w:rsidRPr="00EF354E" w14:paraId="006263EE" w14:textId="77777777" w:rsidTr="00EF35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617A" w14:textId="77777777" w:rsidR="00F634C4" w:rsidRPr="00EF354E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Z toho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D541CA" w14:textId="77777777" w:rsidR="00F634C4" w:rsidRPr="00EF354E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749AC44" w14:textId="2999F6DB" w:rsidR="00F634C4" w:rsidRPr="00F634C4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3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34C4" w:rsidRPr="00EF354E" w14:paraId="3FA94E06" w14:textId="77777777" w:rsidTr="00EF354E">
        <w:trPr>
          <w:trHeight w:val="6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4FEA" w14:textId="77777777" w:rsidR="00F634C4" w:rsidRPr="00EF354E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E. Vplyv na </w:t>
            </w:r>
            <w:proofErr w:type="spellStart"/>
            <w:r w:rsidRPr="00EF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mikro</w:t>
            </w:r>
            <w:proofErr w:type="spellEnd"/>
            <w:r w:rsidRPr="00EF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, malé a stredné </w:t>
            </w:r>
            <w:proofErr w:type="spellStart"/>
            <w:r w:rsidRPr="00EF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podn</w:t>
            </w:r>
            <w:proofErr w:type="spellEnd"/>
            <w:r w:rsidRPr="00EF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626B586" w14:textId="77777777" w:rsidR="00F634C4" w:rsidRPr="00EF354E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60EC506" w14:textId="1BE3D5CA" w:rsidR="00F634C4" w:rsidRPr="00F634C4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3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1 138 818</w:t>
            </w:r>
          </w:p>
        </w:tc>
      </w:tr>
      <w:tr w:rsidR="00F634C4" w:rsidRPr="00EF354E" w14:paraId="4B26D005" w14:textId="77777777" w:rsidTr="00EF354E">
        <w:trPr>
          <w:trHeight w:val="9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03A9" w14:textId="77777777" w:rsidR="00F634C4" w:rsidRPr="00EF354E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F. Úplná harmonizácia práva EÚ</w:t>
            </w:r>
            <w:r w:rsidRPr="00EF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  <w:r w:rsidRPr="00EF35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 xml:space="preserve">(okrem daní, odvodov, ciel a poplatkov, ktorých cieľom je znižovať negatívne </w:t>
            </w:r>
            <w:proofErr w:type="spellStart"/>
            <w:r w:rsidRPr="00EF35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externality</w:t>
            </w:r>
            <w:proofErr w:type="spellEnd"/>
            <w:r w:rsidRPr="00EF35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504F2D" w14:textId="77777777" w:rsidR="00F634C4" w:rsidRPr="00EF354E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AFA3096" w14:textId="1B816009" w:rsidR="00F634C4" w:rsidRPr="00F634C4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3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F354E" w:rsidRPr="00EF354E" w14:paraId="3EEF5CA4" w14:textId="77777777" w:rsidTr="00EF354E">
        <w:trPr>
          <w:trHeight w:val="2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2E61" w14:textId="77777777" w:rsidR="00EF354E" w:rsidRPr="00EF354E" w:rsidRDefault="00EF354E" w:rsidP="00E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FB8E" w14:textId="77777777"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158E4" w14:textId="77777777"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C08A8" w14:textId="77777777"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4E91B" w14:textId="77777777"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354E" w:rsidRPr="00EF354E" w14:paraId="34AB9D88" w14:textId="77777777" w:rsidTr="00EF354E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E361" w14:textId="77777777"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VÝPOČET PRAVIDLA 1in2out: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C3CFE58" w14:textId="77777777" w:rsidR="00EF354E" w:rsidRPr="00EF354E" w:rsidRDefault="00EF354E" w:rsidP="00E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AF6446B" w14:textId="77777777" w:rsidR="00EF354E" w:rsidRPr="00EF354E" w:rsidRDefault="00EF354E" w:rsidP="00E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OUT</w:t>
            </w:r>
          </w:p>
        </w:tc>
      </w:tr>
      <w:tr w:rsidR="00EF354E" w:rsidRPr="00EF354E" w14:paraId="46FA21DD" w14:textId="77777777" w:rsidTr="00EF354E">
        <w:trPr>
          <w:trHeight w:val="3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A05" w14:textId="77777777" w:rsidR="00EF354E" w:rsidRPr="00EF354E" w:rsidRDefault="00EF354E" w:rsidP="00EF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G. Náklady okrem výnimiek = B+C+D-F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1A3E3D3" w14:textId="77777777" w:rsidR="00EF354E" w:rsidRPr="00EF354E" w:rsidRDefault="00EF354E" w:rsidP="00E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F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767DF9B" w14:textId="58C7456C" w:rsidR="00EF354E" w:rsidRPr="00EF354E" w:rsidRDefault="00F634C4" w:rsidP="00E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1 138 818</w:t>
            </w:r>
          </w:p>
        </w:tc>
      </w:tr>
    </w:tbl>
    <w:p w14:paraId="533B49DD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248D945B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11E34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895898" w:rsidSect="00142154">
          <w:headerReference w:type="default" r:id="rId11"/>
          <w:footerReference w:type="default" r:id="rId12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0270A51C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448"/>
        <w:gridCol w:w="1034"/>
        <w:gridCol w:w="1129"/>
        <w:gridCol w:w="1296"/>
        <w:gridCol w:w="934"/>
        <w:gridCol w:w="1482"/>
        <w:gridCol w:w="974"/>
        <w:gridCol w:w="974"/>
        <w:gridCol w:w="982"/>
        <w:gridCol w:w="992"/>
        <w:gridCol w:w="1118"/>
      </w:tblGrid>
      <w:tr w:rsidR="00054C41" w:rsidRPr="00895898" w14:paraId="10CEFB11" w14:textId="77777777" w:rsidTr="00EF354E">
        <w:trPr>
          <w:trHeight w:val="1885"/>
        </w:trPr>
        <w:tc>
          <w:tcPr>
            <w:tcW w:w="498" w:type="dxa"/>
            <w:shd w:val="clear" w:color="auto" w:fill="BFBFBF"/>
            <w:vAlign w:val="center"/>
          </w:tcPr>
          <w:p w14:paraId="1FF4223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448" w:type="dxa"/>
            <w:shd w:val="clear" w:color="auto" w:fill="BFBFBF"/>
            <w:vAlign w:val="center"/>
            <w:hideMark/>
          </w:tcPr>
          <w:p w14:paraId="73D167A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34" w:type="dxa"/>
            <w:shd w:val="clear" w:color="auto" w:fill="BFBFBF"/>
          </w:tcPr>
          <w:p w14:paraId="438168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694B3C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21C1A8D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1D7822B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296" w:type="dxa"/>
            <w:shd w:val="clear" w:color="auto" w:fill="BFBFBF"/>
            <w:vAlign w:val="center"/>
          </w:tcPr>
          <w:p w14:paraId="24D9A1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4C175F7C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SK/EÚ úplná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./EÚ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37B6F9E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019DF54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23D8516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2" w:type="dxa"/>
            <w:shd w:val="clear" w:color="auto" w:fill="BFBFBF"/>
            <w:vAlign w:val="center"/>
          </w:tcPr>
          <w:p w14:paraId="3CB7D2B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Kategória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C2E01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 subjektov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1B1DCB42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subjektov MSP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610B763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FC33AF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kategóriu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 v €</w:t>
            </w:r>
          </w:p>
        </w:tc>
        <w:tc>
          <w:tcPr>
            <w:tcW w:w="1118" w:type="dxa"/>
            <w:shd w:val="clear" w:color="auto" w:fill="BFBFBF"/>
            <w:vAlign w:val="center"/>
          </w:tcPr>
          <w:p w14:paraId="4FBA739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3EF161D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4D4343D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288EFEBA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634C4" w:rsidRPr="00895898" w14:paraId="11758B9A" w14:textId="77777777" w:rsidTr="00EF354E">
        <w:trPr>
          <w:trHeight w:val="612"/>
        </w:trPr>
        <w:tc>
          <w:tcPr>
            <w:tcW w:w="498" w:type="dxa"/>
            <w:vAlign w:val="center"/>
          </w:tcPr>
          <w:p w14:paraId="6F827851" w14:textId="77777777" w:rsidR="00F634C4" w:rsidRPr="00895898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7B4E9DA7" w14:textId="3FE81EE2" w:rsidR="00F634C4" w:rsidRPr="00895898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Zrušenie povinnosti platiť príspevky 2 % autorských odmien alebo odmien výkonných (reprodukčných) umelcov umeleckým fondom</w:t>
            </w:r>
          </w:p>
        </w:tc>
        <w:tc>
          <w:tcPr>
            <w:tcW w:w="1034" w:type="dxa"/>
            <w:vAlign w:val="center"/>
          </w:tcPr>
          <w:p w14:paraId="120314F8" w14:textId="44E8381C" w:rsidR="00F634C4" w:rsidRPr="00895898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13/1993 Z. 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B4826F8" w14:textId="3F4C135D" w:rsidR="00F634C4" w:rsidRPr="00895898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§3 ods. 1</w:t>
            </w:r>
          </w:p>
        </w:tc>
        <w:tc>
          <w:tcPr>
            <w:tcW w:w="1296" w:type="dxa"/>
            <w:vAlign w:val="center"/>
          </w:tcPr>
          <w:p w14:paraId="3A0BA666" w14:textId="38CB9CAA" w:rsidR="00F634C4" w:rsidRPr="00895898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SK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FB7AA2" w14:textId="7645E718" w:rsidR="00F634C4" w:rsidRPr="00895898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01.01.23</w:t>
            </w:r>
          </w:p>
        </w:tc>
        <w:tc>
          <w:tcPr>
            <w:tcW w:w="1482" w:type="dxa"/>
            <w:vAlign w:val="center"/>
          </w:tcPr>
          <w:p w14:paraId="299C820D" w14:textId="72BF6C8A" w:rsidR="00F634C4" w:rsidRPr="00895898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príjemcovia autorských odmien alebo odmien výkonných (reprodukčných) umelcov umeleckým fondom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360775" w14:textId="7BA45B5C" w:rsidR="00F634C4" w:rsidRPr="00895898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17 756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7C9126E" w14:textId="3E3540C5" w:rsidR="00F634C4" w:rsidRPr="00895898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17 756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7D4FAC6" w14:textId="7E270613" w:rsidR="00F634C4" w:rsidRPr="00895898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55E97" w14:textId="1F0F14A9" w:rsidR="00F634C4" w:rsidRPr="00895898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1 080 000</w:t>
            </w:r>
          </w:p>
        </w:tc>
        <w:tc>
          <w:tcPr>
            <w:tcW w:w="1118" w:type="dxa"/>
            <w:vAlign w:val="center"/>
          </w:tcPr>
          <w:p w14:paraId="032A8679" w14:textId="2143C2FF" w:rsidR="00F634C4" w:rsidRPr="00895898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Out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(znižuje náklady)</w:t>
            </w:r>
          </w:p>
        </w:tc>
      </w:tr>
      <w:tr w:rsidR="00F634C4" w:rsidRPr="00895898" w14:paraId="3E85FB6C" w14:textId="77777777" w:rsidTr="00EF354E">
        <w:trPr>
          <w:trHeight w:val="600"/>
        </w:trPr>
        <w:tc>
          <w:tcPr>
            <w:tcW w:w="498" w:type="dxa"/>
            <w:vAlign w:val="center"/>
          </w:tcPr>
          <w:p w14:paraId="65795CE6" w14:textId="77777777" w:rsidR="00F634C4" w:rsidRPr="00895898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7BEDDF1C" w14:textId="3F9C6829" w:rsidR="00F634C4" w:rsidRPr="00895898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Zrušenie povinnosti platiť príspevky 2 % autorských odmien alebo odmien výkonných (reprodukčných) umelcov umeleckým fondom</w:t>
            </w:r>
          </w:p>
        </w:tc>
        <w:tc>
          <w:tcPr>
            <w:tcW w:w="1034" w:type="dxa"/>
            <w:vAlign w:val="center"/>
          </w:tcPr>
          <w:p w14:paraId="6F95232A" w14:textId="6B87680B" w:rsidR="00F634C4" w:rsidRPr="00895898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13/1993 Z. 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772F4F9" w14:textId="25F9C644" w:rsidR="00F634C4" w:rsidRPr="00895898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§3 ods. 1</w:t>
            </w:r>
          </w:p>
        </w:tc>
        <w:tc>
          <w:tcPr>
            <w:tcW w:w="1296" w:type="dxa"/>
            <w:vAlign w:val="center"/>
          </w:tcPr>
          <w:p w14:paraId="202CD1E5" w14:textId="5471C331" w:rsidR="00F634C4" w:rsidRPr="00895898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SK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27D0512" w14:textId="2B5A032C" w:rsidR="00F634C4" w:rsidRPr="00895898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01.01.23</w:t>
            </w:r>
          </w:p>
        </w:tc>
        <w:tc>
          <w:tcPr>
            <w:tcW w:w="1482" w:type="dxa"/>
            <w:vAlign w:val="center"/>
          </w:tcPr>
          <w:p w14:paraId="41387D4C" w14:textId="373876B1" w:rsidR="00F634C4" w:rsidRPr="00895898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platitelia autorských odmien alebo odmien výkonných (reprodukčných) umelcov umeleckým fondom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F2BACE5" w14:textId="2954455B" w:rsidR="00F634C4" w:rsidRPr="00895898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2 874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9949054" w14:textId="037A6E76" w:rsidR="00F634C4" w:rsidRPr="00895898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2 874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371B6C4" w14:textId="61D1A5F3" w:rsidR="00F634C4" w:rsidRPr="00895898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7D454A" w14:textId="7F0CA871" w:rsidR="00F634C4" w:rsidRPr="00895898" w:rsidRDefault="00F634C4" w:rsidP="00F6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58 818</w:t>
            </w:r>
          </w:p>
        </w:tc>
        <w:tc>
          <w:tcPr>
            <w:tcW w:w="1118" w:type="dxa"/>
            <w:vAlign w:val="center"/>
          </w:tcPr>
          <w:p w14:paraId="3CD7D152" w14:textId="22EC54FD" w:rsidR="00F634C4" w:rsidRPr="00895898" w:rsidRDefault="00F634C4" w:rsidP="00F6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Out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(znižuje náklady)</w:t>
            </w:r>
          </w:p>
        </w:tc>
      </w:tr>
    </w:tbl>
    <w:p w14:paraId="6E2FC1D4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392BDE53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8C9E067" w14:textId="4B7EFCBA" w:rsidR="00054C41" w:rsidRPr="00D8247C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</w:t>
      </w:r>
      <w:proofErr w:type="spellStart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link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na konkrétne štatistiky, ak sú dostupné na internete). Jednotlivé regulácie môžu mať jeden alebo viac typov nákladov (A. Dane, odvody, clá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a poplatky, ktorých cieľom je znižovať negatívne </w:t>
      </w:r>
      <w:proofErr w:type="spellStart"/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externality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B. 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Iné p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oplatky, C. Nepriame finančné náklady, D. Administratívne náklady). Rozčleňte ich a vypočítajte v súlade s metodickým postupom. </w:t>
      </w:r>
    </w:p>
    <w:p w14:paraId="13B2860B" w14:textId="3333B870" w:rsidR="00054C41" w:rsidRPr="003F4FF8" w:rsidRDefault="001B19D0" w:rsidP="003F4FF8">
      <w:pPr>
        <w:pStyle w:val="Odsekzoznamu"/>
        <w:numPr>
          <w:ilvl w:val="0"/>
          <w:numId w:val="9"/>
        </w:numPr>
        <w:tabs>
          <w:tab w:val="left" w:pos="567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3F4FF8">
        <w:rPr>
          <w:rFonts w:ascii="Times New Roman" w:eastAsia="Calibri" w:hAnsi="Times New Roman" w:cs="Times New Roman"/>
          <w:sz w:val="24"/>
          <w:szCs w:val="24"/>
        </w:rPr>
        <w:t>Sumy, ktorú umelecké fondy získali z príspevkov 2 % za</w:t>
      </w:r>
      <w:r w:rsidR="003F4FF8">
        <w:rPr>
          <w:rFonts w:ascii="Times New Roman" w:eastAsia="Calibri" w:hAnsi="Times New Roman" w:cs="Times New Roman"/>
          <w:sz w:val="24"/>
          <w:szCs w:val="24"/>
        </w:rPr>
        <w:t xml:space="preserve"> roky 2019 - 2020</w:t>
      </w:r>
      <w:r w:rsidRPr="003F4FF8">
        <w:rPr>
          <w:rFonts w:ascii="Times New Roman" w:eastAsia="Calibri" w:hAnsi="Times New Roman" w:cs="Times New Roman"/>
          <w:sz w:val="24"/>
          <w:szCs w:val="24"/>
        </w:rPr>
        <w:t>, sú uvedené v tabuľke 3.</w:t>
      </w:r>
      <w:r w:rsidR="003F4FF8">
        <w:rPr>
          <w:rFonts w:ascii="Times New Roman" w:eastAsia="Calibri" w:hAnsi="Times New Roman" w:cs="Times New Roman"/>
          <w:sz w:val="24"/>
          <w:szCs w:val="24"/>
        </w:rPr>
        <w:t xml:space="preserve"> Výber príspevkov v rokoch 2020 a 2021 významne klesol, pretože povinnosť ich platiť bola zrušená v rámci </w:t>
      </w:r>
      <w:proofErr w:type="spellStart"/>
      <w:r w:rsidR="003F4FF8">
        <w:rPr>
          <w:rFonts w:ascii="Times New Roman" w:eastAsia="Calibri" w:hAnsi="Times New Roman" w:cs="Times New Roman"/>
          <w:sz w:val="24"/>
          <w:szCs w:val="24"/>
        </w:rPr>
        <w:t>protipandemických</w:t>
      </w:r>
      <w:proofErr w:type="spellEnd"/>
      <w:r w:rsidR="003F4FF8">
        <w:rPr>
          <w:rFonts w:ascii="Times New Roman" w:eastAsia="Calibri" w:hAnsi="Times New Roman" w:cs="Times New Roman"/>
          <w:sz w:val="24"/>
          <w:szCs w:val="24"/>
        </w:rPr>
        <w:t xml:space="preserve"> opatrení. Ak by navrhovaná úprava nebola prijatá a platby by sa opäť stali povinné, predpokladá sa výber ako v roku 2019 (pred pandémiou Covid-19), teda na úrovni cca 1 080 000 eur.</w:t>
      </w:r>
    </w:p>
    <w:p w14:paraId="33ACD5CA" w14:textId="5CDCFBE4" w:rsidR="001B19D0" w:rsidRPr="001B19D0" w:rsidRDefault="001B19D0" w:rsidP="00054C4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19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Tabuľka 3: </w:t>
      </w:r>
      <w:r w:rsidR="00E01C76">
        <w:rPr>
          <w:rFonts w:ascii="Times New Roman" w:eastAsia="Calibri" w:hAnsi="Times New Roman" w:cs="Times New Roman"/>
          <w:sz w:val="24"/>
          <w:szCs w:val="24"/>
          <w:u w:val="single"/>
        </w:rPr>
        <w:t>Ú</w:t>
      </w:r>
      <w:r w:rsidRPr="001B19D0">
        <w:rPr>
          <w:rFonts w:ascii="Times New Roman" w:eastAsia="Calibri" w:hAnsi="Times New Roman" w:cs="Times New Roman"/>
          <w:sz w:val="24"/>
          <w:szCs w:val="24"/>
          <w:u w:val="single"/>
        </w:rPr>
        <w:t>hrn vybraných príspevkov 2 %</w:t>
      </w:r>
      <w:r w:rsidR="00E01C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(zdroj: výročné správy umeleckých fondov)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2"/>
        <w:gridCol w:w="1680"/>
        <w:gridCol w:w="1664"/>
        <w:gridCol w:w="2344"/>
        <w:gridCol w:w="2272"/>
      </w:tblGrid>
      <w:tr w:rsidR="003F4FF8" w14:paraId="63A7E2E5" w14:textId="0A18F1B9" w:rsidTr="003F4FF8">
        <w:tc>
          <w:tcPr>
            <w:tcW w:w="1102" w:type="dxa"/>
          </w:tcPr>
          <w:p w14:paraId="789AD31C" w14:textId="77777777" w:rsidR="003F4FF8" w:rsidRDefault="003F4FF8" w:rsidP="00054C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6A1D7E0" w14:textId="2902EBA1" w:rsidR="003F4FF8" w:rsidRDefault="003F4FF8" w:rsidP="00054C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Literárny fond</w:t>
            </w:r>
          </w:p>
        </w:tc>
        <w:tc>
          <w:tcPr>
            <w:tcW w:w="1664" w:type="dxa"/>
          </w:tcPr>
          <w:p w14:paraId="69E38C35" w14:textId="1763D634" w:rsidR="003F4FF8" w:rsidRDefault="003F4FF8" w:rsidP="00054C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Hudobný fond</w:t>
            </w:r>
          </w:p>
        </w:tc>
        <w:tc>
          <w:tcPr>
            <w:tcW w:w="2344" w:type="dxa"/>
          </w:tcPr>
          <w:p w14:paraId="5986B34E" w14:textId="1869F155" w:rsidR="003F4FF8" w:rsidRDefault="003F4FF8" w:rsidP="00054C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Fond výtvarných umení</w:t>
            </w:r>
          </w:p>
        </w:tc>
        <w:tc>
          <w:tcPr>
            <w:tcW w:w="2272" w:type="dxa"/>
          </w:tcPr>
          <w:p w14:paraId="79FDEA65" w14:textId="622EFCB7" w:rsidR="003F4FF8" w:rsidRDefault="003F4FF8" w:rsidP="00054C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Spolu</w:t>
            </w:r>
          </w:p>
        </w:tc>
      </w:tr>
      <w:tr w:rsidR="003F4FF8" w14:paraId="5B346B90" w14:textId="1D161AA2" w:rsidTr="003F4FF8">
        <w:tc>
          <w:tcPr>
            <w:tcW w:w="1102" w:type="dxa"/>
          </w:tcPr>
          <w:p w14:paraId="3AB8501F" w14:textId="4E58A1C9" w:rsidR="003F4FF8" w:rsidRDefault="003F4FF8" w:rsidP="001B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80" w:type="dxa"/>
            <w:vAlign w:val="bottom"/>
          </w:tcPr>
          <w:p w14:paraId="4BE68270" w14:textId="36745B8A" w:rsidR="003F4FF8" w:rsidRPr="00846AB5" w:rsidRDefault="003F4FF8" w:rsidP="001B19D0">
            <w:pPr>
              <w:rPr>
                <w:rFonts w:ascii="Times New Roman" w:eastAsia="Calibri" w:hAnsi="Times New Roman" w:cs="Times New Roman"/>
              </w:rPr>
            </w:pPr>
            <w:r w:rsidRPr="00846AB5">
              <w:rPr>
                <w:rFonts w:ascii="Times New Roman" w:eastAsia="Calibri" w:hAnsi="Times New Roman" w:cs="Times New Roman"/>
              </w:rPr>
              <w:t>879 797,00</w:t>
            </w:r>
          </w:p>
        </w:tc>
        <w:tc>
          <w:tcPr>
            <w:tcW w:w="1664" w:type="dxa"/>
            <w:vAlign w:val="bottom"/>
          </w:tcPr>
          <w:p w14:paraId="6526DFF9" w14:textId="28E88298" w:rsidR="003F4FF8" w:rsidRPr="00846AB5" w:rsidRDefault="003F4FF8" w:rsidP="001B19D0">
            <w:pPr>
              <w:rPr>
                <w:rFonts w:ascii="Times New Roman" w:eastAsia="Calibri" w:hAnsi="Times New Roman" w:cs="Times New Roman"/>
              </w:rPr>
            </w:pPr>
            <w:r w:rsidRPr="00846AB5">
              <w:rPr>
                <w:rFonts w:ascii="Times New Roman" w:eastAsia="Calibri" w:hAnsi="Times New Roman" w:cs="Times New Roman"/>
              </w:rPr>
              <w:t>135 976,76</w:t>
            </w:r>
          </w:p>
        </w:tc>
        <w:tc>
          <w:tcPr>
            <w:tcW w:w="2344" w:type="dxa"/>
            <w:vAlign w:val="bottom"/>
          </w:tcPr>
          <w:p w14:paraId="1F6B32C5" w14:textId="7AE6C34D" w:rsidR="003F4FF8" w:rsidRPr="00846AB5" w:rsidRDefault="003F4FF8" w:rsidP="001B19D0">
            <w:pPr>
              <w:rPr>
                <w:rFonts w:ascii="Times New Roman" w:eastAsia="Calibri" w:hAnsi="Times New Roman" w:cs="Times New Roman"/>
              </w:rPr>
            </w:pPr>
            <w:r w:rsidRPr="00846AB5">
              <w:rPr>
                <w:rFonts w:ascii="Times New Roman" w:eastAsia="Calibri" w:hAnsi="Times New Roman" w:cs="Times New Roman"/>
              </w:rPr>
              <w:t>65 961,00</w:t>
            </w:r>
          </w:p>
        </w:tc>
        <w:tc>
          <w:tcPr>
            <w:tcW w:w="2272" w:type="dxa"/>
          </w:tcPr>
          <w:p w14:paraId="740868BA" w14:textId="6CBAA3E0" w:rsidR="003F4FF8" w:rsidRPr="00846AB5" w:rsidRDefault="003F4FF8" w:rsidP="001B19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1 081 735</w:t>
            </w:r>
          </w:p>
        </w:tc>
      </w:tr>
      <w:tr w:rsidR="003F4FF8" w14:paraId="15606E47" w14:textId="01A6AA66" w:rsidTr="003F4FF8">
        <w:tc>
          <w:tcPr>
            <w:tcW w:w="1102" w:type="dxa"/>
          </w:tcPr>
          <w:p w14:paraId="050F5D0A" w14:textId="5FA81D86" w:rsidR="003F4FF8" w:rsidRDefault="003F4FF8" w:rsidP="001B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80" w:type="dxa"/>
            <w:vAlign w:val="bottom"/>
          </w:tcPr>
          <w:p w14:paraId="3971076C" w14:textId="21094158" w:rsidR="003F4FF8" w:rsidRPr="00846AB5" w:rsidRDefault="003F4FF8" w:rsidP="001B19D0">
            <w:pPr>
              <w:rPr>
                <w:rFonts w:ascii="Times New Roman" w:eastAsia="Calibri" w:hAnsi="Times New Roman" w:cs="Times New Roman"/>
              </w:rPr>
            </w:pPr>
            <w:r w:rsidRPr="00846AB5">
              <w:rPr>
                <w:rFonts w:ascii="Times New Roman" w:eastAsia="Calibri" w:hAnsi="Times New Roman" w:cs="Times New Roman"/>
              </w:rPr>
              <w:t>438 231,00</w:t>
            </w:r>
          </w:p>
        </w:tc>
        <w:tc>
          <w:tcPr>
            <w:tcW w:w="1664" w:type="dxa"/>
            <w:vAlign w:val="bottom"/>
          </w:tcPr>
          <w:p w14:paraId="40369C51" w14:textId="7B1C8B28" w:rsidR="003F4FF8" w:rsidRPr="00846AB5" w:rsidRDefault="003F4FF8" w:rsidP="001B19D0">
            <w:pPr>
              <w:rPr>
                <w:rFonts w:ascii="Times New Roman" w:eastAsia="Calibri" w:hAnsi="Times New Roman" w:cs="Times New Roman"/>
              </w:rPr>
            </w:pPr>
            <w:r w:rsidRPr="00846AB5">
              <w:rPr>
                <w:rFonts w:ascii="Times New Roman" w:eastAsia="Calibri" w:hAnsi="Times New Roman" w:cs="Times New Roman"/>
              </w:rPr>
              <w:t>37 855,00</w:t>
            </w:r>
          </w:p>
        </w:tc>
        <w:tc>
          <w:tcPr>
            <w:tcW w:w="2344" w:type="dxa"/>
          </w:tcPr>
          <w:p w14:paraId="0A17A05A" w14:textId="6451A23C" w:rsidR="003F4FF8" w:rsidRPr="00846AB5" w:rsidRDefault="003F4FF8" w:rsidP="001B19D0">
            <w:pPr>
              <w:rPr>
                <w:rFonts w:ascii="Times New Roman" w:eastAsia="Calibri" w:hAnsi="Times New Roman" w:cs="Times New Roman"/>
                <w:i/>
              </w:rPr>
            </w:pPr>
            <w:r w:rsidRPr="00846AB5">
              <w:rPr>
                <w:rFonts w:ascii="Times New Roman" w:eastAsia="Calibri" w:hAnsi="Times New Roman" w:cs="Times New Roman"/>
                <w:i/>
              </w:rPr>
              <w:t>nezverejnené</w:t>
            </w:r>
          </w:p>
        </w:tc>
        <w:tc>
          <w:tcPr>
            <w:tcW w:w="2272" w:type="dxa"/>
          </w:tcPr>
          <w:p w14:paraId="71E3C439" w14:textId="77777777" w:rsidR="003F4FF8" w:rsidRPr="00846AB5" w:rsidRDefault="003F4FF8" w:rsidP="001B19D0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3F4FF8" w14:paraId="6D793023" w14:textId="49EBAF40" w:rsidTr="003F4FF8">
        <w:tc>
          <w:tcPr>
            <w:tcW w:w="1102" w:type="dxa"/>
          </w:tcPr>
          <w:p w14:paraId="2F7361CD" w14:textId="72938BD5" w:rsidR="003F4FF8" w:rsidRDefault="003F4FF8" w:rsidP="00054C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80" w:type="dxa"/>
          </w:tcPr>
          <w:p w14:paraId="787BBE4D" w14:textId="03D09D62" w:rsidR="003F4FF8" w:rsidRPr="00846AB5" w:rsidRDefault="003F4FF8" w:rsidP="00054C41">
            <w:pPr>
              <w:rPr>
                <w:rFonts w:ascii="Times New Roman" w:eastAsia="Calibri" w:hAnsi="Times New Roman" w:cs="Times New Roman"/>
              </w:rPr>
            </w:pPr>
            <w:r w:rsidRPr="00846AB5">
              <w:rPr>
                <w:rFonts w:ascii="Times New Roman" w:eastAsia="Calibri" w:hAnsi="Times New Roman" w:cs="Times New Roman"/>
                <w:i/>
              </w:rPr>
              <w:t>nezverejnené</w:t>
            </w:r>
          </w:p>
        </w:tc>
        <w:tc>
          <w:tcPr>
            <w:tcW w:w="1664" w:type="dxa"/>
          </w:tcPr>
          <w:p w14:paraId="3E407F17" w14:textId="421375D4" w:rsidR="003F4FF8" w:rsidRPr="00846AB5" w:rsidRDefault="003F4FF8" w:rsidP="00054C41">
            <w:pPr>
              <w:rPr>
                <w:rFonts w:ascii="Times New Roman" w:eastAsia="Calibri" w:hAnsi="Times New Roman" w:cs="Times New Roman"/>
              </w:rPr>
            </w:pPr>
            <w:r w:rsidRPr="00846AB5">
              <w:rPr>
                <w:rFonts w:ascii="Times New Roman" w:eastAsia="Calibri" w:hAnsi="Times New Roman" w:cs="Times New Roman"/>
              </w:rPr>
              <w:t>11 614,82</w:t>
            </w:r>
          </w:p>
        </w:tc>
        <w:tc>
          <w:tcPr>
            <w:tcW w:w="2344" w:type="dxa"/>
          </w:tcPr>
          <w:p w14:paraId="4B587D95" w14:textId="48050654" w:rsidR="003F4FF8" w:rsidRPr="00846AB5" w:rsidRDefault="003F4FF8" w:rsidP="00054C41">
            <w:pPr>
              <w:rPr>
                <w:rFonts w:ascii="Times New Roman" w:eastAsia="Calibri" w:hAnsi="Times New Roman" w:cs="Times New Roman"/>
              </w:rPr>
            </w:pPr>
            <w:r w:rsidRPr="00846AB5">
              <w:rPr>
                <w:rFonts w:ascii="Times New Roman" w:eastAsia="Calibri" w:hAnsi="Times New Roman" w:cs="Times New Roman"/>
                <w:i/>
              </w:rPr>
              <w:t>nezverejnené</w:t>
            </w:r>
          </w:p>
        </w:tc>
        <w:tc>
          <w:tcPr>
            <w:tcW w:w="2272" w:type="dxa"/>
          </w:tcPr>
          <w:p w14:paraId="71AF08E2" w14:textId="77777777" w:rsidR="003F4FF8" w:rsidRPr="00846AB5" w:rsidRDefault="003F4FF8" w:rsidP="00054C41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02182B0B" w14:textId="606156F3" w:rsidR="001B19D0" w:rsidRDefault="001B19D0" w:rsidP="00054C41">
      <w:pPr>
        <w:rPr>
          <w:rFonts w:ascii="Times New Roman" w:eastAsia="Calibri" w:hAnsi="Times New Roman" w:cs="Times New Roman"/>
          <w:sz w:val="24"/>
          <w:szCs w:val="24"/>
        </w:rPr>
      </w:pPr>
    </w:p>
    <w:p w14:paraId="309C5D9F" w14:textId="28ED9BB5" w:rsidR="003F4FF8" w:rsidRPr="00F145A2" w:rsidRDefault="003F4FF8" w:rsidP="003F4F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eastAsia="Calibri"/>
          <w:color w:val="000000" w:themeColor="text1"/>
          <w:lang w:eastAsia="en-US"/>
        </w:rPr>
        <w:t xml:space="preserve">Počet </w:t>
      </w:r>
      <w:r w:rsidRPr="003F4FF8">
        <w:rPr>
          <w:rFonts w:eastAsia="Calibri"/>
          <w:color w:val="000000" w:themeColor="text1"/>
          <w:lang w:eastAsia="en-US"/>
        </w:rPr>
        <w:t xml:space="preserve">príjemcov autorských odmien alebo odmien výkonných (reprodukčných) umelcov </w:t>
      </w:r>
      <w:r>
        <w:rPr>
          <w:rFonts w:eastAsia="Calibri"/>
          <w:color w:val="000000" w:themeColor="text1"/>
          <w:lang w:eastAsia="en-US"/>
        </w:rPr>
        <w:t xml:space="preserve">a dedičov práv je odhadnutý na cca 18,000 podľa počtu nositeľov práv zastupovaných piatimi organizáciami kolektívnej správy (fyzické aj právnické osoby). Údaje vychádzajú z výročných správ organizácií kolektívnej správy (za rok 2019) a z údajov zverejnených na ich </w:t>
      </w:r>
      <w:proofErr w:type="spellStart"/>
      <w:r>
        <w:rPr>
          <w:rFonts w:eastAsia="Calibri"/>
          <w:color w:val="000000" w:themeColor="text1"/>
          <w:lang w:eastAsia="en-US"/>
        </w:rPr>
        <w:t>webstránkach</w:t>
      </w:r>
      <w:proofErr w:type="spellEnd"/>
      <w:r>
        <w:rPr>
          <w:rFonts w:eastAsia="Calibri"/>
          <w:color w:val="000000" w:themeColor="text1"/>
          <w:lang w:eastAsia="en-US"/>
        </w:rPr>
        <w:t>. Počet nezastupovaných autorov nie je podľa dostupných dát možné odhadnúť.</w:t>
      </w:r>
    </w:p>
    <w:p w14:paraId="79C07446" w14:textId="77777777" w:rsidR="003F4FF8" w:rsidRPr="009064D6" w:rsidRDefault="003F4FF8" w:rsidP="003F4FF8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eastAsia="Calibri"/>
          <w:color w:val="000000" w:themeColor="text1"/>
          <w:lang w:eastAsia="en-US"/>
        </w:rPr>
      </w:pPr>
      <w:r w:rsidRPr="009064D6">
        <w:rPr>
          <w:rFonts w:eastAsia="Calibri"/>
          <w:color w:val="000000" w:themeColor="text1"/>
          <w:lang w:eastAsia="en-US"/>
        </w:rPr>
        <w:t>LITA – 3</w:t>
      </w:r>
      <w:r>
        <w:rPr>
          <w:rFonts w:eastAsia="Calibri"/>
          <w:color w:val="000000" w:themeColor="text1"/>
          <w:lang w:eastAsia="en-US"/>
        </w:rPr>
        <w:t> </w:t>
      </w:r>
      <w:r w:rsidRPr="009064D6">
        <w:rPr>
          <w:rFonts w:eastAsia="Calibri"/>
          <w:color w:val="000000" w:themeColor="text1"/>
          <w:lang w:eastAsia="en-US"/>
        </w:rPr>
        <w:t>730</w:t>
      </w:r>
      <w:r>
        <w:rPr>
          <w:rFonts w:eastAsia="Calibri"/>
          <w:color w:val="000000" w:themeColor="text1"/>
          <w:lang w:eastAsia="en-US"/>
        </w:rPr>
        <w:t xml:space="preserve"> autorov</w:t>
      </w:r>
    </w:p>
    <w:p w14:paraId="6739A7A0" w14:textId="77777777" w:rsidR="003F4FF8" w:rsidRPr="009064D6" w:rsidRDefault="003F4FF8" w:rsidP="003F4FF8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eastAsia="Calibri"/>
          <w:color w:val="000000" w:themeColor="text1"/>
          <w:lang w:eastAsia="en-US"/>
        </w:rPr>
      </w:pPr>
      <w:r w:rsidRPr="009064D6">
        <w:rPr>
          <w:rFonts w:eastAsia="Calibri"/>
          <w:color w:val="000000" w:themeColor="text1"/>
          <w:lang w:eastAsia="en-US"/>
        </w:rPr>
        <w:t xml:space="preserve">SOZA – 3 099 </w:t>
      </w:r>
      <w:r>
        <w:rPr>
          <w:rFonts w:eastAsia="Calibri"/>
          <w:color w:val="000000" w:themeColor="text1"/>
          <w:lang w:eastAsia="en-US"/>
        </w:rPr>
        <w:t xml:space="preserve">autorov </w:t>
      </w:r>
      <w:r w:rsidRPr="009064D6">
        <w:rPr>
          <w:rFonts w:eastAsia="Calibri"/>
          <w:color w:val="000000" w:themeColor="text1"/>
          <w:lang w:eastAsia="en-US"/>
        </w:rPr>
        <w:t>+ 464 dedičov</w:t>
      </w:r>
    </w:p>
    <w:p w14:paraId="29E08B41" w14:textId="77777777" w:rsidR="003F4FF8" w:rsidRPr="009064D6" w:rsidRDefault="003F4FF8" w:rsidP="003F4FF8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eastAsia="Calibri"/>
          <w:color w:val="000000" w:themeColor="text1"/>
          <w:lang w:eastAsia="en-US"/>
        </w:rPr>
      </w:pPr>
      <w:r w:rsidRPr="009064D6">
        <w:rPr>
          <w:rFonts w:eastAsia="Calibri"/>
          <w:color w:val="000000" w:themeColor="text1"/>
          <w:lang w:eastAsia="en-US"/>
        </w:rPr>
        <w:t xml:space="preserve">SLOVGRAM – </w:t>
      </w:r>
      <w:r>
        <w:rPr>
          <w:rFonts w:eastAsia="Calibri"/>
          <w:color w:val="000000" w:themeColor="text1"/>
          <w:lang w:eastAsia="en-US"/>
        </w:rPr>
        <w:t xml:space="preserve">cca </w:t>
      </w:r>
      <w:r w:rsidRPr="009064D6">
        <w:rPr>
          <w:rFonts w:eastAsia="Calibri"/>
          <w:color w:val="000000" w:themeColor="text1"/>
          <w:lang w:eastAsia="en-US"/>
        </w:rPr>
        <w:t xml:space="preserve">6 000 </w:t>
      </w:r>
      <w:r>
        <w:rPr>
          <w:rFonts w:eastAsia="Calibri"/>
          <w:color w:val="000000" w:themeColor="text1"/>
          <w:lang w:eastAsia="en-US"/>
        </w:rPr>
        <w:t xml:space="preserve">výkonných </w:t>
      </w:r>
      <w:r w:rsidRPr="009064D6">
        <w:rPr>
          <w:rFonts w:eastAsia="Calibri"/>
          <w:color w:val="000000" w:themeColor="text1"/>
          <w:lang w:eastAsia="en-US"/>
        </w:rPr>
        <w:t>umelcov + 500 telies + 800 výrobcov nosičov</w:t>
      </w:r>
    </w:p>
    <w:p w14:paraId="264B0632" w14:textId="77777777" w:rsidR="003F4FF8" w:rsidRPr="009064D6" w:rsidRDefault="003F4FF8" w:rsidP="003F4FF8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eastAsia="Calibri"/>
          <w:color w:val="000000" w:themeColor="text1"/>
          <w:lang w:eastAsia="en-US"/>
        </w:rPr>
      </w:pPr>
      <w:r w:rsidRPr="009064D6">
        <w:rPr>
          <w:rFonts w:eastAsia="Calibri"/>
          <w:color w:val="000000" w:themeColor="text1"/>
          <w:lang w:eastAsia="en-US"/>
        </w:rPr>
        <w:t xml:space="preserve">OZIS – 2 647 </w:t>
      </w:r>
      <w:r>
        <w:rPr>
          <w:rFonts w:eastAsia="Calibri"/>
          <w:color w:val="000000" w:themeColor="text1"/>
          <w:lang w:eastAsia="en-US"/>
        </w:rPr>
        <w:t xml:space="preserve">výkonných </w:t>
      </w:r>
      <w:r w:rsidRPr="009064D6">
        <w:rPr>
          <w:rFonts w:eastAsia="Calibri"/>
          <w:color w:val="000000" w:themeColor="text1"/>
          <w:lang w:eastAsia="en-US"/>
        </w:rPr>
        <w:t xml:space="preserve">umelcov + 280 </w:t>
      </w:r>
      <w:r>
        <w:rPr>
          <w:rFonts w:eastAsia="Calibri"/>
          <w:color w:val="000000" w:themeColor="text1"/>
          <w:lang w:eastAsia="en-US"/>
        </w:rPr>
        <w:t>telies</w:t>
      </w:r>
      <w:r w:rsidRPr="009064D6">
        <w:rPr>
          <w:rFonts w:eastAsia="Calibri"/>
          <w:color w:val="000000" w:themeColor="text1"/>
          <w:lang w:eastAsia="en-US"/>
        </w:rPr>
        <w:t xml:space="preserve"> + 176 dedičov</w:t>
      </w:r>
    </w:p>
    <w:p w14:paraId="27396DE1" w14:textId="77777777" w:rsidR="003F4FF8" w:rsidRDefault="003F4FF8" w:rsidP="003F4FF8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eastAsia="Calibri"/>
          <w:color w:val="000000" w:themeColor="text1"/>
          <w:lang w:eastAsia="en-US"/>
        </w:rPr>
      </w:pPr>
      <w:r w:rsidRPr="009064D6">
        <w:rPr>
          <w:rFonts w:eastAsia="Calibri"/>
          <w:color w:val="000000" w:themeColor="text1"/>
          <w:lang w:eastAsia="en-US"/>
        </w:rPr>
        <w:t xml:space="preserve">SAPA </w:t>
      </w:r>
      <w:r>
        <w:rPr>
          <w:rFonts w:eastAsia="Calibri"/>
          <w:color w:val="000000" w:themeColor="text1"/>
          <w:lang w:eastAsia="en-US"/>
        </w:rPr>
        <w:t>–</w:t>
      </w:r>
      <w:r w:rsidRPr="009064D6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lang w:eastAsia="en-US"/>
        </w:rPr>
        <w:t>cca 60 producentov (spoločností)</w:t>
      </w:r>
    </w:p>
    <w:p w14:paraId="61390FAD" w14:textId="77777777" w:rsidR="003F4FF8" w:rsidRDefault="003F4FF8" w:rsidP="003F4FF8">
      <w:pPr>
        <w:pStyle w:val="xmsonormal"/>
        <w:shd w:val="clear" w:color="auto" w:fill="FFFFFF"/>
        <w:spacing w:before="0" w:beforeAutospacing="0" w:after="0" w:afterAutospacing="0"/>
        <w:rPr>
          <w:rFonts w:eastAsia="Calibri"/>
          <w:color w:val="000000" w:themeColor="text1"/>
          <w:lang w:eastAsia="en-US"/>
        </w:rPr>
      </w:pPr>
    </w:p>
    <w:p w14:paraId="651B4FDD" w14:textId="3E7B2A3F" w:rsidR="003F4FF8" w:rsidRDefault="003F4FF8" w:rsidP="003F4FF8">
      <w:pPr>
        <w:pStyle w:val="xmsonormal"/>
        <w:shd w:val="clear" w:color="auto" w:fill="FFFFFF"/>
        <w:spacing w:before="0" w:beforeAutospacing="0" w:after="0" w:afterAutospacing="0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SPOLU -  17,756 autorov, výkonných umelcov a dedičov práv.</w:t>
      </w:r>
    </w:p>
    <w:p w14:paraId="069DB09F" w14:textId="6A8D81F3" w:rsidR="003F4FF8" w:rsidRDefault="003F4FF8" w:rsidP="00054C41">
      <w:pPr>
        <w:rPr>
          <w:rFonts w:ascii="Times New Roman" w:eastAsia="Calibri" w:hAnsi="Times New Roman" w:cs="Times New Roman"/>
          <w:sz w:val="24"/>
          <w:szCs w:val="24"/>
        </w:rPr>
      </w:pPr>
    </w:p>
    <w:p w14:paraId="51BF3E56" w14:textId="28839012" w:rsidR="003F4FF8" w:rsidRDefault="003F4FF8" w:rsidP="003F4FF8">
      <w:pPr>
        <w:pStyle w:val="Odsekzoznamu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3F4FF8">
        <w:rPr>
          <w:rFonts w:ascii="Times New Roman" w:eastAsia="Calibri" w:hAnsi="Times New Roman" w:cs="Times New Roman"/>
          <w:sz w:val="24"/>
          <w:szCs w:val="24"/>
        </w:rPr>
        <w:t>Administr</w:t>
      </w:r>
      <w:r>
        <w:rPr>
          <w:rFonts w:ascii="Times New Roman" w:eastAsia="Calibri" w:hAnsi="Times New Roman" w:cs="Times New Roman"/>
          <w:sz w:val="24"/>
          <w:szCs w:val="24"/>
        </w:rPr>
        <w:t>atívne náklady príspevkov spravidla znášajú platitelia autorských odmien a odmien výkonných umelcov, ktorí, ak sa s autorom nedohodnú inak, zrážajú príspevky priamo z autorských odmien. Počet subjektov, ktoré potenciálne vyplácajú autorské odmeny a odmeny výkonných umelcov, je odhadnutý na cca 3 000 (Tabuľka 4). Administratívna záťaž je odhadnutá ako 10-minútový administratívny úkon raz mesačne.</w:t>
      </w:r>
    </w:p>
    <w:p w14:paraId="5A3ADE1A" w14:textId="2CBE0FCC" w:rsidR="003F4FF8" w:rsidRPr="00E01C76" w:rsidRDefault="003F4FF8" w:rsidP="003F4FF8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1C76">
        <w:rPr>
          <w:rFonts w:ascii="Times New Roman" w:eastAsia="Calibri" w:hAnsi="Times New Roman" w:cs="Times New Roman"/>
          <w:sz w:val="24"/>
          <w:szCs w:val="24"/>
          <w:u w:val="single"/>
        </w:rPr>
        <w:t>Tabuľka 4: Počet subjektov, ktoré vyplácajú odmeny autorov a výkonných umelcov (zdroj: KULT 2020)</w:t>
      </w:r>
    </w:p>
    <w:tbl>
      <w:tblPr>
        <w:tblW w:w="5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1316"/>
      </w:tblGrid>
      <w:tr w:rsidR="003F4FF8" w:rsidRPr="003F4FF8" w14:paraId="4BD980A7" w14:textId="77777777" w:rsidTr="00E01C76">
        <w:trPr>
          <w:trHeight w:val="260"/>
        </w:trPr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D82A6" w14:textId="77777777" w:rsidR="003F4FF8" w:rsidRPr="003F4FF8" w:rsidRDefault="003F4FF8" w:rsidP="003F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A06F4" w14:textId="77777777" w:rsidR="003F4FF8" w:rsidRPr="003F4FF8" w:rsidRDefault="003F4FF8" w:rsidP="003F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4FF8" w:rsidRPr="00E01C76" w14:paraId="2922AD99" w14:textId="77777777" w:rsidTr="00E01C76">
        <w:trPr>
          <w:trHeight w:val="2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617A" w14:textId="77777777" w:rsidR="003F4FF8" w:rsidRPr="00E01C76" w:rsidRDefault="003F4FF8" w:rsidP="003F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Vydavatelia neperiodických publikácií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8B38" w14:textId="77777777" w:rsidR="003F4FF8" w:rsidRPr="00E01C76" w:rsidRDefault="003F4FF8" w:rsidP="003F4F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1382</w:t>
            </w:r>
          </w:p>
        </w:tc>
      </w:tr>
      <w:tr w:rsidR="003F4FF8" w:rsidRPr="00E01C76" w14:paraId="3B637B58" w14:textId="77777777" w:rsidTr="00E01C76">
        <w:trPr>
          <w:trHeight w:val="2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A0A6" w14:textId="77777777" w:rsidR="003F4FF8" w:rsidRPr="00E01C76" w:rsidRDefault="003F4FF8" w:rsidP="003F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Galérie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C085" w14:textId="77777777" w:rsidR="003F4FF8" w:rsidRPr="00E01C76" w:rsidRDefault="003F4FF8" w:rsidP="003F4F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F4FF8" w:rsidRPr="00E01C76" w14:paraId="267C91DC" w14:textId="77777777" w:rsidTr="00E01C76">
        <w:trPr>
          <w:trHeight w:val="2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E51" w14:textId="77777777" w:rsidR="003F4FF8" w:rsidRPr="00E01C76" w:rsidRDefault="003F4FF8" w:rsidP="003F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Rádiá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40FB" w14:textId="77777777" w:rsidR="003F4FF8" w:rsidRPr="00E01C76" w:rsidRDefault="003F4FF8" w:rsidP="003F4F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F4FF8" w:rsidRPr="00E01C76" w14:paraId="43B01A25" w14:textId="77777777" w:rsidTr="00E01C76">
        <w:trPr>
          <w:trHeight w:val="2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300" w14:textId="77777777" w:rsidR="003F4FF8" w:rsidRPr="00E01C76" w:rsidRDefault="003F4FF8" w:rsidP="003F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84D1" w14:textId="77777777" w:rsidR="003F4FF8" w:rsidRPr="00E01C76" w:rsidRDefault="003F4FF8" w:rsidP="003F4F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</w:tr>
      <w:tr w:rsidR="003F4FF8" w:rsidRPr="00E01C76" w14:paraId="289F7B39" w14:textId="77777777" w:rsidTr="00E01C76">
        <w:trPr>
          <w:trHeight w:val="2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DD93" w14:textId="77777777" w:rsidR="003F4FF8" w:rsidRPr="00E01C76" w:rsidRDefault="003F4FF8" w:rsidP="003F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Producenti v audiovízii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BF7" w14:textId="77777777" w:rsidR="003F4FF8" w:rsidRPr="00E01C76" w:rsidRDefault="003F4FF8" w:rsidP="003F4F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</w:tr>
      <w:tr w:rsidR="003F4FF8" w:rsidRPr="00E01C76" w14:paraId="039516CE" w14:textId="77777777" w:rsidTr="00E01C76">
        <w:trPr>
          <w:trHeight w:val="2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010B" w14:textId="77777777" w:rsidR="003F4FF8" w:rsidRPr="00E01C76" w:rsidRDefault="003F4FF8" w:rsidP="003F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Organizátori hudobných podujatí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B37B" w14:textId="77777777" w:rsidR="003F4FF8" w:rsidRPr="00E01C76" w:rsidRDefault="003F4FF8" w:rsidP="003F4F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3F4FF8" w:rsidRPr="00E01C76" w14:paraId="21014FBA" w14:textId="77777777" w:rsidTr="00E01C76">
        <w:trPr>
          <w:trHeight w:val="2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9B41" w14:textId="77777777" w:rsidR="003F4FF8" w:rsidRPr="00E01C76" w:rsidRDefault="003F4FF8" w:rsidP="003F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Profesionálne divadlá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CBDA" w14:textId="77777777" w:rsidR="003F4FF8" w:rsidRPr="00E01C76" w:rsidRDefault="003F4FF8" w:rsidP="003F4F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3F4FF8" w:rsidRPr="00E01C76" w14:paraId="7A467767" w14:textId="77777777" w:rsidTr="00E01C76">
        <w:trPr>
          <w:trHeight w:val="2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4AC4" w14:textId="77777777" w:rsidR="003F4FF8" w:rsidRPr="00E01C76" w:rsidRDefault="003F4FF8" w:rsidP="003F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Vydavatelia periodických publikácií*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3E2" w14:textId="77777777" w:rsidR="003F4FF8" w:rsidRPr="00E01C76" w:rsidRDefault="003F4FF8" w:rsidP="003F4F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3F4FF8" w:rsidRPr="00E01C76" w14:paraId="718EF52A" w14:textId="77777777" w:rsidTr="00E01C76">
        <w:trPr>
          <w:trHeight w:val="2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B69B" w14:textId="77777777" w:rsidR="003F4FF8" w:rsidRPr="00E01C76" w:rsidRDefault="003F4FF8" w:rsidP="003F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52D0" w14:textId="77777777" w:rsidR="003F4FF8" w:rsidRPr="00E01C76" w:rsidRDefault="003F4FF8" w:rsidP="003F4F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2874</w:t>
            </w:r>
          </w:p>
        </w:tc>
      </w:tr>
      <w:tr w:rsidR="003F4FF8" w:rsidRPr="00E01C76" w14:paraId="526BF091" w14:textId="77777777" w:rsidTr="00E01C76">
        <w:trPr>
          <w:trHeight w:val="260"/>
        </w:trPr>
        <w:tc>
          <w:tcPr>
            <w:tcW w:w="4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32FD" w14:textId="77777777" w:rsidR="003F4FF8" w:rsidRPr="00E01C76" w:rsidRDefault="003F4FF8" w:rsidP="003F4F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C896" w14:textId="77777777" w:rsidR="003F4FF8" w:rsidRPr="00E01C76" w:rsidRDefault="003F4FF8" w:rsidP="003F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FF8" w:rsidRPr="00E01C76" w14:paraId="11247BC8" w14:textId="77777777" w:rsidTr="003F4FF8">
        <w:trPr>
          <w:trHeight w:val="260"/>
        </w:trPr>
        <w:tc>
          <w:tcPr>
            <w:tcW w:w="5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CEDC" w14:textId="77777777" w:rsidR="003F4FF8" w:rsidRPr="00E01C76" w:rsidRDefault="003F4FF8" w:rsidP="003F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76">
              <w:rPr>
                <w:rFonts w:ascii="Times New Roman" w:eastAsia="Calibri" w:hAnsi="Times New Roman" w:cs="Times New Roman"/>
                <w:sz w:val="24"/>
                <w:szCs w:val="24"/>
              </w:rPr>
              <w:t>*odhad na základe počtu periodík v evidencii periodík (1596)</w:t>
            </w:r>
          </w:p>
        </w:tc>
      </w:tr>
    </w:tbl>
    <w:p w14:paraId="4DFA0202" w14:textId="77777777" w:rsidR="003F4FF8" w:rsidRPr="003F4FF8" w:rsidRDefault="003F4FF8" w:rsidP="003F4FF8">
      <w:pPr>
        <w:rPr>
          <w:rFonts w:ascii="Times New Roman" w:eastAsia="Calibri" w:hAnsi="Times New Roman" w:cs="Times New Roman"/>
          <w:sz w:val="24"/>
          <w:szCs w:val="24"/>
        </w:rPr>
      </w:pPr>
    </w:p>
    <w:p w14:paraId="42CD176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5108C31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formu konzultácií vrátane zdôvodnenia jej výberu a trvanie konzultácií, termíny stretnutí. Uveďte spôsob oslovenia dotknutých subjektov, zoznam konzultujúcich subjektov, tiež </w:t>
      </w:r>
      <w:proofErr w:type="spellStart"/>
      <w:r w:rsidRPr="00D8247C">
        <w:rPr>
          <w:rFonts w:ascii="Times New Roman" w:eastAsia="Calibri" w:hAnsi="Times New Roman" w:cs="Times New Roman"/>
          <w:i/>
          <w:sz w:val="24"/>
          <w:szCs w:val="24"/>
        </w:rPr>
        <w:t>link</w:t>
      </w:r>
      <w:proofErr w:type="spellEnd"/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na webovú stránku, na ktorej boli konzultácie zverejnené. </w:t>
      </w:r>
    </w:p>
    <w:p w14:paraId="5830DA9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hlavné body konzultácií a ich závery. </w:t>
      </w:r>
    </w:p>
    <w:p w14:paraId="653EA42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zoznam predložených alternatívnych riešení problematiky od konzultujúcich subjektov, ako aj návrhy od konzultujúcich subjektov na zníženie nákladov regulácií na PP, ktoré neboli akceptované a dôvod neakceptovania. </w:t>
      </w:r>
    </w:p>
    <w:p w14:paraId="2F2C491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Alternatívne namiesto vypĺňania bodu 3.2 môžete uviesť ako samostatnú prílohu tejto analýzy Záznam z konzultácií obsahujúci požadované informácie. </w:t>
      </w:r>
    </w:p>
    <w:p w14:paraId="50FC6718" w14:textId="12031D1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7FAF6F" w14:textId="6F71788F" w:rsidR="00BF5535" w:rsidRDefault="00BF5535" w:rsidP="00E700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Ministerstvo kultúry </w:t>
      </w:r>
      <w:r w:rsidR="00CB52F7">
        <w:rPr>
          <w:rFonts w:ascii="Times New Roman" w:eastAsia="Calibri" w:hAnsi="Times New Roman" w:cs="Times New Roman"/>
          <w:sz w:val="24"/>
          <w:szCs w:val="24"/>
        </w:rPr>
        <w:t xml:space="preserve">realizovalo </w:t>
      </w:r>
      <w:proofErr w:type="spellStart"/>
      <w:r w:rsidR="00E700A0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="00CB52F7">
        <w:rPr>
          <w:rFonts w:ascii="Times New Roman" w:eastAsia="Calibri" w:hAnsi="Times New Roman" w:cs="Times New Roman"/>
          <w:sz w:val="24"/>
          <w:szCs w:val="24"/>
        </w:rPr>
        <w:t xml:space="preserve"> dotazníkový prieskum</w:t>
      </w:r>
      <w:r w:rsidR="001B19D0">
        <w:rPr>
          <w:rFonts w:ascii="Times New Roman" w:eastAsia="Calibri" w:hAnsi="Times New Roman" w:cs="Times New Roman"/>
          <w:sz w:val="24"/>
          <w:szCs w:val="24"/>
        </w:rPr>
        <w:t xml:space="preserve">, v ktorom sa zisťovalo, aké skúsenosti majú používatelia s umeleckými </w:t>
      </w:r>
      <w:proofErr w:type="spellStart"/>
      <w:r w:rsidR="001B19D0">
        <w:rPr>
          <w:rFonts w:ascii="Times New Roman" w:eastAsia="Calibri" w:hAnsi="Times New Roman" w:cs="Times New Roman"/>
          <w:sz w:val="24"/>
          <w:szCs w:val="24"/>
        </w:rPr>
        <w:t>fondami</w:t>
      </w:r>
      <w:proofErr w:type="spellEnd"/>
      <w:r w:rsidR="001B19D0">
        <w:rPr>
          <w:rFonts w:ascii="Times New Roman" w:eastAsia="Calibri" w:hAnsi="Times New Roman" w:cs="Times New Roman"/>
          <w:sz w:val="24"/>
          <w:szCs w:val="24"/>
        </w:rPr>
        <w:t xml:space="preserve"> a ako hodnotia ich činnosť.</w:t>
      </w:r>
      <w:r w:rsidR="00E7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9D0">
        <w:rPr>
          <w:rFonts w:ascii="Times New Roman" w:eastAsia="Calibri" w:hAnsi="Times New Roman" w:cs="Times New Roman"/>
          <w:sz w:val="24"/>
          <w:szCs w:val="24"/>
        </w:rPr>
        <w:t>Zber dát</w:t>
      </w:r>
      <w:r w:rsidR="00E700A0">
        <w:rPr>
          <w:rFonts w:ascii="Times New Roman" w:eastAsia="Calibri" w:hAnsi="Times New Roman" w:cs="Times New Roman"/>
          <w:sz w:val="24"/>
          <w:szCs w:val="24"/>
        </w:rPr>
        <w:t xml:space="preserve"> prebiehal od 15. 12. 2020 do 14. 1. 2021</w:t>
      </w:r>
      <w:r w:rsidR="00EF354E">
        <w:rPr>
          <w:rFonts w:ascii="Times New Roman" w:eastAsia="Calibri" w:hAnsi="Times New Roman" w:cs="Times New Roman"/>
          <w:sz w:val="24"/>
          <w:szCs w:val="24"/>
        </w:rPr>
        <w:t xml:space="preserve"> (v tom čase bola už povinnosť platiť príspevky dočasne zrušená)</w:t>
      </w:r>
      <w:r w:rsidR="00E01C76">
        <w:rPr>
          <w:rFonts w:ascii="Times New Roman" w:eastAsia="Calibri" w:hAnsi="Times New Roman" w:cs="Times New Roman"/>
          <w:sz w:val="24"/>
          <w:szCs w:val="24"/>
        </w:rPr>
        <w:t>.</w:t>
      </w:r>
      <w:r w:rsidR="00E70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C76">
        <w:rPr>
          <w:rFonts w:ascii="Times New Roman" w:eastAsia="Calibri" w:hAnsi="Times New Roman" w:cs="Times New Roman"/>
          <w:sz w:val="24"/>
          <w:szCs w:val="24"/>
        </w:rPr>
        <w:t>Z</w:t>
      </w:r>
      <w:r w:rsidR="00E700A0">
        <w:rPr>
          <w:rFonts w:ascii="Times New Roman" w:eastAsia="Calibri" w:hAnsi="Times New Roman" w:cs="Times New Roman"/>
          <w:sz w:val="24"/>
          <w:szCs w:val="24"/>
        </w:rPr>
        <w:t>účastnilo sa ho 1</w:t>
      </w:r>
      <w:r w:rsidR="00E0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0A0">
        <w:rPr>
          <w:rFonts w:ascii="Times New Roman" w:eastAsia="Calibri" w:hAnsi="Times New Roman" w:cs="Times New Roman"/>
          <w:sz w:val="24"/>
          <w:szCs w:val="24"/>
        </w:rPr>
        <w:t>132 respondentov. Na otázku „Súhlasíte so zrušením povinnosti platby 2 % do umeleckých fondov</w:t>
      </w:r>
      <w:r w:rsidR="001B19D0">
        <w:rPr>
          <w:rFonts w:ascii="Times New Roman" w:eastAsia="Calibri" w:hAnsi="Times New Roman" w:cs="Times New Roman"/>
          <w:sz w:val="24"/>
          <w:szCs w:val="24"/>
        </w:rPr>
        <w:t>?“ odpovedalo 56 % respondentov „určite áno“ alebo „skôr áno“</w:t>
      </w:r>
      <w:r w:rsidR="00EF354E">
        <w:rPr>
          <w:rFonts w:ascii="Times New Roman" w:eastAsia="Calibri" w:hAnsi="Times New Roman" w:cs="Times New Roman"/>
          <w:sz w:val="24"/>
          <w:szCs w:val="24"/>
        </w:rPr>
        <w:t>,</w:t>
      </w:r>
      <w:r w:rsidR="001B19D0">
        <w:rPr>
          <w:rFonts w:ascii="Times New Roman" w:eastAsia="Calibri" w:hAnsi="Times New Roman" w:cs="Times New Roman"/>
          <w:sz w:val="24"/>
          <w:szCs w:val="24"/>
        </w:rPr>
        <w:t xml:space="preserve"> 32 % odpovedalo „určite nie“ alebo „skôr nie“ a 13 % sa nevedelo vyjadriť.</w:t>
      </w:r>
    </w:p>
    <w:p w14:paraId="57D1581B" w14:textId="152DDC14" w:rsidR="008E7A9B" w:rsidRDefault="008E7A9B" w:rsidP="00E700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609DB2" w14:textId="5F318ACF" w:rsidR="008E7A9B" w:rsidRPr="00BF5535" w:rsidRDefault="008E7A9B" w:rsidP="00E700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39 % respondentov uviedlo, že plánuje alebo skôr plánuje uhrádzať príspevky dobrovoľne. 45 % to určite alebo skôr neplánuje a 16 % sa nevedelo vyjadriť.</w:t>
      </w:r>
    </w:p>
    <w:p w14:paraId="7E0BF3F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9B01F4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74A6C288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Dochádza k vytvoreniu resp. k zmene bariér na trhu? </w:t>
      </w:r>
    </w:p>
    <w:p w14:paraId="3C81D3E4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Bude sa s niektorými podnikmi alebo produktmi zaobchádzať v porovnateľnej situácii rôzne (napr. špeciálne režimy pre </w:t>
      </w:r>
      <w:proofErr w:type="spellStart"/>
      <w:r w:rsidRPr="00D8247C">
        <w:rPr>
          <w:rFonts w:ascii="Times New Roman" w:eastAsia="Calibri" w:hAnsi="Times New Roman" w:cs="Times New Roman"/>
          <w:i/>
          <w:sz w:val="24"/>
          <w:szCs w:val="24"/>
        </w:rPr>
        <w:t>mikro</w:t>
      </w:r>
      <w:proofErr w:type="spellEnd"/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malé a stredné podniky tzv. MSP)? </w:t>
      </w:r>
    </w:p>
    <w:p w14:paraId="5BAAAEA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Ovplyvňuje zmena regulácie cezhraničné investície (príliv/odliv zahraničných investícií resp. uplatnenie slovenských podnikov na zahraničných trhoch)? </w:t>
      </w:r>
    </w:p>
    <w:p w14:paraId="3DFB8B9F" w14:textId="7341CF82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Ovplyvní dostupnosť základných zdrojov (financie, pracovná sila, suroviny, mechanizmy, energie atď.)? </w:t>
      </w:r>
    </w:p>
    <w:p w14:paraId="3EC29FF8" w14:textId="52A06123" w:rsidR="007259CB" w:rsidRPr="00D8247C" w:rsidRDefault="007259C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Ovplyvňuje zmena regulácie inovácie, vedu a výskum?</w:t>
      </w:r>
    </w:p>
    <w:p w14:paraId="762820C2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Ako prispieva zmena regulácie k cieľu Slovenska mať najlepšie podnikateľské prostredie spomedzi susediacich krajín EÚ?</w:t>
      </w:r>
    </w:p>
    <w:p w14:paraId="7C7DB60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BDE90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18F5C003" w:rsidR="00054C41" w:rsidRPr="00D8247C" w:rsidRDefault="005143CE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r w:rsidR="004B791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x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1C1A17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DAAAC96" w14:textId="2BF33DD3" w:rsidR="00054C41" w:rsidRPr="00D8247C" w:rsidRDefault="005143CE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4B791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x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47ABE7B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E4F647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C8CE5E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0D09BD4A" w14:textId="729D2CF3" w:rsidR="00FF414B" w:rsidRDefault="00FF414B" w:rsidP="00FF414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Ak má materiál vplyvy na PP, ktoré nemožno zaradiť do predchádzajúcich častí, či už pozitívne alebo negatívne, tu ich uveďte.  Patria sem: </w:t>
      </w:r>
    </w:p>
    <w:p w14:paraId="49AF7070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sankcie alebo pokuty, ako dôsledok porušenia právne záväzných ustanovení;</w:t>
      </w:r>
    </w:p>
    <w:p w14:paraId="6A794723" w14:textId="2D978F83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vplyvy súvisiace so žiadosťami o alebo prijímaním dotácií, fondov, štátnej pomoci a čerpaním iných obdobných foriem podpory zo strany štátu, keďže sú sprievodným javom uchádzania sa či získania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benefitov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 na ktoré nie je právny nárok priamo zo zákona, ale vzniká na základe prejavu vôle dotknutého subjektu;</w:t>
      </w:r>
    </w:p>
    <w:p w14:paraId="2A694F7C" w14:textId="748EECEF" w:rsidR="004B791C" w:rsidRDefault="004B791C" w:rsidP="004B791C">
      <w:pPr>
        <w:spacing w:after="0" w:line="254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Zrušením povinnosti platiť príspevky 2 % odmien autorov a výkonných umelcov prídu umelecké fondy o cca 1 080 000 eur ročne. Časť z tejto sumy by bola vyplatená vo forme priamej podpornej činnosti umelcov a autorov (napr. štipendiá, granty, ocenenia, a pod.) alebo nepriamej podpornej činnosti (napr. vydávanie diel, poskytovanie rekreačných pobytov v zariadeniach fondov). Zrušením príspevkov 2 % možnosti finančnej a nefinančnej podpory z umeleckých fondov klesnú vzhľadom na zníženie príjmov fondov.</w:t>
      </w:r>
    </w:p>
    <w:p w14:paraId="1004E14C" w14:textId="77777777" w:rsidR="004B791C" w:rsidRPr="004B791C" w:rsidRDefault="004B791C" w:rsidP="004B791C">
      <w:pPr>
        <w:spacing w:after="0" w:line="254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9AAEA5F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regulované ceny podľa zákona č. 18/1996 Z. z. o cenách;</w:t>
      </w:r>
    </w:p>
    <w:p w14:paraId="3CEE247D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iné vplyvy, ktoré predpokladá materiál, ale nemožno ich zaradiť do častí 3.1 a 3.3. </w:t>
      </w:r>
    </w:p>
    <w:p w14:paraId="0B4849FE" w14:textId="16FAB16B" w:rsidR="00FF414B" w:rsidRDefault="00FF414B" w:rsidP="00FF414B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567581BF" w14:textId="77777777" w:rsidR="00054C41" w:rsidRPr="0089589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</w:rPr>
      </w:pPr>
    </w:p>
    <w:sectPr w:rsidR="00054C41" w:rsidRPr="0089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D5934" w14:textId="77777777" w:rsidR="005143CE" w:rsidRDefault="005143CE" w:rsidP="00054C41">
      <w:pPr>
        <w:spacing w:after="0" w:line="240" w:lineRule="auto"/>
      </w:pPr>
      <w:r>
        <w:separator/>
      </w:r>
    </w:p>
  </w:endnote>
  <w:endnote w:type="continuationSeparator" w:id="0">
    <w:p w14:paraId="7AE618A6" w14:textId="77777777" w:rsidR="005143CE" w:rsidRDefault="005143CE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7E7B30" w14:textId="66BA3A04" w:rsidR="00E700A0" w:rsidRPr="006045CB" w:rsidRDefault="00E700A0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5A1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8B09B" w14:textId="77777777" w:rsidR="00E700A0" w:rsidRPr="00FF7125" w:rsidRDefault="00E700A0" w:rsidP="00054C41">
    <w:pPr>
      <w:pStyle w:val="Pta"/>
      <w:rPr>
        <w:sz w:val="24"/>
        <w:szCs w:val="24"/>
      </w:rPr>
    </w:pPr>
  </w:p>
  <w:p w14:paraId="68AC3825" w14:textId="77777777" w:rsidR="00E700A0" w:rsidRDefault="00E700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C44A3" w14:textId="77777777" w:rsidR="005143CE" w:rsidRDefault="005143CE" w:rsidP="00054C41">
      <w:pPr>
        <w:spacing w:after="0" w:line="240" w:lineRule="auto"/>
      </w:pPr>
      <w:r>
        <w:separator/>
      </w:r>
    </w:p>
  </w:footnote>
  <w:footnote w:type="continuationSeparator" w:id="0">
    <w:p w14:paraId="0EE4A3CC" w14:textId="77777777" w:rsidR="005143CE" w:rsidRDefault="005143CE" w:rsidP="0005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3C60" w14:textId="35DE3B53" w:rsidR="00E700A0" w:rsidRPr="006045CB" w:rsidRDefault="00E700A0" w:rsidP="0014215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3a</w:t>
    </w:r>
  </w:p>
  <w:p w14:paraId="7FEBDFF3" w14:textId="77777777" w:rsidR="00E700A0" w:rsidRPr="006045CB" w:rsidRDefault="00E700A0" w:rsidP="001421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C6F"/>
    <w:multiLevelType w:val="hybridMultilevel"/>
    <w:tmpl w:val="80D8612A"/>
    <w:lvl w:ilvl="0" w:tplc="24043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E282B"/>
    <w:multiLevelType w:val="hybridMultilevel"/>
    <w:tmpl w:val="49E43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41"/>
    <w:rsid w:val="00036BB5"/>
    <w:rsid w:val="00054C41"/>
    <w:rsid w:val="00060DA1"/>
    <w:rsid w:val="0006704F"/>
    <w:rsid w:val="00083F4E"/>
    <w:rsid w:val="000C5E9A"/>
    <w:rsid w:val="00142154"/>
    <w:rsid w:val="001B19D0"/>
    <w:rsid w:val="001B4C03"/>
    <w:rsid w:val="001D1083"/>
    <w:rsid w:val="001D3FA0"/>
    <w:rsid w:val="001E53CB"/>
    <w:rsid w:val="00225A83"/>
    <w:rsid w:val="00270EA5"/>
    <w:rsid w:val="00287351"/>
    <w:rsid w:val="00340CFD"/>
    <w:rsid w:val="00364BAD"/>
    <w:rsid w:val="0038255E"/>
    <w:rsid w:val="00391648"/>
    <w:rsid w:val="0039304E"/>
    <w:rsid w:val="003E58B8"/>
    <w:rsid w:val="003F06D7"/>
    <w:rsid w:val="003F4FF8"/>
    <w:rsid w:val="00445638"/>
    <w:rsid w:val="00446432"/>
    <w:rsid w:val="004B791C"/>
    <w:rsid w:val="004D20CB"/>
    <w:rsid w:val="005143CE"/>
    <w:rsid w:val="005926DA"/>
    <w:rsid w:val="0067448F"/>
    <w:rsid w:val="007259CB"/>
    <w:rsid w:val="0077106D"/>
    <w:rsid w:val="007B40FB"/>
    <w:rsid w:val="007E24B2"/>
    <w:rsid w:val="00846AB5"/>
    <w:rsid w:val="008634E9"/>
    <w:rsid w:val="008801B5"/>
    <w:rsid w:val="008B4AA1"/>
    <w:rsid w:val="008C1C71"/>
    <w:rsid w:val="008E7A9B"/>
    <w:rsid w:val="00923C0C"/>
    <w:rsid w:val="009A4D56"/>
    <w:rsid w:val="009E09F7"/>
    <w:rsid w:val="009E5A16"/>
    <w:rsid w:val="00A000DA"/>
    <w:rsid w:val="00A1736E"/>
    <w:rsid w:val="00A71E2A"/>
    <w:rsid w:val="00B66E33"/>
    <w:rsid w:val="00BD0EF7"/>
    <w:rsid w:val="00BF5535"/>
    <w:rsid w:val="00C21399"/>
    <w:rsid w:val="00C560C4"/>
    <w:rsid w:val="00C6748F"/>
    <w:rsid w:val="00C97155"/>
    <w:rsid w:val="00CB52F7"/>
    <w:rsid w:val="00D005F2"/>
    <w:rsid w:val="00D631FA"/>
    <w:rsid w:val="00D82356"/>
    <w:rsid w:val="00D84EEE"/>
    <w:rsid w:val="00D90A61"/>
    <w:rsid w:val="00DF02CE"/>
    <w:rsid w:val="00E01C76"/>
    <w:rsid w:val="00E030DA"/>
    <w:rsid w:val="00E700A0"/>
    <w:rsid w:val="00EB2BEC"/>
    <w:rsid w:val="00EC0704"/>
    <w:rsid w:val="00ED6B5D"/>
    <w:rsid w:val="00EE4C99"/>
    <w:rsid w:val="00EF354E"/>
    <w:rsid w:val="00F50FE0"/>
    <w:rsid w:val="00F634C4"/>
    <w:rsid w:val="00F74FC9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  <w:style w:type="paragraph" w:customStyle="1" w:styleId="xmsonormal">
    <w:name w:val="x_msonormal"/>
    <w:basedOn w:val="Normlny"/>
    <w:rsid w:val="003F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  <w:style w:type="paragraph" w:customStyle="1" w:styleId="xmsonormal">
    <w:name w:val="x_msonormal"/>
    <w:basedOn w:val="Normlny"/>
    <w:rsid w:val="003F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www.mhsr.sk/podnikatelske-prostredie/lepsia-regulacia/regulacne-zatazenie/kalkulacka-nakladov-regulaci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0FCC573-D878-4F43-A34C-9517B0DE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Liszkaiová Lucia</cp:lastModifiedBy>
  <cp:revision>2</cp:revision>
  <dcterms:created xsi:type="dcterms:W3CDTF">2022-08-08T08:30:00Z</dcterms:created>
  <dcterms:modified xsi:type="dcterms:W3CDTF">2022-08-08T08:30:00Z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COO.2145.1000.3.4079697</vt:lpwstr>
  </property>
  <property fmtid="{D5CDD505-2E9C-101B-9397-08002B2CF9AE}" pid="152" name="FSC#FSCFOLIO@1.1001:docpropproject">
    <vt:lpwstr/>
  </property>
</Properties>
</file>