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31603" w14:textId="77777777" w:rsidR="007170C3" w:rsidRPr="008819AF" w:rsidRDefault="006F0418">
      <w:pPr>
        <w:pStyle w:val="Bezriadkovania"/>
        <w:jc w:val="center"/>
        <w:rPr>
          <w:rFonts w:eastAsia="Arial"/>
          <w:lang w:val="sk-SK" w:bidi="cs-CZ"/>
        </w:rPr>
      </w:pPr>
      <w:r w:rsidRPr="008819AF">
        <w:rPr>
          <w:rFonts w:eastAsia="Arial"/>
          <w:lang w:val="sk-SK" w:bidi="cs-CZ"/>
        </w:rPr>
        <w:t>TABUĽKA ZHODY</w:t>
      </w:r>
    </w:p>
    <w:p w14:paraId="15131604" w14:textId="77777777" w:rsidR="007170C3" w:rsidRPr="008819AF" w:rsidRDefault="006F0418">
      <w:pPr>
        <w:pStyle w:val="Odstavec"/>
        <w:spacing w:before="0"/>
        <w:jc w:val="center"/>
        <w:rPr>
          <w:rFonts w:eastAsia="Arial"/>
          <w:b/>
          <w:bCs/>
        </w:rPr>
      </w:pPr>
      <w:r w:rsidRPr="008819AF">
        <w:rPr>
          <w:rFonts w:eastAsia="Arial"/>
          <w:b/>
          <w:bCs/>
        </w:rPr>
        <w:t xml:space="preserve">  právneho predpisu s právom Európskej únie</w:t>
      </w:r>
    </w:p>
    <w:p w14:paraId="15131605" w14:textId="77777777" w:rsidR="007170C3" w:rsidRPr="008819AF" w:rsidRDefault="007170C3">
      <w:pPr>
        <w:ind w:left="215" w:hanging="215"/>
        <w:outlineLvl w:val="0"/>
        <w:rPr>
          <w:rFonts w:ascii="Arial" w:eastAsia="Arial" w:hAnsi="Arial" w:cs="Arial"/>
          <w:sz w:val="16"/>
          <w:szCs w:val="16"/>
          <w:lang w:bidi="cs-CZ"/>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999"/>
        <w:gridCol w:w="8279"/>
      </w:tblGrid>
      <w:tr w:rsidR="00F80158" w:rsidRPr="008819AF" w14:paraId="15131608" w14:textId="77777777" w:rsidTr="0004699C">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14:paraId="15131606" w14:textId="77777777" w:rsidR="007170C3" w:rsidRPr="008819AF" w:rsidRDefault="006F0418">
            <w:pPr>
              <w:ind w:left="215" w:hanging="215"/>
              <w:rPr>
                <w:rFonts w:eastAsia="Arial"/>
                <w:b/>
                <w:lang w:bidi="cs-CZ"/>
              </w:rPr>
            </w:pPr>
            <w:r w:rsidRPr="008819AF">
              <w:rPr>
                <w:rFonts w:eastAsia="Arial"/>
                <w:b/>
                <w:bCs/>
                <w:lang w:bidi="cs-CZ"/>
              </w:rPr>
              <w:t>Právny predpis EÚ</w:t>
            </w:r>
          </w:p>
        </w:tc>
        <w:tc>
          <w:tcPr>
            <w:tcW w:w="8194" w:type="dxa"/>
            <w:tcBorders>
              <w:top w:val="single" w:sz="6" w:space="0" w:color="000000"/>
              <w:left w:val="single" w:sz="6" w:space="0" w:color="000000"/>
              <w:bottom w:val="single" w:sz="6" w:space="0" w:color="000000"/>
              <w:right w:val="single" w:sz="6" w:space="0" w:color="000000"/>
            </w:tcBorders>
            <w:vAlign w:val="center"/>
          </w:tcPr>
          <w:p w14:paraId="15131607" w14:textId="77777777" w:rsidR="007170C3" w:rsidRPr="008819AF" w:rsidRDefault="006F0418">
            <w:pPr>
              <w:ind w:left="215" w:hanging="215"/>
              <w:rPr>
                <w:rFonts w:eastAsia="Arial"/>
                <w:b/>
                <w:lang w:bidi="cs-CZ"/>
              </w:rPr>
            </w:pPr>
            <w:r w:rsidRPr="008819AF">
              <w:rPr>
                <w:rFonts w:eastAsia="Arial"/>
                <w:b/>
                <w:bCs/>
                <w:lang w:bidi="cs-CZ"/>
              </w:rPr>
              <w:t>Právny predpis SR</w:t>
            </w:r>
          </w:p>
        </w:tc>
      </w:tr>
      <w:tr w:rsidR="00D47CCA" w:rsidRPr="008819AF" w14:paraId="15131619" w14:textId="77777777" w:rsidTr="0004699C">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14:paraId="15131609" w14:textId="77777777" w:rsidR="007170C3" w:rsidRPr="008819AF" w:rsidRDefault="006F0418">
            <w:pPr>
              <w:pStyle w:val="Default"/>
              <w:rPr>
                <w:rFonts w:ascii="Times New Roman" w:eastAsia="Arial" w:hAnsi="Times New Roman" w:cs="Times New Roman"/>
                <w:b/>
                <w:color w:val="auto"/>
                <w:sz w:val="20"/>
                <w:szCs w:val="20"/>
              </w:rPr>
            </w:pPr>
            <w:r w:rsidRPr="008819AF">
              <w:rPr>
                <w:rFonts w:ascii="Times New Roman" w:eastAsia="Arial" w:hAnsi="Times New Roman" w:cs="Times New Roman"/>
                <w:b/>
                <w:bCs/>
                <w:color w:val="auto"/>
                <w:sz w:val="20"/>
                <w:szCs w:val="20"/>
              </w:rPr>
              <w:t>SMERNICA EURÓPSKEHO PARLAMENTU A RADY 2010/75/EÚ</w:t>
            </w:r>
          </w:p>
          <w:p w14:paraId="1513160A" w14:textId="77777777" w:rsidR="007170C3" w:rsidRPr="008819AF" w:rsidRDefault="006F0418">
            <w:pPr>
              <w:pStyle w:val="Default"/>
              <w:rPr>
                <w:rFonts w:ascii="Times New Roman" w:eastAsia="Arial" w:hAnsi="Times New Roman" w:cs="Times New Roman"/>
                <w:b/>
                <w:color w:val="auto"/>
                <w:sz w:val="20"/>
                <w:szCs w:val="20"/>
              </w:rPr>
            </w:pPr>
            <w:r w:rsidRPr="008819AF">
              <w:rPr>
                <w:rFonts w:ascii="Times New Roman" w:eastAsia="Arial" w:hAnsi="Times New Roman" w:cs="Times New Roman"/>
                <w:b/>
                <w:bCs/>
                <w:color w:val="auto"/>
                <w:sz w:val="20"/>
                <w:szCs w:val="20"/>
              </w:rPr>
              <w:t>z 24. novembra 2010 o priemyselných emisiách</w:t>
            </w:r>
          </w:p>
          <w:p w14:paraId="1513160B" w14:textId="77777777" w:rsidR="007170C3" w:rsidRPr="008819AF" w:rsidRDefault="006F0418">
            <w:pPr>
              <w:rPr>
                <w:rFonts w:eastAsia="Arial"/>
                <w:b/>
                <w:lang w:bidi="cs-CZ"/>
              </w:rPr>
            </w:pPr>
            <w:r w:rsidRPr="008819AF">
              <w:rPr>
                <w:rFonts w:eastAsia="Arial"/>
                <w:b/>
                <w:bCs/>
                <w:lang w:bidi="cs-CZ"/>
              </w:rPr>
              <w:t>(integrovaná prevencia a kontrola znečisťovania životného prostredia) (prepracované znenie)</w:t>
            </w:r>
          </w:p>
        </w:tc>
        <w:tc>
          <w:tcPr>
            <w:tcW w:w="8194" w:type="dxa"/>
            <w:tcBorders>
              <w:top w:val="single" w:sz="6" w:space="0" w:color="000000"/>
              <w:left w:val="single" w:sz="6" w:space="0" w:color="000000"/>
              <w:bottom w:val="single" w:sz="6" w:space="0" w:color="000000"/>
              <w:right w:val="single" w:sz="6" w:space="0" w:color="000000"/>
            </w:tcBorders>
            <w:vAlign w:val="center"/>
          </w:tcPr>
          <w:p w14:paraId="1513160C" w14:textId="77777777" w:rsidR="007170C3" w:rsidRPr="008819AF" w:rsidRDefault="0012484B" w:rsidP="000446E8">
            <w:pPr>
              <w:rPr>
                <w:rFonts w:eastAsia="Arial"/>
                <w:b/>
                <w:bCs/>
                <w:lang w:bidi="cs-CZ"/>
              </w:rPr>
            </w:pPr>
            <w:r w:rsidRPr="008819AF">
              <w:rPr>
                <w:rFonts w:eastAsia="Arial"/>
                <w:b/>
                <w:bCs/>
              </w:rPr>
              <w:t>Návrh zákona</w:t>
            </w:r>
            <w:r w:rsidR="0061675F" w:rsidRPr="008819AF">
              <w:rPr>
                <w:rFonts w:eastAsia="Arial"/>
                <w:b/>
                <w:bCs/>
              </w:rPr>
              <w:t xml:space="preserve"> o ochrane ovzdušia a o zmene a doplnení niektorých zákonov</w:t>
            </w:r>
            <w:r w:rsidR="000446E8" w:rsidRPr="008819AF">
              <w:rPr>
                <w:rFonts w:eastAsia="Arial"/>
                <w:b/>
                <w:bCs/>
              </w:rPr>
              <w:t xml:space="preserve"> (NZ)</w:t>
            </w:r>
          </w:p>
          <w:p w14:paraId="1513160D" w14:textId="77777777" w:rsidR="000446E8" w:rsidRPr="008819AF" w:rsidRDefault="000446E8" w:rsidP="000446E8">
            <w:pPr>
              <w:rPr>
                <w:rFonts w:eastAsia="Arial"/>
                <w:b/>
                <w:bCs/>
                <w:lang w:bidi="cs-CZ"/>
              </w:rPr>
            </w:pPr>
          </w:p>
          <w:p w14:paraId="1513160E" w14:textId="77777777" w:rsidR="007170C3" w:rsidRPr="008819AF" w:rsidRDefault="000446E8" w:rsidP="000446E8">
            <w:pPr>
              <w:rPr>
                <w:rFonts w:eastAsia="Arial"/>
                <w:b/>
                <w:bCs/>
                <w:lang w:bidi="cs-CZ"/>
              </w:rPr>
            </w:pPr>
            <w:r w:rsidRPr="008819AF">
              <w:rPr>
                <w:rFonts w:eastAsia="Arial"/>
                <w:b/>
                <w:bCs/>
                <w:lang w:bidi="cs-CZ"/>
              </w:rPr>
              <w:t>N</w:t>
            </w:r>
            <w:r w:rsidR="006F0418" w:rsidRPr="008819AF">
              <w:rPr>
                <w:rFonts w:eastAsia="Arial"/>
                <w:b/>
                <w:bCs/>
                <w:lang w:bidi="cs-CZ"/>
              </w:rPr>
              <w:t>ávrh vyhlášky Ministerstva životného prostredia Slovenskej republiky o monitorovaní emisií zo stacionárnych zdrojov znečisťovania ovzdušia a kv</w:t>
            </w:r>
            <w:r w:rsidRPr="008819AF">
              <w:rPr>
                <w:rFonts w:eastAsia="Arial"/>
                <w:b/>
                <w:bCs/>
                <w:lang w:bidi="cs-CZ"/>
              </w:rPr>
              <w:t>ality ovzdušia v ich okolí (NV1)</w:t>
            </w:r>
          </w:p>
          <w:p w14:paraId="1513160F" w14:textId="77777777" w:rsidR="000446E8" w:rsidRPr="008819AF" w:rsidRDefault="000446E8" w:rsidP="000446E8">
            <w:pPr>
              <w:rPr>
                <w:rFonts w:eastAsia="Arial"/>
                <w:b/>
                <w:bCs/>
                <w:lang w:bidi="cs-CZ"/>
              </w:rPr>
            </w:pPr>
          </w:p>
          <w:p w14:paraId="15131610" w14:textId="77777777" w:rsidR="007170C3" w:rsidRPr="008819AF" w:rsidRDefault="000446E8" w:rsidP="000446E8">
            <w:pPr>
              <w:rPr>
                <w:rFonts w:eastAsia="Arial"/>
                <w:b/>
                <w:bCs/>
                <w:lang w:bidi="cs-CZ"/>
              </w:rPr>
            </w:pPr>
            <w:r w:rsidRPr="008819AF">
              <w:rPr>
                <w:rFonts w:eastAsia="Arial"/>
                <w:b/>
                <w:bCs/>
                <w:lang w:bidi="cs-CZ"/>
              </w:rPr>
              <w:t>N</w:t>
            </w:r>
            <w:r w:rsidR="006F0418" w:rsidRPr="008819AF">
              <w:rPr>
                <w:rFonts w:eastAsia="Arial"/>
                <w:b/>
                <w:bCs/>
                <w:lang w:bidi="cs-CZ"/>
              </w:rPr>
              <w:t>ávrh vyhlášky Ministerstva životného prostredia Slovenskej republiky o požiadavkách na stacionárne zdroje zne</w:t>
            </w:r>
            <w:r w:rsidRPr="008819AF">
              <w:rPr>
                <w:rFonts w:eastAsia="Arial"/>
                <w:b/>
                <w:bCs/>
                <w:lang w:bidi="cs-CZ"/>
              </w:rPr>
              <w:t>čisťovania ovzdušia (NV2)</w:t>
            </w:r>
          </w:p>
          <w:p w14:paraId="15131611" w14:textId="77777777" w:rsidR="00EF26C9" w:rsidRPr="008819AF" w:rsidRDefault="00EF26C9" w:rsidP="00EF26C9">
            <w:pPr>
              <w:rPr>
                <w:rFonts w:eastAsia="Arial"/>
                <w:b/>
                <w:bCs/>
                <w:lang w:bidi="cs-CZ"/>
              </w:rPr>
            </w:pPr>
          </w:p>
          <w:p w14:paraId="15131612" w14:textId="77777777" w:rsidR="00EF26C9" w:rsidRPr="008819AF" w:rsidRDefault="00EF26C9" w:rsidP="00EF26C9">
            <w:pPr>
              <w:rPr>
                <w:rFonts w:eastAsia="Arial"/>
                <w:b/>
                <w:bCs/>
                <w:lang w:bidi="cs-CZ"/>
              </w:rPr>
            </w:pPr>
            <w:r w:rsidRPr="008819AF">
              <w:rPr>
                <w:rFonts w:eastAsia="Arial"/>
                <w:b/>
                <w:bCs/>
                <w:lang w:bidi="cs-CZ"/>
              </w:rPr>
              <w:t xml:space="preserve">Návrh vyhlášky </w:t>
            </w:r>
            <w:r w:rsidR="00990E33" w:rsidRPr="008819AF">
              <w:rPr>
                <w:rFonts w:eastAsia="Arial"/>
                <w:b/>
                <w:bCs/>
                <w:lang w:bidi="cs-CZ"/>
              </w:rPr>
              <w:t>Ministerstva životného prostredia Slovenskej republiky</w:t>
            </w:r>
            <w:r w:rsidRPr="008819AF">
              <w:rPr>
                <w:rFonts w:eastAsia="Arial"/>
                <w:b/>
                <w:bCs/>
                <w:lang w:bidi="cs-CZ"/>
              </w:rPr>
              <w:t>, ktorou sa vykonávajú niektoré ustanovenia zákona o ochrane ovzdušia (NV3)</w:t>
            </w:r>
          </w:p>
          <w:p w14:paraId="15131613" w14:textId="77777777" w:rsidR="000446E8" w:rsidRPr="008819AF" w:rsidRDefault="000446E8" w:rsidP="000446E8">
            <w:pPr>
              <w:rPr>
                <w:rFonts w:eastAsia="Arial"/>
                <w:b/>
                <w:bCs/>
                <w:lang w:bidi="cs-CZ"/>
              </w:rPr>
            </w:pPr>
          </w:p>
          <w:p w14:paraId="15131614" w14:textId="77777777" w:rsidR="000446E8" w:rsidRPr="008819AF" w:rsidRDefault="00F71FCE" w:rsidP="000446E8">
            <w:pPr>
              <w:rPr>
                <w:rFonts w:eastAsia="Arial"/>
                <w:b/>
                <w:bCs/>
                <w:lang w:bidi="cs-CZ"/>
              </w:rPr>
            </w:pPr>
            <w:r w:rsidRPr="008819AF">
              <w:rPr>
                <w:rFonts w:eastAsia="Arial"/>
                <w:b/>
                <w:bCs/>
                <w:lang w:bidi="cs-CZ"/>
              </w:rPr>
              <w:t>Návrh vyhlášky Ministerstva životného prostredia Slovenskej republiky ktorou sa ustanovujú informácie podávané Európskej komisii a požiadavky na vypracovanie národných emisných inventúr</w:t>
            </w:r>
            <w:r w:rsidR="000446E8" w:rsidRPr="008819AF">
              <w:rPr>
                <w:rFonts w:eastAsia="Arial"/>
                <w:b/>
                <w:bCs/>
                <w:lang w:bidi="cs-CZ"/>
              </w:rPr>
              <w:t xml:space="preserve"> (NV4)</w:t>
            </w:r>
          </w:p>
          <w:p w14:paraId="6F12367D" w14:textId="20A25981" w:rsidR="00445A6C" w:rsidRPr="008819AF" w:rsidRDefault="00445A6C" w:rsidP="000446E8">
            <w:pPr>
              <w:rPr>
                <w:rFonts w:eastAsia="Arial"/>
                <w:b/>
                <w:bCs/>
                <w:lang w:bidi="cs-CZ"/>
              </w:rPr>
            </w:pPr>
          </w:p>
          <w:p w14:paraId="0F5064E9" w14:textId="2ECE5850" w:rsidR="00445A6C" w:rsidRPr="008819AF" w:rsidRDefault="00445A6C" w:rsidP="000446E8">
            <w:pPr>
              <w:rPr>
                <w:rFonts w:eastAsia="Arial"/>
                <w:b/>
                <w:bCs/>
                <w:lang w:bidi="cs-CZ"/>
              </w:rPr>
            </w:pPr>
            <w:r w:rsidRPr="008819AF">
              <w:rPr>
                <w:rFonts w:eastAsia="Arial"/>
                <w:b/>
                <w:bCs/>
                <w:lang w:bidi="cs-CZ"/>
              </w:rPr>
              <w:t>Zákon č. 575/2001 Z. z. o organizácii činnosti vlády a organizácii ústrednej štátnej správy v znení neskorších predpisov (Z575)</w:t>
            </w:r>
          </w:p>
          <w:p w14:paraId="15131618" w14:textId="24CED341" w:rsidR="00A82CA5" w:rsidRPr="008819AF" w:rsidRDefault="00A82CA5">
            <w:pPr>
              <w:ind w:left="355" w:hanging="355"/>
              <w:rPr>
                <w:rFonts w:eastAsia="Arial"/>
                <w:b/>
                <w:bCs/>
                <w:lang w:bidi="cs-CZ"/>
              </w:rPr>
            </w:pPr>
          </w:p>
        </w:tc>
      </w:tr>
    </w:tbl>
    <w:p w14:paraId="1513161A" w14:textId="77777777" w:rsidR="007170C3" w:rsidRPr="008819AF" w:rsidRDefault="007170C3">
      <w:pPr>
        <w:ind w:left="215" w:hanging="215"/>
        <w:rPr>
          <w:rFonts w:ascii="Arial" w:eastAsia="Arial" w:hAnsi="Arial" w:cs="Arial"/>
          <w:sz w:val="16"/>
          <w:szCs w:val="16"/>
          <w:lang w:bidi="cs-CZ"/>
        </w:rPr>
      </w:pPr>
    </w:p>
    <w:p w14:paraId="1513161B" w14:textId="77777777" w:rsidR="001E7872" w:rsidRPr="008819AF" w:rsidRDefault="001E7872">
      <w:pPr>
        <w:ind w:left="215" w:hanging="215"/>
        <w:rPr>
          <w:rFonts w:ascii="Arial" w:eastAsia="Arial" w:hAnsi="Arial" w:cs="Arial"/>
          <w:sz w:val="16"/>
          <w:szCs w:val="16"/>
          <w:lang w:bidi="cs-CZ"/>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483"/>
        <w:gridCol w:w="5369"/>
        <w:gridCol w:w="858"/>
        <w:gridCol w:w="20"/>
        <w:gridCol w:w="522"/>
        <w:gridCol w:w="356"/>
        <w:gridCol w:w="187"/>
        <w:gridCol w:w="543"/>
        <w:gridCol w:w="149"/>
        <w:gridCol w:w="4658"/>
        <w:gridCol w:w="423"/>
        <w:gridCol w:w="179"/>
        <w:gridCol w:w="255"/>
        <w:gridCol w:w="429"/>
        <w:gridCol w:w="668"/>
        <w:gridCol w:w="91"/>
        <w:gridCol w:w="62"/>
      </w:tblGrid>
      <w:tr w:rsidR="00F80158" w:rsidRPr="008819AF" w14:paraId="15131624" w14:textId="77777777" w:rsidTr="003E351D">
        <w:trPr>
          <w:cantSplit/>
          <w:trHeight w:val="1346"/>
          <w:jc w:val="center"/>
        </w:trPr>
        <w:tc>
          <w:tcPr>
            <w:tcW w:w="483" w:type="dxa"/>
            <w:tcBorders>
              <w:top w:val="single" w:sz="6" w:space="0" w:color="000000"/>
              <w:left w:val="single" w:sz="6" w:space="0" w:color="000000"/>
              <w:bottom w:val="single" w:sz="4" w:space="0" w:color="000000"/>
              <w:right w:val="single" w:sz="6" w:space="0" w:color="000000"/>
            </w:tcBorders>
            <w:textDirection w:val="btLr"/>
            <w:vAlign w:val="center"/>
          </w:tcPr>
          <w:p w14:paraId="1513161C" w14:textId="77777777" w:rsidR="007170C3" w:rsidRPr="008819AF" w:rsidRDefault="006F0418" w:rsidP="003E351D">
            <w:pPr>
              <w:spacing w:before="30"/>
              <w:ind w:right="-70"/>
              <w:jc w:val="center"/>
              <w:rPr>
                <w:rFonts w:eastAsia="Arial"/>
                <w:b/>
                <w:bCs/>
                <w:lang w:bidi="cs-CZ"/>
              </w:rPr>
            </w:pPr>
            <w:r w:rsidRPr="008819AF">
              <w:rPr>
                <w:rFonts w:eastAsia="Arial"/>
                <w:b/>
                <w:bCs/>
                <w:lang w:bidi="cs-CZ"/>
              </w:rPr>
              <w:t>Článok</w:t>
            </w:r>
          </w:p>
        </w:tc>
        <w:tc>
          <w:tcPr>
            <w:tcW w:w="6227" w:type="dxa"/>
            <w:gridSpan w:val="2"/>
            <w:tcBorders>
              <w:top w:val="single" w:sz="6" w:space="0" w:color="000000"/>
              <w:left w:val="single" w:sz="6" w:space="0" w:color="000000"/>
              <w:bottom w:val="single" w:sz="4" w:space="0" w:color="000000"/>
              <w:right w:val="single" w:sz="6" w:space="0" w:color="000000"/>
            </w:tcBorders>
            <w:vAlign w:val="center"/>
          </w:tcPr>
          <w:p w14:paraId="1513161D" w14:textId="77777777" w:rsidR="007170C3" w:rsidRPr="008819AF" w:rsidRDefault="006F0418" w:rsidP="0021052F">
            <w:pPr>
              <w:spacing w:before="30"/>
              <w:ind w:left="215" w:hanging="215"/>
              <w:jc w:val="center"/>
              <w:rPr>
                <w:rFonts w:eastAsia="Arial"/>
                <w:lang w:bidi="cs-CZ"/>
              </w:rPr>
            </w:pPr>
            <w:r w:rsidRPr="008819AF">
              <w:rPr>
                <w:rFonts w:eastAsia="Arial"/>
                <w:b/>
                <w:bCs/>
                <w:lang w:bidi="cs-CZ"/>
              </w:rPr>
              <w:t>Text</w:t>
            </w:r>
          </w:p>
        </w:tc>
        <w:tc>
          <w:tcPr>
            <w:tcW w:w="542" w:type="dxa"/>
            <w:gridSpan w:val="2"/>
            <w:tcBorders>
              <w:top w:val="single" w:sz="6" w:space="0" w:color="000000"/>
              <w:left w:val="single" w:sz="6" w:space="0" w:color="000000"/>
              <w:bottom w:val="single" w:sz="4" w:space="0" w:color="000000"/>
              <w:right w:val="single" w:sz="6" w:space="0" w:color="000000"/>
            </w:tcBorders>
            <w:noWrap/>
            <w:textDirection w:val="btLr"/>
          </w:tcPr>
          <w:p w14:paraId="1513161E" w14:textId="77777777" w:rsidR="007170C3" w:rsidRPr="008819AF" w:rsidRDefault="006F0418" w:rsidP="0021052F">
            <w:pPr>
              <w:ind w:left="-70" w:right="-68" w:hanging="6"/>
              <w:jc w:val="center"/>
              <w:rPr>
                <w:rFonts w:eastAsia="Arial"/>
                <w:b/>
                <w:bCs/>
                <w:lang w:bidi="cs-CZ"/>
              </w:rPr>
            </w:pPr>
            <w:r w:rsidRPr="008819AF">
              <w:rPr>
                <w:rFonts w:eastAsia="Arial"/>
                <w:b/>
                <w:bCs/>
                <w:lang w:bidi="cs-CZ"/>
              </w:rPr>
              <w:t>Spôsob</w:t>
            </w:r>
          </w:p>
        </w:tc>
        <w:tc>
          <w:tcPr>
            <w:tcW w:w="543" w:type="dxa"/>
            <w:gridSpan w:val="2"/>
            <w:tcBorders>
              <w:top w:val="single" w:sz="6" w:space="0" w:color="000000"/>
              <w:left w:val="single" w:sz="6" w:space="0" w:color="000000"/>
              <w:bottom w:val="single" w:sz="4" w:space="0" w:color="000000"/>
              <w:right w:val="single" w:sz="6" w:space="0" w:color="000000"/>
            </w:tcBorders>
            <w:textDirection w:val="btLr"/>
          </w:tcPr>
          <w:p w14:paraId="1513161F" w14:textId="77777777" w:rsidR="007170C3" w:rsidRPr="008819AF" w:rsidRDefault="006F0418" w:rsidP="0021052F">
            <w:pPr>
              <w:ind w:left="113" w:right="113"/>
              <w:jc w:val="center"/>
              <w:rPr>
                <w:rFonts w:eastAsia="Arial"/>
                <w:b/>
                <w:bCs/>
                <w:lang w:bidi="cs-CZ"/>
              </w:rPr>
            </w:pPr>
            <w:r w:rsidRPr="008819AF">
              <w:rPr>
                <w:rFonts w:eastAsia="Arial"/>
                <w:b/>
                <w:bCs/>
                <w:lang w:bidi="cs-CZ"/>
              </w:rPr>
              <w:t>Číslo</w:t>
            </w:r>
          </w:p>
        </w:tc>
        <w:tc>
          <w:tcPr>
            <w:tcW w:w="543" w:type="dxa"/>
            <w:tcBorders>
              <w:top w:val="single" w:sz="6" w:space="0" w:color="000000"/>
              <w:left w:val="single" w:sz="6" w:space="0" w:color="000000"/>
              <w:bottom w:val="single" w:sz="4" w:space="0" w:color="000000"/>
              <w:right w:val="single" w:sz="6" w:space="0" w:color="000000"/>
            </w:tcBorders>
            <w:textDirection w:val="btLr"/>
          </w:tcPr>
          <w:p w14:paraId="15131620" w14:textId="77777777" w:rsidR="007170C3" w:rsidRPr="008819AF" w:rsidRDefault="006F0418" w:rsidP="0021052F">
            <w:pPr>
              <w:pStyle w:val="BodyText21"/>
              <w:spacing w:before="0" w:line="240" w:lineRule="auto"/>
              <w:ind w:left="113" w:right="-70" w:firstLine="0"/>
              <w:jc w:val="center"/>
              <w:rPr>
                <w:rFonts w:ascii="Times New Roman" w:hAnsi="Times New Roman" w:cs="Times New Roman"/>
                <w:b/>
                <w:bCs/>
              </w:rPr>
            </w:pPr>
            <w:r w:rsidRPr="008819AF">
              <w:rPr>
                <w:rFonts w:ascii="Times New Roman" w:hAnsi="Times New Roman" w:cs="Times New Roman"/>
                <w:b/>
                <w:bCs/>
              </w:rPr>
              <w:t>Článok</w:t>
            </w:r>
          </w:p>
        </w:tc>
        <w:tc>
          <w:tcPr>
            <w:tcW w:w="5664" w:type="dxa"/>
            <w:gridSpan w:val="5"/>
            <w:tcBorders>
              <w:top w:val="single" w:sz="6" w:space="0" w:color="000000"/>
              <w:left w:val="single" w:sz="6" w:space="0" w:color="000000"/>
              <w:bottom w:val="single" w:sz="4" w:space="0" w:color="000000"/>
              <w:right w:val="single" w:sz="6" w:space="0" w:color="000000"/>
            </w:tcBorders>
            <w:vAlign w:val="center"/>
          </w:tcPr>
          <w:p w14:paraId="15131621" w14:textId="77777777" w:rsidR="007170C3" w:rsidRPr="008819AF" w:rsidRDefault="006F0418" w:rsidP="0021052F">
            <w:pPr>
              <w:pStyle w:val="Nadpis6"/>
              <w:spacing w:before="30"/>
              <w:jc w:val="center"/>
              <w:rPr>
                <w:rFonts w:ascii="Times New Roman" w:hAnsi="Times New Roman" w:cs="Times New Roman"/>
                <w:sz w:val="20"/>
                <w:szCs w:val="20"/>
              </w:rPr>
            </w:pPr>
            <w:r w:rsidRPr="008819AF">
              <w:rPr>
                <w:rFonts w:ascii="Times New Roman" w:hAnsi="Times New Roman" w:cs="Times New Roman"/>
                <w:sz w:val="20"/>
                <w:szCs w:val="20"/>
              </w:rPr>
              <w:t>Text</w:t>
            </w:r>
          </w:p>
        </w:tc>
        <w:tc>
          <w:tcPr>
            <w:tcW w:w="429" w:type="dxa"/>
            <w:tcBorders>
              <w:top w:val="single" w:sz="6" w:space="0" w:color="000000"/>
              <w:left w:val="single" w:sz="6" w:space="0" w:color="000000"/>
              <w:bottom w:val="single" w:sz="4" w:space="0" w:color="000000"/>
              <w:right w:val="single" w:sz="6" w:space="0" w:color="000000"/>
            </w:tcBorders>
            <w:textDirection w:val="btLr"/>
            <w:vAlign w:val="center"/>
          </w:tcPr>
          <w:p w14:paraId="15131622" w14:textId="77777777" w:rsidR="007170C3" w:rsidRPr="008819AF" w:rsidRDefault="006F0418" w:rsidP="0021052F">
            <w:pPr>
              <w:spacing w:before="30"/>
              <w:ind w:left="113" w:right="113"/>
              <w:jc w:val="center"/>
              <w:rPr>
                <w:rFonts w:eastAsia="Arial"/>
                <w:lang w:bidi="cs-CZ"/>
              </w:rPr>
            </w:pPr>
            <w:r w:rsidRPr="008819AF">
              <w:rPr>
                <w:rFonts w:eastAsia="Arial"/>
                <w:b/>
                <w:bCs/>
                <w:lang w:bidi="cs-CZ"/>
              </w:rPr>
              <w:t>Zhoda</w:t>
            </w:r>
          </w:p>
        </w:tc>
        <w:tc>
          <w:tcPr>
            <w:tcW w:w="821" w:type="dxa"/>
            <w:gridSpan w:val="3"/>
            <w:tcBorders>
              <w:top w:val="single" w:sz="6" w:space="0" w:color="000000"/>
              <w:left w:val="single" w:sz="6" w:space="0" w:color="000000"/>
              <w:bottom w:val="single" w:sz="4" w:space="0" w:color="000000"/>
              <w:right w:val="single" w:sz="6" w:space="0" w:color="000000"/>
            </w:tcBorders>
            <w:textDirection w:val="btLr"/>
            <w:vAlign w:val="center"/>
          </w:tcPr>
          <w:p w14:paraId="15131623" w14:textId="77777777" w:rsidR="007170C3" w:rsidRPr="008819AF" w:rsidRDefault="006F0418" w:rsidP="0021052F">
            <w:pPr>
              <w:spacing w:before="30"/>
              <w:ind w:left="328" w:right="113" w:hanging="215"/>
              <w:jc w:val="center"/>
              <w:rPr>
                <w:rFonts w:eastAsia="Arial"/>
                <w:lang w:bidi="cs-CZ"/>
              </w:rPr>
            </w:pPr>
            <w:r w:rsidRPr="008819AF">
              <w:rPr>
                <w:rFonts w:eastAsia="Arial"/>
                <w:b/>
                <w:bCs/>
                <w:lang w:bidi="cs-CZ"/>
              </w:rPr>
              <w:t>Poznámky</w:t>
            </w:r>
          </w:p>
        </w:tc>
      </w:tr>
      <w:tr w:rsidR="00F80158" w:rsidRPr="008819AF" w14:paraId="1513162D" w14:textId="77777777" w:rsidTr="003E351D">
        <w:trPr>
          <w:jc w:val="center"/>
        </w:trPr>
        <w:tc>
          <w:tcPr>
            <w:tcW w:w="483" w:type="dxa"/>
            <w:tcBorders>
              <w:top w:val="single" w:sz="6" w:space="0" w:color="000000"/>
              <w:left w:val="single" w:sz="6" w:space="0" w:color="000000"/>
              <w:bottom w:val="single" w:sz="6" w:space="0" w:color="000000"/>
              <w:right w:val="single" w:sz="6" w:space="0" w:color="000000"/>
            </w:tcBorders>
            <w:vAlign w:val="center"/>
          </w:tcPr>
          <w:p w14:paraId="15131625" w14:textId="77777777" w:rsidR="007170C3" w:rsidRPr="008819AF" w:rsidRDefault="006F0418" w:rsidP="003E351D">
            <w:pPr>
              <w:ind w:right="-70"/>
              <w:jc w:val="center"/>
              <w:rPr>
                <w:rFonts w:eastAsia="Arial"/>
                <w:lang w:bidi="cs-CZ"/>
              </w:rPr>
            </w:pPr>
            <w:r w:rsidRPr="008819AF">
              <w:rPr>
                <w:rFonts w:eastAsia="Arial"/>
                <w:lang w:bidi="cs-CZ"/>
              </w:rPr>
              <w:t>1</w:t>
            </w:r>
          </w:p>
        </w:tc>
        <w:tc>
          <w:tcPr>
            <w:tcW w:w="6227" w:type="dxa"/>
            <w:gridSpan w:val="2"/>
            <w:tcBorders>
              <w:top w:val="single" w:sz="6" w:space="0" w:color="000000"/>
              <w:left w:val="single" w:sz="6" w:space="0" w:color="000000"/>
              <w:bottom w:val="single" w:sz="6" w:space="0" w:color="000000"/>
              <w:right w:val="single" w:sz="6" w:space="0" w:color="000000"/>
            </w:tcBorders>
            <w:vAlign w:val="center"/>
          </w:tcPr>
          <w:p w14:paraId="15131626" w14:textId="77777777" w:rsidR="007170C3" w:rsidRPr="008819AF" w:rsidRDefault="006F0418" w:rsidP="0021052F">
            <w:pPr>
              <w:ind w:left="215" w:hanging="215"/>
              <w:jc w:val="center"/>
              <w:rPr>
                <w:rFonts w:eastAsia="Arial"/>
                <w:lang w:bidi="cs-CZ"/>
              </w:rPr>
            </w:pPr>
            <w:r w:rsidRPr="008819AF">
              <w:rPr>
                <w:rFonts w:eastAsia="Arial"/>
                <w:lang w:bidi="cs-CZ"/>
              </w:rPr>
              <w:t>2</w:t>
            </w:r>
          </w:p>
        </w:tc>
        <w:tc>
          <w:tcPr>
            <w:tcW w:w="542" w:type="dxa"/>
            <w:gridSpan w:val="2"/>
            <w:tcBorders>
              <w:top w:val="single" w:sz="6" w:space="0" w:color="000000"/>
              <w:left w:val="single" w:sz="6" w:space="0" w:color="000000"/>
              <w:bottom w:val="single" w:sz="6" w:space="0" w:color="000000"/>
              <w:right w:val="single" w:sz="6" w:space="0" w:color="000000"/>
            </w:tcBorders>
            <w:noWrap/>
          </w:tcPr>
          <w:p w14:paraId="15131627" w14:textId="77777777" w:rsidR="007170C3" w:rsidRPr="008819AF" w:rsidRDefault="006F0418" w:rsidP="0021052F">
            <w:pPr>
              <w:ind w:left="-70" w:right="-68" w:hanging="6"/>
              <w:jc w:val="center"/>
              <w:rPr>
                <w:rFonts w:eastAsia="Arial"/>
                <w:lang w:bidi="cs-CZ"/>
              </w:rPr>
            </w:pPr>
            <w:r w:rsidRPr="008819AF">
              <w:rPr>
                <w:rFonts w:eastAsia="Arial"/>
                <w:lang w:bidi="cs-CZ"/>
              </w:rPr>
              <w:t>3</w:t>
            </w:r>
          </w:p>
        </w:tc>
        <w:tc>
          <w:tcPr>
            <w:tcW w:w="543" w:type="dxa"/>
            <w:gridSpan w:val="2"/>
            <w:tcBorders>
              <w:top w:val="single" w:sz="6" w:space="0" w:color="000000"/>
              <w:left w:val="single" w:sz="6" w:space="0" w:color="000000"/>
              <w:bottom w:val="single" w:sz="6" w:space="0" w:color="000000"/>
              <w:right w:val="single" w:sz="6" w:space="0" w:color="000000"/>
            </w:tcBorders>
          </w:tcPr>
          <w:p w14:paraId="15131628" w14:textId="77777777" w:rsidR="007170C3" w:rsidRPr="008819AF" w:rsidRDefault="006F0418" w:rsidP="0021052F">
            <w:pPr>
              <w:jc w:val="center"/>
              <w:rPr>
                <w:rFonts w:eastAsia="Arial"/>
                <w:lang w:bidi="cs-CZ"/>
              </w:rPr>
            </w:pPr>
            <w:r w:rsidRPr="008819AF">
              <w:rPr>
                <w:rFonts w:eastAsia="Arial"/>
                <w:lang w:bidi="cs-CZ"/>
              </w:rPr>
              <w:t>4</w:t>
            </w:r>
          </w:p>
        </w:tc>
        <w:tc>
          <w:tcPr>
            <w:tcW w:w="543" w:type="dxa"/>
            <w:tcBorders>
              <w:top w:val="single" w:sz="6" w:space="0" w:color="000000"/>
              <w:left w:val="single" w:sz="6" w:space="0" w:color="000000"/>
              <w:bottom w:val="single" w:sz="6" w:space="0" w:color="000000"/>
              <w:right w:val="single" w:sz="6" w:space="0" w:color="000000"/>
            </w:tcBorders>
          </w:tcPr>
          <w:p w14:paraId="15131629" w14:textId="77777777" w:rsidR="007170C3" w:rsidRPr="008819AF" w:rsidRDefault="006F0418" w:rsidP="0021052F">
            <w:pPr>
              <w:ind w:right="-70"/>
              <w:jc w:val="center"/>
              <w:rPr>
                <w:rFonts w:eastAsia="Arial"/>
                <w:lang w:bidi="cs-CZ"/>
              </w:rPr>
            </w:pPr>
            <w:r w:rsidRPr="008819AF">
              <w:rPr>
                <w:rFonts w:eastAsia="Arial"/>
                <w:lang w:bidi="cs-CZ"/>
              </w:rPr>
              <w:t>5</w:t>
            </w:r>
          </w:p>
        </w:tc>
        <w:tc>
          <w:tcPr>
            <w:tcW w:w="5664" w:type="dxa"/>
            <w:gridSpan w:val="5"/>
            <w:tcBorders>
              <w:top w:val="single" w:sz="6" w:space="0" w:color="000000"/>
              <w:left w:val="single" w:sz="6" w:space="0" w:color="000000"/>
              <w:bottom w:val="single" w:sz="6" w:space="0" w:color="000000"/>
              <w:right w:val="single" w:sz="6" w:space="0" w:color="000000"/>
            </w:tcBorders>
            <w:vAlign w:val="center"/>
          </w:tcPr>
          <w:p w14:paraId="1513162A" w14:textId="77777777" w:rsidR="007170C3" w:rsidRPr="008819AF" w:rsidRDefault="006F0418" w:rsidP="0021052F">
            <w:pPr>
              <w:ind w:left="215" w:hanging="215"/>
              <w:jc w:val="center"/>
              <w:rPr>
                <w:rFonts w:eastAsia="Arial"/>
                <w:lang w:bidi="cs-CZ"/>
              </w:rPr>
            </w:pPr>
            <w:r w:rsidRPr="008819AF">
              <w:rPr>
                <w:rFonts w:eastAsia="Arial"/>
                <w:lang w:bidi="cs-CZ"/>
              </w:rPr>
              <w:t>6</w:t>
            </w:r>
          </w:p>
        </w:tc>
        <w:tc>
          <w:tcPr>
            <w:tcW w:w="429" w:type="dxa"/>
            <w:tcBorders>
              <w:top w:val="single" w:sz="6" w:space="0" w:color="000000"/>
              <w:left w:val="single" w:sz="6" w:space="0" w:color="000000"/>
              <w:bottom w:val="single" w:sz="6" w:space="0" w:color="000000"/>
              <w:right w:val="single" w:sz="6" w:space="0" w:color="000000"/>
            </w:tcBorders>
            <w:vAlign w:val="center"/>
          </w:tcPr>
          <w:p w14:paraId="1513162B" w14:textId="77777777" w:rsidR="007170C3" w:rsidRPr="008819AF" w:rsidRDefault="006F0418" w:rsidP="0021052F">
            <w:pPr>
              <w:ind w:left="215" w:hanging="215"/>
              <w:jc w:val="center"/>
              <w:rPr>
                <w:rFonts w:eastAsia="Arial"/>
                <w:lang w:bidi="cs-CZ"/>
              </w:rPr>
            </w:pPr>
            <w:r w:rsidRPr="008819AF">
              <w:rPr>
                <w:rFonts w:eastAsia="Arial"/>
                <w:lang w:bidi="cs-CZ"/>
              </w:rPr>
              <w:t>7</w:t>
            </w:r>
          </w:p>
        </w:tc>
        <w:tc>
          <w:tcPr>
            <w:tcW w:w="821" w:type="dxa"/>
            <w:gridSpan w:val="3"/>
            <w:tcBorders>
              <w:top w:val="single" w:sz="6" w:space="0" w:color="000000"/>
              <w:left w:val="single" w:sz="6" w:space="0" w:color="000000"/>
              <w:bottom w:val="single" w:sz="6" w:space="0" w:color="000000"/>
              <w:right w:val="single" w:sz="6" w:space="0" w:color="000000"/>
            </w:tcBorders>
            <w:vAlign w:val="center"/>
          </w:tcPr>
          <w:p w14:paraId="1513162C" w14:textId="77777777" w:rsidR="007170C3" w:rsidRPr="008819AF" w:rsidRDefault="006F0418" w:rsidP="0021052F">
            <w:pPr>
              <w:ind w:left="215" w:hanging="215"/>
              <w:jc w:val="center"/>
              <w:rPr>
                <w:rFonts w:eastAsia="Arial"/>
                <w:lang w:bidi="cs-CZ"/>
              </w:rPr>
            </w:pPr>
            <w:r w:rsidRPr="008819AF">
              <w:rPr>
                <w:rFonts w:eastAsia="Arial"/>
                <w:lang w:bidi="cs-CZ"/>
              </w:rPr>
              <w:t>8</w:t>
            </w:r>
          </w:p>
        </w:tc>
      </w:tr>
      <w:tr w:rsidR="00F80158" w:rsidRPr="008819AF" w14:paraId="1513163E"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2E" w14:textId="77777777" w:rsidR="007170C3" w:rsidRPr="008819AF" w:rsidRDefault="006F0418" w:rsidP="003E351D">
            <w:pPr>
              <w:ind w:right="-70"/>
              <w:rPr>
                <w:rFonts w:eastAsia="Arial"/>
                <w:lang w:bidi="cs-CZ"/>
              </w:rPr>
            </w:pPr>
            <w:r w:rsidRPr="008819AF">
              <w:rPr>
                <w:rFonts w:eastAsia="Arial"/>
                <w:lang w:bidi="cs-CZ"/>
              </w:rPr>
              <w:t>Č:1</w:t>
            </w:r>
          </w:p>
          <w:p w14:paraId="1513162F"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30" w14:textId="77777777" w:rsidR="007170C3" w:rsidRPr="008819AF" w:rsidRDefault="006F0418" w:rsidP="0021052F">
            <w:pPr>
              <w:ind w:left="215" w:hanging="215"/>
              <w:rPr>
                <w:rFonts w:eastAsia="Arial"/>
                <w:lang w:bidi="cs-CZ"/>
              </w:rPr>
            </w:pPr>
            <w:r w:rsidRPr="008819AF">
              <w:rPr>
                <w:rFonts w:eastAsia="Arial"/>
                <w:lang w:bidi="cs-CZ"/>
              </w:rPr>
              <w:t>Článok 1</w:t>
            </w:r>
          </w:p>
          <w:p w14:paraId="15131631" w14:textId="77777777" w:rsidR="007170C3" w:rsidRPr="008819AF" w:rsidRDefault="006F0418" w:rsidP="0021052F">
            <w:pPr>
              <w:ind w:left="215" w:hanging="215"/>
              <w:rPr>
                <w:rFonts w:eastAsia="Arial"/>
                <w:lang w:bidi="cs-CZ"/>
              </w:rPr>
            </w:pPr>
            <w:r w:rsidRPr="008819AF">
              <w:rPr>
                <w:rFonts w:eastAsia="Arial"/>
                <w:lang w:bidi="cs-CZ"/>
              </w:rPr>
              <w:t>Predmet úpravy</w:t>
            </w:r>
          </w:p>
          <w:p w14:paraId="15131632" w14:textId="77777777" w:rsidR="007170C3" w:rsidRPr="008819AF" w:rsidRDefault="007170C3" w:rsidP="0021052F">
            <w:pPr>
              <w:ind w:left="215" w:hanging="215"/>
              <w:rPr>
                <w:rFonts w:eastAsia="Arial"/>
                <w:lang w:bidi="cs-CZ"/>
              </w:rPr>
            </w:pPr>
          </w:p>
          <w:p w14:paraId="15131633" w14:textId="77777777" w:rsidR="007170C3" w:rsidRPr="008819AF" w:rsidRDefault="006F0418" w:rsidP="0021052F">
            <w:pPr>
              <w:ind w:left="215" w:hanging="1"/>
              <w:rPr>
                <w:rFonts w:eastAsia="Arial"/>
                <w:lang w:bidi="cs-CZ"/>
              </w:rPr>
            </w:pPr>
            <w:r w:rsidRPr="008819AF">
              <w:rPr>
                <w:rFonts w:eastAsia="Arial"/>
                <w:lang w:bidi="cs-CZ"/>
              </w:rPr>
              <w:t>Touto smernicou sa stanovujú pravidlá integrovanej prevencie a kontroly znečisťovania životného prostredia pochádzajúceho z priemyselných činností.</w:t>
            </w:r>
          </w:p>
          <w:p w14:paraId="15131634" w14:textId="77777777" w:rsidR="007170C3" w:rsidRPr="008819AF" w:rsidRDefault="007170C3" w:rsidP="0021052F">
            <w:pPr>
              <w:ind w:left="215" w:hanging="1"/>
              <w:rPr>
                <w:rFonts w:eastAsia="Arial"/>
                <w:lang w:bidi="cs-CZ"/>
              </w:rPr>
            </w:pPr>
          </w:p>
          <w:p w14:paraId="15131635" w14:textId="77777777" w:rsidR="007170C3" w:rsidRPr="008819AF" w:rsidRDefault="006F0418" w:rsidP="0021052F">
            <w:pPr>
              <w:ind w:left="215" w:hanging="1"/>
              <w:rPr>
                <w:rFonts w:eastAsia="Arial"/>
                <w:lang w:bidi="cs-CZ"/>
              </w:rPr>
            </w:pPr>
            <w:r w:rsidRPr="008819AF">
              <w:rPr>
                <w:rFonts w:eastAsia="Arial"/>
                <w:lang w:bidi="cs-CZ"/>
              </w:rPr>
              <w:t xml:space="preserve">Ustanovujú sa ňou aj pravidlá zamerané na prevenciu, alebo ak to nie je možné, na zníženie emisií do ovzdušia, vody a pôdy a predchádzanie </w:t>
            </w:r>
            <w:r w:rsidRPr="008819AF">
              <w:rPr>
                <w:rFonts w:eastAsia="Arial"/>
                <w:lang w:bidi="cs-CZ"/>
              </w:rPr>
              <w:lastRenderedPageBreak/>
              <w:t>vzniku odpadov s cieľom dosiahnuť vysokú úroveň ochrany životného prostredia ako celku.</w:t>
            </w:r>
          </w:p>
          <w:p w14:paraId="15131636" w14:textId="77777777" w:rsidR="007170C3" w:rsidRPr="008819AF" w:rsidRDefault="007170C3" w:rsidP="0021052F">
            <w:pPr>
              <w:ind w:left="215" w:hanging="215"/>
              <w:rPr>
                <w:rFonts w:eastAsia="Arial"/>
                <w:lang w:bidi="cs-CZ"/>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37"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38" w14:textId="77777777" w:rsidR="007170C3" w:rsidRPr="008819AF" w:rsidRDefault="007170C3" w:rsidP="00DD0CFD">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3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3A" w14:textId="77777777" w:rsidR="007170C3" w:rsidRPr="008819AF" w:rsidRDefault="007170C3" w:rsidP="0021052F">
            <w:pPr>
              <w:ind w:left="215" w:hanging="215"/>
              <w:rPr>
                <w:rFonts w:eastAsia="Arial"/>
                <w:lang w:bidi="cs-CZ"/>
              </w:rPr>
            </w:pPr>
          </w:p>
          <w:p w14:paraId="1513163B"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63C"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3D" w14:textId="77777777" w:rsidR="007170C3" w:rsidRPr="008819AF" w:rsidRDefault="007170C3" w:rsidP="0021052F">
            <w:pPr>
              <w:ind w:left="215" w:hanging="215"/>
              <w:rPr>
                <w:rFonts w:eastAsia="Arial"/>
                <w:lang w:bidi="cs-CZ"/>
              </w:rPr>
            </w:pPr>
          </w:p>
        </w:tc>
      </w:tr>
      <w:tr w:rsidR="00F80158" w:rsidRPr="008819AF" w14:paraId="1513164C"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3F" w14:textId="77777777" w:rsidR="007170C3" w:rsidRPr="008819AF" w:rsidRDefault="006F0418" w:rsidP="003E351D">
            <w:pPr>
              <w:ind w:right="-70"/>
              <w:rPr>
                <w:rFonts w:eastAsia="Arial"/>
                <w:lang w:bidi="cs-CZ"/>
              </w:rPr>
            </w:pPr>
            <w:r w:rsidRPr="008819AF">
              <w:rPr>
                <w:rFonts w:eastAsia="Arial"/>
                <w:lang w:bidi="cs-CZ"/>
              </w:rPr>
              <w:t>Č:2</w:t>
            </w:r>
          </w:p>
        </w:tc>
        <w:tc>
          <w:tcPr>
            <w:tcW w:w="6227" w:type="dxa"/>
            <w:gridSpan w:val="2"/>
            <w:tcBorders>
              <w:top w:val="single" w:sz="4" w:space="0" w:color="000000"/>
              <w:left w:val="single" w:sz="6" w:space="0" w:color="000000"/>
              <w:bottom w:val="single" w:sz="4" w:space="0" w:color="000000"/>
              <w:right w:val="single" w:sz="6" w:space="0" w:color="000000"/>
            </w:tcBorders>
          </w:tcPr>
          <w:p w14:paraId="15131640" w14:textId="77777777" w:rsidR="007170C3" w:rsidRPr="008819AF" w:rsidRDefault="006F0418" w:rsidP="0021052F">
            <w:pPr>
              <w:ind w:left="215" w:hanging="215"/>
              <w:rPr>
                <w:rFonts w:eastAsia="Arial"/>
                <w:lang w:bidi="cs-CZ"/>
              </w:rPr>
            </w:pPr>
            <w:r w:rsidRPr="008819AF">
              <w:rPr>
                <w:rFonts w:eastAsia="Arial"/>
                <w:lang w:bidi="cs-CZ"/>
              </w:rPr>
              <w:t>Článok 2</w:t>
            </w:r>
          </w:p>
          <w:p w14:paraId="15131641" w14:textId="77777777" w:rsidR="007170C3" w:rsidRPr="008819AF" w:rsidRDefault="006F0418" w:rsidP="0021052F">
            <w:pPr>
              <w:ind w:left="215" w:hanging="215"/>
              <w:rPr>
                <w:rFonts w:eastAsia="Arial"/>
                <w:lang w:bidi="cs-CZ"/>
              </w:rPr>
            </w:pPr>
            <w:r w:rsidRPr="008819AF">
              <w:rPr>
                <w:rFonts w:eastAsia="Arial"/>
                <w:lang w:bidi="cs-CZ"/>
              </w:rPr>
              <w:t>Rozsah pôsobnosti</w:t>
            </w:r>
          </w:p>
          <w:p w14:paraId="15131642" w14:textId="77777777" w:rsidR="007170C3" w:rsidRPr="008819AF" w:rsidRDefault="007170C3" w:rsidP="0021052F">
            <w:pPr>
              <w:ind w:left="215" w:hanging="215"/>
              <w:rPr>
                <w:rFonts w:eastAsia="Arial"/>
                <w:lang w:bidi="cs-CZ"/>
              </w:rPr>
            </w:pPr>
          </w:p>
          <w:p w14:paraId="15131643" w14:textId="77777777" w:rsidR="007170C3" w:rsidRPr="008819AF" w:rsidRDefault="006F0418" w:rsidP="0021052F">
            <w:pPr>
              <w:ind w:left="215" w:hanging="215"/>
              <w:rPr>
                <w:rFonts w:eastAsia="Arial"/>
                <w:lang w:bidi="cs-CZ"/>
              </w:rPr>
            </w:pPr>
            <w:r w:rsidRPr="008819AF">
              <w:rPr>
                <w:rFonts w:eastAsia="Arial"/>
                <w:lang w:bidi="cs-CZ"/>
              </w:rPr>
              <w:t>1. Táto smernica sa uplatňuje na priemyselné činnosti, ktoré spôsobujú znečisťovanie uvedené v kapitolách II až VI.</w:t>
            </w:r>
          </w:p>
          <w:p w14:paraId="15131644" w14:textId="77777777" w:rsidR="007170C3" w:rsidRPr="008819AF" w:rsidRDefault="007170C3" w:rsidP="0021052F">
            <w:pPr>
              <w:ind w:left="215" w:hanging="215"/>
              <w:rPr>
                <w:rFonts w:eastAsia="Arial"/>
                <w:lang w:bidi="cs-CZ"/>
              </w:rPr>
            </w:pPr>
          </w:p>
          <w:p w14:paraId="15131645" w14:textId="77777777" w:rsidR="007170C3" w:rsidRPr="008819AF" w:rsidRDefault="006F0418" w:rsidP="0021052F">
            <w:pPr>
              <w:ind w:left="215" w:hanging="215"/>
              <w:rPr>
                <w:rFonts w:eastAsia="Arial"/>
                <w:lang w:bidi="cs-CZ"/>
              </w:rPr>
            </w:pPr>
            <w:r w:rsidRPr="008819AF">
              <w:rPr>
                <w:rFonts w:eastAsia="Arial"/>
                <w:lang w:bidi="cs-CZ"/>
              </w:rPr>
              <w:t>2. Táto smernica sa neuplatňuje na aktivity v oblasti výskumu, aktivity v oblasti vývoja, ani na testovanie nových výrobkov a postupov.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46"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47"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48" w14:textId="77777777" w:rsidR="007170C3" w:rsidRPr="008819AF" w:rsidRDefault="007170C3" w:rsidP="0021052F">
            <w:pPr>
              <w:ind w:right="-70"/>
              <w:jc w:val="center"/>
              <w:rPr>
                <w:rFonts w:eastAsia="Arial"/>
                <w:lang w:bidi="cs-CZ"/>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49" w14:textId="77777777" w:rsidR="007170C3" w:rsidRPr="008819AF" w:rsidRDefault="007170C3" w:rsidP="0021052F">
            <w:pPr>
              <w:rPr>
                <w:rFonts w:eastAsia="Arial"/>
              </w:rPr>
            </w:pPr>
          </w:p>
        </w:tc>
        <w:tc>
          <w:tcPr>
            <w:tcW w:w="429" w:type="dxa"/>
            <w:tcBorders>
              <w:top w:val="single" w:sz="4" w:space="0" w:color="000000"/>
              <w:left w:val="single" w:sz="6" w:space="0" w:color="000000"/>
              <w:bottom w:val="single" w:sz="4" w:space="0" w:color="000000"/>
              <w:right w:val="single" w:sz="6" w:space="0" w:color="000000"/>
            </w:tcBorders>
          </w:tcPr>
          <w:p w14:paraId="1513164A"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4B" w14:textId="77777777" w:rsidR="007170C3" w:rsidRPr="008819AF" w:rsidRDefault="007170C3" w:rsidP="0021052F">
            <w:pPr>
              <w:ind w:left="215" w:hanging="215"/>
              <w:rPr>
                <w:rFonts w:eastAsia="Arial"/>
                <w:lang w:bidi="cs-CZ"/>
              </w:rPr>
            </w:pPr>
          </w:p>
        </w:tc>
      </w:tr>
      <w:tr w:rsidR="00F80158" w:rsidRPr="008819AF" w14:paraId="1513165C"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4D" w14:textId="77777777" w:rsidR="007170C3" w:rsidRPr="008819AF" w:rsidRDefault="006F0418" w:rsidP="003E351D">
            <w:pPr>
              <w:ind w:right="-70"/>
              <w:rPr>
                <w:rFonts w:eastAsia="Arial"/>
                <w:lang w:bidi="cs-CZ"/>
              </w:rPr>
            </w:pPr>
            <w:r w:rsidRPr="008819AF">
              <w:rPr>
                <w:rFonts w:eastAsia="Arial"/>
                <w:lang w:bidi="cs-CZ"/>
              </w:rPr>
              <w:t>Č:3</w:t>
            </w:r>
          </w:p>
        </w:tc>
        <w:tc>
          <w:tcPr>
            <w:tcW w:w="6227" w:type="dxa"/>
            <w:gridSpan w:val="2"/>
            <w:tcBorders>
              <w:top w:val="single" w:sz="4" w:space="0" w:color="000000"/>
              <w:left w:val="single" w:sz="6" w:space="0" w:color="000000"/>
              <w:bottom w:val="single" w:sz="4" w:space="0" w:color="000000"/>
              <w:right w:val="single" w:sz="6" w:space="0" w:color="000000"/>
            </w:tcBorders>
          </w:tcPr>
          <w:p w14:paraId="1513164E" w14:textId="77777777" w:rsidR="007170C3" w:rsidRPr="008819AF" w:rsidRDefault="006F0418" w:rsidP="0021052F">
            <w:pPr>
              <w:ind w:left="215" w:hanging="215"/>
              <w:rPr>
                <w:rFonts w:eastAsia="Arial"/>
                <w:lang w:bidi="cs-CZ"/>
              </w:rPr>
            </w:pPr>
            <w:r w:rsidRPr="008819AF">
              <w:rPr>
                <w:rFonts w:eastAsia="Arial"/>
                <w:lang w:bidi="cs-CZ"/>
              </w:rPr>
              <w:t>Článok 3</w:t>
            </w:r>
          </w:p>
          <w:p w14:paraId="1513164F" w14:textId="77777777" w:rsidR="007170C3" w:rsidRPr="008819AF" w:rsidRDefault="006F0418" w:rsidP="00CF2D33">
            <w:pPr>
              <w:spacing w:before="120" w:after="120"/>
              <w:ind w:left="215"/>
              <w:rPr>
                <w:rFonts w:eastAsia="Arial"/>
                <w:lang w:bidi="cs-CZ"/>
              </w:rPr>
            </w:pPr>
            <w:r w:rsidRPr="008819AF">
              <w:rPr>
                <w:rFonts w:eastAsia="Arial"/>
                <w:b/>
                <w:bCs/>
                <w:lang w:bidi="cs-CZ"/>
              </w:rPr>
              <w:t>Vymedzenie pojmov</w:t>
            </w:r>
          </w:p>
          <w:p w14:paraId="15131650" w14:textId="77777777" w:rsidR="007170C3" w:rsidRPr="008819AF" w:rsidRDefault="006F0418" w:rsidP="00CF2D33">
            <w:pPr>
              <w:spacing w:after="120"/>
              <w:ind w:left="215"/>
              <w:rPr>
                <w:rFonts w:eastAsia="Arial"/>
                <w:lang w:bidi="cs-CZ"/>
              </w:rPr>
            </w:pPr>
            <w:r w:rsidRPr="008819AF">
              <w:rPr>
                <w:rFonts w:eastAsia="Arial"/>
                <w:lang w:bidi="cs-CZ"/>
              </w:rPr>
              <w:t>Na účely tejto smernice sa uplatňujú tieto vymedzenia pojmov:</w:t>
            </w:r>
          </w:p>
          <w:p w14:paraId="15131651" w14:textId="77777777" w:rsidR="007170C3" w:rsidRPr="008819AF" w:rsidRDefault="006F0418" w:rsidP="00CF2D33">
            <w:pPr>
              <w:numPr>
                <w:ilvl w:val="0"/>
                <w:numId w:val="4"/>
              </w:numPr>
              <w:ind w:left="215" w:hanging="215"/>
              <w:rPr>
                <w:rFonts w:eastAsia="Arial"/>
                <w:lang w:bidi="cs-CZ"/>
              </w:rPr>
            </w:pPr>
            <w:r w:rsidRPr="008819AF">
              <w:rPr>
                <w:rFonts w:eastAsia="Arial"/>
                <w:lang w:bidi="cs-CZ"/>
              </w:rPr>
              <w:t>„látka“ je akýkoľvek chemický prvok a jeho zlúčeniny s výnimkou týchto látok:</w:t>
            </w:r>
          </w:p>
          <w:p w14:paraId="15131652" w14:textId="77777777" w:rsidR="00CF2D33" w:rsidRPr="008819AF" w:rsidRDefault="00CF2D33" w:rsidP="00CF2D33">
            <w:pPr>
              <w:pStyle w:val="CM1"/>
              <w:ind w:left="215"/>
              <w:jc w:val="both"/>
              <w:rPr>
                <w:color w:val="000000"/>
                <w:sz w:val="20"/>
                <w:szCs w:val="20"/>
              </w:rPr>
            </w:pPr>
            <w:r w:rsidRPr="008819AF">
              <w:rPr>
                <w:color w:val="000000"/>
                <w:sz w:val="20"/>
                <w:szCs w:val="20"/>
              </w:rPr>
              <w:t xml:space="preserve">a) rádioaktívne látky, ako sú vymedzené v článku 1 smernice Rady 96/29/Euratom z 13. mája 1996, ktorá stanovuje základné bezpečnostné normy ochrany zdravia pracovníkov a obyvateľstva pred nebezpečenstvami vznikajúcimi v dôsledku ionizujúceho žiarenia (1); </w:t>
            </w:r>
          </w:p>
          <w:p w14:paraId="15131653" w14:textId="77777777" w:rsidR="00CF2D33" w:rsidRPr="008819AF" w:rsidRDefault="00CF2D33" w:rsidP="00CF2D33">
            <w:pPr>
              <w:pStyle w:val="CM4"/>
              <w:ind w:left="215"/>
              <w:rPr>
                <w:color w:val="000000"/>
                <w:sz w:val="20"/>
                <w:szCs w:val="20"/>
              </w:rPr>
            </w:pPr>
            <w:r w:rsidRPr="008819AF">
              <w:rPr>
                <w:color w:val="000000"/>
                <w:sz w:val="20"/>
                <w:szCs w:val="20"/>
              </w:rPr>
              <w:t xml:space="preserve">b) geneticky modifikované mikroorganizmy, ako sú vymedzené v článku 2 písm. b) smernice Európskeho parlamentu a Rady 2009/41/ES zo 6. mája 2009 o obmedzenom použití geneticky modifikovaných mikroorganizmov (2); </w:t>
            </w:r>
          </w:p>
          <w:p w14:paraId="15131654" w14:textId="77777777" w:rsidR="00CF2D33" w:rsidRPr="008819AF" w:rsidRDefault="00CF2D33" w:rsidP="00CF2D33">
            <w:pPr>
              <w:ind w:left="215"/>
              <w:rPr>
                <w:color w:val="000000"/>
              </w:rPr>
            </w:pPr>
            <w:r w:rsidRPr="008819AF">
              <w:rPr>
                <w:color w:val="000000"/>
              </w:rPr>
              <w:t xml:space="preserve">c) geneticky modifikované organizmy, ako sú vymedzené v článku 2 bod 2 smernice Európskeho parlamentu a Rady 2001/18/ES z 12. marca 2001 o zámernom uvoľnení geneticky modifikovaných organizmov do životného prostredia (3); </w:t>
            </w:r>
          </w:p>
          <w:p w14:paraId="15131655" w14:textId="77777777" w:rsidR="007170C3" w:rsidRPr="008819AF" w:rsidRDefault="00CF2D33" w:rsidP="00CF2D33">
            <w:pPr>
              <w:rPr>
                <w:rFonts w:eastAsia="Arial"/>
                <w:lang w:bidi="cs-CZ"/>
              </w:rPr>
            </w:pPr>
            <w:r w:rsidRPr="008819AF">
              <w:rPr>
                <w:color w:val="000000"/>
                <w:sz w:val="17"/>
                <w:szCs w:val="17"/>
              </w:rPr>
              <w:t>(</w:t>
            </w:r>
            <w:r w:rsidRPr="008819AF">
              <w:rPr>
                <w:color w:val="000000"/>
                <w:sz w:val="11"/>
                <w:szCs w:val="11"/>
              </w:rPr>
              <w:t>1</w:t>
            </w:r>
            <w:r w:rsidRPr="008819AF">
              <w:rPr>
                <w:color w:val="000000"/>
                <w:sz w:val="17"/>
                <w:szCs w:val="17"/>
              </w:rPr>
              <w:t>) Ú. v. ES L 159, 29.6.1996, s. 1. (</w:t>
            </w:r>
            <w:r w:rsidRPr="008819AF">
              <w:rPr>
                <w:color w:val="000000"/>
                <w:sz w:val="11"/>
                <w:szCs w:val="11"/>
              </w:rPr>
              <w:t>2</w:t>
            </w:r>
            <w:r w:rsidRPr="008819AF">
              <w:rPr>
                <w:color w:val="000000"/>
                <w:sz w:val="17"/>
                <w:szCs w:val="17"/>
              </w:rPr>
              <w:t>) Ú. v. EÚ L 125, 21.5.2009, s. 75. (</w:t>
            </w:r>
            <w:r w:rsidRPr="008819AF">
              <w:rPr>
                <w:color w:val="000000"/>
                <w:sz w:val="11"/>
                <w:szCs w:val="11"/>
              </w:rPr>
              <w:t>3</w:t>
            </w:r>
            <w:r w:rsidRPr="008819AF">
              <w:rPr>
                <w:color w:val="000000"/>
                <w:sz w:val="17"/>
                <w:szCs w:val="17"/>
              </w:rPr>
              <w:t>) Ú. v. ES L 106, 17.4.2001, s. 1.</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56"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57"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58" w14:textId="77777777" w:rsidR="007170C3" w:rsidRPr="008819AF" w:rsidRDefault="007170C3" w:rsidP="00CF2D33">
            <w:pPr>
              <w:spacing w:after="120"/>
              <w:ind w:right="-68"/>
              <w:jc w:val="center"/>
              <w:rPr>
                <w:rFonts w:eastAsia="Arial"/>
                <w:lang w:bidi="cs-CZ"/>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59" w14:textId="77777777" w:rsidR="007170C3" w:rsidRPr="008819AF" w:rsidRDefault="007170C3" w:rsidP="0021052F">
            <w:pPr>
              <w:pStyle w:val="Nomal"/>
              <w:rPr>
                <w:rFonts w:ascii="Times New Roman" w:hAnsi="Times New Roman" w:cs="Times New Roman"/>
                <w:color w:val="auto"/>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1513165A"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5B" w14:textId="77777777" w:rsidR="007170C3" w:rsidRPr="008819AF" w:rsidRDefault="007170C3" w:rsidP="0021052F">
            <w:pPr>
              <w:ind w:left="215" w:hanging="215"/>
              <w:rPr>
                <w:rFonts w:eastAsia="Arial"/>
                <w:lang w:bidi="cs-CZ"/>
              </w:rPr>
            </w:pPr>
          </w:p>
        </w:tc>
      </w:tr>
      <w:tr w:rsidR="00F80158" w:rsidRPr="008819AF" w14:paraId="15131665" w14:textId="77777777" w:rsidTr="003E351D">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1513165D"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5E" w14:textId="77777777" w:rsidR="007170C3" w:rsidRPr="008819AF" w:rsidRDefault="006F0418" w:rsidP="008B099A">
            <w:pPr>
              <w:ind w:left="215" w:hanging="215"/>
              <w:rPr>
                <w:i/>
                <w:iCs/>
              </w:rPr>
            </w:pPr>
            <w:r w:rsidRPr="008819AF">
              <w:rPr>
                <w:rFonts w:eastAsia="Arial"/>
              </w:rPr>
              <w:t>2.„znečisťovanie“ je priame alebo nepriame zavádzanie látok, vibrácií, tepla alebo hluku do ovzdušia, vody alebo pôdy v dôsledku ľudskej činnosti, ktoré môže byť škodlivé pre ľudské zdravie alebo kvalitu životného prostredia, spôsobiť poškodenie hmotného majetku, alebo znehodnotiť či narušiť harmóniu životného prostredia a iné legitímne využívanie životného prostredia;</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5F"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60"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61" w14:textId="77777777" w:rsidR="007170C3" w:rsidRPr="008819AF" w:rsidRDefault="007170C3" w:rsidP="008B099A">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62" w14:textId="77777777" w:rsidR="007170C3" w:rsidRPr="008819AF" w:rsidRDefault="007170C3" w:rsidP="0021052F">
            <w:pPr>
              <w:pStyle w:val="Hlavika"/>
              <w:ind w:left="0" w:firstLine="0"/>
              <w:rPr>
                <w:rFonts w:ascii="Times New Roman" w:hAnsi="Times New Roman" w:cs="Times New Roman"/>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663"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64" w14:textId="77777777" w:rsidR="007170C3" w:rsidRPr="008819AF" w:rsidRDefault="007170C3" w:rsidP="0021052F">
            <w:pPr>
              <w:ind w:left="215" w:hanging="215"/>
              <w:rPr>
                <w:rFonts w:eastAsia="Arial"/>
                <w:lang w:bidi="cs-CZ"/>
              </w:rPr>
            </w:pPr>
          </w:p>
        </w:tc>
      </w:tr>
      <w:tr w:rsidR="00F80158" w:rsidRPr="008819AF" w14:paraId="1513166E"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66"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67" w14:textId="77777777" w:rsidR="007170C3" w:rsidRPr="008819AF" w:rsidRDefault="008070B3" w:rsidP="008070B3">
            <w:pPr>
              <w:rPr>
                <w:rFonts w:eastAsia="Arial"/>
              </w:rPr>
            </w:pPr>
            <w:r w:rsidRPr="008819AF">
              <w:rPr>
                <w:rFonts w:eastAsia="Arial"/>
              </w:rPr>
              <w:t xml:space="preserve">3. </w:t>
            </w:r>
            <w:r w:rsidR="006F0418" w:rsidRPr="008819AF">
              <w:rPr>
                <w:rFonts w:eastAsia="Arial"/>
              </w:rPr>
              <w:t>„zariadenie“ je stacionárna technická jednotka, v ktorej sa vykonáva jedna alebo viac činností uvedených v prílohe I alebo v prílohe VII časť 1 a všetky ostatné priamo s tým spojené činnosti na tom istom mieste, ktoré majú technickú nadväznosť na činnosti uvedené v uvedených prílohách a ktoré by mohli mať vplyv na emisie a znečisťovanie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68"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69"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6A" w14:textId="77777777" w:rsidR="007170C3" w:rsidRPr="008819AF" w:rsidRDefault="007170C3" w:rsidP="008B099A">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6B" w14:textId="77777777" w:rsidR="007170C3" w:rsidRPr="008819AF" w:rsidRDefault="007170C3" w:rsidP="008B099A"/>
        </w:tc>
        <w:tc>
          <w:tcPr>
            <w:tcW w:w="429" w:type="dxa"/>
            <w:tcBorders>
              <w:top w:val="single" w:sz="4" w:space="0" w:color="000000"/>
              <w:left w:val="single" w:sz="6" w:space="0" w:color="000000"/>
              <w:bottom w:val="single" w:sz="4" w:space="0" w:color="000000"/>
              <w:right w:val="single" w:sz="6" w:space="0" w:color="000000"/>
            </w:tcBorders>
          </w:tcPr>
          <w:p w14:paraId="1513166C"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6D" w14:textId="77777777" w:rsidR="007170C3" w:rsidRPr="008819AF" w:rsidRDefault="007170C3" w:rsidP="0021052F">
            <w:pPr>
              <w:ind w:left="215" w:hanging="215"/>
              <w:rPr>
                <w:rFonts w:eastAsia="Arial"/>
                <w:lang w:bidi="cs-CZ"/>
              </w:rPr>
            </w:pPr>
          </w:p>
        </w:tc>
      </w:tr>
      <w:tr w:rsidR="00F80158" w:rsidRPr="008819AF" w14:paraId="15131677"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6F"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70" w14:textId="77777777" w:rsidR="007170C3" w:rsidRPr="008819AF" w:rsidRDefault="008070B3" w:rsidP="008070B3">
            <w:pPr>
              <w:rPr>
                <w:rFonts w:eastAsia="Arial"/>
              </w:rPr>
            </w:pPr>
            <w:r w:rsidRPr="008819AF">
              <w:rPr>
                <w:rFonts w:eastAsia="Arial"/>
              </w:rPr>
              <w:t xml:space="preserve">4. </w:t>
            </w:r>
            <w:r w:rsidR="006F0418" w:rsidRPr="008819AF">
              <w:rPr>
                <w:rFonts w:eastAsia="Arial"/>
              </w:rPr>
              <w:t>„emisia“ je priame alebo nepriame uvoľnenie látok, vibrácií ,tepla alebo hluku z bodového zdroja alebo z plošných zdrojov zariadenia do ovzdušia, vody alebo pôdy;</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71"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72"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73" w14:textId="77777777" w:rsidR="007170C3" w:rsidRPr="008819AF" w:rsidRDefault="007170C3" w:rsidP="008B099A">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74" w14:textId="77777777" w:rsidR="007170C3" w:rsidRPr="008819AF" w:rsidRDefault="007170C3" w:rsidP="008B099A">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675"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76" w14:textId="77777777" w:rsidR="007170C3" w:rsidRPr="008819AF" w:rsidRDefault="007170C3" w:rsidP="0021052F">
            <w:pPr>
              <w:ind w:left="215" w:hanging="215"/>
              <w:rPr>
                <w:rFonts w:eastAsia="Arial"/>
                <w:lang w:bidi="cs-CZ"/>
              </w:rPr>
            </w:pPr>
          </w:p>
        </w:tc>
      </w:tr>
      <w:tr w:rsidR="00F80158" w:rsidRPr="008819AF" w14:paraId="15131680"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78"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79" w14:textId="77777777" w:rsidR="007170C3" w:rsidRPr="008819AF" w:rsidRDefault="008070B3" w:rsidP="008070B3">
            <w:pPr>
              <w:rPr>
                <w:rFonts w:eastAsia="Arial"/>
              </w:rPr>
            </w:pPr>
            <w:r w:rsidRPr="008819AF">
              <w:rPr>
                <w:rFonts w:eastAsia="Arial"/>
              </w:rPr>
              <w:t xml:space="preserve">5. </w:t>
            </w:r>
            <w:r w:rsidR="006F0418" w:rsidRPr="008819AF">
              <w:rPr>
                <w:rFonts w:eastAsia="Arial"/>
              </w:rPr>
              <w:t>„emisný limit“ je množstvo vyjadrené pomocou určitých špecifických parametrov, koncentrácia a/alebo úroveň emisie, ktoré sa počas jedného alebo viacerých časových úsekov nesmie prevýšiť;</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7A"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7B"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7C" w14:textId="77777777" w:rsidR="007170C3" w:rsidRPr="008819AF" w:rsidRDefault="007170C3" w:rsidP="008B099A">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7D" w14:textId="77777777" w:rsidR="007170C3" w:rsidRPr="008819AF" w:rsidRDefault="007170C3" w:rsidP="0021052F">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67E"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7F" w14:textId="77777777" w:rsidR="007170C3" w:rsidRPr="008819AF" w:rsidRDefault="007170C3" w:rsidP="0021052F">
            <w:pPr>
              <w:ind w:left="215" w:hanging="215"/>
              <w:rPr>
                <w:rFonts w:eastAsia="Arial"/>
                <w:lang w:bidi="cs-CZ"/>
              </w:rPr>
            </w:pPr>
          </w:p>
        </w:tc>
      </w:tr>
      <w:tr w:rsidR="00F80158" w:rsidRPr="008819AF" w14:paraId="1513168A"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81"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82" w14:textId="77777777" w:rsidR="007170C3" w:rsidRPr="008819AF" w:rsidRDefault="008070B3" w:rsidP="008070B3">
            <w:pPr>
              <w:rPr>
                <w:rFonts w:eastAsia="Arial"/>
              </w:rPr>
            </w:pPr>
            <w:r w:rsidRPr="008819AF">
              <w:rPr>
                <w:rFonts w:eastAsia="Arial"/>
              </w:rPr>
              <w:t xml:space="preserve">6. </w:t>
            </w:r>
            <w:r w:rsidR="006F0418" w:rsidRPr="008819AF">
              <w:rPr>
                <w:rFonts w:eastAsia="Arial"/>
              </w:rPr>
              <w:t>„norma kvality životného prostredia“ je súbor požiadaviek stanovených v právnych predpisoch Únie, ktoré musí dané životné prostredie alebo jeho určitá časť v danom čase spĺňať;</w:t>
            </w:r>
          </w:p>
          <w:p w14:paraId="15131683" w14:textId="77777777" w:rsidR="007170C3" w:rsidRPr="008819AF" w:rsidRDefault="007170C3" w:rsidP="008070B3">
            <w:pPr>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84"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85"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86" w14:textId="77777777" w:rsidR="007170C3" w:rsidRPr="008819AF" w:rsidRDefault="007170C3" w:rsidP="008B099A">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87" w14:textId="77777777" w:rsidR="007170C3" w:rsidRPr="008819AF" w:rsidRDefault="007170C3" w:rsidP="0021052F">
            <w:pPr>
              <w:pStyle w:val="Hlavika"/>
              <w:ind w:left="0" w:hanging="1"/>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688"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89" w14:textId="77777777" w:rsidR="007170C3" w:rsidRPr="008819AF" w:rsidRDefault="007170C3" w:rsidP="0021052F">
            <w:pPr>
              <w:ind w:left="215" w:hanging="215"/>
              <w:rPr>
                <w:rFonts w:eastAsia="Arial"/>
                <w:lang w:bidi="cs-CZ"/>
              </w:rPr>
            </w:pPr>
          </w:p>
        </w:tc>
      </w:tr>
      <w:tr w:rsidR="00F80158" w:rsidRPr="008819AF" w14:paraId="15131693"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8B"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8C" w14:textId="77777777" w:rsidR="007170C3" w:rsidRPr="008819AF" w:rsidRDefault="00510918" w:rsidP="00510918">
            <w:pPr>
              <w:rPr>
                <w:rFonts w:eastAsia="Arial"/>
              </w:rPr>
            </w:pPr>
            <w:r w:rsidRPr="008819AF">
              <w:rPr>
                <w:rFonts w:eastAsia="Arial"/>
              </w:rPr>
              <w:t xml:space="preserve">7. </w:t>
            </w:r>
            <w:r w:rsidR="006F0418" w:rsidRPr="008819AF">
              <w:rPr>
                <w:rFonts w:eastAsia="Arial"/>
              </w:rPr>
              <w:t>„povolenie“ je písomné oprávnenie prevádzkovať zariadenie alebo jeho časť, alebo spaľovacie zariadenie alebo jeho časť, spaľovňu odpadov alebo jej časť, alebo zariadenie na spoluspaľovanie odpadov alebo jeho časť;</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8D"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8E"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8F"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90" w14:textId="77777777" w:rsidR="008070B3" w:rsidRPr="008819AF" w:rsidRDefault="008070B3" w:rsidP="008070B3">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691"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92" w14:textId="77777777" w:rsidR="007170C3" w:rsidRPr="008819AF" w:rsidRDefault="007170C3" w:rsidP="0021052F">
            <w:pPr>
              <w:ind w:left="215" w:hanging="215"/>
              <w:rPr>
                <w:rFonts w:eastAsia="Arial"/>
                <w:lang w:bidi="cs-CZ"/>
              </w:rPr>
            </w:pPr>
          </w:p>
        </w:tc>
      </w:tr>
      <w:tr w:rsidR="00F80158" w:rsidRPr="008819AF" w14:paraId="1513169D"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94"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95" w14:textId="77777777" w:rsidR="007170C3" w:rsidRPr="008819AF" w:rsidRDefault="00510918" w:rsidP="00510918">
            <w:pPr>
              <w:rPr>
                <w:rFonts w:eastAsia="Arial"/>
              </w:rPr>
            </w:pPr>
            <w:r w:rsidRPr="008819AF">
              <w:rPr>
                <w:rFonts w:eastAsia="Arial"/>
              </w:rPr>
              <w:t xml:space="preserve">8. </w:t>
            </w:r>
            <w:r w:rsidR="006F0418" w:rsidRPr="008819AF">
              <w:rPr>
                <w:rFonts w:eastAsia="Arial"/>
              </w:rPr>
              <w:t>„všeobecne záväzné pravidlá“ sú emisné limity alebo iné podmienky stanovené aspoň na odvetvovej úrovni, ktoré sú prijaté s úmyslom ich priameho použitia na stanovenie podmienok povolenia;</w:t>
            </w:r>
          </w:p>
          <w:p w14:paraId="15131696" w14:textId="77777777" w:rsidR="007170C3" w:rsidRPr="008819AF" w:rsidRDefault="007170C3" w:rsidP="0021052F">
            <w:pPr>
              <w:ind w:left="214" w:hanging="214"/>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97"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98" w14:textId="77777777" w:rsidR="007170C3" w:rsidRPr="008819AF" w:rsidRDefault="007170C3" w:rsidP="00510918">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9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9A" w14:textId="77777777" w:rsidR="007170C3" w:rsidRPr="008819AF" w:rsidRDefault="007170C3" w:rsidP="00510918">
            <w:pPr>
              <w:pStyle w:val="Hlavika"/>
              <w:tabs>
                <w:tab w:val="center" w:pos="3900"/>
              </w:tabs>
              <w:ind w:left="72" w:right="71" w:hanging="1"/>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69B"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9C" w14:textId="77777777" w:rsidR="007170C3" w:rsidRPr="008819AF" w:rsidRDefault="007170C3" w:rsidP="0021052F">
            <w:pPr>
              <w:ind w:left="215" w:hanging="215"/>
              <w:rPr>
                <w:rFonts w:eastAsia="Arial"/>
                <w:lang w:bidi="cs-CZ"/>
              </w:rPr>
            </w:pPr>
          </w:p>
        </w:tc>
      </w:tr>
      <w:tr w:rsidR="00F80158" w:rsidRPr="008819AF" w14:paraId="151316C1" w14:textId="77777777" w:rsidTr="003E351D">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1513169E"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9F" w14:textId="77777777" w:rsidR="007170C3" w:rsidRPr="008819AF" w:rsidRDefault="00510918" w:rsidP="00510918">
            <w:pPr>
              <w:rPr>
                <w:rFonts w:eastAsia="Arial"/>
              </w:rPr>
            </w:pPr>
            <w:r w:rsidRPr="008819AF">
              <w:rPr>
                <w:rFonts w:eastAsia="Arial"/>
              </w:rPr>
              <w:t xml:space="preserve">9. </w:t>
            </w:r>
            <w:r w:rsidR="006F0418" w:rsidRPr="008819AF">
              <w:rPr>
                <w:rFonts w:eastAsia="Arial"/>
              </w:rPr>
              <w:t>„podstatná zmena“ je zmena v charaktere alebo činnosti alebo rozšírenie zariadenia alebo spaľovacieho zariadenia, spaľovne odpadov alebo zariadenia na spoluspaľovanie odpadov, ktorá môže mať významné nepriaznivé účinky na ľudské zdravie alebo životné prostredie;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A0"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16A1" w14:textId="77777777" w:rsidR="007170C3" w:rsidRPr="008819AF" w:rsidRDefault="007170C3" w:rsidP="0021052F">
            <w:pPr>
              <w:ind w:left="-70" w:right="-68" w:hanging="6"/>
              <w:jc w:val="center"/>
              <w:rPr>
                <w:rFonts w:eastAsia="Arial"/>
                <w:lang w:bidi="cs-CZ"/>
              </w:rPr>
            </w:pPr>
          </w:p>
          <w:p w14:paraId="151316A2" w14:textId="77777777" w:rsidR="007170C3" w:rsidRPr="008819AF" w:rsidRDefault="007170C3" w:rsidP="0021052F">
            <w:pPr>
              <w:ind w:left="-70" w:right="-68" w:hanging="6"/>
              <w:jc w:val="center"/>
              <w:rPr>
                <w:rFonts w:eastAsia="Arial"/>
                <w:lang w:bidi="cs-CZ"/>
              </w:rPr>
            </w:pPr>
          </w:p>
          <w:p w14:paraId="151316A3" w14:textId="77777777" w:rsidR="007170C3" w:rsidRPr="008819AF" w:rsidRDefault="007170C3" w:rsidP="0021052F">
            <w:pPr>
              <w:ind w:left="-70" w:right="-68" w:hanging="6"/>
              <w:jc w:val="center"/>
              <w:rPr>
                <w:rFonts w:eastAsia="Arial"/>
                <w:lang w:bidi="cs-CZ"/>
              </w:rPr>
            </w:pPr>
          </w:p>
          <w:p w14:paraId="151316A4" w14:textId="77777777" w:rsidR="00826DC4" w:rsidRPr="008819AF" w:rsidRDefault="00826DC4" w:rsidP="0021052F">
            <w:pPr>
              <w:ind w:left="-70" w:right="-68" w:hanging="6"/>
              <w:jc w:val="center"/>
              <w:rPr>
                <w:rFonts w:eastAsia="Arial"/>
                <w:lang w:bidi="cs-CZ"/>
              </w:rPr>
            </w:pPr>
          </w:p>
          <w:p w14:paraId="151316A5" w14:textId="77777777" w:rsidR="00826DC4" w:rsidRPr="008819AF" w:rsidRDefault="00826DC4" w:rsidP="0021052F">
            <w:pPr>
              <w:ind w:left="-70" w:right="-68" w:hanging="6"/>
              <w:jc w:val="center"/>
              <w:rPr>
                <w:rFonts w:eastAsia="Arial"/>
                <w:lang w:bidi="cs-CZ"/>
              </w:rPr>
            </w:pPr>
          </w:p>
          <w:p w14:paraId="151316A7" w14:textId="4AA2A2E9" w:rsidR="007170C3" w:rsidRPr="008819AF" w:rsidRDefault="007170C3" w:rsidP="0021052F">
            <w:pPr>
              <w:ind w:left="-70" w:right="-68" w:hanging="6"/>
              <w:jc w:val="center"/>
              <w:rPr>
                <w:rFonts w:eastAsia="Arial"/>
                <w:lang w:bidi="cs-CZ"/>
              </w:rPr>
            </w:pPr>
          </w:p>
          <w:p w14:paraId="151316A8"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A9" w14:textId="77777777" w:rsidR="007170C3" w:rsidRPr="008819AF" w:rsidRDefault="00A32C9B" w:rsidP="0021052F">
            <w:pPr>
              <w:jc w:val="center"/>
              <w:rPr>
                <w:rFonts w:eastAsia="Arial"/>
                <w:lang w:bidi="cs-CZ"/>
              </w:rPr>
            </w:pPr>
            <w:r w:rsidRPr="008819AF">
              <w:rPr>
                <w:rFonts w:eastAsia="Arial"/>
                <w:lang w:bidi="cs-CZ"/>
              </w:rPr>
              <w:t>NZ</w:t>
            </w:r>
          </w:p>
          <w:p w14:paraId="151316AA" w14:textId="77777777" w:rsidR="007170C3" w:rsidRPr="008819AF" w:rsidRDefault="007170C3" w:rsidP="0021052F">
            <w:pPr>
              <w:jc w:val="center"/>
              <w:rPr>
                <w:rFonts w:eastAsia="Arial"/>
                <w:lang w:bidi="cs-CZ"/>
              </w:rPr>
            </w:pPr>
          </w:p>
          <w:p w14:paraId="151316AB" w14:textId="77777777" w:rsidR="007170C3" w:rsidRPr="008819AF" w:rsidRDefault="007170C3" w:rsidP="0021052F">
            <w:pPr>
              <w:jc w:val="center"/>
              <w:rPr>
                <w:rFonts w:eastAsia="Arial"/>
                <w:lang w:bidi="cs-CZ"/>
              </w:rPr>
            </w:pPr>
          </w:p>
          <w:p w14:paraId="151316AC" w14:textId="77777777" w:rsidR="00826DC4" w:rsidRPr="008819AF" w:rsidRDefault="00826DC4" w:rsidP="0021052F">
            <w:pPr>
              <w:jc w:val="center"/>
              <w:rPr>
                <w:rFonts w:eastAsia="Arial"/>
                <w:lang w:bidi="cs-CZ"/>
              </w:rPr>
            </w:pPr>
          </w:p>
          <w:p w14:paraId="151316AD" w14:textId="77777777" w:rsidR="00826DC4" w:rsidRPr="008819AF" w:rsidRDefault="00826DC4" w:rsidP="0021052F">
            <w:pPr>
              <w:jc w:val="center"/>
              <w:rPr>
                <w:rFonts w:eastAsia="Arial"/>
                <w:lang w:bidi="cs-CZ"/>
              </w:rPr>
            </w:pPr>
          </w:p>
          <w:p w14:paraId="151316AE" w14:textId="77777777" w:rsidR="00826DC4" w:rsidRPr="008819AF" w:rsidRDefault="00826DC4" w:rsidP="0021052F">
            <w:pPr>
              <w:jc w:val="center"/>
              <w:rPr>
                <w:rFonts w:eastAsia="Arial"/>
                <w:lang w:bidi="cs-CZ"/>
              </w:rPr>
            </w:pPr>
          </w:p>
          <w:p w14:paraId="151316AF" w14:textId="77777777" w:rsidR="00826DC4" w:rsidRPr="008819AF" w:rsidRDefault="00826DC4" w:rsidP="0021052F">
            <w:pPr>
              <w:jc w:val="center"/>
              <w:rPr>
                <w:rFonts w:eastAsia="Arial"/>
                <w:lang w:bidi="cs-CZ"/>
              </w:rPr>
            </w:pPr>
          </w:p>
          <w:p w14:paraId="151316B1" w14:textId="77777777" w:rsidR="007170C3" w:rsidRPr="008819AF" w:rsidRDefault="007170C3" w:rsidP="00BB4CD9">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B2" w14:textId="77777777" w:rsidR="00826DC4" w:rsidRPr="008819AF" w:rsidRDefault="00826DC4" w:rsidP="00826DC4">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2</w:t>
            </w:r>
          </w:p>
          <w:p w14:paraId="151316B3" w14:textId="77777777" w:rsidR="00826DC4" w:rsidRPr="008819AF" w:rsidRDefault="00826DC4" w:rsidP="00826DC4">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O1</w:t>
            </w:r>
          </w:p>
          <w:p w14:paraId="151316B4" w14:textId="77777777" w:rsidR="00826DC4" w:rsidRPr="008819AF" w:rsidRDefault="00826DC4" w:rsidP="00826DC4">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 q)</w:t>
            </w:r>
          </w:p>
          <w:p w14:paraId="151316B5"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6B6" w14:textId="77777777" w:rsidR="00826DC4" w:rsidRPr="008819AF" w:rsidRDefault="00826DC4" w:rsidP="0021052F">
            <w:pPr>
              <w:pStyle w:val="BodyText21"/>
              <w:spacing w:before="0" w:line="240" w:lineRule="auto"/>
              <w:ind w:left="0" w:right="-70" w:firstLine="0"/>
              <w:jc w:val="center"/>
              <w:rPr>
                <w:rFonts w:ascii="Times New Roman" w:hAnsi="Times New Roman" w:cs="Times New Roman"/>
              </w:rPr>
            </w:pPr>
          </w:p>
          <w:p w14:paraId="151316B7" w14:textId="77777777" w:rsidR="00826DC4" w:rsidRPr="008819AF" w:rsidRDefault="00826DC4" w:rsidP="0021052F">
            <w:pPr>
              <w:pStyle w:val="BodyText21"/>
              <w:spacing w:before="0" w:line="240" w:lineRule="auto"/>
              <w:ind w:left="0" w:right="-70" w:firstLine="0"/>
              <w:jc w:val="center"/>
              <w:rPr>
                <w:rFonts w:ascii="Times New Roman" w:hAnsi="Times New Roman" w:cs="Times New Roman"/>
              </w:rPr>
            </w:pPr>
          </w:p>
          <w:p w14:paraId="151316B9" w14:textId="77777777" w:rsidR="00826DC4" w:rsidRPr="008819AF" w:rsidRDefault="00826DC4" w:rsidP="0021052F">
            <w:pPr>
              <w:pStyle w:val="BodyText21"/>
              <w:spacing w:before="0" w:line="240" w:lineRule="auto"/>
              <w:ind w:left="0" w:right="-70" w:firstLine="0"/>
              <w:jc w:val="center"/>
              <w:rPr>
                <w:rFonts w:ascii="Times New Roman" w:hAnsi="Times New Roman" w:cs="Times New Roman"/>
              </w:rPr>
            </w:pPr>
          </w:p>
          <w:p w14:paraId="151316BA" w14:textId="77777777" w:rsidR="00826DC4" w:rsidRPr="008819AF" w:rsidRDefault="00826DC4"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BB" w14:textId="77777777" w:rsidR="00826DC4" w:rsidRPr="008819AF" w:rsidRDefault="00826DC4" w:rsidP="00826DC4">
            <w:pPr>
              <w:pStyle w:val="Hlavika"/>
              <w:ind w:left="72" w:hanging="1"/>
              <w:rPr>
                <w:rFonts w:ascii="Times New Roman" w:hAnsi="Times New Roman" w:cs="Times New Roman"/>
              </w:rPr>
            </w:pPr>
            <w:r w:rsidRPr="008819AF">
              <w:rPr>
                <w:rFonts w:ascii="Times New Roman" w:hAnsi="Times New Roman" w:cs="Times New Roman"/>
              </w:rPr>
              <w:t>podstatnou zmenou zmena v charaktere alebo činnosti stacionárneho zdroja alebo jeho zariadenia, vrátane jeho rozšírenia, ktorá môže mať významné negatívne účinky na zdravie ľudí alebo na životné prostredie; podstatnou zmenou je aj zmena, ako je ustanovená pre konkrétny druh zariadenia vykonávacím predpisom podľa § 62 písm. f),</w:t>
            </w:r>
          </w:p>
          <w:p w14:paraId="151316BE" w14:textId="77777777" w:rsidR="00A82CA5" w:rsidRPr="008819AF" w:rsidRDefault="00A82CA5" w:rsidP="00BB4CD9">
            <w:pPr>
              <w:pStyle w:val="Hlavika"/>
              <w:ind w:left="72" w:hanging="1"/>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6BF" w14:textId="77777777" w:rsidR="007170C3" w:rsidRPr="008819AF" w:rsidRDefault="006F0418" w:rsidP="0021052F">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151316C0" w14:textId="77777777" w:rsidR="007170C3" w:rsidRPr="008819AF" w:rsidRDefault="007170C3" w:rsidP="0021052F">
            <w:pPr>
              <w:ind w:left="215" w:hanging="215"/>
              <w:rPr>
                <w:rFonts w:eastAsia="Arial"/>
                <w:lang w:bidi="cs-CZ"/>
              </w:rPr>
            </w:pPr>
          </w:p>
        </w:tc>
      </w:tr>
      <w:tr w:rsidR="00F80158" w:rsidRPr="008819AF" w14:paraId="151316CD"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C2"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C3" w14:textId="77777777" w:rsidR="007170C3" w:rsidRPr="008819AF" w:rsidRDefault="00510918" w:rsidP="00510918">
            <w:pPr>
              <w:rPr>
                <w:rFonts w:eastAsia="Arial"/>
              </w:rPr>
            </w:pPr>
            <w:r w:rsidRPr="008819AF">
              <w:rPr>
                <w:rFonts w:eastAsia="Arial"/>
              </w:rPr>
              <w:t xml:space="preserve">10. </w:t>
            </w:r>
            <w:r w:rsidR="006F0418" w:rsidRPr="008819AF">
              <w:rPr>
                <w:rFonts w:eastAsia="Arial"/>
              </w:rPr>
              <w:t>„najlepšie dostupné techniky“ sú najúčinnejším a najpokrokovejším štádiom vývoja činností a metód prevádzkovania, ktoré naznačuje praktickú vhodnosť konkrétnych techník predstavovať základ pre emisné limity a iné podmienky povolenia navrhnuté s cieľom prevencie a v prípade, že to nie je možné, zníženia emisií a vplyvu na životné prostredie ako celok:</w:t>
            </w:r>
          </w:p>
          <w:p w14:paraId="151316C4" w14:textId="77777777" w:rsidR="007170C3" w:rsidRPr="008819AF" w:rsidRDefault="006F0418" w:rsidP="00004CE2">
            <w:pPr>
              <w:numPr>
                <w:ilvl w:val="1"/>
                <w:numId w:val="4"/>
              </w:numPr>
              <w:spacing w:before="120"/>
              <w:ind w:left="640" w:hanging="284"/>
              <w:rPr>
                <w:rFonts w:eastAsia="Arial"/>
              </w:rPr>
            </w:pPr>
            <w:r w:rsidRPr="008819AF">
              <w:rPr>
                <w:rFonts w:eastAsia="Arial"/>
              </w:rPr>
              <w:lastRenderedPageBreak/>
              <w:t>„techniky“ zahŕňajú použitú technológiu aj spôsob, ktorým je zariadenie navrhnuté, postavené, udržiavané, prevádzkované a odstavené z činnosti;</w:t>
            </w:r>
          </w:p>
          <w:p w14:paraId="151316C5" w14:textId="77777777" w:rsidR="007170C3" w:rsidRPr="008819AF" w:rsidRDefault="006F0418" w:rsidP="00004CE2">
            <w:pPr>
              <w:numPr>
                <w:ilvl w:val="1"/>
                <w:numId w:val="4"/>
              </w:numPr>
              <w:spacing w:before="120"/>
              <w:ind w:left="638" w:hanging="283"/>
              <w:rPr>
                <w:rFonts w:eastAsia="Arial"/>
              </w:rPr>
            </w:pPr>
            <w:r w:rsidRPr="008819AF">
              <w:rPr>
                <w:rFonts w:eastAsia="Arial"/>
              </w:rPr>
              <w:t>„dostupné techniky“ sú techniky vyvinuté do takej miery, ktorá dovoľuje ich použitie v príslušnom priemyselnom odvetví za ekonomicky a technicky únosných podmienok, pričom sa berú do úvahy náklady a prínosy, bez ohľadu na to, či sa tieto techniky používajú alebo vyrábajú v príslušnom členskom štáte, pokiaľ sú za primeraných podmienok dostupné prevádzkovateľovi;</w:t>
            </w:r>
          </w:p>
          <w:p w14:paraId="151316C6" w14:textId="77777777" w:rsidR="007170C3" w:rsidRPr="008819AF" w:rsidRDefault="006F0418" w:rsidP="00004CE2">
            <w:pPr>
              <w:numPr>
                <w:ilvl w:val="1"/>
                <w:numId w:val="4"/>
              </w:numPr>
              <w:spacing w:before="120"/>
              <w:ind w:left="638" w:hanging="283"/>
              <w:rPr>
                <w:rFonts w:eastAsia="Arial"/>
              </w:rPr>
            </w:pPr>
            <w:r w:rsidRPr="008819AF">
              <w:rPr>
                <w:rFonts w:eastAsia="Arial"/>
              </w:rPr>
              <w:t>„najlepšie“ znamená najúčinnejšie na dosiahnutie všeobecne vysokého stupňa ochrany životného prostredia ako celku;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C7"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C8"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C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CA" w14:textId="77777777" w:rsidR="007170C3" w:rsidRPr="008819AF" w:rsidRDefault="007170C3" w:rsidP="0021052F">
            <w:pPr>
              <w:pStyle w:val="Hlavika"/>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6CB"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CC" w14:textId="77777777" w:rsidR="007170C3" w:rsidRPr="008819AF" w:rsidRDefault="007170C3" w:rsidP="0021052F">
            <w:pPr>
              <w:ind w:left="215" w:hanging="215"/>
              <w:rPr>
                <w:rFonts w:eastAsia="Arial"/>
                <w:lang w:bidi="cs-CZ"/>
              </w:rPr>
            </w:pPr>
          </w:p>
        </w:tc>
      </w:tr>
      <w:tr w:rsidR="00F80158" w:rsidRPr="008819AF" w14:paraId="151316D6" w14:textId="77777777" w:rsidTr="003E351D">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151316CE"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CF" w14:textId="77777777" w:rsidR="007170C3" w:rsidRPr="008819AF" w:rsidRDefault="00004CE2" w:rsidP="00004CE2">
            <w:pPr>
              <w:ind w:left="72"/>
              <w:rPr>
                <w:rFonts w:eastAsia="Arial"/>
              </w:rPr>
            </w:pPr>
            <w:r w:rsidRPr="008819AF">
              <w:rPr>
                <w:rFonts w:eastAsia="Arial"/>
              </w:rPr>
              <w:t xml:space="preserve">11. </w:t>
            </w:r>
            <w:r w:rsidR="006F0418" w:rsidRPr="008819AF">
              <w:rPr>
                <w:rFonts w:eastAsia="Arial"/>
              </w:rPr>
              <w:t>„referenčný dokument o BAT“ je dokument, ktorý je výsledkom výmeny informácií uskutočnenej v súlade s článkom 13, je vypracovaný pre vymedzené činnosti a opisuje najmä uplatňované techniky, súčasné úrovne emisií a spotreby, techniky, ktoré je potrebné brať do úvahy pri určovaní najlepších dostupných techník, ako aj závery o BAT a akékoľvek nové techniky, s osobitným prihliadnutím na kritériá uvedené v prílohe III;</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D0"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D1"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D2" w14:textId="77777777" w:rsidR="007170C3" w:rsidRPr="008819AF" w:rsidRDefault="007170C3" w:rsidP="00A82CA5">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D3" w14:textId="77777777" w:rsidR="007170C3" w:rsidRPr="008819AF" w:rsidRDefault="007170C3" w:rsidP="0021052F">
            <w:pPr>
              <w:pStyle w:val="Hlavika"/>
              <w:ind w:left="0" w:hanging="1"/>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6D4"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D5" w14:textId="77777777" w:rsidR="007170C3" w:rsidRPr="008819AF" w:rsidRDefault="007170C3" w:rsidP="0021052F">
            <w:pPr>
              <w:ind w:left="215" w:hanging="215"/>
              <w:rPr>
                <w:rFonts w:eastAsia="Arial"/>
                <w:lang w:bidi="cs-CZ"/>
              </w:rPr>
            </w:pPr>
          </w:p>
        </w:tc>
      </w:tr>
      <w:tr w:rsidR="00F80158" w:rsidRPr="008819AF" w14:paraId="151316DF" w14:textId="77777777" w:rsidTr="003E351D">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151316D7"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D8" w14:textId="77777777" w:rsidR="007170C3" w:rsidRPr="008819AF" w:rsidRDefault="00004CE2" w:rsidP="00004CE2">
            <w:pPr>
              <w:ind w:left="72"/>
              <w:rPr>
                <w:rFonts w:eastAsia="Arial"/>
              </w:rPr>
            </w:pPr>
            <w:r w:rsidRPr="008819AF">
              <w:rPr>
                <w:rFonts w:eastAsia="Arial"/>
              </w:rPr>
              <w:t xml:space="preserve">12. </w:t>
            </w:r>
            <w:r w:rsidR="006F0418" w:rsidRPr="008819AF">
              <w:rPr>
                <w:rFonts w:eastAsia="Arial"/>
              </w:rPr>
              <w:t>„závery o BAT“ sú dokumentom, ktorý obsahuje časti referenčného dokumentu o BAT, ktorými sa ustanovujú závery o najlepších dostupných technikách, ich opisom, informáciami na hodnotenie ich uplatniteľnosti, úrovňami znečisťovania súvisiacimi s najlepšími dostupnými technikami, súvisiacim monitorovaním, súvisiacimi úrovňami spotreby a prípadne s relevantnými opatreniami na sanáciu lokality;</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D9"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DA"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DB"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DC" w14:textId="77777777" w:rsidR="007170C3" w:rsidRPr="008819AF" w:rsidRDefault="007170C3" w:rsidP="0021052F">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6DD"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DE" w14:textId="77777777" w:rsidR="007170C3" w:rsidRPr="008819AF" w:rsidRDefault="007170C3" w:rsidP="0021052F">
            <w:pPr>
              <w:ind w:left="215" w:hanging="215"/>
              <w:rPr>
                <w:rFonts w:eastAsia="Arial"/>
                <w:lang w:bidi="cs-CZ"/>
              </w:rPr>
            </w:pPr>
          </w:p>
        </w:tc>
      </w:tr>
      <w:tr w:rsidR="00F80158" w:rsidRPr="008819AF" w14:paraId="151316E8" w14:textId="77777777" w:rsidTr="003E351D">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151316E0"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E1" w14:textId="77777777" w:rsidR="007170C3" w:rsidRPr="008819AF" w:rsidRDefault="00004CE2" w:rsidP="00004CE2">
            <w:pPr>
              <w:ind w:left="72"/>
              <w:rPr>
                <w:rFonts w:eastAsia="Arial"/>
              </w:rPr>
            </w:pPr>
            <w:r w:rsidRPr="008819AF">
              <w:rPr>
                <w:rFonts w:eastAsia="Arial"/>
              </w:rPr>
              <w:t xml:space="preserve">13. </w:t>
            </w:r>
            <w:r w:rsidR="006F0418" w:rsidRPr="008819AF">
              <w:rPr>
                <w:rFonts w:eastAsia="Arial"/>
              </w:rPr>
              <w:t>„úrovne znečisťovania súvisiace s najlepšími dostupnými technikami“ sú škálou úrovní znečisťovania dosiahnutých za obvyklých prevádzkových podmienok pri použití najlepšej dostupnej techniky alebo kombinácie najlepších dostupných techník, ako sú opísané v záveroch o BAT, vyjadrenou ako priemer za dané časové obdobie za špecifikovaných referenčných podmienok;</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E2"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E3"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E4"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E5" w14:textId="77777777" w:rsidR="007170C3" w:rsidRPr="008819AF" w:rsidRDefault="007170C3" w:rsidP="0021052F">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6E6"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E7" w14:textId="77777777" w:rsidR="007170C3" w:rsidRPr="008819AF" w:rsidRDefault="007170C3" w:rsidP="0021052F">
            <w:pPr>
              <w:ind w:left="215" w:hanging="215"/>
              <w:rPr>
                <w:rFonts w:eastAsia="Arial"/>
                <w:lang w:bidi="cs-CZ"/>
              </w:rPr>
            </w:pPr>
          </w:p>
        </w:tc>
      </w:tr>
      <w:tr w:rsidR="00F80158" w:rsidRPr="008819AF" w14:paraId="151316F1"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E9"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EA" w14:textId="77777777" w:rsidR="007170C3" w:rsidRPr="008819AF" w:rsidRDefault="00004CE2" w:rsidP="00004CE2">
            <w:pPr>
              <w:ind w:left="74"/>
              <w:rPr>
                <w:rFonts w:eastAsia="Arial"/>
              </w:rPr>
            </w:pPr>
            <w:r w:rsidRPr="008819AF">
              <w:rPr>
                <w:rFonts w:eastAsia="Arial"/>
              </w:rPr>
              <w:t xml:space="preserve">14. </w:t>
            </w:r>
            <w:r w:rsidR="006F0418" w:rsidRPr="008819AF">
              <w:rPr>
                <w:rFonts w:eastAsia="Arial"/>
              </w:rPr>
              <w:t>„nová technika“ je novátorská technika pre priemyselnú činnosť, ktorá by v prípade komerčného rozšírenia mohla poskytnúť buď vyššiu všeobecnú úroveň ochrany životného prostredia alebo aspoň rovnakú úroveň ochrany životného prostredia a vyššiu úsporu nákladov ako existujúce najlepšie dostupné techniky;</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EB"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EC"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ED"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EE" w14:textId="77777777" w:rsidR="007170C3" w:rsidRPr="008819AF" w:rsidRDefault="007170C3" w:rsidP="0021052F">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6EF"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F0" w14:textId="77777777" w:rsidR="007170C3" w:rsidRPr="008819AF" w:rsidRDefault="007170C3" w:rsidP="0021052F">
            <w:pPr>
              <w:ind w:left="215" w:hanging="215"/>
              <w:rPr>
                <w:rFonts w:eastAsia="Arial"/>
                <w:lang w:bidi="cs-CZ"/>
              </w:rPr>
            </w:pPr>
          </w:p>
        </w:tc>
      </w:tr>
      <w:tr w:rsidR="00F80158" w:rsidRPr="008819AF" w14:paraId="151316FA"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F2"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F3" w14:textId="77777777" w:rsidR="007170C3" w:rsidRPr="008819AF" w:rsidRDefault="00004CE2" w:rsidP="00DD0CFD">
            <w:pPr>
              <w:ind w:left="72"/>
              <w:rPr>
                <w:rFonts w:eastAsia="Arial"/>
              </w:rPr>
            </w:pPr>
            <w:r w:rsidRPr="008819AF">
              <w:rPr>
                <w:rFonts w:eastAsia="Arial"/>
              </w:rPr>
              <w:t xml:space="preserve">15. </w:t>
            </w:r>
            <w:r w:rsidR="006F0418" w:rsidRPr="008819AF">
              <w:rPr>
                <w:rFonts w:eastAsia="Arial"/>
              </w:rPr>
              <w:t xml:space="preserve">„prevádzkovateľ“ je každá fyzická alebo právnická osoba, ktorá úplne alebo čiastočne prevádzkuje alebo riadi zariadenie alebo spaľovacie zariadenie, spaľovňu odpadov alebo zariadenie na spoluspaľovanie </w:t>
            </w:r>
            <w:r w:rsidR="006F0418" w:rsidRPr="008819AF">
              <w:rPr>
                <w:rFonts w:eastAsia="Arial"/>
              </w:rPr>
              <w:lastRenderedPageBreak/>
              <w:t>odpadov, alebo, ak to umožňujú vnútroštátne právne predpisy, osoba, na ktorú bola prenesená rozhodujúca hospodárska právomoc nad technickým fungovaním zariadenia alebo závodu;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F4"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F5"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F6"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6F7" w14:textId="77777777" w:rsidR="007170C3" w:rsidRPr="008819AF" w:rsidRDefault="007170C3" w:rsidP="0021052F">
            <w:pPr>
              <w:pStyle w:val="Hlavika"/>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6F8"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6F9" w14:textId="77777777" w:rsidR="007170C3" w:rsidRPr="008819AF" w:rsidRDefault="007170C3" w:rsidP="0021052F">
            <w:pPr>
              <w:ind w:left="215" w:hanging="215"/>
              <w:rPr>
                <w:rFonts w:eastAsia="Arial"/>
                <w:lang w:bidi="cs-CZ"/>
              </w:rPr>
            </w:pPr>
          </w:p>
        </w:tc>
      </w:tr>
      <w:tr w:rsidR="00F80158" w:rsidRPr="008819AF" w14:paraId="15131703"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6FB"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6FC" w14:textId="77777777" w:rsidR="007170C3" w:rsidRPr="008819AF" w:rsidRDefault="00004CE2" w:rsidP="00004CE2">
            <w:pPr>
              <w:ind w:left="72"/>
              <w:rPr>
                <w:rFonts w:eastAsia="Arial"/>
              </w:rPr>
            </w:pPr>
            <w:r w:rsidRPr="008819AF">
              <w:rPr>
                <w:rFonts w:eastAsia="Arial"/>
              </w:rPr>
              <w:t xml:space="preserve">16. </w:t>
            </w:r>
            <w:r w:rsidR="006F0418" w:rsidRPr="008819AF">
              <w:rPr>
                <w:rFonts w:eastAsia="Arial"/>
              </w:rPr>
              <w:t>„verejnosť“ je jedna alebo viacero fyzických alebo právnických osôb a, v súlade s vnútroštátnymi právnymi predpismi alebo praxou, ich združenia, organizácie alebo skupiny;</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6FD"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6FE"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6FF"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700" w14:textId="77777777" w:rsidR="007170C3" w:rsidRPr="008819AF" w:rsidRDefault="007170C3" w:rsidP="0021052F">
            <w:pPr>
              <w:pStyle w:val="Nomal"/>
              <w:rPr>
                <w:rFonts w:ascii="Times New Roman" w:hAnsi="Times New Roman" w:cs="Times New Roman"/>
                <w:color w:val="auto"/>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15131701"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702" w14:textId="77777777" w:rsidR="007170C3" w:rsidRPr="008819AF" w:rsidRDefault="007170C3" w:rsidP="0021052F">
            <w:pPr>
              <w:ind w:left="215" w:hanging="215"/>
              <w:rPr>
                <w:rFonts w:eastAsia="Arial"/>
                <w:lang w:bidi="cs-CZ"/>
              </w:rPr>
            </w:pPr>
          </w:p>
        </w:tc>
      </w:tr>
      <w:tr w:rsidR="00F80158" w:rsidRPr="008819AF" w14:paraId="1513170D" w14:textId="77777777" w:rsidTr="003E351D">
        <w:trPr>
          <w:trHeight w:val="20"/>
          <w:jc w:val="center"/>
        </w:trPr>
        <w:tc>
          <w:tcPr>
            <w:tcW w:w="483" w:type="dxa"/>
            <w:tcBorders>
              <w:top w:val="single" w:sz="4" w:space="0" w:color="000000"/>
              <w:left w:val="single" w:sz="6" w:space="0" w:color="000000"/>
              <w:bottom w:val="single" w:sz="4" w:space="0" w:color="000000"/>
              <w:right w:val="single" w:sz="6" w:space="0" w:color="000000"/>
            </w:tcBorders>
          </w:tcPr>
          <w:p w14:paraId="15131704"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705" w14:textId="77777777" w:rsidR="007170C3" w:rsidRPr="008819AF" w:rsidRDefault="00004CE2" w:rsidP="00004CE2">
            <w:pPr>
              <w:ind w:left="72"/>
              <w:rPr>
                <w:rFonts w:eastAsia="Arial"/>
              </w:rPr>
            </w:pPr>
            <w:r w:rsidRPr="008819AF">
              <w:rPr>
                <w:rFonts w:eastAsia="Arial"/>
              </w:rPr>
              <w:t xml:space="preserve">17. </w:t>
            </w:r>
            <w:r w:rsidR="006F0418" w:rsidRPr="008819AF">
              <w:rPr>
                <w:rFonts w:eastAsia="Arial"/>
              </w:rPr>
              <w:t>„dotknutá verejnosť“ je verejnosť, ktorá je alebo by pravdepodobne mohla byť postihnutá rozhodovaním, pokiaľ ide o udelenie alebo aktualizáciu povolenia alebo jeho podmienok, alebo ktorá má na tomto rozhodovaní záujem; na účely tohto vymedzenia pojmu sa má za to, že na tomto rozhodovaní majú záujem mimovládne organizácie, ktoré presadzujú ochranu životného prostredia a spĺňajú požiadavky vnútroštátneho práva;</w:t>
            </w:r>
          </w:p>
          <w:p w14:paraId="15131706" w14:textId="77777777" w:rsidR="007170C3" w:rsidRPr="008819AF" w:rsidRDefault="007170C3" w:rsidP="0021052F">
            <w:pPr>
              <w:ind w:left="497" w:hanging="42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707"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708"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70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70A" w14:textId="77777777" w:rsidR="007170C3" w:rsidRPr="008819AF" w:rsidRDefault="007170C3" w:rsidP="0021052F">
            <w:pPr>
              <w:pStyle w:val="Hlavika"/>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70B"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70C" w14:textId="77777777" w:rsidR="007170C3" w:rsidRPr="008819AF" w:rsidRDefault="007170C3" w:rsidP="0021052F">
            <w:pPr>
              <w:ind w:left="215" w:hanging="215"/>
              <w:rPr>
                <w:rFonts w:eastAsia="Arial"/>
                <w:lang w:bidi="cs-CZ"/>
              </w:rPr>
            </w:pPr>
          </w:p>
        </w:tc>
      </w:tr>
      <w:tr w:rsidR="00F80158" w:rsidRPr="008819AF" w14:paraId="15131717" w14:textId="77777777" w:rsidTr="003E351D">
        <w:trPr>
          <w:trHeight w:val="20"/>
          <w:jc w:val="center"/>
        </w:trPr>
        <w:tc>
          <w:tcPr>
            <w:tcW w:w="483" w:type="dxa"/>
            <w:tcBorders>
              <w:top w:val="single" w:sz="4" w:space="0" w:color="000000"/>
              <w:left w:val="single" w:sz="6" w:space="0" w:color="000000"/>
              <w:bottom w:val="single" w:sz="4" w:space="0" w:color="000000"/>
              <w:right w:val="single" w:sz="6" w:space="0" w:color="000000"/>
            </w:tcBorders>
          </w:tcPr>
          <w:p w14:paraId="1513170E"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70F" w14:textId="77777777" w:rsidR="007170C3" w:rsidRPr="008819AF" w:rsidRDefault="00004CE2" w:rsidP="00004CE2">
            <w:pPr>
              <w:ind w:left="72"/>
              <w:rPr>
                <w:rFonts w:eastAsia="Arial"/>
              </w:rPr>
            </w:pPr>
            <w:r w:rsidRPr="008819AF">
              <w:rPr>
                <w:rFonts w:eastAsia="Arial"/>
              </w:rPr>
              <w:t xml:space="preserve">18. </w:t>
            </w:r>
            <w:r w:rsidR="006F0418" w:rsidRPr="008819AF">
              <w:rPr>
                <w:rFonts w:eastAsia="Arial"/>
              </w:rPr>
              <w:t>„nebezpečné látky“ sú látky alebo zmesi v zmysle článku 3 nariadenia Európskeho parlamentu a Rady (ES) č. 1272/2008 zo 16. decembra 2008 o klasifikácii, označovaní a balení látok a zmesí(1)</w:t>
            </w:r>
          </w:p>
          <w:p w14:paraId="15131710" w14:textId="77777777" w:rsidR="007170C3" w:rsidRPr="008819AF" w:rsidRDefault="007170C3" w:rsidP="00004CE2">
            <w:pPr>
              <w:ind w:left="72"/>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711"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712"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713"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714" w14:textId="77777777" w:rsidR="007170C3" w:rsidRPr="008819AF" w:rsidRDefault="007170C3" w:rsidP="0021052F">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715"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716" w14:textId="77777777" w:rsidR="007170C3" w:rsidRPr="008819AF" w:rsidRDefault="007170C3" w:rsidP="0021052F">
            <w:pPr>
              <w:rPr>
                <w:rFonts w:eastAsia="Arial"/>
                <w:lang w:bidi="cs-CZ"/>
              </w:rPr>
            </w:pPr>
          </w:p>
        </w:tc>
      </w:tr>
      <w:tr w:rsidR="00F80158" w:rsidRPr="008819AF" w14:paraId="15131721" w14:textId="77777777" w:rsidTr="003E351D">
        <w:trPr>
          <w:trHeight w:val="20"/>
          <w:jc w:val="center"/>
        </w:trPr>
        <w:tc>
          <w:tcPr>
            <w:tcW w:w="483" w:type="dxa"/>
            <w:tcBorders>
              <w:top w:val="single" w:sz="4" w:space="0" w:color="000000"/>
              <w:left w:val="single" w:sz="6" w:space="0" w:color="000000"/>
              <w:bottom w:val="single" w:sz="4" w:space="0" w:color="000000"/>
              <w:right w:val="single" w:sz="6" w:space="0" w:color="000000"/>
            </w:tcBorders>
          </w:tcPr>
          <w:p w14:paraId="15131718"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719" w14:textId="77777777" w:rsidR="007170C3" w:rsidRPr="008819AF" w:rsidRDefault="00004CE2" w:rsidP="00004CE2">
            <w:pPr>
              <w:ind w:left="72"/>
              <w:rPr>
                <w:rFonts w:eastAsia="Arial"/>
              </w:rPr>
            </w:pPr>
            <w:r w:rsidRPr="008819AF">
              <w:rPr>
                <w:rFonts w:eastAsia="Arial"/>
              </w:rPr>
              <w:t xml:space="preserve">19. </w:t>
            </w:r>
            <w:r w:rsidR="006F0418" w:rsidRPr="008819AF">
              <w:rPr>
                <w:rFonts w:eastAsia="Arial"/>
              </w:rPr>
              <w:t>„východisková správa“ sú informácie o stave kontaminácie pôdy a podzemných vôd príslušnými nebezpečnými látkami;</w:t>
            </w:r>
          </w:p>
          <w:p w14:paraId="1513171A" w14:textId="77777777" w:rsidR="007170C3" w:rsidRPr="008819AF" w:rsidRDefault="007170C3" w:rsidP="00004CE2">
            <w:pPr>
              <w:ind w:left="72"/>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71B"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71C"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71D"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71E" w14:textId="77777777" w:rsidR="007170C3" w:rsidRPr="008819AF" w:rsidRDefault="007170C3" w:rsidP="0021052F">
            <w:pPr>
              <w:pStyle w:val="Hlavika"/>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71F"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720" w14:textId="77777777" w:rsidR="007170C3" w:rsidRPr="008819AF" w:rsidRDefault="007170C3" w:rsidP="0021052F">
            <w:pPr>
              <w:ind w:left="215" w:hanging="215"/>
              <w:rPr>
                <w:rFonts w:eastAsia="Arial"/>
                <w:lang w:bidi="cs-CZ"/>
              </w:rPr>
            </w:pPr>
          </w:p>
        </w:tc>
      </w:tr>
      <w:tr w:rsidR="00F80158" w:rsidRPr="008819AF" w14:paraId="1513172B" w14:textId="77777777" w:rsidTr="003E351D">
        <w:trPr>
          <w:trHeight w:val="20"/>
          <w:jc w:val="center"/>
        </w:trPr>
        <w:tc>
          <w:tcPr>
            <w:tcW w:w="483" w:type="dxa"/>
            <w:tcBorders>
              <w:top w:val="single" w:sz="4" w:space="0" w:color="000000"/>
              <w:left w:val="single" w:sz="6" w:space="0" w:color="000000"/>
              <w:bottom w:val="single" w:sz="4" w:space="0" w:color="000000"/>
              <w:right w:val="single" w:sz="6" w:space="0" w:color="000000"/>
            </w:tcBorders>
          </w:tcPr>
          <w:p w14:paraId="15131722"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723" w14:textId="77777777" w:rsidR="007170C3" w:rsidRPr="008819AF" w:rsidRDefault="00004CE2" w:rsidP="00004CE2">
            <w:pPr>
              <w:ind w:left="72"/>
              <w:rPr>
                <w:rFonts w:eastAsia="Arial"/>
              </w:rPr>
            </w:pPr>
            <w:r w:rsidRPr="008819AF">
              <w:rPr>
                <w:rFonts w:eastAsia="Arial"/>
              </w:rPr>
              <w:t xml:space="preserve">20. </w:t>
            </w:r>
            <w:r w:rsidR="006F0418" w:rsidRPr="008819AF">
              <w:rPr>
                <w:rFonts w:eastAsia="Arial"/>
              </w:rPr>
              <w:t>„podzemná voda“ je podzemná voda v zmysle článku 2 bod 2 smernice Európskeho parlamentu a Rady 2000/60/ESz 23. októbra 2000, ktorou sa stanovuje rámec pôsobnosti pre opatrenia Spoločenstva v oblasti vodného hospodárstva(2)</w:t>
            </w:r>
          </w:p>
          <w:p w14:paraId="15131724" w14:textId="77777777" w:rsidR="007170C3" w:rsidRPr="008819AF" w:rsidRDefault="007170C3" w:rsidP="00004CE2">
            <w:pPr>
              <w:ind w:left="72"/>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725"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726"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727"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728" w14:textId="77777777" w:rsidR="007170C3" w:rsidRPr="008819AF" w:rsidRDefault="007170C3" w:rsidP="0021052F">
            <w:pPr>
              <w:pStyle w:val="Hlavika"/>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729"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72A" w14:textId="77777777" w:rsidR="007170C3" w:rsidRPr="008819AF" w:rsidRDefault="007170C3" w:rsidP="0021052F">
            <w:pPr>
              <w:rPr>
                <w:rFonts w:eastAsia="Arial"/>
                <w:lang w:bidi="cs-CZ"/>
              </w:rPr>
            </w:pPr>
          </w:p>
        </w:tc>
      </w:tr>
      <w:tr w:rsidR="00F80158" w:rsidRPr="008819AF" w14:paraId="15131735" w14:textId="77777777" w:rsidTr="003E351D">
        <w:trPr>
          <w:trHeight w:val="20"/>
          <w:jc w:val="center"/>
        </w:trPr>
        <w:tc>
          <w:tcPr>
            <w:tcW w:w="483" w:type="dxa"/>
            <w:tcBorders>
              <w:top w:val="single" w:sz="4" w:space="0" w:color="000000"/>
              <w:left w:val="single" w:sz="6" w:space="0" w:color="000000"/>
              <w:bottom w:val="single" w:sz="4" w:space="0" w:color="000000"/>
              <w:right w:val="single" w:sz="6" w:space="0" w:color="000000"/>
            </w:tcBorders>
          </w:tcPr>
          <w:p w14:paraId="1513172C"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72D" w14:textId="77777777" w:rsidR="007170C3" w:rsidRPr="008819AF" w:rsidRDefault="00004CE2" w:rsidP="00004CE2">
            <w:pPr>
              <w:ind w:left="72"/>
              <w:rPr>
                <w:rFonts w:eastAsia="Arial"/>
              </w:rPr>
            </w:pPr>
            <w:r w:rsidRPr="008819AF">
              <w:rPr>
                <w:rFonts w:eastAsia="Arial"/>
              </w:rPr>
              <w:t xml:space="preserve">21. </w:t>
            </w:r>
            <w:r w:rsidR="006F0418" w:rsidRPr="008819AF">
              <w:rPr>
                <w:rFonts w:eastAsia="Arial"/>
              </w:rPr>
              <w:t>„pôda“ je vrchná vrstva zemskej kôry, ktorá sa nachádza medzi podložím a povrchom; pôda sa skladá z minerálnych častíc, organickej hmoty, vody, vzduchu a živých organizmov;</w:t>
            </w:r>
          </w:p>
          <w:p w14:paraId="1513172E" w14:textId="77777777" w:rsidR="007170C3" w:rsidRPr="008819AF" w:rsidRDefault="007170C3" w:rsidP="00004CE2">
            <w:pPr>
              <w:ind w:left="72"/>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72F"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730"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731"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732" w14:textId="77777777" w:rsidR="007170C3" w:rsidRPr="008819AF" w:rsidRDefault="007170C3" w:rsidP="0021052F">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733"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734" w14:textId="77777777" w:rsidR="007170C3" w:rsidRPr="008819AF" w:rsidRDefault="007170C3" w:rsidP="0021052F">
            <w:pPr>
              <w:ind w:left="215" w:hanging="215"/>
              <w:rPr>
                <w:rFonts w:eastAsia="Arial"/>
                <w:lang w:bidi="cs-CZ"/>
              </w:rPr>
            </w:pPr>
          </w:p>
        </w:tc>
      </w:tr>
      <w:tr w:rsidR="00F80158" w:rsidRPr="008819AF" w14:paraId="1513173F"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736"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737" w14:textId="77777777" w:rsidR="007170C3" w:rsidRPr="008819AF" w:rsidRDefault="00004CE2" w:rsidP="00004CE2">
            <w:pPr>
              <w:ind w:left="72"/>
              <w:rPr>
                <w:rFonts w:eastAsia="Arial"/>
              </w:rPr>
            </w:pPr>
            <w:r w:rsidRPr="008819AF">
              <w:rPr>
                <w:rFonts w:eastAsia="Arial"/>
              </w:rPr>
              <w:t xml:space="preserve">22. </w:t>
            </w:r>
            <w:r w:rsidR="006F0418" w:rsidRPr="008819AF">
              <w:rPr>
                <w:rFonts w:eastAsia="Arial"/>
              </w:rPr>
              <w:t>„environmentálna inšpekcia“ sú všetky činnosti vrátane kontrol vykonávaných na mieste, monitorovania emisií a kontrol vnútorných správ</w:t>
            </w:r>
            <w:r w:rsidR="006F0418" w:rsidRPr="008819AF">
              <w:t xml:space="preserve"> </w:t>
            </w:r>
            <w:r w:rsidR="006F0418" w:rsidRPr="008819AF">
              <w:rPr>
                <w:rFonts w:eastAsia="Arial"/>
              </w:rPr>
              <w:t>a nadväzujúcich dokumentov, overovania vlastného monitorovania, kontrolovania použitých techník a primeranosti environmentálneho riadenia zariadenia, ktoré vykonáva príslušný orgán alebo ktoré sa vykonávajú v jeho mene s cieľom kontrolovať a presadzovať, aby zariadenia dodržiavali podmienky svojho povolenia, a v prípade potreby monitorovať ich vplyv na životné prostredie;</w:t>
            </w:r>
          </w:p>
          <w:p w14:paraId="15131738" w14:textId="77777777" w:rsidR="007170C3" w:rsidRPr="008819AF" w:rsidRDefault="007170C3" w:rsidP="00004CE2">
            <w:pPr>
              <w:ind w:left="72"/>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739"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73A"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73B"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73C" w14:textId="77777777" w:rsidR="007170C3" w:rsidRPr="008819AF" w:rsidRDefault="007170C3" w:rsidP="0021052F">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73D"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73E" w14:textId="77777777" w:rsidR="007170C3" w:rsidRPr="008819AF" w:rsidRDefault="007170C3" w:rsidP="0021052F">
            <w:pPr>
              <w:ind w:left="215" w:hanging="215"/>
              <w:rPr>
                <w:rFonts w:eastAsia="Arial"/>
                <w:lang w:bidi="cs-CZ"/>
              </w:rPr>
            </w:pPr>
          </w:p>
        </w:tc>
      </w:tr>
      <w:tr w:rsidR="00F80158" w:rsidRPr="008819AF" w14:paraId="15131748"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740"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741" w14:textId="77777777" w:rsidR="007170C3" w:rsidRPr="008819AF" w:rsidRDefault="00004CE2" w:rsidP="00004CE2">
            <w:pPr>
              <w:ind w:left="74"/>
              <w:rPr>
                <w:rFonts w:eastAsia="Arial"/>
              </w:rPr>
            </w:pPr>
            <w:r w:rsidRPr="008819AF">
              <w:rPr>
                <w:rFonts w:eastAsia="Arial"/>
              </w:rPr>
              <w:t xml:space="preserve">23. </w:t>
            </w:r>
            <w:r w:rsidR="006F0418" w:rsidRPr="008819AF">
              <w:rPr>
                <w:rFonts w:eastAsia="Arial"/>
              </w:rPr>
              <w:t xml:space="preserve">„hydina“ znamená hydinu, ako je vymedzená v článku 2 bod 1 </w:t>
            </w:r>
            <w:r w:rsidR="006F0418" w:rsidRPr="008819AF">
              <w:rPr>
                <w:rFonts w:eastAsia="Arial"/>
              </w:rPr>
              <w:lastRenderedPageBreak/>
              <w:t>smernice Rady 90/539/EHS z 15. októbra 1990 o veterinárnych podmienkach, ktorými sa spravuje obchodovanie s hydinou a násadovými vajciami v rámci Spoločenstva a ich dovoz z tretích krajín(3),</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742"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743"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744"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745" w14:textId="77777777" w:rsidR="007170C3" w:rsidRPr="008819AF" w:rsidRDefault="007170C3" w:rsidP="0021052F">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746"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747" w14:textId="77777777" w:rsidR="007170C3" w:rsidRPr="008819AF" w:rsidRDefault="007170C3" w:rsidP="0021052F">
            <w:pPr>
              <w:ind w:left="215" w:hanging="215"/>
              <w:rPr>
                <w:rFonts w:eastAsia="Arial"/>
                <w:lang w:bidi="cs-CZ"/>
              </w:rPr>
            </w:pPr>
          </w:p>
        </w:tc>
      </w:tr>
      <w:tr w:rsidR="00F80158" w:rsidRPr="008819AF" w14:paraId="151317C9"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1749"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174A" w14:textId="77777777" w:rsidR="007170C3" w:rsidRPr="008819AF" w:rsidRDefault="00004CE2" w:rsidP="00004CE2">
            <w:pPr>
              <w:ind w:left="74"/>
              <w:rPr>
                <w:rFonts w:eastAsia="Arial"/>
              </w:rPr>
            </w:pPr>
            <w:r w:rsidRPr="008819AF">
              <w:rPr>
                <w:rFonts w:eastAsia="Arial"/>
              </w:rPr>
              <w:t xml:space="preserve">24. </w:t>
            </w:r>
            <w:r w:rsidR="006F0418" w:rsidRPr="008819AF">
              <w:rPr>
                <w:rFonts w:eastAsia="Arial"/>
              </w:rPr>
              <w:t>„palivo“ je akýkoľvek tuhý, kvapalný alebo plynný horľavý materiál;</w:t>
            </w:r>
          </w:p>
          <w:p w14:paraId="1513174B" w14:textId="77777777" w:rsidR="007170C3" w:rsidRPr="008819AF" w:rsidRDefault="007170C3" w:rsidP="00004CE2">
            <w:pPr>
              <w:ind w:left="74"/>
              <w:rPr>
                <w:rFonts w:eastAsia="Arial"/>
              </w:rPr>
            </w:pPr>
          </w:p>
          <w:p w14:paraId="1513174C" w14:textId="77777777" w:rsidR="007170C3" w:rsidRPr="008819AF" w:rsidRDefault="00004CE2" w:rsidP="00004CE2">
            <w:pPr>
              <w:ind w:left="74"/>
              <w:rPr>
                <w:rFonts w:eastAsia="Arial"/>
              </w:rPr>
            </w:pPr>
            <w:r w:rsidRPr="008819AF">
              <w:rPr>
                <w:rFonts w:eastAsia="Arial"/>
              </w:rPr>
              <w:t xml:space="preserve">25. </w:t>
            </w:r>
            <w:r w:rsidR="006F0418" w:rsidRPr="008819AF">
              <w:rPr>
                <w:rFonts w:eastAsia="Arial"/>
              </w:rPr>
              <w:t>„spaľovacie zariadenie“ je akékoľvek technické zariadenie, v ktorom sa okysličujú palivá s cieľom využiť takto vzniknuté teplo;</w:t>
            </w:r>
          </w:p>
          <w:p w14:paraId="1513174D" w14:textId="77777777" w:rsidR="007170C3" w:rsidRPr="008819AF" w:rsidRDefault="007170C3" w:rsidP="00004CE2">
            <w:pPr>
              <w:ind w:left="74"/>
              <w:rPr>
                <w:rFonts w:eastAsia="Arial"/>
              </w:rPr>
            </w:pPr>
          </w:p>
          <w:p w14:paraId="1513174E" w14:textId="77777777" w:rsidR="007170C3" w:rsidRPr="008819AF" w:rsidRDefault="00004CE2" w:rsidP="00004CE2">
            <w:pPr>
              <w:ind w:left="74"/>
              <w:rPr>
                <w:rFonts w:eastAsia="Arial"/>
              </w:rPr>
            </w:pPr>
            <w:r w:rsidRPr="008819AF">
              <w:rPr>
                <w:rFonts w:eastAsia="Arial"/>
              </w:rPr>
              <w:t xml:space="preserve">26. </w:t>
            </w:r>
            <w:r w:rsidR="006F0418" w:rsidRPr="008819AF">
              <w:rPr>
                <w:rFonts w:eastAsia="Arial"/>
              </w:rPr>
              <w:t>„komín“ je objekt, ktorý obsahuje jednu spalinovod alebo viaceré spalinovody poskytujúce prechod pre vypúšťanie odpadových plynov do ovzdušia;</w:t>
            </w:r>
          </w:p>
          <w:p w14:paraId="1513174F" w14:textId="77777777" w:rsidR="007170C3" w:rsidRPr="008819AF" w:rsidRDefault="007170C3" w:rsidP="00004CE2">
            <w:pPr>
              <w:ind w:left="74"/>
              <w:rPr>
                <w:rFonts w:eastAsia="Arial"/>
              </w:rPr>
            </w:pPr>
          </w:p>
          <w:p w14:paraId="15131750" w14:textId="77777777" w:rsidR="007170C3" w:rsidRPr="008819AF" w:rsidRDefault="00004CE2" w:rsidP="00004CE2">
            <w:pPr>
              <w:ind w:left="74"/>
              <w:rPr>
                <w:rFonts w:eastAsia="Arial"/>
              </w:rPr>
            </w:pPr>
            <w:r w:rsidRPr="008819AF">
              <w:rPr>
                <w:rFonts w:eastAsia="Arial"/>
              </w:rPr>
              <w:t xml:space="preserve">27. </w:t>
            </w:r>
            <w:r w:rsidR="006F0418" w:rsidRPr="008819AF">
              <w:rPr>
                <w:rFonts w:eastAsia="Arial"/>
              </w:rPr>
              <w:t>„prevádzkové hodiny“ je čas vyjadrený v hodinách, počas ktorého je spaľovacie zariadenie ako celok alebo sčasti v prevádzke a vypúšťa do ovzdušia emisie s výnimkou období nábehu a odstávky;</w:t>
            </w:r>
          </w:p>
          <w:p w14:paraId="15131751" w14:textId="77777777" w:rsidR="007170C3" w:rsidRPr="008819AF" w:rsidRDefault="007170C3" w:rsidP="00004CE2">
            <w:pPr>
              <w:ind w:left="74"/>
              <w:rPr>
                <w:rFonts w:eastAsia="Arial"/>
              </w:rPr>
            </w:pPr>
          </w:p>
          <w:p w14:paraId="15131752" w14:textId="77777777" w:rsidR="007170C3" w:rsidRPr="008819AF" w:rsidRDefault="00004CE2" w:rsidP="00004CE2">
            <w:pPr>
              <w:ind w:left="74"/>
              <w:rPr>
                <w:rFonts w:eastAsia="Arial"/>
              </w:rPr>
            </w:pPr>
            <w:r w:rsidRPr="008819AF">
              <w:rPr>
                <w:rFonts w:eastAsia="Arial"/>
              </w:rPr>
              <w:t xml:space="preserve">28. </w:t>
            </w:r>
            <w:r w:rsidR="006F0418" w:rsidRPr="008819AF">
              <w:rPr>
                <w:rFonts w:eastAsia="Arial"/>
              </w:rPr>
              <w:t>„stupeň odsírenia“ je pomer množstva síry, ktoré spaľovacie zariadenie za určité časové obdobie nevypustí do ovzdušia, k množstvu síry v pevnom palive, ktoré za rovnaké časové obdobie vstupuje do zariadení spaľovacieho zariadenia a používa sa v ňom;</w:t>
            </w:r>
          </w:p>
          <w:p w14:paraId="15131753" w14:textId="77777777" w:rsidR="007170C3" w:rsidRPr="008819AF" w:rsidRDefault="007170C3" w:rsidP="00004CE2">
            <w:pPr>
              <w:rPr>
                <w:rFonts w:eastAsia="Arial"/>
              </w:rPr>
            </w:pPr>
          </w:p>
          <w:p w14:paraId="15131754" w14:textId="77777777" w:rsidR="007170C3" w:rsidRPr="008819AF" w:rsidRDefault="00004CE2" w:rsidP="00004CE2">
            <w:pPr>
              <w:ind w:left="74"/>
              <w:rPr>
                <w:rFonts w:eastAsia="Arial"/>
              </w:rPr>
            </w:pPr>
            <w:r w:rsidRPr="008819AF">
              <w:rPr>
                <w:rFonts w:eastAsia="Arial"/>
              </w:rPr>
              <w:t xml:space="preserve">29. </w:t>
            </w:r>
            <w:r w:rsidR="006F0418" w:rsidRPr="008819AF">
              <w:rPr>
                <w:rFonts w:eastAsia="Arial"/>
              </w:rPr>
              <w:t>„domáce tuhé palivo“ je prirodzene sa vyskytujúce tuhé palivo spaľované v spaľovacom zariadení vybudovanom špeciálne na takéto palivo, ktoré sa ťaží v danej oblasti;</w:t>
            </w:r>
          </w:p>
          <w:p w14:paraId="15131755" w14:textId="77777777" w:rsidR="007170C3" w:rsidRPr="008819AF" w:rsidRDefault="007170C3" w:rsidP="00004CE2">
            <w:pPr>
              <w:ind w:left="74"/>
              <w:rPr>
                <w:rFonts w:eastAsia="Arial"/>
              </w:rPr>
            </w:pPr>
          </w:p>
          <w:p w14:paraId="15131756" w14:textId="77777777" w:rsidR="007170C3" w:rsidRPr="008819AF" w:rsidRDefault="00004CE2" w:rsidP="00004CE2">
            <w:pPr>
              <w:ind w:left="74"/>
              <w:rPr>
                <w:rFonts w:eastAsia="Arial"/>
              </w:rPr>
            </w:pPr>
            <w:r w:rsidRPr="008819AF">
              <w:rPr>
                <w:rFonts w:eastAsia="Arial"/>
              </w:rPr>
              <w:t xml:space="preserve">30. </w:t>
            </w:r>
            <w:r w:rsidR="006F0418" w:rsidRPr="008819AF">
              <w:rPr>
                <w:rFonts w:eastAsia="Arial"/>
              </w:rPr>
              <w:t>„určujúce palivo“ je palivo, ktoré má spomedzi všetkých palív použitých v spaľovacom zariadení spaľujúcom viacero palív a využívajúcom zvyšky z destilácie a konverzie z rafinácie ropy pre vlastnú spotrebu, samostatne alebo s iným palivom, najvyššiu emisný limit, ako je uvedené v prílohe V časť 1 alebo, v prípade viacerých palív s rovnakou emisným limitom, palivo s najvyšším tepelným príkonom spomedzi týchto palív;</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1757"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1758" w14:textId="77777777" w:rsidR="007170C3" w:rsidRPr="008819AF" w:rsidRDefault="007170C3" w:rsidP="0021052F">
            <w:pPr>
              <w:ind w:left="-70" w:right="-68" w:hanging="6"/>
              <w:jc w:val="center"/>
              <w:rPr>
                <w:rFonts w:eastAsia="Arial"/>
                <w:lang w:bidi="cs-CZ"/>
              </w:rPr>
            </w:pPr>
          </w:p>
          <w:p w14:paraId="15131759" w14:textId="77777777" w:rsidR="007170C3" w:rsidRPr="008819AF" w:rsidRDefault="007170C3" w:rsidP="0021052F">
            <w:pPr>
              <w:ind w:left="-70" w:right="-68" w:hanging="6"/>
              <w:jc w:val="center"/>
              <w:rPr>
                <w:rFonts w:eastAsia="Arial"/>
                <w:lang w:bidi="cs-CZ"/>
              </w:rPr>
            </w:pPr>
          </w:p>
          <w:p w14:paraId="1513175A" w14:textId="77777777" w:rsidR="00166B76" w:rsidRPr="008819AF" w:rsidRDefault="00166B76" w:rsidP="0021052F">
            <w:pPr>
              <w:ind w:left="-70" w:right="-68" w:hanging="6"/>
              <w:jc w:val="center"/>
              <w:rPr>
                <w:rFonts w:eastAsia="Arial"/>
                <w:lang w:bidi="cs-CZ"/>
              </w:rPr>
            </w:pPr>
          </w:p>
          <w:p w14:paraId="1513175B"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175C" w14:textId="77777777" w:rsidR="007170C3" w:rsidRPr="008819AF" w:rsidRDefault="007170C3" w:rsidP="0021052F">
            <w:pPr>
              <w:ind w:left="-70" w:right="-68" w:hanging="6"/>
              <w:jc w:val="center"/>
              <w:rPr>
                <w:rFonts w:eastAsia="Arial"/>
                <w:lang w:bidi="cs-CZ"/>
              </w:rPr>
            </w:pPr>
          </w:p>
          <w:p w14:paraId="1513175D" w14:textId="77777777" w:rsidR="00D77EEF" w:rsidRPr="008819AF" w:rsidRDefault="00D77EEF" w:rsidP="0021052F">
            <w:pPr>
              <w:ind w:left="-70" w:right="-68" w:hanging="6"/>
              <w:jc w:val="center"/>
              <w:rPr>
                <w:rFonts w:eastAsia="Arial"/>
                <w:lang w:bidi="cs-CZ"/>
              </w:rPr>
            </w:pPr>
          </w:p>
          <w:p w14:paraId="1513175E"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175F" w14:textId="77777777" w:rsidR="007170C3" w:rsidRPr="008819AF" w:rsidRDefault="007170C3" w:rsidP="0021052F">
            <w:pPr>
              <w:ind w:left="-70" w:right="-68" w:hanging="6"/>
              <w:jc w:val="center"/>
              <w:rPr>
                <w:rFonts w:eastAsia="Arial"/>
                <w:lang w:bidi="cs-CZ"/>
              </w:rPr>
            </w:pPr>
          </w:p>
          <w:p w14:paraId="15131760" w14:textId="77777777" w:rsidR="007170C3" w:rsidRPr="008819AF" w:rsidRDefault="007170C3" w:rsidP="0021052F">
            <w:pPr>
              <w:ind w:left="-70" w:right="-68" w:hanging="6"/>
              <w:jc w:val="center"/>
              <w:rPr>
                <w:rFonts w:eastAsia="Arial"/>
                <w:lang w:bidi="cs-CZ"/>
              </w:rPr>
            </w:pPr>
          </w:p>
          <w:p w14:paraId="15131761" w14:textId="77777777" w:rsidR="00D77EEF" w:rsidRPr="008819AF" w:rsidRDefault="00D77EEF" w:rsidP="0021052F">
            <w:pPr>
              <w:ind w:left="-70" w:right="-68" w:hanging="6"/>
              <w:jc w:val="center"/>
              <w:rPr>
                <w:rFonts w:eastAsia="Arial"/>
                <w:lang w:bidi="cs-CZ"/>
              </w:rPr>
            </w:pPr>
          </w:p>
          <w:p w14:paraId="15131762" w14:textId="77777777" w:rsidR="008E6B2E" w:rsidRPr="008819AF" w:rsidRDefault="008E6B2E" w:rsidP="0021052F">
            <w:pPr>
              <w:ind w:left="-70" w:right="-68" w:hanging="6"/>
              <w:jc w:val="center"/>
              <w:rPr>
                <w:rFonts w:eastAsia="Arial"/>
                <w:lang w:bidi="cs-CZ"/>
              </w:rPr>
            </w:pPr>
            <w:r w:rsidRPr="008819AF">
              <w:rPr>
                <w:rFonts w:eastAsia="Arial"/>
                <w:lang w:bidi="cs-CZ"/>
              </w:rPr>
              <w:t>N</w:t>
            </w:r>
          </w:p>
          <w:p w14:paraId="15131763" w14:textId="77777777" w:rsidR="008E6B2E" w:rsidRPr="008819AF" w:rsidRDefault="008E6B2E" w:rsidP="0021052F">
            <w:pPr>
              <w:ind w:left="-70" w:right="-68" w:hanging="6"/>
              <w:jc w:val="center"/>
              <w:rPr>
                <w:rFonts w:eastAsia="Arial"/>
                <w:lang w:bidi="cs-CZ"/>
              </w:rPr>
            </w:pPr>
          </w:p>
          <w:p w14:paraId="15131764" w14:textId="77777777" w:rsidR="008E6B2E" w:rsidRPr="008819AF" w:rsidRDefault="008E6B2E" w:rsidP="0021052F">
            <w:pPr>
              <w:ind w:left="-70" w:right="-68" w:hanging="6"/>
              <w:jc w:val="center"/>
              <w:rPr>
                <w:rFonts w:eastAsia="Arial"/>
                <w:lang w:bidi="cs-CZ"/>
              </w:rPr>
            </w:pPr>
          </w:p>
          <w:p w14:paraId="15131765" w14:textId="77777777" w:rsidR="008E6B2E" w:rsidRPr="008819AF" w:rsidRDefault="008E6B2E" w:rsidP="0021052F">
            <w:pPr>
              <w:ind w:left="-70" w:right="-68" w:hanging="6"/>
              <w:jc w:val="center"/>
              <w:rPr>
                <w:rFonts w:eastAsia="Arial"/>
                <w:lang w:bidi="cs-CZ"/>
              </w:rPr>
            </w:pPr>
          </w:p>
          <w:p w14:paraId="15131766" w14:textId="77777777" w:rsidR="008E6B2E" w:rsidRPr="008819AF" w:rsidRDefault="008E6B2E" w:rsidP="0021052F">
            <w:pPr>
              <w:ind w:left="-70" w:right="-68" w:hanging="6"/>
              <w:jc w:val="center"/>
              <w:rPr>
                <w:rFonts w:eastAsia="Arial"/>
                <w:lang w:bidi="cs-CZ"/>
              </w:rPr>
            </w:pPr>
            <w:r w:rsidRPr="008819AF">
              <w:rPr>
                <w:rFonts w:eastAsia="Arial"/>
                <w:lang w:bidi="cs-CZ"/>
              </w:rPr>
              <w:t>N</w:t>
            </w:r>
          </w:p>
          <w:p w14:paraId="15131767" w14:textId="77777777" w:rsidR="008E6B2E" w:rsidRPr="008819AF" w:rsidRDefault="008E6B2E" w:rsidP="0021052F">
            <w:pPr>
              <w:ind w:left="-70" w:right="-68" w:hanging="6"/>
              <w:jc w:val="center"/>
              <w:rPr>
                <w:rFonts w:eastAsia="Arial"/>
                <w:lang w:bidi="cs-CZ"/>
              </w:rPr>
            </w:pPr>
          </w:p>
          <w:p w14:paraId="15131768" w14:textId="77777777" w:rsidR="008E6B2E" w:rsidRPr="008819AF" w:rsidRDefault="008E6B2E" w:rsidP="0021052F">
            <w:pPr>
              <w:ind w:left="-70" w:right="-68" w:hanging="6"/>
              <w:jc w:val="center"/>
              <w:rPr>
                <w:rFonts w:eastAsia="Arial"/>
                <w:lang w:bidi="cs-CZ"/>
              </w:rPr>
            </w:pPr>
          </w:p>
          <w:p w14:paraId="15131769" w14:textId="77777777" w:rsidR="008E6B2E" w:rsidRPr="008819AF" w:rsidRDefault="008E6B2E" w:rsidP="0021052F">
            <w:pPr>
              <w:ind w:left="-70" w:right="-68" w:hanging="6"/>
              <w:jc w:val="center"/>
              <w:rPr>
                <w:rFonts w:eastAsia="Arial"/>
                <w:lang w:bidi="cs-CZ"/>
              </w:rPr>
            </w:pPr>
          </w:p>
          <w:p w14:paraId="1513176A" w14:textId="77777777" w:rsidR="008E6B2E" w:rsidRPr="008819AF" w:rsidRDefault="008E6B2E" w:rsidP="0021052F">
            <w:pPr>
              <w:ind w:left="-70" w:right="-68" w:hanging="6"/>
              <w:jc w:val="center"/>
              <w:rPr>
                <w:rFonts w:eastAsia="Arial"/>
                <w:lang w:bidi="cs-CZ"/>
              </w:rPr>
            </w:pPr>
          </w:p>
          <w:p w14:paraId="1513176B" w14:textId="77777777" w:rsidR="008E6B2E" w:rsidRPr="008819AF" w:rsidRDefault="008E6B2E" w:rsidP="0021052F">
            <w:pPr>
              <w:ind w:left="-70" w:right="-68" w:hanging="6"/>
              <w:jc w:val="center"/>
              <w:rPr>
                <w:rFonts w:eastAsia="Arial"/>
                <w:lang w:bidi="cs-CZ"/>
              </w:rPr>
            </w:pPr>
          </w:p>
          <w:p w14:paraId="1513176C" w14:textId="77777777" w:rsidR="008E6B2E" w:rsidRPr="008819AF" w:rsidRDefault="008E6B2E" w:rsidP="0021052F">
            <w:pPr>
              <w:ind w:left="-70" w:right="-68" w:hanging="6"/>
              <w:jc w:val="center"/>
              <w:rPr>
                <w:rFonts w:eastAsia="Arial"/>
                <w:lang w:bidi="cs-CZ"/>
              </w:rPr>
            </w:pPr>
          </w:p>
          <w:p w14:paraId="1513176D" w14:textId="77777777" w:rsidR="008E6B2E" w:rsidRPr="008819AF" w:rsidRDefault="008E6B2E" w:rsidP="008E6B2E">
            <w:pPr>
              <w:ind w:left="-70" w:right="-68" w:hanging="6"/>
              <w:jc w:val="center"/>
              <w:rPr>
                <w:rFonts w:eastAsia="Arial"/>
                <w:lang w:bidi="cs-CZ"/>
              </w:rPr>
            </w:pPr>
            <w:r w:rsidRPr="008819AF">
              <w:rPr>
                <w:rFonts w:eastAsia="Arial"/>
                <w:lang w:bidi="cs-CZ"/>
              </w:rPr>
              <w:t>N</w:t>
            </w:r>
          </w:p>
          <w:p w14:paraId="1513176E" w14:textId="77777777" w:rsidR="008E6B2E" w:rsidRPr="008819AF" w:rsidRDefault="008E6B2E" w:rsidP="008E6B2E">
            <w:pPr>
              <w:ind w:left="-70" w:right="-68" w:hanging="6"/>
              <w:jc w:val="center"/>
              <w:rPr>
                <w:rFonts w:eastAsia="Arial"/>
                <w:lang w:bidi="cs-CZ"/>
              </w:rPr>
            </w:pPr>
          </w:p>
          <w:p w14:paraId="1513176F" w14:textId="77777777" w:rsidR="008E6B2E" w:rsidRPr="008819AF" w:rsidRDefault="008E6B2E" w:rsidP="008E6B2E">
            <w:pPr>
              <w:ind w:left="-70" w:right="-68" w:hanging="6"/>
              <w:jc w:val="center"/>
              <w:rPr>
                <w:rFonts w:eastAsia="Arial"/>
                <w:lang w:bidi="cs-CZ"/>
              </w:rPr>
            </w:pPr>
          </w:p>
          <w:p w14:paraId="15131770" w14:textId="77777777" w:rsidR="008E6B2E" w:rsidRPr="008819AF" w:rsidRDefault="008E6B2E" w:rsidP="008E6B2E">
            <w:pPr>
              <w:ind w:left="-70" w:right="-68" w:hanging="6"/>
              <w:jc w:val="center"/>
              <w:rPr>
                <w:rFonts w:eastAsia="Arial"/>
                <w:lang w:bidi="cs-CZ"/>
              </w:rPr>
            </w:pPr>
          </w:p>
          <w:p w14:paraId="15131771" w14:textId="77777777" w:rsidR="008E6B2E" w:rsidRPr="008819AF" w:rsidRDefault="008E6B2E" w:rsidP="0021052F">
            <w:pPr>
              <w:ind w:left="-70" w:right="-68" w:hanging="6"/>
              <w:jc w:val="center"/>
              <w:rPr>
                <w:rFonts w:eastAsia="Arial"/>
                <w:lang w:bidi="cs-CZ"/>
              </w:rPr>
            </w:pPr>
            <w:r w:rsidRPr="008819AF">
              <w:rPr>
                <w:rFonts w:eastAsia="Arial"/>
                <w:lang w:bidi="cs-CZ"/>
              </w:rPr>
              <w:t>N</w:t>
            </w:r>
          </w:p>
          <w:p w14:paraId="15131772"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1773" w14:textId="77777777" w:rsidR="007170C3" w:rsidRPr="008819AF" w:rsidRDefault="00A32C9B" w:rsidP="0021052F">
            <w:pPr>
              <w:jc w:val="center"/>
              <w:rPr>
                <w:rFonts w:eastAsia="Arial"/>
                <w:lang w:bidi="cs-CZ"/>
              </w:rPr>
            </w:pPr>
            <w:r w:rsidRPr="008819AF">
              <w:rPr>
                <w:rFonts w:eastAsia="Arial"/>
                <w:lang w:bidi="cs-CZ"/>
              </w:rPr>
              <w:t>NZ</w:t>
            </w:r>
          </w:p>
          <w:p w14:paraId="15131774" w14:textId="77777777" w:rsidR="007170C3" w:rsidRPr="008819AF" w:rsidRDefault="007170C3" w:rsidP="0021052F">
            <w:pPr>
              <w:jc w:val="center"/>
              <w:rPr>
                <w:rFonts w:eastAsia="Arial"/>
                <w:lang w:bidi="cs-CZ"/>
              </w:rPr>
            </w:pPr>
          </w:p>
          <w:p w14:paraId="15131775" w14:textId="77777777" w:rsidR="007170C3" w:rsidRPr="008819AF" w:rsidRDefault="007170C3" w:rsidP="0021052F">
            <w:pPr>
              <w:jc w:val="center"/>
              <w:rPr>
                <w:rFonts w:eastAsia="Arial"/>
                <w:lang w:bidi="cs-CZ"/>
              </w:rPr>
            </w:pPr>
          </w:p>
          <w:p w14:paraId="15131776" w14:textId="77777777" w:rsidR="00166B76" w:rsidRPr="008819AF" w:rsidRDefault="00166B76" w:rsidP="0021052F">
            <w:pPr>
              <w:jc w:val="center"/>
              <w:rPr>
                <w:rFonts w:eastAsia="Arial"/>
                <w:lang w:bidi="cs-CZ"/>
              </w:rPr>
            </w:pPr>
          </w:p>
          <w:p w14:paraId="15131777" w14:textId="77777777" w:rsidR="007170C3" w:rsidRPr="008819AF" w:rsidRDefault="00A32C9B" w:rsidP="0021052F">
            <w:pPr>
              <w:jc w:val="center"/>
              <w:rPr>
                <w:rFonts w:eastAsia="Arial"/>
                <w:lang w:bidi="cs-CZ"/>
              </w:rPr>
            </w:pPr>
            <w:r w:rsidRPr="008819AF">
              <w:rPr>
                <w:rFonts w:eastAsia="Arial"/>
                <w:lang w:bidi="cs-CZ"/>
              </w:rPr>
              <w:t>NZ</w:t>
            </w:r>
          </w:p>
          <w:p w14:paraId="15131778" w14:textId="77777777" w:rsidR="007170C3" w:rsidRPr="008819AF" w:rsidRDefault="007170C3" w:rsidP="0021052F">
            <w:pPr>
              <w:jc w:val="center"/>
              <w:rPr>
                <w:rFonts w:eastAsia="Arial"/>
                <w:lang w:bidi="cs-CZ"/>
              </w:rPr>
            </w:pPr>
          </w:p>
          <w:p w14:paraId="15131779" w14:textId="77777777" w:rsidR="00D77EEF" w:rsidRPr="008819AF" w:rsidRDefault="00D77EEF" w:rsidP="0021052F">
            <w:pPr>
              <w:jc w:val="center"/>
              <w:rPr>
                <w:rFonts w:eastAsia="Arial"/>
                <w:lang w:bidi="cs-CZ"/>
              </w:rPr>
            </w:pPr>
          </w:p>
          <w:p w14:paraId="1513177A" w14:textId="77777777" w:rsidR="007170C3" w:rsidRPr="008819AF" w:rsidRDefault="006F0418" w:rsidP="0021052F">
            <w:pPr>
              <w:jc w:val="center"/>
              <w:rPr>
                <w:rFonts w:eastAsia="Arial"/>
                <w:lang w:bidi="cs-CZ"/>
              </w:rPr>
            </w:pPr>
            <w:r w:rsidRPr="008819AF">
              <w:rPr>
                <w:rFonts w:eastAsia="Arial"/>
                <w:lang w:bidi="cs-CZ"/>
              </w:rPr>
              <w:t>NV2</w:t>
            </w:r>
          </w:p>
          <w:p w14:paraId="1513177B" w14:textId="77777777" w:rsidR="00EF26C9" w:rsidRPr="008819AF" w:rsidRDefault="00EF26C9" w:rsidP="0021052F">
            <w:pPr>
              <w:jc w:val="center"/>
              <w:rPr>
                <w:rFonts w:eastAsia="Arial"/>
                <w:lang w:bidi="cs-CZ"/>
              </w:rPr>
            </w:pPr>
          </w:p>
          <w:p w14:paraId="1513177C" w14:textId="77777777" w:rsidR="00EF26C9" w:rsidRPr="008819AF" w:rsidRDefault="00EF26C9" w:rsidP="0021052F">
            <w:pPr>
              <w:jc w:val="center"/>
              <w:rPr>
                <w:rFonts w:eastAsia="Arial"/>
                <w:lang w:bidi="cs-CZ"/>
              </w:rPr>
            </w:pPr>
          </w:p>
          <w:p w14:paraId="1513177D" w14:textId="77777777" w:rsidR="00D77EEF" w:rsidRPr="008819AF" w:rsidRDefault="00D77EEF" w:rsidP="0021052F">
            <w:pPr>
              <w:jc w:val="center"/>
              <w:rPr>
                <w:rFonts w:eastAsia="Arial"/>
                <w:lang w:bidi="cs-CZ"/>
              </w:rPr>
            </w:pPr>
          </w:p>
          <w:p w14:paraId="1513177E" w14:textId="77777777" w:rsidR="008E6B2E" w:rsidRPr="008819AF" w:rsidRDefault="008E6B2E" w:rsidP="008E6B2E">
            <w:pPr>
              <w:jc w:val="center"/>
              <w:rPr>
                <w:rFonts w:eastAsia="Arial"/>
                <w:lang w:bidi="cs-CZ"/>
              </w:rPr>
            </w:pPr>
            <w:r w:rsidRPr="008819AF">
              <w:rPr>
                <w:rFonts w:eastAsia="Arial"/>
                <w:lang w:bidi="cs-CZ"/>
              </w:rPr>
              <w:t>NV2</w:t>
            </w:r>
          </w:p>
          <w:p w14:paraId="1513177F" w14:textId="77777777" w:rsidR="00EF26C9" w:rsidRPr="008819AF" w:rsidRDefault="00EF26C9" w:rsidP="0021052F">
            <w:pPr>
              <w:jc w:val="center"/>
              <w:rPr>
                <w:rFonts w:eastAsia="Arial"/>
                <w:lang w:bidi="cs-CZ"/>
              </w:rPr>
            </w:pPr>
          </w:p>
          <w:p w14:paraId="15131780" w14:textId="77777777" w:rsidR="00EF26C9" w:rsidRPr="008819AF" w:rsidRDefault="00EF26C9" w:rsidP="0021052F">
            <w:pPr>
              <w:jc w:val="center"/>
              <w:rPr>
                <w:rFonts w:eastAsia="Arial"/>
                <w:lang w:bidi="cs-CZ"/>
              </w:rPr>
            </w:pPr>
          </w:p>
          <w:p w14:paraId="15131781" w14:textId="77777777" w:rsidR="00EF26C9" w:rsidRPr="008819AF" w:rsidRDefault="00EF26C9" w:rsidP="0021052F">
            <w:pPr>
              <w:jc w:val="center"/>
              <w:rPr>
                <w:rFonts w:eastAsia="Arial"/>
                <w:lang w:bidi="cs-CZ"/>
              </w:rPr>
            </w:pPr>
          </w:p>
          <w:p w14:paraId="15131782" w14:textId="77777777" w:rsidR="00EF26C9" w:rsidRPr="008819AF" w:rsidRDefault="00EF26C9" w:rsidP="0021052F">
            <w:pPr>
              <w:jc w:val="center"/>
              <w:rPr>
                <w:rFonts w:eastAsia="Arial"/>
                <w:lang w:bidi="cs-CZ"/>
              </w:rPr>
            </w:pPr>
            <w:r w:rsidRPr="008819AF">
              <w:rPr>
                <w:rFonts w:eastAsia="Arial"/>
                <w:lang w:bidi="cs-CZ"/>
              </w:rPr>
              <w:t>NV2</w:t>
            </w:r>
          </w:p>
          <w:p w14:paraId="15131783" w14:textId="77777777" w:rsidR="00EF26C9" w:rsidRPr="008819AF" w:rsidRDefault="00EF26C9" w:rsidP="0021052F">
            <w:pPr>
              <w:jc w:val="center"/>
              <w:rPr>
                <w:rFonts w:eastAsia="Arial"/>
                <w:lang w:bidi="cs-CZ"/>
              </w:rPr>
            </w:pPr>
          </w:p>
          <w:p w14:paraId="15131784" w14:textId="77777777" w:rsidR="00EF26C9" w:rsidRPr="008819AF" w:rsidRDefault="00EF26C9" w:rsidP="0021052F">
            <w:pPr>
              <w:jc w:val="center"/>
              <w:rPr>
                <w:rFonts w:eastAsia="Arial"/>
                <w:lang w:bidi="cs-CZ"/>
              </w:rPr>
            </w:pPr>
          </w:p>
          <w:p w14:paraId="15131785" w14:textId="77777777" w:rsidR="00EF26C9" w:rsidRPr="008819AF" w:rsidRDefault="00EF26C9" w:rsidP="0021052F">
            <w:pPr>
              <w:jc w:val="center"/>
              <w:rPr>
                <w:rFonts w:eastAsia="Arial"/>
                <w:lang w:bidi="cs-CZ"/>
              </w:rPr>
            </w:pPr>
          </w:p>
          <w:p w14:paraId="15131786" w14:textId="77777777" w:rsidR="00EF26C9" w:rsidRPr="008819AF" w:rsidRDefault="00EF26C9" w:rsidP="0021052F">
            <w:pPr>
              <w:jc w:val="center"/>
              <w:rPr>
                <w:rFonts w:eastAsia="Arial"/>
                <w:lang w:bidi="cs-CZ"/>
              </w:rPr>
            </w:pPr>
          </w:p>
          <w:p w14:paraId="15131787" w14:textId="77777777" w:rsidR="008E6B2E" w:rsidRPr="008819AF" w:rsidRDefault="008E6B2E" w:rsidP="0021052F">
            <w:pPr>
              <w:jc w:val="center"/>
              <w:rPr>
                <w:rFonts w:eastAsia="Arial"/>
                <w:lang w:bidi="cs-CZ"/>
              </w:rPr>
            </w:pPr>
          </w:p>
          <w:p w14:paraId="15131788" w14:textId="77777777" w:rsidR="008E6B2E" w:rsidRPr="008819AF" w:rsidRDefault="008E6B2E" w:rsidP="0021052F">
            <w:pPr>
              <w:jc w:val="center"/>
              <w:rPr>
                <w:rFonts w:eastAsia="Arial"/>
                <w:lang w:bidi="cs-CZ"/>
              </w:rPr>
            </w:pPr>
          </w:p>
          <w:p w14:paraId="15131789" w14:textId="77777777" w:rsidR="008E6B2E" w:rsidRPr="008819AF" w:rsidRDefault="008E6B2E" w:rsidP="008E6B2E">
            <w:pPr>
              <w:jc w:val="center"/>
              <w:rPr>
                <w:rFonts w:eastAsia="Arial"/>
                <w:lang w:bidi="cs-CZ"/>
              </w:rPr>
            </w:pPr>
            <w:r w:rsidRPr="008819AF">
              <w:rPr>
                <w:rFonts w:eastAsia="Arial"/>
                <w:lang w:bidi="cs-CZ"/>
              </w:rPr>
              <w:t>NV2</w:t>
            </w:r>
          </w:p>
          <w:p w14:paraId="1513178A" w14:textId="77777777" w:rsidR="00EF26C9" w:rsidRPr="008819AF" w:rsidRDefault="00EF26C9" w:rsidP="0021052F">
            <w:pPr>
              <w:jc w:val="center"/>
              <w:rPr>
                <w:rFonts w:eastAsia="Arial"/>
                <w:lang w:bidi="cs-CZ"/>
              </w:rPr>
            </w:pPr>
          </w:p>
          <w:p w14:paraId="1513178B" w14:textId="77777777" w:rsidR="008E6B2E" w:rsidRPr="008819AF" w:rsidRDefault="008E6B2E" w:rsidP="0021052F">
            <w:pPr>
              <w:jc w:val="center"/>
              <w:rPr>
                <w:rFonts w:eastAsia="Arial"/>
                <w:lang w:bidi="cs-CZ"/>
              </w:rPr>
            </w:pPr>
          </w:p>
          <w:p w14:paraId="1513178C" w14:textId="77777777" w:rsidR="008E6B2E" w:rsidRPr="008819AF" w:rsidRDefault="008E6B2E" w:rsidP="0021052F">
            <w:pPr>
              <w:jc w:val="center"/>
              <w:rPr>
                <w:rFonts w:eastAsia="Arial"/>
                <w:lang w:bidi="cs-CZ"/>
              </w:rPr>
            </w:pPr>
          </w:p>
          <w:p w14:paraId="1513178D" w14:textId="77777777" w:rsidR="008E6B2E" w:rsidRPr="008819AF" w:rsidRDefault="008E6B2E" w:rsidP="008E6B2E">
            <w:pPr>
              <w:jc w:val="center"/>
              <w:rPr>
                <w:rFonts w:eastAsia="Arial"/>
                <w:lang w:bidi="cs-CZ"/>
              </w:rPr>
            </w:pPr>
            <w:r w:rsidRPr="008819AF">
              <w:rPr>
                <w:rFonts w:eastAsia="Arial"/>
                <w:lang w:bidi="cs-CZ"/>
              </w:rPr>
              <w:t>NV2</w:t>
            </w:r>
          </w:p>
          <w:p w14:paraId="1513178E" w14:textId="77777777" w:rsidR="00EF26C9" w:rsidRPr="008819AF" w:rsidRDefault="00EF26C9" w:rsidP="0021052F">
            <w:pPr>
              <w:jc w:val="center"/>
              <w:rPr>
                <w:rFonts w:eastAsia="Arial"/>
                <w:lang w:bidi="cs-CZ"/>
              </w:rPr>
            </w:pPr>
          </w:p>
          <w:p w14:paraId="1513178F" w14:textId="77777777" w:rsidR="00EF26C9" w:rsidRPr="008819AF" w:rsidRDefault="00EF26C9" w:rsidP="00EF26C9">
            <w:pP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1790" w14:textId="77777777" w:rsidR="007170C3" w:rsidRPr="008819AF" w:rsidRDefault="00DE317D" w:rsidP="00DE317D">
            <w:pPr>
              <w:pStyle w:val="BodyText21"/>
              <w:spacing w:before="0" w:line="240" w:lineRule="auto"/>
              <w:ind w:left="2" w:right="-70" w:firstLine="2"/>
              <w:jc w:val="center"/>
              <w:rPr>
                <w:rFonts w:ascii="Times New Roman" w:hAnsi="Times New Roman" w:cs="Times New Roman"/>
              </w:rPr>
            </w:pPr>
            <w:r w:rsidRPr="008819AF">
              <w:rPr>
                <w:rFonts w:ascii="Times New Roman" w:hAnsi="Times New Roman" w:cs="Times New Roman"/>
              </w:rPr>
              <w:t>§</w:t>
            </w:r>
            <w:r w:rsidR="006F0418" w:rsidRPr="008819AF">
              <w:rPr>
                <w:rFonts w:ascii="Times New Roman" w:hAnsi="Times New Roman" w:cs="Times New Roman"/>
              </w:rPr>
              <w:t>2</w:t>
            </w:r>
            <w:r w:rsidR="00D01D5E" w:rsidRPr="008819AF">
              <w:rPr>
                <w:rFonts w:ascii="Times New Roman" w:hAnsi="Times New Roman" w:cs="Times New Roman"/>
              </w:rPr>
              <w:t xml:space="preserve"> O1</w:t>
            </w:r>
          </w:p>
          <w:p w14:paraId="15131791" w14:textId="77777777" w:rsidR="007170C3" w:rsidRPr="008819AF" w:rsidRDefault="00D77EEF"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 x</w:t>
            </w:r>
            <w:r w:rsidR="006F0418" w:rsidRPr="008819AF">
              <w:rPr>
                <w:rFonts w:ascii="Times New Roman" w:hAnsi="Times New Roman" w:cs="Times New Roman"/>
              </w:rPr>
              <w:t>)</w:t>
            </w:r>
          </w:p>
          <w:p w14:paraId="15131792"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793"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20</w:t>
            </w:r>
          </w:p>
          <w:p w14:paraId="15131794" w14:textId="77777777" w:rsidR="007170C3" w:rsidRPr="008819AF" w:rsidRDefault="00D77EEF"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 6</w:t>
            </w:r>
          </w:p>
          <w:p w14:paraId="15131795"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796" w14:textId="77777777" w:rsidR="007170C3" w:rsidRPr="008819AF" w:rsidRDefault="00DE317D"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§2</w:t>
            </w:r>
          </w:p>
          <w:p w14:paraId="15131797" w14:textId="77777777" w:rsidR="00EF26C9" w:rsidRPr="008819AF" w:rsidRDefault="00EF26C9"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Pe)</w:t>
            </w:r>
          </w:p>
          <w:p w14:paraId="15131798" w14:textId="77777777" w:rsidR="00EF26C9" w:rsidRPr="008819AF" w:rsidRDefault="00EF26C9" w:rsidP="0021052F">
            <w:pPr>
              <w:pStyle w:val="BodyText21"/>
              <w:spacing w:before="0" w:line="240" w:lineRule="auto"/>
              <w:ind w:left="0" w:right="-70" w:firstLine="0"/>
              <w:jc w:val="center"/>
              <w:rPr>
                <w:rFonts w:ascii="Times New Roman" w:hAnsi="Times New Roman" w:cs="Times New Roman"/>
              </w:rPr>
            </w:pPr>
          </w:p>
          <w:p w14:paraId="15131799" w14:textId="77777777" w:rsidR="00D77EEF" w:rsidRPr="008819AF" w:rsidRDefault="00D77EEF" w:rsidP="0021052F">
            <w:pPr>
              <w:pStyle w:val="BodyText21"/>
              <w:spacing w:before="0" w:line="240" w:lineRule="auto"/>
              <w:ind w:left="0" w:right="-70" w:firstLine="0"/>
              <w:jc w:val="center"/>
              <w:rPr>
                <w:rFonts w:ascii="Times New Roman" w:hAnsi="Times New Roman" w:cs="Times New Roman"/>
              </w:rPr>
            </w:pPr>
          </w:p>
          <w:p w14:paraId="1513179A" w14:textId="77777777" w:rsidR="008E6B2E" w:rsidRPr="008819AF" w:rsidRDefault="008E6B2E" w:rsidP="008E6B2E">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§2</w:t>
            </w:r>
          </w:p>
          <w:p w14:paraId="1513179B" w14:textId="77777777" w:rsidR="00DE317D" w:rsidRPr="008819AF" w:rsidRDefault="00DE317D"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Pg)</w:t>
            </w:r>
          </w:p>
          <w:p w14:paraId="1513179C" w14:textId="77777777" w:rsidR="00DE317D" w:rsidRPr="008819AF" w:rsidRDefault="00DE317D" w:rsidP="0021052F">
            <w:pPr>
              <w:pStyle w:val="BodyText21"/>
              <w:spacing w:before="0" w:line="240" w:lineRule="auto"/>
              <w:ind w:left="0" w:right="-70" w:firstLine="0"/>
              <w:jc w:val="center"/>
              <w:rPr>
                <w:rFonts w:ascii="Times New Roman" w:hAnsi="Times New Roman" w:cs="Times New Roman"/>
              </w:rPr>
            </w:pPr>
          </w:p>
          <w:p w14:paraId="1513179D" w14:textId="77777777" w:rsidR="00DE317D" w:rsidRPr="008819AF" w:rsidRDefault="00DE317D" w:rsidP="0021052F">
            <w:pPr>
              <w:pStyle w:val="BodyText21"/>
              <w:spacing w:before="0" w:line="240" w:lineRule="auto"/>
              <w:ind w:left="0" w:right="-70" w:firstLine="0"/>
              <w:jc w:val="center"/>
              <w:rPr>
                <w:rFonts w:ascii="Times New Roman" w:hAnsi="Times New Roman" w:cs="Times New Roman"/>
              </w:rPr>
            </w:pPr>
          </w:p>
          <w:p w14:paraId="1513179E" w14:textId="77777777" w:rsidR="00EF26C9" w:rsidRPr="008819AF" w:rsidRDefault="00EF26C9"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Pr.12</w:t>
            </w:r>
          </w:p>
          <w:p w14:paraId="1513179F" w14:textId="77777777" w:rsidR="00EF26C9" w:rsidRPr="008819AF" w:rsidRDefault="00EF26C9"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Časť I.</w:t>
            </w:r>
          </w:p>
          <w:p w14:paraId="151317A0" w14:textId="77777777" w:rsidR="00EF26C9" w:rsidRPr="008819AF" w:rsidRDefault="00EF26C9" w:rsidP="0021052F">
            <w:pPr>
              <w:pStyle w:val="BodyText21"/>
              <w:spacing w:before="0" w:line="240" w:lineRule="auto"/>
              <w:ind w:left="0" w:right="-70" w:firstLine="0"/>
              <w:jc w:val="center"/>
              <w:rPr>
                <w:rFonts w:ascii="Times New Roman" w:hAnsi="Times New Roman" w:cs="Times New Roman"/>
              </w:rPr>
            </w:pPr>
          </w:p>
          <w:p w14:paraId="151317A1" w14:textId="77777777" w:rsidR="00EF26C9" w:rsidRPr="008819AF" w:rsidRDefault="00EF26C9" w:rsidP="0021052F">
            <w:pPr>
              <w:pStyle w:val="BodyText21"/>
              <w:spacing w:before="0" w:line="240" w:lineRule="auto"/>
              <w:ind w:left="0" w:right="-70" w:firstLine="0"/>
              <w:jc w:val="center"/>
              <w:rPr>
                <w:rFonts w:ascii="Times New Roman" w:hAnsi="Times New Roman" w:cs="Times New Roman"/>
              </w:rPr>
            </w:pPr>
          </w:p>
          <w:p w14:paraId="151317A2" w14:textId="77777777" w:rsidR="008E6B2E" w:rsidRPr="008819AF" w:rsidRDefault="008E6B2E" w:rsidP="0021052F">
            <w:pPr>
              <w:pStyle w:val="BodyText21"/>
              <w:spacing w:before="0" w:line="240" w:lineRule="auto"/>
              <w:ind w:left="0" w:right="-70" w:firstLine="0"/>
              <w:jc w:val="center"/>
              <w:rPr>
                <w:rFonts w:ascii="Times New Roman" w:hAnsi="Times New Roman" w:cs="Times New Roman"/>
              </w:rPr>
            </w:pPr>
          </w:p>
          <w:p w14:paraId="151317A3" w14:textId="77777777" w:rsidR="00D77EEF" w:rsidRPr="008819AF" w:rsidRDefault="00D77EEF" w:rsidP="0021052F">
            <w:pPr>
              <w:pStyle w:val="BodyText21"/>
              <w:spacing w:before="0" w:line="240" w:lineRule="auto"/>
              <w:ind w:left="0" w:right="-70" w:firstLine="0"/>
              <w:jc w:val="center"/>
              <w:rPr>
                <w:rFonts w:ascii="Times New Roman" w:hAnsi="Times New Roman" w:cs="Times New Roman"/>
              </w:rPr>
            </w:pPr>
          </w:p>
          <w:p w14:paraId="151317A4" w14:textId="77777777" w:rsidR="00EF26C9" w:rsidRPr="008819AF" w:rsidRDefault="008E6B2E"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§8 O5</w:t>
            </w:r>
          </w:p>
          <w:p w14:paraId="151317A5" w14:textId="77777777" w:rsidR="00EF26C9" w:rsidRPr="008819AF" w:rsidRDefault="008E6B2E"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Ph)</w:t>
            </w:r>
          </w:p>
          <w:p w14:paraId="151317A6" w14:textId="77777777" w:rsidR="008E6B2E" w:rsidRPr="008819AF" w:rsidRDefault="008E6B2E" w:rsidP="0021052F">
            <w:pPr>
              <w:pStyle w:val="BodyText21"/>
              <w:spacing w:before="0" w:line="240" w:lineRule="auto"/>
              <w:ind w:left="0" w:right="-70" w:firstLine="0"/>
              <w:jc w:val="center"/>
              <w:rPr>
                <w:rFonts w:ascii="Times New Roman" w:hAnsi="Times New Roman" w:cs="Times New Roman"/>
              </w:rPr>
            </w:pPr>
          </w:p>
          <w:p w14:paraId="151317A7" w14:textId="77777777" w:rsidR="008E6B2E" w:rsidRPr="008819AF" w:rsidRDefault="008E6B2E" w:rsidP="0021052F">
            <w:pPr>
              <w:pStyle w:val="BodyText21"/>
              <w:spacing w:before="0" w:line="240" w:lineRule="auto"/>
              <w:ind w:left="0" w:right="-70" w:firstLine="0"/>
              <w:jc w:val="center"/>
              <w:rPr>
                <w:rFonts w:ascii="Times New Roman" w:hAnsi="Times New Roman" w:cs="Times New Roman"/>
              </w:rPr>
            </w:pPr>
          </w:p>
          <w:p w14:paraId="151317A8" w14:textId="77777777" w:rsidR="008E6B2E" w:rsidRPr="008819AF" w:rsidRDefault="008E6B2E"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Pr.4</w:t>
            </w:r>
          </w:p>
          <w:p w14:paraId="151317A9" w14:textId="77777777" w:rsidR="008E6B2E" w:rsidRPr="008819AF" w:rsidRDefault="00CE0E5E"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Č</w:t>
            </w:r>
            <w:r w:rsidR="008E6B2E" w:rsidRPr="008819AF">
              <w:rPr>
                <w:rFonts w:ascii="Times New Roman" w:hAnsi="Times New Roman" w:cs="Times New Roman"/>
              </w:rPr>
              <w:t>asť</w:t>
            </w:r>
            <w:r w:rsidRPr="008819AF">
              <w:rPr>
                <w:rFonts w:ascii="Times New Roman" w:hAnsi="Times New Roman" w:cs="Times New Roman"/>
              </w:rPr>
              <w:t xml:space="preserve"> </w:t>
            </w:r>
            <w:r w:rsidR="008E6B2E" w:rsidRPr="008819AF">
              <w:rPr>
                <w:rFonts w:ascii="Times New Roman" w:hAnsi="Times New Roman" w:cs="Times New Roman"/>
              </w:rPr>
              <w:t>II</w:t>
            </w:r>
          </w:p>
          <w:p w14:paraId="151317AA"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17AB" w14:textId="77777777" w:rsidR="007170C3" w:rsidRPr="008819AF" w:rsidRDefault="002E3B57" w:rsidP="002E3B57">
            <w:pPr>
              <w:pStyle w:val="odsek"/>
              <w:tabs>
                <w:tab w:val="left" w:pos="-426"/>
              </w:tabs>
              <w:spacing w:before="0"/>
              <w:jc w:val="left"/>
              <w:rPr>
                <w:rFonts w:ascii="Times New Roman" w:hAnsi="Times New Roman" w:cs="Times New Roman"/>
                <w:color w:val="auto"/>
                <w:sz w:val="20"/>
                <w:szCs w:val="20"/>
              </w:rPr>
            </w:pPr>
            <w:r w:rsidRPr="008819AF">
              <w:rPr>
                <w:rFonts w:ascii="Times New Roman" w:hAnsi="Times New Roman" w:cs="Times New Roman"/>
                <w:color w:val="auto"/>
                <w:sz w:val="20"/>
                <w:szCs w:val="20"/>
              </w:rPr>
              <w:t>palivom tuhý, kvapalný alebo plynný horľavý materiál</w:t>
            </w:r>
          </w:p>
          <w:p w14:paraId="151317AC" w14:textId="77777777" w:rsidR="007170C3" w:rsidRPr="008819AF" w:rsidRDefault="007170C3" w:rsidP="00D77EEF">
            <w:pPr>
              <w:pStyle w:val="odsek"/>
              <w:tabs>
                <w:tab w:val="left" w:pos="-426"/>
              </w:tabs>
              <w:spacing w:before="0"/>
              <w:jc w:val="left"/>
              <w:rPr>
                <w:rFonts w:ascii="Times New Roman" w:hAnsi="Times New Roman" w:cs="Times New Roman"/>
                <w:color w:val="auto"/>
                <w:sz w:val="20"/>
                <w:szCs w:val="20"/>
              </w:rPr>
            </w:pPr>
          </w:p>
          <w:p w14:paraId="151317AD" w14:textId="77777777" w:rsidR="00D77EEF" w:rsidRPr="008819AF" w:rsidRDefault="00D77EEF" w:rsidP="00D77EEF">
            <w:pPr>
              <w:pStyle w:val="odsek"/>
              <w:tabs>
                <w:tab w:val="left" w:pos="-426"/>
              </w:tabs>
              <w:spacing w:before="0"/>
              <w:jc w:val="left"/>
              <w:rPr>
                <w:rFonts w:ascii="Times New Roman" w:hAnsi="Times New Roman" w:cs="Times New Roman"/>
                <w:color w:val="auto"/>
                <w:sz w:val="20"/>
                <w:szCs w:val="20"/>
              </w:rPr>
            </w:pPr>
          </w:p>
          <w:p w14:paraId="151317AE" w14:textId="77777777" w:rsidR="00D77EEF" w:rsidRPr="008819AF" w:rsidRDefault="00D77EEF" w:rsidP="00D77EEF">
            <w:pPr>
              <w:pStyle w:val="odsek"/>
              <w:tabs>
                <w:tab w:val="left" w:pos="-426"/>
              </w:tabs>
              <w:spacing w:before="0"/>
              <w:jc w:val="left"/>
              <w:rPr>
                <w:rFonts w:ascii="Times New Roman" w:hAnsi="Times New Roman" w:cs="Times New Roman"/>
                <w:color w:val="auto"/>
                <w:sz w:val="20"/>
                <w:szCs w:val="20"/>
              </w:rPr>
            </w:pPr>
          </w:p>
          <w:p w14:paraId="151317AF" w14:textId="77777777" w:rsidR="007170C3" w:rsidRPr="008819AF" w:rsidRDefault="002E3B57" w:rsidP="002E3B57">
            <w:pPr>
              <w:pStyle w:val="odsek"/>
              <w:tabs>
                <w:tab w:val="left" w:pos="-426"/>
              </w:tabs>
              <w:spacing w:before="0"/>
              <w:ind w:left="0" w:firstLine="0"/>
              <w:jc w:val="left"/>
              <w:rPr>
                <w:rFonts w:ascii="Times New Roman" w:hAnsi="Times New Roman" w:cs="Times New Roman"/>
                <w:color w:val="auto"/>
                <w:sz w:val="20"/>
                <w:szCs w:val="20"/>
              </w:rPr>
            </w:pPr>
            <w:r w:rsidRPr="008819AF">
              <w:rPr>
                <w:rFonts w:ascii="Times New Roman" w:hAnsi="Times New Roman" w:cs="Times New Roman"/>
                <w:color w:val="auto"/>
                <w:sz w:val="20"/>
                <w:szCs w:val="20"/>
              </w:rPr>
              <w:t xml:space="preserve">Spaľovacie zariadenie je technickým zariadením, ktoré slúži na oxidáciu palív na účely využitia takto vzniknutého tepla; ak sa spaľuje odpad ide o zaradenie podľa odseku </w:t>
            </w:r>
            <w:r w:rsidR="00D77EEF" w:rsidRPr="008819AF">
              <w:rPr>
                <w:rFonts w:ascii="Times New Roman" w:hAnsi="Times New Roman" w:cs="Times New Roman"/>
                <w:color w:val="auto"/>
                <w:sz w:val="20"/>
                <w:szCs w:val="20"/>
              </w:rPr>
              <w:t>8</w:t>
            </w:r>
            <w:r w:rsidRPr="008819AF">
              <w:rPr>
                <w:rFonts w:ascii="Times New Roman" w:hAnsi="Times New Roman" w:cs="Times New Roman"/>
                <w:color w:val="auto"/>
                <w:sz w:val="20"/>
                <w:szCs w:val="20"/>
              </w:rPr>
              <w:t xml:space="preserve"> a </w:t>
            </w:r>
            <w:r w:rsidR="00D77EEF" w:rsidRPr="008819AF">
              <w:rPr>
                <w:rFonts w:ascii="Times New Roman" w:hAnsi="Times New Roman" w:cs="Times New Roman"/>
                <w:color w:val="auto"/>
                <w:sz w:val="20"/>
                <w:szCs w:val="20"/>
              </w:rPr>
              <w:t>9</w:t>
            </w:r>
            <w:r w:rsidRPr="008819AF">
              <w:rPr>
                <w:rFonts w:ascii="Times New Roman" w:hAnsi="Times New Roman" w:cs="Times New Roman"/>
                <w:color w:val="auto"/>
                <w:sz w:val="20"/>
                <w:szCs w:val="20"/>
              </w:rPr>
              <w:t>.</w:t>
            </w:r>
          </w:p>
          <w:p w14:paraId="151317B0" w14:textId="77777777" w:rsidR="00EF26C9" w:rsidRPr="008819AF" w:rsidRDefault="00EF26C9" w:rsidP="00EF26C9">
            <w:pPr>
              <w:pStyle w:val="odsek"/>
              <w:tabs>
                <w:tab w:val="left" w:pos="-426"/>
              </w:tabs>
              <w:spacing w:before="0"/>
              <w:ind w:left="0" w:firstLine="0"/>
              <w:jc w:val="left"/>
              <w:rPr>
                <w:rFonts w:ascii="Times New Roman" w:hAnsi="Times New Roman" w:cs="Times New Roman"/>
                <w:color w:val="auto"/>
                <w:sz w:val="20"/>
                <w:szCs w:val="20"/>
              </w:rPr>
            </w:pPr>
            <w:r w:rsidRPr="008819AF">
              <w:rPr>
                <w:rFonts w:ascii="Times New Roman" w:hAnsi="Times New Roman" w:cs="Times New Roman"/>
                <w:color w:val="auto"/>
                <w:sz w:val="20"/>
                <w:szCs w:val="20"/>
              </w:rPr>
              <w:t>e) komínom objekt, ktorý obsahuje jeden prieduch alebo viac samostatných prieduchov na vypúšťanie odpadových plynov do ovzdušia,</w:t>
            </w:r>
          </w:p>
          <w:p w14:paraId="151317B1" w14:textId="77777777" w:rsidR="00DD0CFD" w:rsidRPr="008819AF" w:rsidRDefault="00DD0CFD" w:rsidP="00EF26C9">
            <w:pPr>
              <w:pStyle w:val="odsek"/>
              <w:tabs>
                <w:tab w:val="left" w:pos="-426"/>
              </w:tabs>
              <w:spacing w:before="0"/>
              <w:ind w:left="0" w:firstLine="0"/>
              <w:jc w:val="left"/>
              <w:rPr>
                <w:rFonts w:ascii="Times New Roman" w:hAnsi="Times New Roman" w:cs="Times New Roman"/>
                <w:color w:val="auto"/>
                <w:sz w:val="20"/>
                <w:szCs w:val="20"/>
              </w:rPr>
            </w:pPr>
          </w:p>
          <w:p w14:paraId="151317B2" w14:textId="77777777" w:rsidR="007170C3" w:rsidRPr="008819AF" w:rsidRDefault="00DE317D" w:rsidP="00EF26C9">
            <w:pPr>
              <w:pStyle w:val="odsek"/>
              <w:tabs>
                <w:tab w:val="left" w:pos="-426"/>
              </w:tabs>
              <w:spacing w:before="0"/>
              <w:ind w:left="0" w:firstLine="0"/>
              <w:jc w:val="left"/>
              <w:rPr>
                <w:rFonts w:ascii="Times New Roman" w:hAnsi="Times New Roman" w:cs="Times New Roman"/>
                <w:color w:val="auto"/>
                <w:sz w:val="20"/>
                <w:szCs w:val="20"/>
              </w:rPr>
            </w:pPr>
            <w:r w:rsidRPr="008819AF">
              <w:rPr>
                <w:rFonts w:ascii="Times New Roman" w:hAnsi="Times New Roman" w:cs="Times New Roman"/>
                <w:color w:val="auto"/>
                <w:sz w:val="20"/>
                <w:szCs w:val="20"/>
              </w:rPr>
              <w:t>g) prevádzkovými hodinami čas vyjadrený v hodinách, počas ktorého je zariadenie alebo jeho časť v prevádzke a vypúšťa emisie do ovzdušia okrem nábehu a odstavovania,</w:t>
            </w:r>
          </w:p>
          <w:p w14:paraId="151317B3" w14:textId="77777777" w:rsidR="00EF26C9" w:rsidRPr="008819AF" w:rsidRDefault="00EF26C9" w:rsidP="00EF26C9">
            <w:pPr>
              <w:pStyle w:val="odsek"/>
              <w:tabs>
                <w:tab w:val="left" w:pos="-426"/>
              </w:tabs>
              <w:spacing w:before="0"/>
              <w:ind w:left="0" w:firstLine="0"/>
              <w:jc w:val="left"/>
              <w:rPr>
                <w:rFonts w:ascii="Times New Roman" w:hAnsi="Times New Roman" w:cs="Times New Roman"/>
                <w:color w:val="auto"/>
                <w:sz w:val="20"/>
                <w:szCs w:val="20"/>
              </w:rPr>
            </w:pPr>
          </w:p>
          <w:p w14:paraId="151317B4" w14:textId="77777777" w:rsidR="00EF26C9" w:rsidRPr="008819AF" w:rsidRDefault="00EF26C9" w:rsidP="00EF26C9">
            <w:pPr>
              <w:autoSpaceDE w:val="0"/>
              <w:autoSpaceDN w:val="0"/>
              <w:adjustRightInd w:val="0"/>
              <w:ind w:left="284" w:hanging="284"/>
              <w:jc w:val="both"/>
              <w:rPr>
                <w:rFonts w:eastAsia="Arial"/>
                <w:lang w:bidi="cs-CZ"/>
              </w:rPr>
            </w:pPr>
            <w:r w:rsidRPr="008819AF">
              <w:rPr>
                <w:rFonts w:eastAsia="Arial"/>
                <w:lang w:bidi="cs-CZ"/>
              </w:rPr>
              <w:t>5.  Stupeň odsírenia</w:t>
            </w:r>
          </w:p>
          <w:p w14:paraId="151317B5" w14:textId="77777777" w:rsidR="00EF26C9" w:rsidRPr="008819AF" w:rsidRDefault="00EF26C9" w:rsidP="00EF26C9">
            <w:pPr>
              <w:autoSpaceDE w:val="0"/>
              <w:autoSpaceDN w:val="0"/>
              <w:adjustRightInd w:val="0"/>
              <w:jc w:val="both"/>
              <w:rPr>
                <w:rFonts w:eastAsia="Arial"/>
                <w:lang w:bidi="cs-CZ"/>
              </w:rPr>
            </w:pPr>
            <w:r w:rsidRPr="008819AF">
              <w:rPr>
                <w:rFonts w:eastAsia="Arial"/>
                <w:lang w:bidi="cs-CZ"/>
              </w:rPr>
              <w:t>Stupeň odsírenia je emisný limit vyjadrený ako pomer množstva síry, ktorá sa za určitú časovú jednotku zo zariadenia nevypustí do ovzdušia, k množstvu síry, ktorá sa za tú istú časovú jednotku privedie napríklad v tuhom palive do zariadenia vo vstupe a použije sa v ňom. Vyjadruje sa v percentách.</w:t>
            </w:r>
          </w:p>
          <w:p w14:paraId="151317B6" w14:textId="77777777" w:rsidR="008E6B2E" w:rsidRPr="008819AF" w:rsidRDefault="008E6B2E" w:rsidP="00EF26C9">
            <w:pPr>
              <w:autoSpaceDE w:val="0"/>
              <w:autoSpaceDN w:val="0"/>
              <w:adjustRightInd w:val="0"/>
              <w:jc w:val="both"/>
              <w:rPr>
                <w:rFonts w:eastAsia="Arial"/>
                <w:lang w:bidi="cs-CZ"/>
              </w:rPr>
            </w:pPr>
          </w:p>
          <w:p w14:paraId="151317B7" w14:textId="77777777" w:rsidR="008E6B2E" w:rsidRPr="008819AF" w:rsidRDefault="008E6B2E" w:rsidP="008E6B2E">
            <w:pPr>
              <w:autoSpaceDE w:val="0"/>
              <w:autoSpaceDN w:val="0"/>
              <w:adjustRightInd w:val="0"/>
              <w:jc w:val="both"/>
              <w:rPr>
                <w:rFonts w:eastAsia="Arial"/>
                <w:lang w:bidi="cs-CZ"/>
              </w:rPr>
            </w:pPr>
            <w:r w:rsidRPr="008819AF">
              <w:rPr>
                <w:rFonts w:eastAsia="Arial"/>
                <w:lang w:bidi="cs-CZ"/>
              </w:rPr>
              <w:t>h)domácim tuhým palivom prirodzene sa vyskytujúce tuhé palivo, ktoré sa spaľuje v oblasti, v ktorej sa ťaží v spaľovacom zariadení špeciálne vybudovanom pre takéto palivo,</w:t>
            </w:r>
          </w:p>
          <w:p w14:paraId="151317B8" w14:textId="77777777" w:rsidR="00EF26C9" w:rsidRPr="008819AF" w:rsidRDefault="00EF26C9" w:rsidP="008E6B2E">
            <w:pPr>
              <w:autoSpaceDE w:val="0"/>
              <w:autoSpaceDN w:val="0"/>
              <w:adjustRightInd w:val="0"/>
              <w:jc w:val="both"/>
              <w:rPr>
                <w:rFonts w:eastAsia="Arial"/>
                <w:lang w:bidi="cs-CZ"/>
              </w:rPr>
            </w:pPr>
          </w:p>
          <w:p w14:paraId="151317B9" w14:textId="77777777" w:rsidR="008E6B2E" w:rsidRPr="008819AF" w:rsidRDefault="008E6B2E" w:rsidP="008E6B2E">
            <w:pPr>
              <w:autoSpaceDE w:val="0"/>
              <w:autoSpaceDN w:val="0"/>
              <w:adjustRightInd w:val="0"/>
              <w:jc w:val="both"/>
              <w:rPr>
                <w:rFonts w:eastAsia="Arial"/>
                <w:lang w:bidi="cs-CZ"/>
              </w:rPr>
            </w:pPr>
            <w:r w:rsidRPr="008819AF">
              <w:rPr>
                <w:rFonts w:eastAsia="Arial"/>
                <w:lang w:bidi="cs-CZ"/>
              </w:rPr>
              <w:t>II. Viacpalivové spaľovacie zariadenie, uplatňovanie rôznych emisných limitov na  rôzne časti zariadenia</w:t>
            </w:r>
          </w:p>
          <w:p w14:paraId="151317BA" w14:textId="77777777" w:rsidR="00CE0E5E" w:rsidRPr="008819AF" w:rsidRDefault="00CE0E5E" w:rsidP="00CE0E5E">
            <w:pPr>
              <w:spacing w:before="120" w:after="120"/>
              <w:jc w:val="both"/>
            </w:pPr>
            <w:r w:rsidRPr="008819AF">
              <w:t>3.1 Vo viacpalivových spaľovacích zariadeniach rafinérie, ktoré využívajú destilačné zvyšky alebo zvyšky z konverzie z rafinérskej výroby samostatne alebo v zmesi s inými palivami vrátane procesných rafinérskych plynov, v jestvujúcich zariadeniach na spaľovanie palív spätých s rafinériou možno namiesto emisných limitov pre jestvujúce zariadenia podľa § 10 ods. 2 určiť emisné limity s ohľadom na podiel určujúceho paliva; pričom určujúce palivo je palivo, ktoré má najvyššiu hodnotu emisného limitu určenú podľa § 10 ods. </w:t>
            </w:r>
            <w:smartTag w:uri="urn:schemas-microsoft-com:office:smarttags" w:element="metricconverter">
              <w:smartTagPr>
                <w:attr w:name="ProductID" w:val="2 a"/>
              </w:smartTagPr>
              <w:r w:rsidRPr="008819AF">
                <w:t>2 a </w:t>
              </w:r>
            </w:smartTag>
            <w:r w:rsidRPr="008819AF">
              <w:t xml:space="preserve">ak ide o spaľovanie viacerých palív s rovnakým </w:t>
            </w:r>
            <w:r w:rsidRPr="008819AF">
              <w:lastRenderedPageBreak/>
              <w:t xml:space="preserve">emisným limitom, palivo s najvyšším tepelným vstupom z týchto palív. </w:t>
            </w:r>
          </w:p>
          <w:p w14:paraId="151317BB" w14:textId="77777777" w:rsidR="00EF26C9" w:rsidRPr="008819AF" w:rsidRDefault="00EF26C9" w:rsidP="00EF26C9">
            <w:pPr>
              <w:pStyle w:val="odsek"/>
              <w:tabs>
                <w:tab w:val="left" w:pos="-426"/>
              </w:tabs>
              <w:spacing w:before="0"/>
              <w:ind w:left="0" w:firstLine="0"/>
              <w:jc w:val="left"/>
              <w:rPr>
                <w:rFonts w:ascii="Times New Roman" w:hAnsi="Times New Roman" w:cs="Times New Roman"/>
              </w:rPr>
            </w:pPr>
          </w:p>
        </w:tc>
        <w:tc>
          <w:tcPr>
            <w:tcW w:w="429" w:type="dxa"/>
            <w:tcBorders>
              <w:top w:val="single" w:sz="4" w:space="0" w:color="000000"/>
              <w:left w:val="single" w:sz="6" w:space="0" w:color="000000"/>
              <w:bottom w:val="single" w:sz="6" w:space="0" w:color="000000"/>
              <w:right w:val="single" w:sz="6" w:space="0" w:color="000000"/>
            </w:tcBorders>
          </w:tcPr>
          <w:p w14:paraId="151317BC" w14:textId="77777777" w:rsidR="007170C3" w:rsidRPr="008819AF" w:rsidRDefault="006F0418" w:rsidP="0021052F">
            <w:pPr>
              <w:ind w:left="215" w:hanging="215"/>
              <w:rPr>
                <w:rFonts w:eastAsia="Arial"/>
                <w:lang w:bidi="cs-CZ"/>
              </w:rPr>
            </w:pPr>
            <w:r w:rsidRPr="008819AF">
              <w:rPr>
                <w:rFonts w:eastAsia="Arial"/>
                <w:lang w:bidi="cs-CZ"/>
              </w:rPr>
              <w:lastRenderedPageBreak/>
              <w:t>Ú</w:t>
            </w:r>
          </w:p>
          <w:p w14:paraId="151317BD" w14:textId="77777777" w:rsidR="007170C3" w:rsidRPr="008819AF" w:rsidRDefault="007170C3" w:rsidP="0021052F">
            <w:pPr>
              <w:ind w:left="215" w:hanging="215"/>
              <w:rPr>
                <w:rFonts w:eastAsia="Arial"/>
                <w:lang w:bidi="cs-CZ"/>
              </w:rPr>
            </w:pPr>
          </w:p>
          <w:p w14:paraId="151317BE" w14:textId="77777777" w:rsidR="007170C3" w:rsidRPr="008819AF" w:rsidRDefault="007170C3" w:rsidP="0021052F">
            <w:pPr>
              <w:ind w:left="215" w:hanging="215"/>
              <w:rPr>
                <w:rFonts w:eastAsia="Arial"/>
                <w:lang w:bidi="cs-CZ"/>
              </w:rPr>
            </w:pPr>
          </w:p>
          <w:p w14:paraId="151317BF" w14:textId="77777777" w:rsidR="00D77EEF" w:rsidRPr="008819AF" w:rsidRDefault="00D77EEF" w:rsidP="0021052F">
            <w:pPr>
              <w:ind w:left="215" w:hanging="215"/>
              <w:rPr>
                <w:rFonts w:eastAsia="Arial"/>
                <w:lang w:bidi="cs-CZ"/>
              </w:rPr>
            </w:pPr>
          </w:p>
          <w:p w14:paraId="151317C0" w14:textId="77777777" w:rsidR="007170C3" w:rsidRPr="008819AF" w:rsidRDefault="006F0418" w:rsidP="0021052F">
            <w:pPr>
              <w:ind w:left="215" w:hanging="215"/>
              <w:rPr>
                <w:rFonts w:eastAsia="Arial"/>
                <w:lang w:bidi="cs-CZ"/>
              </w:rPr>
            </w:pPr>
            <w:r w:rsidRPr="008819AF">
              <w:rPr>
                <w:rFonts w:eastAsia="Arial"/>
                <w:lang w:bidi="cs-CZ"/>
              </w:rPr>
              <w:t>Ú</w:t>
            </w:r>
          </w:p>
          <w:p w14:paraId="151317C1" w14:textId="77777777" w:rsidR="00DE317D" w:rsidRPr="008819AF" w:rsidRDefault="00DE317D" w:rsidP="0021052F">
            <w:pPr>
              <w:ind w:left="215" w:hanging="215"/>
              <w:rPr>
                <w:rFonts w:eastAsia="Arial"/>
                <w:lang w:bidi="cs-CZ"/>
              </w:rPr>
            </w:pPr>
          </w:p>
          <w:p w14:paraId="151317C2" w14:textId="77777777" w:rsidR="00DE317D" w:rsidRPr="008819AF" w:rsidRDefault="00DE317D" w:rsidP="0021052F">
            <w:pPr>
              <w:ind w:left="215" w:hanging="215"/>
              <w:rPr>
                <w:rFonts w:eastAsia="Arial"/>
                <w:lang w:bidi="cs-CZ"/>
              </w:rPr>
            </w:pPr>
          </w:p>
          <w:p w14:paraId="151317C3" w14:textId="77777777" w:rsidR="00DE317D" w:rsidRPr="008819AF" w:rsidRDefault="00DE317D" w:rsidP="0021052F">
            <w:pPr>
              <w:ind w:left="215" w:hanging="215"/>
              <w:rPr>
                <w:rFonts w:eastAsia="Arial"/>
                <w:lang w:bidi="cs-CZ"/>
              </w:rPr>
            </w:pPr>
            <w:r w:rsidRPr="008819AF">
              <w:rPr>
                <w:rFonts w:eastAsia="Arial"/>
                <w:lang w:bidi="cs-CZ"/>
              </w:rPr>
              <w:t>Ú</w:t>
            </w:r>
          </w:p>
          <w:p w14:paraId="151317C4" w14:textId="77777777" w:rsidR="00EF26C9" w:rsidRPr="008819AF" w:rsidRDefault="00EF26C9" w:rsidP="0021052F">
            <w:pPr>
              <w:ind w:left="215" w:hanging="215"/>
              <w:rPr>
                <w:rFonts w:eastAsia="Arial"/>
                <w:lang w:bidi="cs-CZ"/>
              </w:rPr>
            </w:pPr>
          </w:p>
          <w:p w14:paraId="151317C5" w14:textId="77777777" w:rsidR="00EF26C9" w:rsidRPr="008819AF" w:rsidRDefault="00EF26C9" w:rsidP="0021052F">
            <w:pPr>
              <w:ind w:left="215" w:hanging="215"/>
              <w:rPr>
                <w:rFonts w:eastAsia="Arial"/>
                <w:lang w:bidi="cs-CZ"/>
              </w:rPr>
            </w:pPr>
          </w:p>
          <w:p w14:paraId="151317C6" w14:textId="77777777" w:rsidR="00EF26C9" w:rsidRPr="008819AF" w:rsidRDefault="00EF26C9" w:rsidP="00EF26C9">
            <w:pPr>
              <w:ind w:left="215" w:hanging="215"/>
              <w:rPr>
                <w:rFonts w:eastAsia="Arial"/>
                <w:lang w:bidi="cs-CZ"/>
              </w:rPr>
            </w:pPr>
          </w:p>
          <w:p w14:paraId="151317C7" w14:textId="77777777" w:rsidR="00EF26C9" w:rsidRPr="008819AF" w:rsidRDefault="00EF26C9" w:rsidP="00EF26C9">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6" w:space="0" w:color="000000"/>
              <w:right w:val="single" w:sz="6" w:space="0" w:color="000000"/>
            </w:tcBorders>
          </w:tcPr>
          <w:p w14:paraId="151317C8" w14:textId="77777777" w:rsidR="007170C3" w:rsidRPr="008819AF" w:rsidRDefault="007170C3" w:rsidP="0021052F">
            <w:pPr>
              <w:ind w:left="215" w:hanging="215"/>
              <w:rPr>
                <w:rFonts w:eastAsia="Arial"/>
                <w:lang w:bidi="cs-CZ"/>
              </w:rPr>
            </w:pPr>
          </w:p>
        </w:tc>
      </w:tr>
      <w:tr w:rsidR="00F80158" w:rsidRPr="008819AF" w14:paraId="151317E1" w14:textId="77777777" w:rsidTr="003E351D">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151317CA"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7CB" w14:textId="77777777" w:rsidR="007170C3" w:rsidRPr="008819AF" w:rsidRDefault="00004CE2" w:rsidP="00004CE2">
            <w:pPr>
              <w:ind w:left="74"/>
              <w:rPr>
                <w:rFonts w:eastAsia="Arial"/>
              </w:rPr>
            </w:pPr>
            <w:r w:rsidRPr="008819AF">
              <w:rPr>
                <w:rFonts w:eastAsia="Arial"/>
              </w:rPr>
              <w:t xml:space="preserve">31. </w:t>
            </w:r>
            <w:r w:rsidR="006F0418" w:rsidRPr="008819AF">
              <w:rPr>
                <w:rFonts w:eastAsia="Arial"/>
              </w:rPr>
              <w:t>„biomasa“ sú:</w:t>
            </w:r>
          </w:p>
          <w:p w14:paraId="151317CC" w14:textId="77777777" w:rsidR="007170C3" w:rsidRPr="008819AF" w:rsidRDefault="006F0418" w:rsidP="0021052F">
            <w:pPr>
              <w:numPr>
                <w:ilvl w:val="1"/>
                <w:numId w:val="4"/>
              </w:numPr>
              <w:tabs>
                <w:tab w:val="left" w:pos="781"/>
              </w:tabs>
              <w:spacing w:after="240"/>
              <w:ind w:left="783" w:hanging="284"/>
              <w:rPr>
                <w:rFonts w:eastAsia="Arial"/>
              </w:rPr>
            </w:pPr>
            <w:r w:rsidRPr="008819AF">
              <w:rPr>
                <w:rFonts w:eastAsia="Arial"/>
              </w:rPr>
              <w:t>produkty pozostávajúce z akejkoľvek rastlinnej hmoty pochádzajúcej z poľnohospodárstva alebo lesníctva, ktorá sa môže použiť ako palivo na účely zhodnotenia jej energetického obsahu;</w:t>
            </w:r>
          </w:p>
          <w:p w14:paraId="151317CD" w14:textId="77777777" w:rsidR="007170C3" w:rsidRPr="008819AF" w:rsidRDefault="006F0418" w:rsidP="0021052F">
            <w:pPr>
              <w:numPr>
                <w:ilvl w:val="1"/>
                <w:numId w:val="4"/>
              </w:numPr>
              <w:ind w:left="781" w:hanging="284"/>
              <w:rPr>
                <w:rFonts w:eastAsia="Arial"/>
              </w:rPr>
            </w:pPr>
            <w:r w:rsidRPr="008819AF">
              <w:rPr>
                <w:rFonts w:eastAsia="Arial"/>
              </w:rPr>
              <w:t>nasledujúci odpad:</w:t>
            </w:r>
          </w:p>
          <w:p w14:paraId="151317CE" w14:textId="77777777" w:rsidR="007170C3" w:rsidRPr="008819AF" w:rsidRDefault="006F0418" w:rsidP="0021052F">
            <w:pPr>
              <w:numPr>
                <w:ilvl w:val="2"/>
                <w:numId w:val="4"/>
              </w:numPr>
              <w:tabs>
                <w:tab w:val="left" w:pos="923"/>
                <w:tab w:val="left" w:pos="2160"/>
              </w:tabs>
              <w:ind w:left="925" w:hanging="284"/>
              <w:rPr>
                <w:rFonts w:eastAsia="Arial"/>
              </w:rPr>
            </w:pPr>
            <w:r w:rsidRPr="008819AF">
              <w:rPr>
                <w:rFonts w:eastAsia="Arial"/>
              </w:rPr>
              <w:t>rastlinný odpad z poľnohospodárstva a lesníctva;</w:t>
            </w:r>
          </w:p>
          <w:p w14:paraId="151317CF" w14:textId="77777777" w:rsidR="007170C3" w:rsidRPr="008819AF" w:rsidRDefault="006F0418" w:rsidP="0021052F">
            <w:pPr>
              <w:numPr>
                <w:ilvl w:val="2"/>
                <w:numId w:val="4"/>
              </w:numPr>
              <w:tabs>
                <w:tab w:val="left" w:pos="923"/>
                <w:tab w:val="left" w:pos="2160"/>
              </w:tabs>
              <w:ind w:left="925" w:hanging="284"/>
              <w:rPr>
                <w:rFonts w:eastAsia="Arial"/>
              </w:rPr>
            </w:pPr>
            <w:r w:rsidRPr="008819AF">
              <w:rPr>
                <w:rFonts w:eastAsia="Arial"/>
              </w:rPr>
              <w:t>rastlinný odpad z potravinárskeho priemyslu, ak sa zhodnotí vytvorené teplo;</w:t>
            </w:r>
          </w:p>
          <w:p w14:paraId="151317D0" w14:textId="77777777" w:rsidR="007170C3" w:rsidRPr="008819AF" w:rsidRDefault="006F0418" w:rsidP="0021052F">
            <w:pPr>
              <w:numPr>
                <w:ilvl w:val="2"/>
                <w:numId w:val="4"/>
              </w:numPr>
              <w:tabs>
                <w:tab w:val="left" w:pos="923"/>
                <w:tab w:val="left" w:pos="2160"/>
              </w:tabs>
              <w:ind w:left="925" w:hanging="284"/>
              <w:rPr>
                <w:rFonts w:eastAsia="Arial"/>
              </w:rPr>
            </w:pPr>
            <w:r w:rsidRPr="008819AF">
              <w:rPr>
                <w:rFonts w:eastAsia="Arial"/>
              </w:rPr>
              <w:t>vláknitý rastlinný odpad z výroby buničiny a z výroby papiera z celulózy, ak sa spoluspaľuje na mieste výroby a vytvorené teplo sa zhodnocuje;</w:t>
            </w:r>
          </w:p>
          <w:p w14:paraId="151317D1" w14:textId="77777777" w:rsidR="007170C3" w:rsidRPr="008819AF" w:rsidRDefault="006F0418" w:rsidP="0021052F">
            <w:pPr>
              <w:numPr>
                <w:ilvl w:val="2"/>
                <w:numId w:val="4"/>
              </w:numPr>
              <w:tabs>
                <w:tab w:val="left" w:pos="923"/>
                <w:tab w:val="left" w:pos="2160"/>
              </w:tabs>
              <w:ind w:left="925" w:hanging="284"/>
              <w:rPr>
                <w:rFonts w:eastAsia="Arial"/>
              </w:rPr>
            </w:pPr>
            <w:r w:rsidRPr="008819AF">
              <w:rPr>
                <w:rFonts w:eastAsia="Arial"/>
              </w:rPr>
              <w:t>korkový odpad;</w:t>
            </w:r>
          </w:p>
          <w:p w14:paraId="151317D2" w14:textId="77777777" w:rsidR="007170C3" w:rsidRPr="008819AF" w:rsidRDefault="006F0418" w:rsidP="0021052F">
            <w:pPr>
              <w:numPr>
                <w:ilvl w:val="2"/>
                <w:numId w:val="4"/>
              </w:numPr>
              <w:tabs>
                <w:tab w:val="left" w:pos="923"/>
                <w:tab w:val="left" w:pos="2160"/>
              </w:tabs>
              <w:ind w:left="925" w:hanging="284"/>
              <w:rPr>
                <w:rFonts w:eastAsia="Arial"/>
              </w:rPr>
            </w:pPr>
            <w:r w:rsidRPr="008819AF">
              <w:rPr>
                <w:rFonts w:eastAsia="Arial"/>
              </w:rPr>
              <w:t>drevný odpad s výnimkou drevného odpadu, ktorý môže obsahovať halogénované organické zlúčeniny alebo ťažké kovy následkom ošetrovania konzervátormi na drevo alebo nátermi, a ktorý zahŕňa najmä takýto drevný odpad pochádzajúci zo stavieb a demolácií;</w:t>
            </w:r>
          </w:p>
          <w:p w14:paraId="151317D3" w14:textId="77777777" w:rsidR="007170C3" w:rsidRPr="008819AF" w:rsidRDefault="007170C3" w:rsidP="0021052F">
            <w:pPr>
              <w:ind w:left="360" w:hanging="215"/>
              <w:rPr>
                <w:rFonts w:eastAsia="Arial"/>
                <w:i/>
                <w:iCs/>
                <w:lang w:bidi="cs-CZ"/>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7D4" w14:textId="77777777" w:rsidR="007170C3" w:rsidRPr="008819AF" w:rsidRDefault="00CE0E5E" w:rsidP="0021052F">
            <w:pPr>
              <w:jc w:val="center"/>
            </w:pPr>
            <w:r w:rsidRPr="008819AF">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17D5" w14:textId="77777777" w:rsidR="007170C3" w:rsidRPr="008819AF" w:rsidRDefault="006F0418" w:rsidP="0021052F">
            <w:pPr>
              <w:jc w:val="center"/>
              <w:rPr>
                <w:rFonts w:eastAsia="Arial"/>
                <w:lang w:bidi="cs-CZ"/>
              </w:rPr>
            </w:pPr>
            <w:r w:rsidRPr="008819AF">
              <w:rPr>
                <w:rFonts w:eastAsia="Arial"/>
                <w:lang w:bidi="cs-CZ"/>
              </w:rPr>
              <w:t>NV2</w:t>
            </w:r>
          </w:p>
          <w:p w14:paraId="151317D6"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7D7" w14:textId="77777777" w:rsidR="007170C3" w:rsidRPr="008819AF" w:rsidRDefault="00CE0E5E" w:rsidP="0021052F">
            <w:pPr>
              <w:jc w:val="center"/>
            </w:pPr>
            <w:r w:rsidRPr="008819AF">
              <w:t>§8 O5</w:t>
            </w:r>
          </w:p>
          <w:p w14:paraId="151317D8" w14:textId="77777777" w:rsidR="00CE0E5E" w:rsidRPr="008819AF" w:rsidRDefault="00CE0E5E" w:rsidP="00CE0E5E">
            <w:pPr>
              <w:jc w:val="center"/>
            </w:pPr>
            <w:r w:rsidRPr="008819AF">
              <w:t>Pi)</w:t>
            </w:r>
          </w:p>
        </w:tc>
        <w:tc>
          <w:tcPr>
            <w:tcW w:w="5664" w:type="dxa"/>
            <w:gridSpan w:val="5"/>
            <w:tcBorders>
              <w:top w:val="single" w:sz="4" w:space="0" w:color="000000"/>
              <w:left w:val="single" w:sz="6" w:space="0" w:color="000000"/>
              <w:bottom w:val="single" w:sz="4" w:space="0" w:color="000000"/>
              <w:right w:val="single" w:sz="6" w:space="0" w:color="000000"/>
            </w:tcBorders>
          </w:tcPr>
          <w:p w14:paraId="151317D9" w14:textId="77777777" w:rsidR="00CE0E5E" w:rsidRPr="008819AF" w:rsidRDefault="00CE0E5E" w:rsidP="00CE0E5E">
            <w:pPr>
              <w:spacing w:after="120"/>
              <w:jc w:val="both"/>
            </w:pPr>
            <w:r w:rsidRPr="008819AF">
              <w:t>i) biomasou produkty pozostávajúce z rastlinnej hmoty alebo časti rastlinnej hmoty pochádzajúce z poľnohospodárstva alebo lesného hospodárstva, ktoré sa môžu použiť ako palivo na účely zhodnotenia ich energetického obsahu a tento odpad:</w:t>
            </w:r>
          </w:p>
          <w:p w14:paraId="151317DA" w14:textId="77777777" w:rsidR="00CE0E5E" w:rsidRPr="008819AF" w:rsidRDefault="00CE0E5E" w:rsidP="00CE0E5E">
            <w:pPr>
              <w:jc w:val="both"/>
            </w:pPr>
            <w:r w:rsidRPr="008819AF">
              <w:t>1.rastlinný odpad z poľnohospodárstva a lesného hospodárstva,</w:t>
            </w:r>
          </w:p>
          <w:p w14:paraId="151317DB" w14:textId="77777777" w:rsidR="00CE0E5E" w:rsidRPr="008819AF" w:rsidRDefault="00CE0E5E" w:rsidP="00CE0E5E">
            <w:pPr>
              <w:jc w:val="both"/>
            </w:pPr>
            <w:r w:rsidRPr="008819AF">
              <w:t>2.rastlinný odpad z potravinárskeho priemyslu, ak sa teplo zo spaľovania využíva na výrobu energie,</w:t>
            </w:r>
          </w:p>
          <w:p w14:paraId="151317DC" w14:textId="77777777" w:rsidR="00CE0E5E" w:rsidRPr="008819AF" w:rsidRDefault="00CE0E5E" w:rsidP="00CE0E5E">
            <w:pPr>
              <w:jc w:val="both"/>
            </w:pPr>
            <w:r w:rsidRPr="008819AF">
              <w:t>3.vláknitý drevný odpad z prvotnej výroby celulózy a výroby papiera z celulózy, ak je spoluspaľovaný v mieste vzniku a teplo zo spaľovania sa využíva na výrobu energie,</w:t>
            </w:r>
          </w:p>
          <w:p w14:paraId="151317DD" w14:textId="77777777" w:rsidR="00CE0E5E" w:rsidRPr="008819AF" w:rsidRDefault="00CE0E5E" w:rsidP="00CE0E5E">
            <w:pPr>
              <w:jc w:val="both"/>
            </w:pPr>
            <w:r w:rsidRPr="008819AF">
              <w:t>4.korkový odpad,</w:t>
            </w:r>
          </w:p>
          <w:p w14:paraId="151317DE" w14:textId="77777777" w:rsidR="007170C3" w:rsidRPr="008819AF" w:rsidRDefault="00CE0E5E" w:rsidP="00CE0E5E">
            <w:pPr>
              <w:jc w:val="both"/>
            </w:pPr>
            <w:r w:rsidRPr="008819AF">
              <w:t>5.drevný odpad okrem drevného odpadu, ktorý by v dôsledku ošetrenia konzervačnými látkami alebo ochrannými nátermi mohol obsahovať halogénované organické zlúčeniny alebo ťažké kovy, najmä drevný odpad pochádzajúci zo stavebných a búracích prác,</w:t>
            </w:r>
          </w:p>
        </w:tc>
        <w:tc>
          <w:tcPr>
            <w:tcW w:w="429" w:type="dxa"/>
            <w:tcBorders>
              <w:top w:val="single" w:sz="4" w:space="0" w:color="000000"/>
              <w:left w:val="single" w:sz="6" w:space="0" w:color="000000"/>
              <w:bottom w:val="single" w:sz="4" w:space="0" w:color="000000"/>
              <w:right w:val="single" w:sz="6" w:space="0" w:color="000000"/>
            </w:tcBorders>
          </w:tcPr>
          <w:p w14:paraId="151317DF"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7E0" w14:textId="77777777" w:rsidR="007170C3" w:rsidRPr="008819AF" w:rsidRDefault="007170C3" w:rsidP="0021052F">
            <w:pPr>
              <w:ind w:left="215" w:hanging="215"/>
              <w:rPr>
                <w:rFonts w:eastAsia="Arial"/>
                <w:lang w:bidi="cs-CZ"/>
              </w:rPr>
            </w:pPr>
          </w:p>
        </w:tc>
      </w:tr>
      <w:tr w:rsidR="00F80158" w:rsidRPr="008819AF" w14:paraId="15131841" w14:textId="77777777" w:rsidTr="003E351D">
        <w:trPr>
          <w:trHeight w:val="5334"/>
          <w:jc w:val="center"/>
        </w:trPr>
        <w:tc>
          <w:tcPr>
            <w:tcW w:w="483" w:type="dxa"/>
            <w:tcBorders>
              <w:top w:val="single" w:sz="4" w:space="0" w:color="000000"/>
              <w:left w:val="single" w:sz="6" w:space="0" w:color="000000"/>
              <w:bottom w:val="single" w:sz="4" w:space="0" w:color="000000"/>
              <w:right w:val="single" w:sz="6" w:space="0" w:color="000000"/>
            </w:tcBorders>
          </w:tcPr>
          <w:p w14:paraId="151317E2"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7E3" w14:textId="77777777" w:rsidR="007170C3" w:rsidRPr="008819AF" w:rsidRDefault="009E10F3" w:rsidP="009E10F3">
            <w:pPr>
              <w:ind w:left="74"/>
              <w:rPr>
                <w:rFonts w:eastAsia="Arial"/>
              </w:rPr>
            </w:pPr>
            <w:r w:rsidRPr="008819AF">
              <w:rPr>
                <w:rFonts w:eastAsia="Arial"/>
              </w:rPr>
              <w:t xml:space="preserve">32. </w:t>
            </w:r>
            <w:r w:rsidR="006F0418" w:rsidRPr="008819AF">
              <w:rPr>
                <w:rFonts w:eastAsia="Arial"/>
              </w:rPr>
              <w:t>„spaľovacie zariadenie na spaľovanie viacerých druhov palív“ je každé spaľovacie zariadenie, ktoré môže spaľovať súčasne alebo striedavo dva alebo viac druhov palív;</w:t>
            </w:r>
          </w:p>
          <w:p w14:paraId="151317E4" w14:textId="77777777" w:rsidR="00CE0E5E" w:rsidRPr="008819AF" w:rsidRDefault="00CE0E5E" w:rsidP="009E10F3">
            <w:pPr>
              <w:ind w:left="74"/>
              <w:rPr>
                <w:rFonts w:eastAsia="Arial"/>
              </w:rPr>
            </w:pPr>
          </w:p>
          <w:p w14:paraId="151317E5" w14:textId="77777777" w:rsidR="007170C3" w:rsidRPr="008819AF" w:rsidRDefault="009E10F3" w:rsidP="009E10F3">
            <w:pPr>
              <w:ind w:left="72"/>
              <w:rPr>
                <w:rFonts w:eastAsia="Arial"/>
              </w:rPr>
            </w:pPr>
            <w:r w:rsidRPr="008819AF">
              <w:rPr>
                <w:rFonts w:eastAsia="Arial"/>
              </w:rPr>
              <w:t xml:space="preserve">33. </w:t>
            </w:r>
            <w:r w:rsidR="006F0418" w:rsidRPr="008819AF">
              <w:rPr>
                <w:rFonts w:eastAsia="Arial"/>
              </w:rPr>
              <w:t>„plynová turbína“ je každý rotujúci stroj, ktorý premieňa tepelnú energiu na mechanickú prácu, pozostávajúci najmä z kompresora, tepelného zariadenia, v ktorom sa okysličujú palivá na zahrievanie pracovnej kvapaliny, a turbíny;</w:t>
            </w:r>
          </w:p>
          <w:p w14:paraId="151317E6" w14:textId="77777777" w:rsidR="007170C3" w:rsidRPr="008819AF" w:rsidRDefault="007170C3" w:rsidP="009E10F3">
            <w:pPr>
              <w:ind w:left="497"/>
              <w:rPr>
                <w:rFonts w:eastAsia="Arial"/>
              </w:rPr>
            </w:pPr>
          </w:p>
          <w:p w14:paraId="151317E7" w14:textId="77777777" w:rsidR="00877613" w:rsidRPr="008819AF" w:rsidRDefault="00877613" w:rsidP="009E10F3">
            <w:pPr>
              <w:ind w:left="497"/>
              <w:rPr>
                <w:rFonts w:eastAsia="Arial"/>
              </w:rPr>
            </w:pPr>
          </w:p>
          <w:p w14:paraId="151317E8" w14:textId="77777777" w:rsidR="00877613" w:rsidRPr="008819AF" w:rsidRDefault="00877613" w:rsidP="009E10F3">
            <w:pPr>
              <w:ind w:left="497"/>
              <w:rPr>
                <w:rFonts w:eastAsia="Arial"/>
              </w:rPr>
            </w:pPr>
          </w:p>
          <w:p w14:paraId="151317E9" w14:textId="77777777" w:rsidR="00877613" w:rsidRPr="008819AF" w:rsidRDefault="00877613" w:rsidP="009E10F3">
            <w:pPr>
              <w:ind w:left="497"/>
              <w:rPr>
                <w:rFonts w:eastAsia="Arial"/>
              </w:rPr>
            </w:pPr>
          </w:p>
          <w:p w14:paraId="151317EA" w14:textId="77777777" w:rsidR="00877613" w:rsidRPr="008819AF" w:rsidRDefault="00877613" w:rsidP="009E10F3">
            <w:pPr>
              <w:ind w:left="497"/>
              <w:rPr>
                <w:rFonts w:eastAsia="Arial"/>
              </w:rPr>
            </w:pPr>
          </w:p>
          <w:p w14:paraId="151317EB" w14:textId="77777777" w:rsidR="00877613" w:rsidRPr="008819AF" w:rsidRDefault="00877613" w:rsidP="009E10F3">
            <w:pPr>
              <w:ind w:left="497"/>
              <w:rPr>
                <w:rFonts w:eastAsia="Arial"/>
              </w:rPr>
            </w:pPr>
          </w:p>
          <w:p w14:paraId="151317EC" w14:textId="77777777" w:rsidR="007170C3" w:rsidRPr="008819AF" w:rsidRDefault="009E10F3" w:rsidP="009E10F3">
            <w:pPr>
              <w:ind w:left="72"/>
              <w:rPr>
                <w:rFonts w:eastAsia="Arial"/>
              </w:rPr>
            </w:pPr>
            <w:r w:rsidRPr="008819AF">
              <w:rPr>
                <w:rFonts w:eastAsia="Arial"/>
              </w:rPr>
              <w:t xml:space="preserve">34. </w:t>
            </w:r>
            <w:r w:rsidR="006F0418" w:rsidRPr="008819AF">
              <w:rPr>
                <w:rFonts w:eastAsia="Arial"/>
              </w:rPr>
              <w:t>„plynový motor“ je spaľovací motor, ktorý pracuje na základe Ottovho cyklu a na spaľovanie paliva používa zážihové zapaľovanie alebo v prípade dvojpalivových motorov kompresné zapaľovanie;</w:t>
            </w:r>
          </w:p>
          <w:p w14:paraId="151317ED" w14:textId="77777777" w:rsidR="007170C3" w:rsidRPr="008819AF" w:rsidRDefault="007170C3" w:rsidP="009E10F3">
            <w:pPr>
              <w:rPr>
                <w:rFonts w:eastAsia="Arial"/>
              </w:rPr>
            </w:pPr>
          </w:p>
          <w:p w14:paraId="151317EE" w14:textId="77777777" w:rsidR="007170C3" w:rsidRPr="008819AF" w:rsidRDefault="009E10F3" w:rsidP="009E10F3">
            <w:pPr>
              <w:ind w:left="74"/>
              <w:rPr>
                <w:rFonts w:eastAsia="Arial"/>
              </w:rPr>
            </w:pPr>
            <w:r w:rsidRPr="008819AF">
              <w:rPr>
                <w:rFonts w:eastAsia="Arial"/>
              </w:rPr>
              <w:t xml:space="preserve">35. </w:t>
            </w:r>
            <w:r w:rsidR="006F0418" w:rsidRPr="008819AF">
              <w:rPr>
                <w:rFonts w:eastAsia="Arial"/>
              </w:rPr>
              <w:t>„naftový motor“ je spaľovací motor, ktorý pracuje na základe Dieselovho cyklu a na spaľovanie paliva používa kompresné zapaľovanie;</w:t>
            </w:r>
          </w:p>
          <w:p w14:paraId="151317EF" w14:textId="77777777" w:rsidR="007170C3" w:rsidRPr="008819AF" w:rsidRDefault="007170C3" w:rsidP="009E10F3">
            <w:pPr>
              <w:pStyle w:val="Odsekzoznamu"/>
              <w:rPr>
                <w:rFonts w:eastAsia="Arial"/>
                <w:sz w:val="20"/>
                <w:szCs w:val="20"/>
              </w:rPr>
            </w:pPr>
          </w:p>
          <w:p w14:paraId="151317F0" w14:textId="77777777" w:rsidR="007170C3" w:rsidRPr="008819AF" w:rsidRDefault="009E10F3" w:rsidP="009E10F3">
            <w:pPr>
              <w:ind w:left="72"/>
              <w:rPr>
                <w:rFonts w:eastAsia="Arial"/>
              </w:rPr>
            </w:pPr>
            <w:r w:rsidRPr="008819AF">
              <w:rPr>
                <w:rFonts w:eastAsia="Arial"/>
              </w:rPr>
              <w:t xml:space="preserve">36. </w:t>
            </w:r>
            <w:r w:rsidR="006F0418" w:rsidRPr="008819AF">
              <w:rPr>
                <w:rFonts w:eastAsia="Arial"/>
              </w:rPr>
              <w:t>„malá izolovaná sústava“ je malá izolovaná sústava, ako je vymedzená v článku 2 bod 26 smernice Európskeho parlamentu a Rady 2003/54/ES z 26. júna 2003 o spoločných pravidlách pre vnútorný trh s elektrickou energiou(1)</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7F1" w14:textId="77777777" w:rsidR="007170C3" w:rsidRPr="008819AF" w:rsidRDefault="00CE0E5E" w:rsidP="0021052F">
            <w:pPr>
              <w:ind w:left="-70" w:right="-68" w:hanging="6"/>
              <w:jc w:val="center"/>
              <w:rPr>
                <w:rFonts w:eastAsia="Arial"/>
                <w:lang w:bidi="cs-CZ"/>
              </w:rPr>
            </w:pPr>
            <w:r w:rsidRPr="008819AF">
              <w:rPr>
                <w:rFonts w:eastAsia="Arial"/>
                <w:lang w:bidi="cs-CZ"/>
              </w:rPr>
              <w:t>N</w:t>
            </w:r>
          </w:p>
          <w:p w14:paraId="151317F2" w14:textId="77777777" w:rsidR="007170C3" w:rsidRPr="008819AF" w:rsidRDefault="007170C3" w:rsidP="0021052F">
            <w:pPr>
              <w:ind w:left="-70" w:right="-68" w:hanging="6"/>
              <w:jc w:val="center"/>
              <w:rPr>
                <w:rFonts w:eastAsia="Arial"/>
                <w:lang w:bidi="cs-CZ"/>
              </w:rPr>
            </w:pPr>
          </w:p>
          <w:p w14:paraId="151317F3" w14:textId="77777777" w:rsidR="007170C3" w:rsidRPr="008819AF" w:rsidRDefault="007170C3" w:rsidP="0021052F">
            <w:pPr>
              <w:ind w:left="-70" w:right="-68" w:hanging="6"/>
              <w:jc w:val="center"/>
              <w:rPr>
                <w:rFonts w:eastAsia="Arial"/>
                <w:lang w:bidi="cs-CZ"/>
              </w:rPr>
            </w:pPr>
          </w:p>
          <w:p w14:paraId="151317F4" w14:textId="77777777" w:rsidR="007170C3" w:rsidRPr="008819AF" w:rsidRDefault="007170C3" w:rsidP="0021052F">
            <w:pPr>
              <w:ind w:left="-70" w:right="-68" w:hanging="6"/>
              <w:jc w:val="center"/>
              <w:rPr>
                <w:rFonts w:eastAsia="Arial"/>
                <w:lang w:bidi="cs-CZ"/>
              </w:rPr>
            </w:pPr>
          </w:p>
          <w:p w14:paraId="151317F5" w14:textId="77777777" w:rsidR="007170C3" w:rsidRPr="008819AF" w:rsidRDefault="007170C3" w:rsidP="0021052F">
            <w:pPr>
              <w:ind w:left="-70" w:right="-68" w:hanging="6"/>
              <w:jc w:val="center"/>
              <w:rPr>
                <w:rFonts w:eastAsia="Arial"/>
                <w:lang w:bidi="cs-CZ"/>
              </w:rPr>
            </w:pPr>
          </w:p>
          <w:p w14:paraId="151317F6" w14:textId="77777777" w:rsidR="007170C3" w:rsidRPr="008819AF" w:rsidRDefault="007170C3" w:rsidP="0021052F">
            <w:pPr>
              <w:ind w:left="-70" w:right="-68" w:hanging="6"/>
              <w:jc w:val="center"/>
              <w:rPr>
                <w:rFonts w:eastAsia="Arial"/>
                <w:lang w:bidi="cs-CZ"/>
              </w:rPr>
            </w:pPr>
          </w:p>
          <w:p w14:paraId="151317F7" w14:textId="77777777" w:rsidR="007170C3" w:rsidRPr="008819AF" w:rsidRDefault="007170C3" w:rsidP="0021052F">
            <w:pPr>
              <w:ind w:left="-70" w:right="-68" w:hanging="6"/>
              <w:jc w:val="center"/>
              <w:rPr>
                <w:rFonts w:eastAsia="Arial"/>
                <w:lang w:bidi="cs-CZ"/>
              </w:rPr>
            </w:pPr>
          </w:p>
          <w:p w14:paraId="151317F8" w14:textId="77777777" w:rsidR="00877613" w:rsidRPr="008819AF" w:rsidRDefault="00877613" w:rsidP="0021052F">
            <w:pPr>
              <w:ind w:left="-70" w:right="-68" w:hanging="6"/>
              <w:jc w:val="center"/>
              <w:rPr>
                <w:rFonts w:eastAsia="Arial"/>
                <w:lang w:bidi="cs-CZ"/>
              </w:rPr>
            </w:pPr>
          </w:p>
          <w:p w14:paraId="151317F9" w14:textId="77777777" w:rsidR="00877613" w:rsidRPr="008819AF" w:rsidRDefault="00877613" w:rsidP="0021052F">
            <w:pPr>
              <w:ind w:left="-70" w:right="-68" w:hanging="6"/>
              <w:jc w:val="center"/>
              <w:rPr>
                <w:rFonts w:eastAsia="Arial"/>
                <w:lang w:bidi="cs-CZ"/>
              </w:rPr>
            </w:pPr>
          </w:p>
          <w:p w14:paraId="151317FA" w14:textId="77777777" w:rsidR="00877613" w:rsidRPr="008819AF" w:rsidRDefault="00877613" w:rsidP="0021052F">
            <w:pPr>
              <w:ind w:left="-70" w:right="-68" w:hanging="6"/>
              <w:jc w:val="center"/>
              <w:rPr>
                <w:rFonts w:eastAsia="Arial"/>
                <w:lang w:bidi="cs-CZ"/>
              </w:rPr>
            </w:pPr>
          </w:p>
          <w:p w14:paraId="151317FB" w14:textId="77777777" w:rsidR="00877613" w:rsidRPr="008819AF" w:rsidRDefault="00877613" w:rsidP="0021052F">
            <w:pPr>
              <w:ind w:left="-70" w:right="-68" w:hanging="6"/>
              <w:jc w:val="center"/>
              <w:rPr>
                <w:rFonts w:eastAsia="Arial"/>
                <w:lang w:bidi="cs-CZ"/>
              </w:rPr>
            </w:pPr>
          </w:p>
          <w:p w14:paraId="151317FC" w14:textId="77777777" w:rsidR="00877613" w:rsidRPr="008819AF" w:rsidRDefault="00877613" w:rsidP="0021052F">
            <w:pPr>
              <w:ind w:left="-70" w:right="-68" w:hanging="6"/>
              <w:jc w:val="center"/>
              <w:rPr>
                <w:rFonts w:eastAsia="Arial"/>
                <w:lang w:bidi="cs-CZ"/>
              </w:rPr>
            </w:pPr>
          </w:p>
          <w:p w14:paraId="151317FD" w14:textId="77777777" w:rsidR="00877613" w:rsidRPr="008819AF" w:rsidRDefault="00877613" w:rsidP="0021052F">
            <w:pPr>
              <w:ind w:left="-70" w:right="-68" w:hanging="6"/>
              <w:jc w:val="center"/>
              <w:rPr>
                <w:rFonts w:eastAsia="Arial"/>
                <w:lang w:bidi="cs-CZ"/>
              </w:rPr>
            </w:pPr>
          </w:p>
          <w:p w14:paraId="151317FE" w14:textId="77777777" w:rsidR="00877613" w:rsidRPr="008819AF" w:rsidRDefault="00877613" w:rsidP="0021052F">
            <w:pPr>
              <w:ind w:left="-70" w:right="-68" w:hanging="6"/>
              <w:jc w:val="center"/>
              <w:rPr>
                <w:rFonts w:eastAsia="Arial"/>
                <w:lang w:bidi="cs-CZ"/>
              </w:rPr>
            </w:pPr>
          </w:p>
          <w:p w14:paraId="151317FF" w14:textId="77777777" w:rsidR="00877613" w:rsidRPr="008819AF" w:rsidRDefault="00877613" w:rsidP="0021052F">
            <w:pPr>
              <w:ind w:left="-70" w:right="-68" w:hanging="6"/>
              <w:jc w:val="center"/>
              <w:rPr>
                <w:rFonts w:eastAsia="Arial"/>
                <w:lang w:bidi="cs-CZ"/>
              </w:rPr>
            </w:pPr>
          </w:p>
          <w:p w14:paraId="15131800" w14:textId="77777777" w:rsidR="00877613" w:rsidRPr="008819AF" w:rsidRDefault="00877613" w:rsidP="0021052F">
            <w:pPr>
              <w:ind w:left="-70" w:right="-68" w:hanging="6"/>
              <w:jc w:val="center"/>
              <w:rPr>
                <w:rFonts w:eastAsia="Arial"/>
                <w:lang w:bidi="cs-CZ"/>
              </w:rPr>
            </w:pPr>
          </w:p>
          <w:p w14:paraId="15131801" w14:textId="77777777" w:rsidR="00877613" w:rsidRPr="008819AF" w:rsidRDefault="00877613" w:rsidP="0021052F">
            <w:pPr>
              <w:ind w:left="-70" w:right="-68" w:hanging="6"/>
              <w:jc w:val="center"/>
              <w:rPr>
                <w:rFonts w:eastAsia="Arial"/>
                <w:lang w:bidi="cs-CZ"/>
              </w:rPr>
            </w:pPr>
          </w:p>
          <w:p w14:paraId="15131802" w14:textId="77777777" w:rsidR="00877613" w:rsidRPr="008819AF" w:rsidRDefault="00877613" w:rsidP="0021052F">
            <w:pPr>
              <w:ind w:left="-70" w:right="-68" w:hanging="6"/>
              <w:jc w:val="center"/>
              <w:rPr>
                <w:rFonts w:eastAsia="Arial"/>
                <w:lang w:bidi="cs-CZ"/>
              </w:rPr>
            </w:pPr>
          </w:p>
          <w:p w14:paraId="15131803" w14:textId="77777777" w:rsidR="00877613" w:rsidRPr="008819AF" w:rsidRDefault="00877613" w:rsidP="0021052F">
            <w:pPr>
              <w:ind w:left="-70" w:right="-68" w:hanging="6"/>
              <w:jc w:val="center"/>
              <w:rPr>
                <w:rFonts w:eastAsia="Arial"/>
                <w:lang w:bidi="cs-CZ"/>
              </w:rPr>
            </w:pPr>
          </w:p>
          <w:p w14:paraId="15131804" w14:textId="77777777" w:rsidR="00877613" w:rsidRPr="008819AF" w:rsidRDefault="00877613" w:rsidP="0021052F">
            <w:pPr>
              <w:ind w:left="-70" w:right="-68" w:hanging="6"/>
              <w:jc w:val="center"/>
              <w:rPr>
                <w:rFonts w:eastAsia="Arial"/>
                <w:lang w:bidi="cs-CZ"/>
              </w:rPr>
            </w:pPr>
          </w:p>
          <w:p w14:paraId="15131805" w14:textId="77777777" w:rsidR="00877613" w:rsidRPr="008819AF" w:rsidRDefault="00877613" w:rsidP="0021052F">
            <w:pPr>
              <w:ind w:left="-70" w:right="-68" w:hanging="6"/>
              <w:jc w:val="center"/>
              <w:rPr>
                <w:rFonts w:eastAsia="Arial"/>
                <w:lang w:bidi="cs-CZ"/>
              </w:rPr>
            </w:pPr>
          </w:p>
          <w:p w14:paraId="15131806" w14:textId="77777777" w:rsidR="00877613" w:rsidRPr="008819AF" w:rsidRDefault="00877613" w:rsidP="0021052F">
            <w:pPr>
              <w:ind w:left="-70" w:right="-68" w:hanging="6"/>
              <w:jc w:val="center"/>
              <w:rPr>
                <w:rFonts w:eastAsia="Arial"/>
                <w:lang w:bidi="cs-CZ"/>
              </w:rPr>
            </w:pPr>
          </w:p>
          <w:p w14:paraId="15131807" w14:textId="77777777" w:rsidR="00877613" w:rsidRPr="008819AF" w:rsidRDefault="00877613" w:rsidP="0021052F">
            <w:pPr>
              <w:ind w:left="-70" w:right="-68" w:hanging="6"/>
              <w:jc w:val="center"/>
              <w:rPr>
                <w:rFonts w:eastAsia="Arial"/>
                <w:lang w:bidi="cs-CZ"/>
              </w:rPr>
            </w:pPr>
          </w:p>
          <w:p w14:paraId="15131808" w14:textId="77777777" w:rsidR="00877613" w:rsidRPr="008819AF" w:rsidRDefault="00877613" w:rsidP="0021052F">
            <w:pPr>
              <w:ind w:left="-70" w:right="-68" w:hanging="6"/>
              <w:jc w:val="center"/>
              <w:rPr>
                <w:rFonts w:eastAsia="Arial"/>
                <w:lang w:bidi="cs-CZ"/>
              </w:rPr>
            </w:pPr>
          </w:p>
          <w:p w14:paraId="15131809" w14:textId="77777777" w:rsidR="00877613" w:rsidRPr="008819AF" w:rsidRDefault="00877613" w:rsidP="0021052F">
            <w:pPr>
              <w:ind w:left="-70" w:right="-68" w:hanging="6"/>
              <w:jc w:val="center"/>
              <w:rPr>
                <w:rFonts w:eastAsia="Arial"/>
                <w:lang w:bidi="cs-CZ"/>
              </w:rPr>
            </w:pPr>
            <w:r w:rsidRPr="008819AF">
              <w:rPr>
                <w:rFonts w:eastAsia="Arial"/>
                <w:lang w:bidi="cs-CZ"/>
              </w:rPr>
              <w:t>D</w:t>
            </w:r>
          </w:p>
          <w:p w14:paraId="1513180A"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80B" w14:textId="77777777" w:rsidR="007170C3" w:rsidRPr="008819AF" w:rsidRDefault="006F0418" w:rsidP="0021052F">
            <w:pPr>
              <w:jc w:val="center"/>
              <w:rPr>
                <w:rFonts w:eastAsia="Arial"/>
                <w:lang w:bidi="cs-CZ"/>
              </w:rPr>
            </w:pPr>
            <w:r w:rsidRPr="008819AF">
              <w:rPr>
                <w:rFonts w:eastAsia="Arial"/>
                <w:lang w:bidi="cs-CZ"/>
              </w:rPr>
              <w:t>NV2</w:t>
            </w:r>
          </w:p>
          <w:p w14:paraId="1513180C" w14:textId="77777777" w:rsidR="007170C3" w:rsidRPr="008819AF" w:rsidRDefault="007170C3" w:rsidP="0021052F">
            <w:pPr>
              <w:jc w:val="center"/>
              <w:rPr>
                <w:rFonts w:eastAsia="Arial"/>
                <w:lang w:bidi="cs-CZ"/>
              </w:rPr>
            </w:pPr>
          </w:p>
          <w:p w14:paraId="1513180D" w14:textId="77777777" w:rsidR="007170C3" w:rsidRPr="008819AF" w:rsidRDefault="007170C3" w:rsidP="0021052F">
            <w:pPr>
              <w:jc w:val="center"/>
              <w:rPr>
                <w:rFonts w:eastAsia="Arial"/>
                <w:lang w:bidi="cs-CZ"/>
              </w:rPr>
            </w:pPr>
          </w:p>
          <w:p w14:paraId="1513180E" w14:textId="77777777" w:rsidR="007170C3" w:rsidRPr="008819AF" w:rsidRDefault="007170C3" w:rsidP="0021052F">
            <w:pPr>
              <w:jc w:val="center"/>
              <w:rPr>
                <w:rFonts w:eastAsia="Arial"/>
                <w:lang w:bidi="cs-CZ"/>
              </w:rPr>
            </w:pPr>
          </w:p>
          <w:p w14:paraId="1513180F" w14:textId="77777777" w:rsidR="007170C3" w:rsidRPr="008819AF" w:rsidRDefault="007170C3" w:rsidP="0021052F">
            <w:pPr>
              <w:jc w:val="center"/>
              <w:rPr>
                <w:rFonts w:eastAsia="Arial"/>
                <w:lang w:bidi="cs-CZ"/>
              </w:rPr>
            </w:pPr>
          </w:p>
          <w:p w14:paraId="15131810" w14:textId="77777777" w:rsidR="007170C3" w:rsidRPr="008819AF" w:rsidRDefault="007170C3" w:rsidP="0021052F">
            <w:pPr>
              <w:jc w:val="center"/>
              <w:rPr>
                <w:rFonts w:eastAsia="Arial"/>
                <w:lang w:bidi="cs-CZ"/>
              </w:rPr>
            </w:pPr>
          </w:p>
          <w:p w14:paraId="15131811"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812" w14:textId="77777777" w:rsidR="00CE0E5E" w:rsidRPr="008819AF" w:rsidRDefault="00CE0E5E" w:rsidP="00CE0E5E">
            <w:pPr>
              <w:jc w:val="center"/>
            </w:pPr>
            <w:r w:rsidRPr="008819AF">
              <w:t>§8 O5</w:t>
            </w:r>
          </w:p>
          <w:p w14:paraId="15131813" w14:textId="77777777" w:rsidR="007170C3" w:rsidRPr="008819AF" w:rsidRDefault="00CE0E5E" w:rsidP="00CE0E5E">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Pf)</w:t>
            </w:r>
          </w:p>
          <w:p w14:paraId="15131814"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15"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16" w14:textId="77777777" w:rsidR="00CE0E5E" w:rsidRPr="008819AF" w:rsidRDefault="00CE0E5E"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Pb)</w:t>
            </w:r>
          </w:p>
          <w:p w14:paraId="15131817"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18"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1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1A"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1B"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1C"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1D" w14:textId="77777777" w:rsidR="00CE0E5E" w:rsidRPr="008819AF" w:rsidRDefault="00CE0E5E" w:rsidP="0021052F">
            <w:pPr>
              <w:pStyle w:val="BodyText21"/>
              <w:spacing w:before="0" w:line="240" w:lineRule="auto"/>
              <w:ind w:left="0" w:right="-70" w:firstLine="0"/>
              <w:jc w:val="center"/>
              <w:rPr>
                <w:rFonts w:ascii="Times New Roman" w:hAnsi="Times New Roman" w:cs="Times New Roman"/>
              </w:rPr>
            </w:pPr>
          </w:p>
          <w:p w14:paraId="1513181E" w14:textId="77777777" w:rsidR="00CE0E5E" w:rsidRPr="008819AF" w:rsidRDefault="00CE0E5E" w:rsidP="0021052F">
            <w:pPr>
              <w:pStyle w:val="BodyText21"/>
              <w:spacing w:before="0" w:line="240" w:lineRule="auto"/>
              <w:ind w:left="0" w:right="-70" w:firstLine="0"/>
              <w:jc w:val="center"/>
              <w:rPr>
                <w:rFonts w:ascii="Times New Roman" w:hAnsi="Times New Roman" w:cs="Times New Roman"/>
              </w:rPr>
            </w:pPr>
          </w:p>
          <w:p w14:paraId="1513181F" w14:textId="77777777" w:rsidR="00CE0E5E" w:rsidRPr="008819AF" w:rsidRDefault="00CE0E5E"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Pc)</w:t>
            </w:r>
          </w:p>
          <w:p w14:paraId="15131820" w14:textId="77777777" w:rsidR="00CE0E5E" w:rsidRPr="008819AF" w:rsidRDefault="00CE0E5E" w:rsidP="0021052F">
            <w:pPr>
              <w:pStyle w:val="BodyText21"/>
              <w:spacing w:before="0" w:line="240" w:lineRule="auto"/>
              <w:ind w:left="0" w:right="-70" w:firstLine="0"/>
              <w:jc w:val="center"/>
              <w:rPr>
                <w:rFonts w:ascii="Times New Roman" w:hAnsi="Times New Roman" w:cs="Times New Roman"/>
              </w:rPr>
            </w:pPr>
          </w:p>
          <w:p w14:paraId="15131821" w14:textId="77777777" w:rsidR="00CE0E5E" w:rsidRPr="008819AF" w:rsidRDefault="00CE0E5E" w:rsidP="0021052F">
            <w:pPr>
              <w:pStyle w:val="BodyText21"/>
              <w:spacing w:before="0" w:line="240" w:lineRule="auto"/>
              <w:ind w:left="0" w:right="-70" w:firstLine="0"/>
              <w:jc w:val="center"/>
              <w:rPr>
                <w:rFonts w:ascii="Times New Roman" w:hAnsi="Times New Roman" w:cs="Times New Roman"/>
              </w:rPr>
            </w:pPr>
          </w:p>
          <w:p w14:paraId="15131822" w14:textId="77777777" w:rsidR="00CE0E5E" w:rsidRPr="008819AF" w:rsidRDefault="00CE0E5E" w:rsidP="0021052F">
            <w:pPr>
              <w:pStyle w:val="BodyText21"/>
              <w:spacing w:before="0" w:line="240" w:lineRule="auto"/>
              <w:ind w:left="0" w:right="-70" w:firstLine="0"/>
              <w:jc w:val="center"/>
              <w:rPr>
                <w:rFonts w:ascii="Times New Roman" w:hAnsi="Times New Roman" w:cs="Times New Roman"/>
              </w:rPr>
            </w:pPr>
          </w:p>
          <w:p w14:paraId="15131823" w14:textId="77777777" w:rsidR="00CE0E5E" w:rsidRPr="008819AF" w:rsidRDefault="00CE0E5E"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Pd)</w:t>
            </w:r>
          </w:p>
          <w:p w14:paraId="15131824" w14:textId="77777777" w:rsidR="007170C3" w:rsidRPr="008819AF" w:rsidRDefault="007170C3" w:rsidP="0021052F">
            <w:pPr>
              <w:pStyle w:val="BodyText21"/>
              <w:spacing w:before="0" w:line="240" w:lineRule="auto"/>
              <w:ind w:left="0" w:right="-7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noWrap/>
          </w:tcPr>
          <w:p w14:paraId="15131825" w14:textId="77777777" w:rsidR="00CE0E5E" w:rsidRPr="008819AF" w:rsidRDefault="00CE0E5E" w:rsidP="00CE0E5E">
            <w:pPr>
              <w:jc w:val="both"/>
            </w:pPr>
            <w:r w:rsidRPr="008819AF">
              <w:t>f) viacpalivovým spaľovacím zariadením spaľovacie zariadenie, ktoré môže spaľovať súčasne alebo striedavo rôzne palivá, pre ktoré platia rozdielne emisné limity podľa prílohy č. 4 druhej časti prvého bodu,</w:t>
            </w:r>
          </w:p>
          <w:p w14:paraId="15131826" w14:textId="77777777" w:rsidR="00CE0E5E" w:rsidRPr="008819AF" w:rsidRDefault="00CE0E5E" w:rsidP="00CE0E5E">
            <w:pPr>
              <w:jc w:val="both"/>
            </w:pPr>
          </w:p>
          <w:p w14:paraId="15131827" w14:textId="77777777" w:rsidR="00CE0E5E" w:rsidRPr="008819AF" w:rsidRDefault="00CE0E5E" w:rsidP="00CE0E5E">
            <w:pPr>
              <w:spacing w:line="261" w:lineRule="auto"/>
              <w:jc w:val="both"/>
            </w:pPr>
            <w:r w:rsidRPr="008819AF">
              <w:t>b) plynovou turbínou rotujúci stroj, ktorý premieňa tepelnú energiu na mechanickú prácu; jej hlavnými strojnotechnologickými prvkami sú kompresor, spaľovacia komora, v ktorej sa palivo spaľuje na ohrev pracovného média, a turbína, vrátane plynových turbín s otvoreným cyklom, ako aj kombinovaným cyklom a plynových turbín v režime kombinovanej výroby, a to všetky typy, či už s dodatočným spaľovaním, alebo bez neho,</w:t>
            </w:r>
          </w:p>
          <w:p w14:paraId="15131828" w14:textId="77777777" w:rsidR="007170C3" w:rsidRPr="008819AF" w:rsidRDefault="007170C3" w:rsidP="00CE0E5E">
            <w:pPr>
              <w:jc w:val="both"/>
            </w:pPr>
          </w:p>
          <w:p w14:paraId="15131829" w14:textId="77777777" w:rsidR="00CE0E5E" w:rsidRPr="008819AF" w:rsidRDefault="00CE0E5E" w:rsidP="00CE0E5E">
            <w:pPr>
              <w:jc w:val="both"/>
            </w:pPr>
            <w:r w:rsidRPr="008819AF">
              <w:t>c) zážihovým motorom spaľovací motor, ktorý pracuje na základe Ottovho cyklu, t. j. v ktorom dochádza k zapáleniu palivovej zmesi elektrickou iskrou alebo v prípade dvojpalivových motorov kompresným zapaľovaním,</w:t>
            </w:r>
          </w:p>
          <w:p w14:paraId="1513182A" w14:textId="77777777" w:rsidR="007170C3" w:rsidRPr="008819AF" w:rsidRDefault="007170C3" w:rsidP="00CE0E5E">
            <w:pPr>
              <w:jc w:val="both"/>
            </w:pPr>
          </w:p>
          <w:p w14:paraId="1513182B" w14:textId="77777777" w:rsidR="00CE0E5E" w:rsidRPr="008819AF" w:rsidRDefault="00CE0E5E" w:rsidP="00CE0E5E">
            <w:pPr>
              <w:jc w:val="both"/>
            </w:pPr>
            <w:r w:rsidRPr="008819AF">
              <w:t>d)vznetovým motorom spaľovací motor, ktorý pracuje na základe Dieselovho cyklu,t.j. v ktorom sa vstreknuté palivo samovoľne vznecuje vo vzduchu ohriatom kompresným teplom po predchádzajúcom stlačení nad teplotu vznietenia,</w:t>
            </w:r>
          </w:p>
          <w:p w14:paraId="1513182C" w14:textId="77777777" w:rsidR="007170C3" w:rsidRPr="008819AF" w:rsidRDefault="007170C3" w:rsidP="00CE0E5E">
            <w:pPr>
              <w:spacing w:before="120" w:after="120"/>
              <w:jc w:val="both"/>
            </w:pPr>
          </w:p>
          <w:p w14:paraId="1513182D" w14:textId="77777777" w:rsidR="007170C3" w:rsidRPr="008819AF" w:rsidRDefault="006F0418" w:rsidP="00CE0E5E">
            <w:pPr>
              <w:spacing w:before="120" w:after="120"/>
              <w:jc w:val="both"/>
            </w:pPr>
            <w:r w:rsidRPr="008819AF">
              <w:t>ustanovenie nie je predmetom transpozície</w:t>
            </w:r>
          </w:p>
        </w:tc>
        <w:tc>
          <w:tcPr>
            <w:tcW w:w="429" w:type="dxa"/>
            <w:tcBorders>
              <w:top w:val="single" w:sz="4" w:space="0" w:color="000000"/>
              <w:left w:val="single" w:sz="6" w:space="0" w:color="000000"/>
              <w:bottom w:val="single" w:sz="4" w:space="0" w:color="000000"/>
              <w:right w:val="single" w:sz="6" w:space="0" w:color="000000"/>
            </w:tcBorders>
          </w:tcPr>
          <w:p w14:paraId="1513182E" w14:textId="77777777" w:rsidR="007170C3" w:rsidRPr="008819AF" w:rsidRDefault="007170C3" w:rsidP="0021052F">
            <w:pPr>
              <w:ind w:left="215" w:hanging="215"/>
              <w:rPr>
                <w:rFonts w:eastAsia="Arial"/>
                <w:lang w:bidi="cs-CZ"/>
              </w:rPr>
            </w:pPr>
          </w:p>
          <w:p w14:paraId="1513182F" w14:textId="77777777" w:rsidR="001E7872" w:rsidRPr="008819AF" w:rsidRDefault="001E7872" w:rsidP="0021052F">
            <w:pPr>
              <w:ind w:left="215" w:hanging="215"/>
              <w:rPr>
                <w:rFonts w:eastAsia="Arial"/>
                <w:lang w:bidi="cs-CZ"/>
              </w:rPr>
            </w:pPr>
          </w:p>
          <w:p w14:paraId="15131830" w14:textId="77777777" w:rsidR="001E7872" w:rsidRPr="008819AF" w:rsidRDefault="001E7872" w:rsidP="0021052F">
            <w:pPr>
              <w:ind w:left="215" w:hanging="215"/>
              <w:rPr>
                <w:rFonts w:eastAsia="Arial"/>
                <w:lang w:bidi="cs-CZ"/>
              </w:rPr>
            </w:pPr>
          </w:p>
          <w:p w14:paraId="15131831" w14:textId="77777777" w:rsidR="001E7872" w:rsidRPr="008819AF" w:rsidRDefault="001E7872" w:rsidP="0021052F">
            <w:pPr>
              <w:ind w:left="215" w:hanging="215"/>
              <w:rPr>
                <w:rFonts w:eastAsia="Arial"/>
                <w:lang w:bidi="cs-CZ"/>
              </w:rPr>
            </w:pPr>
          </w:p>
          <w:p w14:paraId="15131832" w14:textId="77777777" w:rsidR="001E7872" w:rsidRPr="008819AF" w:rsidRDefault="001E7872" w:rsidP="0021052F">
            <w:pPr>
              <w:ind w:left="215" w:hanging="215"/>
              <w:rPr>
                <w:rFonts w:eastAsia="Arial"/>
                <w:lang w:bidi="cs-CZ"/>
              </w:rPr>
            </w:pPr>
          </w:p>
          <w:p w14:paraId="15131833" w14:textId="77777777" w:rsidR="001E7872" w:rsidRPr="008819AF" w:rsidRDefault="001E7872" w:rsidP="0021052F">
            <w:pPr>
              <w:ind w:left="215" w:hanging="215"/>
              <w:rPr>
                <w:rFonts w:eastAsia="Arial"/>
                <w:lang w:bidi="cs-CZ"/>
              </w:rPr>
            </w:pPr>
          </w:p>
          <w:p w14:paraId="15131834" w14:textId="77777777" w:rsidR="001E7872" w:rsidRPr="008819AF" w:rsidRDefault="001E7872" w:rsidP="0021052F">
            <w:pPr>
              <w:rPr>
                <w:rFonts w:eastAsia="Arial"/>
                <w:lang w:bidi="cs-CZ"/>
              </w:rPr>
            </w:pPr>
          </w:p>
          <w:p w14:paraId="15131835" w14:textId="77777777" w:rsidR="007170C3" w:rsidRPr="008819AF" w:rsidRDefault="007170C3" w:rsidP="0021052F">
            <w:pPr>
              <w:ind w:left="215" w:hanging="215"/>
              <w:rPr>
                <w:rFonts w:eastAsia="Arial"/>
                <w:lang w:bidi="cs-CZ"/>
              </w:rPr>
            </w:pPr>
          </w:p>
          <w:p w14:paraId="15131836" w14:textId="77777777" w:rsidR="007170C3" w:rsidRPr="008819AF" w:rsidRDefault="007170C3" w:rsidP="0021052F">
            <w:pPr>
              <w:ind w:left="215" w:hanging="215"/>
              <w:rPr>
                <w:rFonts w:eastAsia="Arial"/>
                <w:lang w:bidi="cs-CZ"/>
              </w:rPr>
            </w:pPr>
          </w:p>
          <w:p w14:paraId="15131837" w14:textId="77777777" w:rsidR="007170C3" w:rsidRPr="008819AF" w:rsidRDefault="007170C3" w:rsidP="0021052F">
            <w:pPr>
              <w:ind w:left="215" w:hanging="215"/>
              <w:rPr>
                <w:rFonts w:eastAsia="Arial"/>
                <w:lang w:bidi="cs-CZ"/>
              </w:rPr>
            </w:pPr>
          </w:p>
          <w:p w14:paraId="15131838" w14:textId="77777777" w:rsidR="007170C3" w:rsidRPr="008819AF" w:rsidRDefault="007170C3" w:rsidP="0021052F">
            <w:pPr>
              <w:ind w:left="215" w:hanging="215"/>
              <w:rPr>
                <w:rFonts w:eastAsia="Arial"/>
                <w:lang w:bidi="cs-CZ"/>
              </w:rPr>
            </w:pPr>
          </w:p>
          <w:p w14:paraId="15131839" w14:textId="77777777" w:rsidR="007170C3" w:rsidRPr="008819AF" w:rsidRDefault="007170C3" w:rsidP="0021052F">
            <w:pPr>
              <w:ind w:left="215" w:hanging="215"/>
              <w:rPr>
                <w:rFonts w:eastAsia="Arial"/>
                <w:lang w:bidi="cs-CZ"/>
              </w:rPr>
            </w:pPr>
          </w:p>
          <w:p w14:paraId="1513183A" w14:textId="77777777" w:rsidR="007170C3" w:rsidRPr="008819AF" w:rsidRDefault="007170C3" w:rsidP="0021052F">
            <w:pPr>
              <w:ind w:left="215" w:hanging="215"/>
              <w:rPr>
                <w:rFonts w:eastAsia="Arial"/>
                <w:lang w:bidi="cs-CZ"/>
              </w:rPr>
            </w:pPr>
          </w:p>
          <w:p w14:paraId="1513183B" w14:textId="77777777" w:rsidR="007170C3" w:rsidRPr="008819AF" w:rsidRDefault="007170C3" w:rsidP="0021052F">
            <w:pPr>
              <w:ind w:left="215" w:hanging="215"/>
              <w:rPr>
                <w:rFonts w:eastAsia="Arial"/>
                <w:lang w:bidi="cs-CZ"/>
              </w:rPr>
            </w:pPr>
          </w:p>
          <w:p w14:paraId="1513183C" w14:textId="77777777" w:rsidR="007170C3" w:rsidRPr="008819AF" w:rsidRDefault="007170C3" w:rsidP="0021052F">
            <w:pPr>
              <w:ind w:left="215" w:hanging="215"/>
              <w:rPr>
                <w:rFonts w:eastAsia="Arial"/>
                <w:lang w:bidi="cs-CZ"/>
              </w:rPr>
            </w:pPr>
          </w:p>
          <w:p w14:paraId="1513183D" w14:textId="77777777" w:rsidR="007170C3" w:rsidRPr="008819AF" w:rsidRDefault="007170C3" w:rsidP="0021052F">
            <w:pPr>
              <w:ind w:left="215" w:hanging="215"/>
              <w:rPr>
                <w:rFonts w:eastAsia="Arial"/>
                <w:lang w:bidi="cs-CZ"/>
              </w:rPr>
            </w:pPr>
          </w:p>
          <w:p w14:paraId="1513183E"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83F" w14:textId="77777777" w:rsidR="007170C3" w:rsidRPr="008819AF" w:rsidRDefault="007170C3" w:rsidP="0021052F">
            <w:pPr>
              <w:ind w:left="215" w:hanging="215"/>
              <w:rPr>
                <w:rFonts w:eastAsia="Arial"/>
                <w:lang w:bidi="cs-CZ"/>
              </w:rPr>
            </w:pPr>
          </w:p>
          <w:p w14:paraId="15131840" w14:textId="77777777" w:rsidR="007170C3" w:rsidRPr="008819AF" w:rsidRDefault="007170C3" w:rsidP="0021052F">
            <w:pPr>
              <w:ind w:left="215" w:hanging="215"/>
              <w:rPr>
                <w:rFonts w:eastAsia="Arial"/>
                <w:lang w:bidi="cs-CZ"/>
              </w:rPr>
            </w:pPr>
          </w:p>
        </w:tc>
      </w:tr>
      <w:tr w:rsidR="00F80158" w:rsidRPr="008819AF" w14:paraId="151318B8" w14:textId="77777777" w:rsidTr="003E351D">
        <w:trPr>
          <w:trHeight w:val="8398"/>
          <w:jc w:val="center"/>
        </w:trPr>
        <w:tc>
          <w:tcPr>
            <w:tcW w:w="483" w:type="dxa"/>
            <w:tcBorders>
              <w:top w:val="single" w:sz="4" w:space="0" w:color="000000"/>
              <w:left w:val="single" w:sz="6" w:space="0" w:color="000000"/>
              <w:bottom w:val="single" w:sz="4" w:space="0" w:color="000000"/>
              <w:right w:val="single" w:sz="6" w:space="0" w:color="000000"/>
            </w:tcBorders>
          </w:tcPr>
          <w:p w14:paraId="15131842"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843" w14:textId="77777777" w:rsidR="007170C3" w:rsidRPr="008819AF" w:rsidRDefault="009E10F3" w:rsidP="009E10F3">
            <w:pPr>
              <w:ind w:left="72"/>
              <w:rPr>
                <w:rFonts w:eastAsia="Arial"/>
              </w:rPr>
            </w:pPr>
            <w:r w:rsidRPr="008819AF">
              <w:rPr>
                <w:rFonts w:eastAsia="Arial"/>
              </w:rPr>
              <w:t xml:space="preserve">37. </w:t>
            </w:r>
            <w:r w:rsidR="006F0418" w:rsidRPr="008819AF">
              <w:rPr>
                <w:rFonts w:eastAsia="Arial"/>
              </w:rPr>
              <w:t>„odpad“ je odpad, ako je vymedzený v článku 3 bod 1 smernice Európskeho parlamentu a Rady 2008/98/ES z 19. novembra 2008 o odpade(2)</w:t>
            </w:r>
          </w:p>
          <w:p w14:paraId="15131844" w14:textId="77777777" w:rsidR="007170C3" w:rsidRPr="008819AF" w:rsidRDefault="007170C3" w:rsidP="009E10F3">
            <w:pPr>
              <w:rPr>
                <w:rFonts w:eastAsia="Arial"/>
              </w:rPr>
            </w:pPr>
          </w:p>
          <w:p w14:paraId="15131845" w14:textId="77777777" w:rsidR="007170C3" w:rsidRPr="008819AF" w:rsidRDefault="009E10F3" w:rsidP="009E10F3">
            <w:pPr>
              <w:ind w:left="72"/>
              <w:rPr>
                <w:rFonts w:eastAsia="Arial"/>
              </w:rPr>
            </w:pPr>
            <w:r w:rsidRPr="008819AF">
              <w:rPr>
                <w:rFonts w:eastAsia="Arial"/>
              </w:rPr>
              <w:t xml:space="preserve">38. </w:t>
            </w:r>
            <w:r w:rsidR="006F0418" w:rsidRPr="008819AF">
              <w:rPr>
                <w:rFonts w:eastAsia="Arial"/>
              </w:rPr>
              <w:t>„nebezpečný odpad“ je nebezpečný odpad, ako je vymedzený v článku 3 bod 2 smernice 2008/98/ES;</w:t>
            </w:r>
          </w:p>
          <w:p w14:paraId="15131846" w14:textId="77777777" w:rsidR="007170C3" w:rsidRPr="008819AF" w:rsidRDefault="007170C3" w:rsidP="009E10F3">
            <w:pPr>
              <w:pStyle w:val="Odsekzoznamu"/>
              <w:rPr>
                <w:rFonts w:eastAsia="Arial"/>
                <w:sz w:val="20"/>
                <w:szCs w:val="20"/>
              </w:rPr>
            </w:pPr>
          </w:p>
          <w:p w14:paraId="15131847" w14:textId="77777777" w:rsidR="007170C3" w:rsidRPr="008819AF" w:rsidRDefault="007170C3" w:rsidP="009E10F3">
            <w:pPr>
              <w:rPr>
                <w:rFonts w:eastAsia="Arial"/>
              </w:rPr>
            </w:pPr>
          </w:p>
          <w:p w14:paraId="15131848" w14:textId="77777777" w:rsidR="007170C3" w:rsidRPr="008819AF" w:rsidRDefault="009E10F3" w:rsidP="009E10F3">
            <w:pPr>
              <w:ind w:left="72"/>
              <w:rPr>
                <w:rFonts w:eastAsia="Arial"/>
              </w:rPr>
            </w:pPr>
            <w:r w:rsidRPr="008819AF">
              <w:rPr>
                <w:rFonts w:eastAsia="Arial"/>
              </w:rPr>
              <w:t xml:space="preserve">39. </w:t>
            </w:r>
            <w:r w:rsidR="00877613" w:rsidRPr="008819AF">
              <w:rPr>
                <w:rFonts w:eastAsia="Arial"/>
              </w:rPr>
              <w:t>„</w:t>
            </w:r>
            <w:r w:rsidR="006F0418" w:rsidRPr="008819AF">
              <w:rPr>
                <w:rFonts w:eastAsia="Arial"/>
              </w:rPr>
              <w:t>zmesový komunálny odpad“ je odpad z domácností, ako aj komerčný odpad, priemyselný odpad a odpad z inštitúcií, ktorý sa v dôsledku svojej povahy a zloženia podobá odpadu z domácností, ale okrem častí uvedených pod záhlavím20 01 prílohy k rozhodnutiu 2000/532/ES(3)</w:t>
            </w:r>
          </w:p>
          <w:p w14:paraId="15131849" w14:textId="77777777" w:rsidR="007170C3" w:rsidRPr="008819AF" w:rsidRDefault="007170C3" w:rsidP="009E10F3">
            <w:pPr>
              <w:ind w:left="497"/>
              <w:rPr>
                <w:rFonts w:eastAsia="Arial"/>
              </w:rPr>
            </w:pPr>
          </w:p>
          <w:p w14:paraId="1513184A" w14:textId="77777777" w:rsidR="002628BF" w:rsidRPr="008819AF" w:rsidRDefault="002628BF" w:rsidP="009E10F3">
            <w:pPr>
              <w:ind w:left="497"/>
              <w:rPr>
                <w:rFonts w:eastAsia="Arial"/>
              </w:rPr>
            </w:pPr>
          </w:p>
          <w:p w14:paraId="1513184B" w14:textId="77777777" w:rsidR="007170C3" w:rsidRPr="008819AF" w:rsidRDefault="009E10F3" w:rsidP="009E10F3">
            <w:pPr>
              <w:ind w:left="72"/>
              <w:rPr>
                <w:rFonts w:eastAsia="Arial"/>
              </w:rPr>
            </w:pPr>
            <w:r w:rsidRPr="008819AF">
              <w:rPr>
                <w:rFonts w:eastAsia="Arial"/>
              </w:rPr>
              <w:t xml:space="preserve">40. </w:t>
            </w:r>
            <w:r w:rsidR="006F0418" w:rsidRPr="008819AF">
              <w:rPr>
                <w:rFonts w:eastAsia="Arial"/>
              </w:rPr>
              <w:t>„spaľovňa odpadov“ je akákoľvek stacionárna alebo mobilná technická jednotka a zariadenie určené pre tepelné spracovanie odpadov so zužitkovaním vznikajúceho spaľovacieho tepla alebo bez neho, prostredníctvom spaľovania oxidáciou odpadov, ako aj ostatných procesov tepelného spracovania, ako sú pyrolytické, splyňovacie alebo plazmové procesy, pokiaľ sa látky vznikajúce pri spracovaní následne spaľujú;</w:t>
            </w:r>
          </w:p>
          <w:p w14:paraId="1513184C" w14:textId="77777777" w:rsidR="007170C3" w:rsidRPr="008819AF" w:rsidRDefault="007170C3" w:rsidP="009E10F3">
            <w:pPr>
              <w:ind w:left="497"/>
              <w:rPr>
                <w:rFonts w:eastAsia="Arial"/>
              </w:rPr>
            </w:pPr>
          </w:p>
          <w:p w14:paraId="1513184D" w14:textId="77777777" w:rsidR="002628BF" w:rsidRPr="008819AF" w:rsidRDefault="002628BF" w:rsidP="009E10F3">
            <w:pPr>
              <w:ind w:left="497"/>
              <w:rPr>
                <w:rFonts w:eastAsia="Arial"/>
              </w:rPr>
            </w:pPr>
          </w:p>
          <w:p w14:paraId="1513184E" w14:textId="77777777" w:rsidR="007170C3" w:rsidRPr="008819AF" w:rsidRDefault="009E10F3" w:rsidP="009E10F3">
            <w:pPr>
              <w:ind w:left="72"/>
              <w:rPr>
                <w:rFonts w:eastAsia="Arial"/>
              </w:rPr>
            </w:pPr>
            <w:r w:rsidRPr="008819AF">
              <w:rPr>
                <w:rFonts w:eastAsia="Arial"/>
              </w:rPr>
              <w:t xml:space="preserve">41. </w:t>
            </w:r>
            <w:r w:rsidR="006F0418" w:rsidRPr="008819AF">
              <w:rPr>
                <w:rFonts w:eastAsia="Arial"/>
              </w:rPr>
              <w:t>„zariadenie na spoluspaľovanie odpadov“ je akákoľvek stacionárna alebo mobilná technická jednotka, ktorej hlavným účelom je výroba energie alebo materiálnych výrobkov a ktorá využíva odpady ako základné alebo prídavné palivo alebo v ktorom sa odpady tepelne spracovávajú s cieľom zneškodnenia prostredníctvom spaľovania oxidáciou odpadov, ako aj inými procesmi tepelného spracovania, ako pyrolytické, splyňovacie alebo plazmové procesy, ak sa látky, ktoré pri tomto spracovaní vznikajú, následne spaľujú;</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84F"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1850" w14:textId="77777777" w:rsidR="007170C3" w:rsidRPr="008819AF" w:rsidRDefault="007170C3" w:rsidP="0021052F">
            <w:pPr>
              <w:ind w:left="-70" w:right="-68" w:hanging="6"/>
              <w:jc w:val="center"/>
              <w:rPr>
                <w:rFonts w:eastAsia="Arial"/>
                <w:lang w:bidi="cs-CZ"/>
              </w:rPr>
            </w:pPr>
          </w:p>
          <w:p w14:paraId="15131851" w14:textId="77777777" w:rsidR="007170C3" w:rsidRPr="008819AF" w:rsidRDefault="007170C3" w:rsidP="0021052F">
            <w:pPr>
              <w:ind w:left="-70" w:right="-68" w:hanging="6"/>
              <w:jc w:val="center"/>
              <w:rPr>
                <w:rFonts w:eastAsia="Arial"/>
                <w:lang w:bidi="cs-CZ"/>
              </w:rPr>
            </w:pPr>
          </w:p>
          <w:p w14:paraId="15131852" w14:textId="77777777" w:rsidR="007170C3" w:rsidRPr="008819AF" w:rsidRDefault="007170C3" w:rsidP="0021052F">
            <w:pPr>
              <w:ind w:left="-70" w:right="-68" w:hanging="6"/>
              <w:jc w:val="center"/>
              <w:rPr>
                <w:rFonts w:eastAsia="Arial"/>
                <w:lang w:bidi="cs-CZ"/>
              </w:rPr>
            </w:pPr>
          </w:p>
          <w:p w14:paraId="15131853"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1854" w14:textId="77777777" w:rsidR="007170C3" w:rsidRPr="008819AF" w:rsidRDefault="007170C3" w:rsidP="0021052F">
            <w:pPr>
              <w:ind w:left="-70" w:right="-68" w:hanging="6"/>
              <w:jc w:val="center"/>
              <w:rPr>
                <w:rFonts w:eastAsia="Arial"/>
                <w:lang w:bidi="cs-CZ"/>
              </w:rPr>
            </w:pPr>
          </w:p>
          <w:p w14:paraId="15131855" w14:textId="77777777" w:rsidR="007170C3" w:rsidRPr="008819AF" w:rsidRDefault="007170C3" w:rsidP="0021052F">
            <w:pPr>
              <w:ind w:left="-70" w:right="-68" w:hanging="6"/>
              <w:jc w:val="center"/>
              <w:rPr>
                <w:rFonts w:eastAsia="Arial"/>
                <w:lang w:bidi="cs-CZ"/>
              </w:rPr>
            </w:pPr>
          </w:p>
          <w:p w14:paraId="15131856" w14:textId="77777777" w:rsidR="007170C3" w:rsidRPr="008819AF" w:rsidRDefault="007170C3" w:rsidP="0021052F">
            <w:pPr>
              <w:ind w:left="-70" w:right="-68" w:hanging="6"/>
              <w:jc w:val="center"/>
              <w:rPr>
                <w:rFonts w:eastAsia="Arial"/>
                <w:lang w:bidi="cs-CZ"/>
              </w:rPr>
            </w:pPr>
          </w:p>
          <w:p w14:paraId="15131857"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1858" w14:textId="77777777" w:rsidR="007170C3" w:rsidRPr="008819AF" w:rsidRDefault="007170C3" w:rsidP="0021052F">
            <w:pPr>
              <w:ind w:left="-70" w:right="-68" w:hanging="6"/>
              <w:jc w:val="center"/>
              <w:rPr>
                <w:rFonts w:eastAsia="Arial"/>
                <w:lang w:bidi="cs-CZ"/>
              </w:rPr>
            </w:pPr>
          </w:p>
          <w:p w14:paraId="15131859" w14:textId="77777777" w:rsidR="007170C3" w:rsidRPr="008819AF" w:rsidRDefault="007170C3" w:rsidP="0021052F">
            <w:pPr>
              <w:ind w:left="-70" w:right="-68" w:hanging="6"/>
              <w:jc w:val="center"/>
              <w:rPr>
                <w:rFonts w:eastAsia="Arial"/>
                <w:lang w:bidi="cs-CZ"/>
              </w:rPr>
            </w:pPr>
          </w:p>
          <w:p w14:paraId="1513185A" w14:textId="77777777" w:rsidR="007170C3" w:rsidRPr="008819AF" w:rsidRDefault="007170C3" w:rsidP="0021052F">
            <w:pPr>
              <w:ind w:left="-70" w:right="-68" w:hanging="6"/>
              <w:jc w:val="center"/>
              <w:rPr>
                <w:rFonts w:eastAsia="Arial"/>
                <w:lang w:bidi="cs-CZ"/>
              </w:rPr>
            </w:pPr>
          </w:p>
          <w:p w14:paraId="1513185B" w14:textId="77777777" w:rsidR="007170C3" w:rsidRPr="008819AF" w:rsidRDefault="007170C3" w:rsidP="0021052F">
            <w:pPr>
              <w:ind w:left="-70" w:right="-68" w:hanging="6"/>
              <w:jc w:val="center"/>
              <w:rPr>
                <w:rFonts w:eastAsia="Arial"/>
                <w:lang w:bidi="cs-CZ"/>
              </w:rPr>
            </w:pPr>
          </w:p>
          <w:p w14:paraId="1513185C" w14:textId="77777777" w:rsidR="007170C3" w:rsidRPr="008819AF" w:rsidRDefault="007170C3" w:rsidP="0021052F">
            <w:pPr>
              <w:ind w:left="-70" w:right="-68" w:hanging="6"/>
              <w:jc w:val="center"/>
              <w:rPr>
                <w:rFonts w:eastAsia="Arial"/>
                <w:lang w:bidi="cs-CZ"/>
              </w:rPr>
            </w:pPr>
          </w:p>
          <w:p w14:paraId="1513185D" w14:textId="77777777" w:rsidR="00877613" w:rsidRPr="008819AF" w:rsidRDefault="00877613" w:rsidP="0021052F">
            <w:pPr>
              <w:ind w:left="-70" w:right="-68" w:hanging="6"/>
              <w:jc w:val="center"/>
              <w:rPr>
                <w:rFonts w:eastAsia="Arial"/>
                <w:lang w:bidi="cs-CZ"/>
              </w:rPr>
            </w:pPr>
          </w:p>
          <w:p w14:paraId="1513185E" w14:textId="77777777" w:rsidR="007170C3" w:rsidRPr="008819AF" w:rsidRDefault="006F0418" w:rsidP="0021052F">
            <w:pPr>
              <w:ind w:right="-68"/>
              <w:jc w:val="center"/>
              <w:rPr>
                <w:rFonts w:eastAsia="Arial"/>
                <w:lang w:bidi="cs-CZ"/>
              </w:rPr>
            </w:pPr>
            <w:r w:rsidRPr="008819AF">
              <w:rPr>
                <w:rFonts w:eastAsia="Arial"/>
                <w:lang w:bidi="cs-CZ"/>
              </w:rPr>
              <w:t>N</w:t>
            </w:r>
          </w:p>
          <w:p w14:paraId="1513185F" w14:textId="77777777" w:rsidR="007170C3" w:rsidRPr="008819AF" w:rsidRDefault="007170C3" w:rsidP="0021052F">
            <w:pPr>
              <w:ind w:left="-70" w:right="-68" w:hanging="6"/>
              <w:jc w:val="center"/>
              <w:rPr>
                <w:rFonts w:eastAsia="Arial"/>
                <w:lang w:bidi="cs-CZ"/>
              </w:rPr>
            </w:pPr>
          </w:p>
          <w:p w14:paraId="15131860" w14:textId="77777777" w:rsidR="007170C3" w:rsidRPr="008819AF" w:rsidRDefault="007170C3" w:rsidP="0021052F">
            <w:pPr>
              <w:ind w:left="-70" w:right="-68" w:hanging="6"/>
              <w:jc w:val="center"/>
              <w:rPr>
                <w:rFonts w:eastAsia="Arial"/>
                <w:lang w:bidi="cs-CZ"/>
              </w:rPr>
            </w:pPr>
          </w:p>
          <w:p w14:paraId="15131861" w14:textId="77777777" w:rsidR="007170C3" w:rsidRPr="008819AF" w:rsidRDefault="007170C3" w:rsidP="0021052F">
            <w:pPr>
              <w:ind w:left="-70" w:right="-68" w:hanging="6"/>
              <w:jc w:val="center"/>
              <w:rPr>
                <w:rFonts w:eastAsia="Arial"/>
                <w:lang w:bidi="cs-CZ"/>
              </w:rPr>
            </w:pPr>
          </w:p>
          <w:p w14:paraId="15131862" w14:textId="77777777" w:rsidR="007170C3" w:rsidRPr="008819AF" w:rsidRDefault="007170C3" w:rsidP="0021052F">
            <w:pPr>
              <w:ind w:left="-70" w:right="-68" w:hanging="6"/>
              <w:jc w:val="center"/>
              <w:rPr>
                <w:rFonts w:eastAsia="Arial"/>
                <w:lang w:bidi="cs-CZ"/>
              </w:rPr>
            </w:pPr>
          </w:p>
          <w:p w14:paraId="15131863" w14:textId="77777777" w:rsidR="007170C3" w:rsidRPr="008819AF" w:rsidRDefault="007170C3" w:rsidP="0021052F">
            <w:pPr>
              <w:ind w:left="-70" w:right="-68" w:hanging="6"/>
              <w:jc w:val="center"/>
              <w:rPr>
                <w:rFonts w:eastAsia="Arial"/>
                <w:lang w:bidi="cs-CZ"/>
              </w:rPr>
            </w:pPr>
          </w:p>
          <w:p w14:paraId="15131864" w14:textId="77777777" w:rsidR="007170C3" w:rsidRPr="008819AF" w:rsidRDefault="007170C3" w:rsidP="0021052F">
            <w:pPr>
              <w:ind w:left="-70" w:right="-68" w:hanging="6"/>
              <w:jc w:val="center"/>
              <w:rPr>
                <w:rFonts w:eastAsia="Arial"/>
                <w:lang w:bidi="cs-CZ"/>
              </w:rPr>
            </w:pPr>
          </w:p>
          <w:p w14:paraId="15131865" w14:textId="77777777" w:rsidR="007170C3" w:rsidRPr="008819AF" w:rsidRDefault="007170C3" w:rsidP="0021052F">
            <w:pPr>
              <w:ind w:left="-70" w:right="-68" w:hanging="6"/>
              <w:jc w:val="center"/>
              <w:rPr>
                <w:rFonts w:eastAsia="Arial"/>
                <w:lang w:bidi="cs-CZ"/>
              </w:rPr>
            </w:pPr>
          </w:p>
          <w:p w14:paraId="15131866" w14:textId="77777777" w:rsidR="007170C3" w:rsidRPr="008819AF" w:rsidRDefault="007170C3" w:rsidP="0021052F">
            <w:pPr>
              <w:ind w:left="-70" w:right="-68" w:hanging="6"/>
              <w:jc w:val="center"/>
              <w:rPr>
                <w:rFonts w:eastAsia="Arial"/>
                <w:lang w:bidi="cs-CZ"/>
              </w:rPr>
            </w:pPr>
          </w:p>
          <w:p w14:paraId="15131867"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1868" w14:textId="77777777" w:rsidR="002628BF" w:rsidRPr="008819AF" w:rsidRDefault="002628BF" w:rsidP="002628BF">
            <w:pPr>
              <w:jc w:val="center"/>
              <w:rPr>
                <w:rFonts w:eastAsia="Arial"/>
                <w:lang w:bidi="cs-CZ"/>
              </w:rPr>
            </w:pPr>
          </w:p>
          <w:p w14:paraId="15131869" w14:textId="77777777" w:rsidR="007170C3" w:rsidRPr="008819AF" w:rsidRDefault="007170C3" w:rsidP="002628BF">
            <w:pPr>
              <w:ind w:left="-70" w:right="-68" w:hanging="6"/>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86A" w14:textId="77777777" w:rsidR="007170C3" w:rsidRPr="008819AF" w:rsidRDefault="00A32C9B" w:rsidP="0021052F">
            <w:pPr>
              <w:jc w:val="center"/>
              <w:rPr>
                <w:rFonts w:eastAsia="Arial"/>
                <w:lang w:bidi="cs-CZ"/>
              </w:rPr>
            </w:pPr>
            <w:r w:rsidRPr="008819AF">
              <w:rPr>
                <w:rFonts w:eastAsia="Arial"/>
                <w:lang w:bidi="cs-CZ"/>
              </w:rPr>
              <w:t>NZ</w:t>
            </w:r>
          </w:p>
          <w:p w14:paraId="1513186B" w14:textId="77777777" w:rsidR="007170C3" w:rsidRPr="008819AF" w:rsidRDefault="007170C3" w:rsidP="0021052F">
            <w:pPr>
              <w:jc w:val="center"/>
              <w:rPr>
                <w:rFonts w:eastAsia="Arial"/>
                <w:lang w:bidi="cs-CZ"/>
              </w:rPr>
            </w:pPr>
          </w:p>
          <w:p w14:paraId="1513186C" w14:textId="77777777" w:rsidR="007170C3" w:rsidRPr="008819AF" w:rsidRDefault="007170C3" w:rsidP="0021052F">
            <w:pPr>
              <w:jc w:val="center"/>
              <w:rPr>
                <w:rFonts w:eastAsia="Arial"/>
                <w:lang w:bidi="cs-CZ"/>
              </w:rPr>
            </w:pPr>
          </w:p>
          <w:p w14:paraId="1513186D" w14:textId="77777777" w:rsidR="007170C3" w:rsidRPr="008819AF" w:rsidRDefault="007170C3" w:rsidP="0021052F">
            <w:pPr>
              <w:jc w:val="center"/>
              <w:rPr>
                <w:rFonts w:eastAsia="Arial"/>
                <w:lang w:bidi="cs-CZ"/>
              </w:rPr>
            </w:pPr>
          </w:p>
          <w:p w14:paraId="1513186E" w14:textId="77777777" w:rsidR="007170C3" w:rsidRPr="008819AF" w:rsidRDefault="00A32C9B" w:rsidP="0021052F">
            <w:pPr>
              <w:jc w:val="center"/>
              <w:rPr>
                <w:rFonts w:eastAsia="Arial"/>
                <w:lang w:bidi="cs-CZ"/>
              </w:rPr>
            </w:pPr>
            <w:r w:rsidRPr="008819AF">
              <w:rPr>
                <w:rFonts w:eastAsia="Arial"/>
                <w:lang w:bidi="cs-CZ"/>
              </w:rPr>
              <w:t>NZ</w:t>
            </w:r>
          </w:p>
          <w:p w14:paraId="1513186F" w14:textId="77777777" w:rsidR="007170C3" w:rsidRPr="008819AF" w:rsidRDefault="007170C3" w:rsidP="0021052F">
            <w:pPr>
              <w:jc w:val="center"/>
              <w:rPr>
                <w:rFonts w:eastAsia="Arial"/>
                <w:lang w:bidi="cs-CZ"/>
              </w:rPr>
            </w:pPr>
          </w:p>
          <w:p w14:paraId="15131870" w14:textId="77777777" w:rsidR="007170C3" w:rsidRPr="008819AF" w:rsidRDefault="007170C3" w:rsidP="0021052F">
            <w:pPr>
              <w:jc w:val="center"/>
              <w:rPr>
                <w:rFonts w:eastAsia="Arial"/>
                <w:lang w:bidi="cs-CZ"/>
              </w:rPr>
            </w:pPr>
          </w:p>
          <w:p w14:paraId="15131871" w14:textId="77777777" w:rsidR="007170C3" w:rsidRPr="008819AF" w:rsidRDefault="007170C3" w:rsidP="0021052F">
            <w:pPr>
              <w:jc w:val="center"/>
              <w:rPr>
                <w:rFonts w:eastAsia="Arial"/>
                <w:lang w:bidi="cs-CZ"/>
              </w:rPr>
            </w:pPr>
          </w:p>
          <w:p w14:paraId="15131872" w14:textId="77777777" w:rsidR="007170C3" w:rsidRPr="008819AF" w:rsidRDefault="006F0418" w:rsidP="0021052F">
            <w:pPr>
              <w:jc w:val="center"/>
              <w:rPr>
                <w:rFonts w:eastAsia="Arial"/>
                <w:lang w:bidi="cs-CZ"/>
              </w:rPr>
            </w:pPr>
            <w:r w:rsidRPr="008819AF">
              <w:rPr>
                <w:rFonts w:eastAsia="Arial"/>
                <w:lang w:bidi="cs-CZ"/>
              </w:rPr>
              <w:t>NV2</w:t>
            </w:r>
          </w:p>
          <w:p w14:paraId="15131873" w14:textId="77777777" w:rsidR="007170C3" w:rsidRPr="008819AF" w:rsidRDefault="007170C3" w:rsidP="0021052F">
            <w:pPr>
              <w:jc w:val="center"/>
              <w:rPr>
                <w:rFonts w:eastAsia="Arial"/>
                <w:lang w:bidi="cs-CZ"/>
              </w:rPr>
            </w:pPr>
          </w:p>
          <w:p w14:paraId="15131874" w14:textId="77777777" w:rsidR="007170C3" w:rsidRPr="008819AF" w:rsidRDefault="007170C3" w:rsidP="0021052F">
            <w:pPr>
              <w:jc w:val="center"/>
              <w:rPr>
                <w:rFonts w:eastAsia="Arial"/>
                <w:lang w:bidi="cs-CZ"/>
              </w:rPr>
            </w:pPr>
          </w:p>
          <w:p w14:paraId="15131875" w14:textId="77777777" w:rsidR="007170C3" w:rsidRPr="008819AF" w:rsidRDefault="007170C3" w:rsidP="0021052F">
            <w:pPr>
              <w:jc w:val="center"/>
              <w:rPr>
                <w:rFonts w:eastAsia="Arial"/>
                <w:lang w:bidi="cs-CZ"/>
              </w:rPr>
            </w:pPr>
          </w:p>
          <w:p w14:paraId="15131876" w14:textId="77777777" w:rsidR="007170C3" w:rsidRPr="008819AF" w:rsidRDefault="007170C3" w:rsidP="0021052F">
            <w:pPr>
              <w:jc w:val="center"/>
              <w:rPr>
                <w:rFonts w:eastAsia="Arial"/>
                <w:lang w:bidi="cs-CZ"/>
              </w:rPr>
            </w:pPr>
          </w:p>
          <w:p w14:paraId="15131877" w14:textId="77777777" w:rsidR="007170C3" w:rsidRPr="008819AF" w:rsidRDefault="007170C3" w:rsidP="0021052F">
            <w:pPr>
              <w:jc w:val="center"/>
              <w:rPr>
                <w:rFonts w:eastAsia="Arial"/>
                <w:lang w:bidi="cs-CZ"/>
              </w:rPr>
            </w:pPr>
          </w:p>
          <w:p w14:paraId="15131878" w14:textId="77777777" w:rsidR="00877613" w:rsidRPr="008819AF" w:rsidRDefault="00877613" w:rsidP="0021052F">
            <w:pPr>
              <w:jc w:val="center"/>
              <w:rPr>
                <w:rFonts w:eastAsia="Arial"/>
                <w:lang w:bidi="cs-CZ"/>
              </w:rPr>
            </w:pPr>
          </w:p>
          <w:p w14:paraId="15131879" w14:textId="77777777" w:rsidR="007170C3" w:rsidRPr="008819AF" w:rsidRDefault="00A32C9B" w:rsidP="0021052F">
            <w:pPr>
              <w:jc w:val="center"/>
              <w:rPr>
                <w:rFonts w:eastAsia="Arial"/>
                <w:lang w:bidi="cs-CZ"/>
              </w:rPr>
            </w:pPr>
            <w:r w:rsidRPr="008819AF">
              <w:rPr>
                <w:rFonts w:eastAsia="Arial"/>
                <w:lang w:bidi="cs-CZ"/>
              </w:rPr>
              <w:t>NZ</w:t>
            </w:r>
          </w:p>
          <w:p w14:paraId="1513187A" w14:textId="77777777" w:rsidR="007170C3" w:rsidRPr="008819AF" w:rsidRDefault="007170C3" w:rsidP="0021052F">
            <w:pPr>
              <w:jc w:val="center"/>
              <w:rPr>
                <w:rFonts w:eastAsia="Arial"/>
                <w:lang w:bidi="cs-CZ"/>
              </w:rPr>
            </w:pPr>
          </w:p>
          <w:p w14:paraId="1513187B" w14:textId="77777777" w:rsidR="007170C3" w:rsidRPr="008819AF" w:rsidRDefault="007170C3" w:rsidP="0021052F">
            <w:pPr>
              <w:jc w:val="center"/>
              <w:rPr>
                <w:rFonts w:eastAsia="Arial"/>
                <w:lang w:bidi="cs-CZ"/>
              </w:rPr>
            </w:pPr>
          </w:p>
          <w:p w14:paraId="1513187C" w14:textId="77777777" w:rsidR="007170C3" w:rsidRPr="008819AF" w:rsidRDefault="007170C3" w:rsidP="0021052F">
            <w:pPr>
              <w:jc w:val="center"/>
              <w:rPr>
                <w:rFonts w:eastAsia="Arial"/>
                <w:lang w:bidi="cs-CZ"/>
              </w:rPr>
            </w:pPr>
          </w:p>
          <w:p w14:paraId="1513187D" w14:textId="77777777" w:rsidR="007170C3" w:rsidRPr="008819AF" w:rsidRDefault="007170C3" w:rsidP="0021052F">
            <w:pPr>
              <w:jc w:val="center"/>
              <w:rPr>
                <w:rFonts w:eastAsia="Arial"/>
                <w:lang w:bidi="cs-CZ"/>
              </w:rPr>
            </w:pPr>
          </w:p>
          <w:p w14:paraId="1513187E" w14:textId="77777777" w:rsidR="007170C3" w:rsidRPr="008819AF" w:rsidRDefault="007170C3" w:rsidP="0021052F">
            <w:pPr>
              <w:jc w:val="center"/>
              <w:rPr>
                <w:rFonts w:eastAsia="Arial"/>
                <w:lang w:bidi="cs-CZ"/>
              </w:rPr>
            </w:pPr>
          </w:p>
          <w:p w14:paraId="1513187F" w14:textId="77777777" w:rsidR="007170C3" w:rsidRPr="008819AF" w:rsidRDefault="007170C3" w:rsidP="0021052F">
            <w:pPr>
              <w:jc w:val="center"/>
              <w:rPr>
                <w:rFonts w:eastAsia="Arial"/>
                <w:lang w:bidi="cs-CZ"/>
              </w:rPr>
            </w:pPr>
          </w:p>
          <w:p w14:paraId="15131880" w14:textId="77777777" w:rsidR="007170C3" w:rsidRPr="008819AF" w:rsidRDefault="007170C3" w:rsidP="0021052F">
            <w:pPr>
              <w:jc w:val="center"/>
              <w:rPr>
                <w:rFonts w:eastAsia="Arial"/>
                <w:lang w:bidi="cs-CZ"/>
              </w:rPr>
            </w:pPr>
          </w:p>
          <w:p w14:paraId="15131881" w14:textId="77777777" w:rsidR="007170C3" w:rsidRPr="008819AF" w:rsidRDefault="007170C3" w:rsidP="0021052F">
            <w:pPr>
              <w:jc w:val="center"/>
              <w:rPr>
                <w:rFonts w:eastAsia="Arial"/>
                <w:lang w:bidi="cs-CZ"/>
              </w:rPr>
            </w:pPr>
          </w:p>
          <w:p w14:paraId="15131882" w14:textId="77777777" w:rsidR="007170C3" w:rsidRPr="008819AF" w:rsidRDefault="006F0418" w:rsidP="0021052F">
            <w:pPr>
              <w:jc w:val="center"/>
              <w:rPr>
                <w:rFonts w:eastAsia="Arial"/>
                <w:lang w:bidi="cs-CZ"/>
              </w:rPr>
            </w:pPr>
            <w:r w:rsidRPr="008819AF">
              <w:rPr>
                <w:rFonts w:eastAsia="Arial"/>
                <w:lang w:bidi="cs-CZ"/>
              </w:rPr>
              <w:t>N</w:t>
            </w:r>
            <w:r w:rsidR="002628BF" w:rsidRPr="008819AF">
              <w:rPr>
                <w:rFonts w:eastAsia="Arial"/>
                <w:lang w:bidi="cs-CZ"/>
              </w:rPr>
              <w:t>Z</w:t>
            </w:r>
          </w:p>
          <w:p w14:paraId="15131883" w14:textId="77777777" w:rsidR="007170C3" w:rsidRPr="008819AF" w:rsidRDefault="007170C3" w:rsidP="0021052F">
            <w:pPr>
              <w:jc w:val="center"/>
              <w:rPr>
                <w:rFonts w:eastAsia="Arial"/>
                <w:lang w:bidi="cs-CZ"/>
              </w:rPr>
            </w:pPr>
          </w:p>
          <w:p w14:paraId="15131884"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885"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w:t>
            </w:r>
            <w:r w:rsidR="00271892" w:rsidRPr="008819AF">
              <w:rPr>
                <w:rFonts w:ascii="Times New Roman" w:hAnsi="Times New Roman" w:cs="Times New Roman"/>
              </w:rPr>
              <w:t>3</w:t>
            </w:r>
            <w:r w:rsidRPr="008819AF">
              <w:rPr>
                <w:rFonts w:ascii="Times New Roman" w:hAnsi="Times New Roman" w:cs="Times New Roman"/>
              </w:rPr>
              <w:t>2</w:t>
            </w:r>
          </w:p>
          <w:p w14:paraId="15131886" w14:textId="77777777" w:rsidR="007170C3" w:rsidRPr="008819AF" w:rsidRDefault="00271892"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 a</w:t>
            </w:r>
            <w:r w:rsidR="006F0418" w:rsidRPr="008819AF">
              <w:rPr>
                <w:rFonts w:ascii="Times New Roman" w:hAnsi="Times New Roman" w:cs="Times New Roman"/>
              </w:rPr>
              <w:t>)</w:t>
            </w:r>
          </w:p>
          <w:p w14:paraId="15131887"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88"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89"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28</w:t>
            </w:r>
          </w:p>
          <w:p w14:paraId="1513188A"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O1</w:t>
            </w:r>
          </w:p>
          <w:p w14:paraId="1513188B"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 b)</w:t>
            </w:r>
          </w:p>
          <w:p w14:paraId="1513188C"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8D" w14:textId="77777777" w:rsidR="007170C3" w:rsidRPr="008819AF" w:rsidRDefault="00877613"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§21</w:t>
            </w:r>
          </w:p>
          <w:p w14:paraId="1513188E" w14:textId="77777777" w:rsidR="007170C3" w:rsidRPr="008819AF" w:rsidRDefault="00877613"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O5</w:t>
            </w:r>
          </w:p>
          <w:p w14:paraId="1513188F" w14:textId="77777777" w:rsidR="007170C3" w:rsidRPr="008819AF" w:rsidRDefault="00877613"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Pb)</w:t>
            </w:r>
          </w:p>
          <w:p w14:paraId="15131890"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91"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92"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93" w14:textId="77777777" w:rsidR="00877613" w:rsidRPr="008819AF" w:rsidRDefault="00877613" w:rsidP="0021052F">
            <w:pPr>
              <w:pStyle w:val="BodyText21"/>
              <w:spacing w:before="0" w:line="240" w:lineRule="auto"/>
              <w:ind w:left="0" w:right="-70" w:firstLine="0"/>
              <w:jc w:val="center"/>
              <w:rPr>
                <w:rFonts w:ascii="Times New Roman" w:hAnsi="Times New Roman" w:cs="Times New Roman"/>
              </w:rPr>
            </w:pPr>
          </w:p>
          <w:p w14:paraId="15131894"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20</w:t>
            </w:r>
          </w:p>
          <w:p w14:paraId="15131895" w14:textId="77777777" w:rsidR="007170C3" w:rsidRPr="008819AF" w:rsidRDefault="00CE05AC"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 8</w:t>
            </w:r>
          </w:p>
          <w:p w14:paraId="15131896"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97"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98"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9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9A"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9B"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9C"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89D" w14:textId="77777777" w:rsidR="002628BF" w:rsidRPr="008819AF" w:rsidRDefault="002628BF" w:rsidP="002628B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20</w:t>
            </w:r>
          </w:p>
          <w:p w14:paraId="1513189E" w14:textId="77777777" w:rsidR="002628BF" w:rsidRPr="008819AF" w:rsidRDefault="00CE05AC" w:rsidP="002628B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 9</w:t>
            </w:r>
          </w:p>
          <w:p w14:paraId="1513189F"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noWrap/>
          </w:tcPr>
          <w:p w14:paraId="151318A0" w14:textId="77777777" w:rsidR="007170C3" w:rsidRPr="008819AF" w:rsidRDefault="006F0418" w:rsidP="0021052F">
            <w:pPr>
              <w:ind w:left="215" w:hanging="215"/>
              <w:rPr>
                <w:rFonts w:eastAsia="Arial"/>
                <w:lang w:bidi="cs-CZ"/>
              </w:rPr>
            </w:pPr>
            <w:r w:rsidRPr="008819AF">
              <w:rPr>
                <w:rFonts w:eastAsia="Arial"/>
                <w:lang w:bidi="cs-CZ"/>
              </w:rPr>
              <w:t>P</w:t>
            </w:r>
            <w:r w:rsidR="002E3B57" w:rsidRPr="008819AF">
              <w:rPr>
                <w:rFonts w:eastAsia="Arial"/>
                <w:lang w:bidi="cs-CZ"/>
              </w:rPr>
              <w:t>o</w:t>
            </w:r>
            <w:r w:rsidR="00CE05AC" w:rsidRPr="008819AF">
              <w:rPr>
                <w:rFonts w:eastAsia="Arial"/>
                <w:lang w:bidi="cs-CZ"/>
              </w:rPr>
              <w:t>známka pod čiarou k odkazu č. 64</w:t>
            </w:r>
            <w:r w:rsidRPr="008819AF">
              <w:rPr>
                <w:rFonts w:eastAsia="Arial"/>
                <w:lang w:bidi="cs-CZ"/>
              </w:rPr>
              <w:t xml:space="preserve"> znie:</w:t>
            </w:r>
          </w:p>
          <w:p w14:paraId="151318A1" w14:textId="77777777" w:rsidR="00CE05AC" w:rsidRPr="008819AF" w:rsidRDefault="006F0418" w:rsidP="00CE05AC">
            <w:pPr>
              <w:ind w:left="215" w:hanging="215"/>
              <w:rPr>
                <w:rFonts w:eastAsia="Arial"/>
                <w:lang w:bidi="cs-CZ"/>
              </w:rPr>
            </w:pPr>
            <w:r w:rsidRPr="008819AF">
              <w:rPr>
                <w:rFonts w:eastAsia="Arial"/>
                <w:lang w:bidi="cs-CZ"/>
              </w:rPr>
              <w:t>§ 2</w:t>
            </w:r>
            <w:r w:rsidR="00CE05AC" w:rsidRPr="008819AF">
              <w:rPr>
                <w:rFonts w:eastAsia="Arial"/>
                <w:lang w:bidi="cs-CZ"/>
              </w:rPr>
              <w:t xml:space="preserve"> ods. 1 zákona č. 79/2015 Z. z.</w:t>
            </w:r>
          </w:p>
          <w:p w14:paraId="151318A2" w14:textId="77777777" w:rsidR="007170C3" w:rsidRPr="008819AF" w:rsidRDefault="007170C3" w:rsidP="0021052F">
            <w:pPr>
              <w:ind w:left="215" w:hanging="215"/>
              <w:rPr>
                <w:rFonts w:eastAsia="Arial"/>
                <w:lang w:bidi="cs-CZ"/>
              </w:rPr>
            </w:pPr>
          </w:p>
          <w:p w14:paraId="151318A3" w14:textId="77777777" w:rsidR="007170C3" w:rsidRPr="008819AF" w:rsidRDefault="007170C3" w:rsidP="0021052F">
            <w:pPr>
              <w:ind w:left="215" w:hanging="215"/>
              <w:rPr>
                <w:rFonts w:eastAsia="Arial"/>
                <w:lang w:bidi="cs-CZ"/>
              </w:rPr>
            </w:pPr>
          </w:p>
          <w:p w14:paraId="151318A4" w14:textId="77777777" w:rsidR="007170C3" w:rsidRPr="008819AF" w:rsidRDefault="006F0418" w:rsidP="0021052F">
            <w:pPr>
              <w:pStyle w:val="Odsekzoznamu"/>
              <w:ind w:left="0"/>
              <w:rPr>
                <w:rFonts w:eastAsia="Arial"/>
                <w:sz w:val="20"/>
                <w:szCs w:val="20"/>
              </w:rPr>
            </w:pPr>
            <w:r w:rsidRPr="008819AF">
              <w:rPr>
                <w:rFonts w:eastAsia="Arial"/>
                <w:sz w:val="20"/>
                <w:szCs w:val="20"/>
              </w:rPr>
              <w:t>Po</w:t>
            </w:r>
            <w:r w:rsidR="00D01D5E" w:rsidRPr="008819AF">
              <w:rPr>
                <w:rFonts w:eastAsia="Arial"/>
                <w:sz w:val="20"/>
                <w:szCs w:val="20"/>
              </w:rPr>
              <w:t>známka pod čiarou k odkazu č. 5</w:t>
            </w:r>
            <w:r w:rsidR="00CE05AC" w:rsidRPr="008819AF">
              <w:rPr>
                <w:rFonts w:eastAsia="Arial"/>
                <w:sz w:val="20"/>
                <w:szCs w:val="20"/>
              </w:rPr>
              <w:t>7</w:t>
            </w:r>
            <w:r w:rsidRPr="008819AF">
              <w:rPr>
                <w:rFonts w:eastAsia="Arial"/>
                <w:sz w:val="20"/>
                <w:szCs w:val="20"/>
              </w:rPr>
              <w:t xml:space="preserve"> znie:</w:t>
            </w:r>
          </w:p>
          <w:p w14:paraId="151318A5" w14:textId="77777777" w:rsidR="007170C3" w:rsidRPr="008819AF" w:rsidRDefault="006F0418" w:rsidP="00CE05AC">
            <w:pPr>
              <w:pStyle w:val="Zkladntext0"/>
              <w:ind w:left="40" w:hanging="40"/>
              <w:rPr>
                <w:rFonts w:ascii="Times New Roman" w:hAnsi="Times New Roman" w:cs="Times New Roman"/>
                <w:b w:val="0"/>
                <w:bCs w:val="0"/>
                <w:sz w:val="20"/>
                <w:szCs w:val="20"/>
                <w:lang w:bidi="sk-SK"/>
              </w:rPr>
            </w:pPr>
            <w:r w:rsidRPr="008819AF">
              <w:rPr>
                <w:rFonts w:ascii="Times New Roman" w:hAnsi="Times New Roman" w:cs="Times New Roman"/>
                <w:b w:val="0"/>
                <w:bCs w:val="0"/>
                <w:sz w:val="20"/>
                <w:szCs w:val="20"/>
                <w:lang w:bidi="sk-SK"/>
              </w:rPr>
              <w:t>§ 2 ods. 9 zákona č. 79/2015 Z. z.</w:t>
            </w:r>
          </w:p>
          <w:p w14:paraId="151318A6" w14:textId="77777777" w:rsidR="00CE05AC" w:rsidRPr="008819AF" w:rsidRDefault="00CE05AC" w:rsidP="00CE05AC">
            <w:pPr>
              <w:pStyle w:val="Zkladntext0"/>
              <w:ind w:left="40" w:hanging="40"/>
              <w:rPr>
                <w:rFonts w:ascii="Times New Roman" w:hAnsi="Times New Roman" w:cs="Times New Roman"/>
                <w:b w:val="0"/>
                <w:bCs w:val="0"/>
                <w:sz w:val="20"/>
                <w:szCs w:val="20"/>
                <w:lang w:bidi="sk-SK"/>
              </w:rPr>
            </w:pPr>
          </w:p>
          <w:p w14:paraId="151318A7" w14:textId="77777777" w:rsidR="007170C3" w:rsidRPr="008819AF" w:rsidRDefault="007170C3" w:rsidP="0021052F">
            <w:pPr>
              <w:pStyle w:val="Zkladntext0"/>
              <w:ind w:left="40" w:hanging="40"/>
              <w:rPr>
                <w:rFonts w:ascii="Times New Roman" w:hAnsi="Times New Roman" w:cs="Times New Roman"/>
                <w:b w:val="0"/>
                <w:bCs w:val="0"/>
                <w:sz w:val="20"/>
                <w:szCs w:val="20"/>
              </w:rPr>
            </w:pPr>
          </w:p>
          <w:p w14:paraId="151318A8" w14:textId="77777777" w:rsidR="00877613" w:rsidRPr="008819AF" w:rsidRDefault="00877613" w:rsidP="00877613">
            <w:pPr>
              <w:pStyle w:val="Odsekzoznamu"/>
              <w:ind w:left="0"/>
              <w:rPr>
                <w:rFonts w:eastAsia="Arial"/>
                <w:sz w:val="20"/>
                <w:szCs w:val="20"/>
              </w:rPr>
            </w:pPr>
            <w:r w:rsidRPr="008819AF">
              <w:rPr>
                <w:rFonts w:eastAsia="Arial"/>
                <w:sz w:val="20"/>
                <w:szCs w:val="20"/>
              </w:rPr>
              <w:t>b) zmesovým komunálnym odpadom odpad z domácností alebo komerčný odpad, priemyselný odpad a odpad z organizácií, ktorý je svojou povahou a zložením podobný odpadu z domácností okrem skupín odpadu uvedených pod záhlavím 2001, ktoré sa zbierajú samostatne v mieste pôvodu a ostatného odpadu uvedeného pod záhlavím 2002 podľa osobitného predpisu.</w:t>
            </w:r>
            <w:r w:rsidRPr="008819AF">
              <w:rPr>
                <w:rFonts w:eastAsia="Arial"/>
                <w:sz w:val="20"/>
                <w:szCs w:val="20"/>
              </w:rPr>
              <w:footnoteReference w:id="1"/>
            </w:r>
            <w:r w:rsidRPr="008819AF">
              <w:rPr>
                <w:rFonts w:eastAsia="Arial"/>
                <w:sz w:val="20"/>
                <w:szCs w:val="20"/>
              </w:rPr>
              <w:t>)</w:t>
            </w:r>
          </w:p>
          <w:p w14:paraId="151318A9" w14:textId="77777777" w:rsidR="007170C3" w:rsidRPr="008819AF" w:rsidRDefault="007170C3" w:rsidP="0021052F">
            <w:pPr>
              <w:pStyle w:val="Textpsmene"/>
              <w:tabs>
                <w:tab w:val="clear" w:pos="360"/>
                <w:tab w:val="clear" w:pos="643"/>
                <w:tab w:val="left" w:pos="644"/>
              </w:tabs>
              <w:ind w:left="72" w:hanging="5"/>
              <w:jc w:val="left"/>
              <w:rPr>
                <w:rFonts w:ascii="Times New Roman" w:hAnsi="Times New Roman" w:cs="Times New Roman"/>
                <w:sz w:val="20"/>
                <w:szCs w:val="20"/>
              </w:rPr>
            </w:pPr>
          </w:p>
          <w:p w14:paraId="151318AA" w14:textId="77777777" w:rsidR="007170C3" w:rsidRPr="008819AF" w:rsidRDefault="00895D99" w:rsidP="00895D99">
            <w:pPr>
              <w:pStyle w:val="Hlavika"/>
              <w:ind w:left="71" w:firstLine="0"/>
              <w:rPr>
                <w:rFonts w:ascii="Times New Roman" w:hAnsi="Times New Roman" w:cs="Times New Roman"/>
              </w:rPr>
            </w:pPr>
            <w:r w:rsidRPr="008819AF">
              <w:rPr>
                <w:rFonts w:ascii="Times New Roman" w:hAnsi="Times New Roman" w:cs="Times New Roman"/>
              </w:rPr>
              <w:t>Spaľovňa odpadov je stacionárnym technickým zariadením alebo prenosným technickým zariadením, ktoré slúži na tepelnú úpravu odpadov s využitím alebo bez využitia tepla vznikajúceho pri spaľovaní, vymedzená vykonávacím predpisom podľa § 62 písm. f). Je to zariadenie na spaľovanie odpadov oxidáciou alebo zariadenie na iné postupy tepelnej úpravy odpadov, ako sú pyrolytické, splyňovacie alebo plazmové procesy, ak sa látky vzniknuté pri takomto postupe následne spália.</w:t>
            </w:r>
          </w:p>
          <w:p w14:paraId="151318AB" w14:textId="77777777" w:rsidR="007170C3" w:rsidRPr="008819AF" w:rsidRDefault="007170C3" w:rsidP="0021052F">
            <w:pPr>
              <w:pStyle w:val="Hlavika"/>
              <w:ind w:left="72" w:hanging="1"/>
              <w:rPr>
                <w:rFonts w:ascii="Times New Roman" w:hAnsi="Times New Roman" w:cs="Times New Roman"/>
                <w:lang w:bidi="cs-CZ"/>
              </w:rPr>
            </w:pPr>
          </w:p>
          <w:p w14:paraId="151318AC" w14:textId="77777777" w:rsidR="00877613" w:rsidRPr="008819AF" w:rsidRDefault="00877613" w:rsidP="002628BF">
            <w:pPr>
              <w:pStyle w:val="Hlavika"/>
              <w:ind w:left="71" w:firstLine="0"/>
              <w:rPr>
                <w:rFonts w:ascii="Times New Roman" w:hAnsi="Times New Roman" w:cs="Times New Roman"/>
                <w:lang w:bidi="cs-CZ"/>
              </w:rPr>
            </w:pPr>
            <w:r w:rsidRPr="008819AF">
              <w:rPr>
                <w:rFonts w:ascii="Times New Roman" w:hAnsi="Times New Roman" w:cs="Times New Roman"/>
              </w:rPr>
              <w:t xml:space="preserve">Zariadenie na spoluspaľovanie odpadov je stacionárnym technickým zariadením alebo prenosným technickým zariadením, ktorého hlavným účelom je výroba energie alebo iného materiálového produktu, v ktorom sa odpady používajú ako riadne palivo alebo prídavné palivo alebo v ktorom sa odpady tepelne upravujú na účely ich zneškodnenia oxidáciou, ako aj inými procesmi tepelného spracovania, ako sú pyrolytické, splyňovacie alebo plazmové procesy, ak sa látky vzniknuté pri takomto postupe následne spália, vymedzené podľa vykonávacieho predpisu podľa § 62 písm. f). Ak sa spoluspaľovanie odpadov uskutočňuje tak, že hlavným účelom zariadenia na spoluspaľovanie odpadov nie je výroba energie alebo iného materiálového produktu, ale tepelná úprava odpadov, zariadenie na spoluspaľovanie odpadov sa považuje za spaľovňu odpadov. </w:t>
            </w:r>
          </w:p>
          <w:p w14:paraId="151318AD" w14:textId="77777777" w:rsidR="007170C3" w:rsidRPr="008819AF" w:rsidRDefault="007170C3" w:rsidP="002628BF">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8AE" w14:textId="77777777" w:rsidR="001E7872" w:rsidRPr="008819AF" w:rsidRDefault="001E7872" w:rsidP="0021052F">
            <w:pPr>
              <w:ind w:left="215" w:hanging="215"/>
              <w:rPr>
                <w:rFonts w:eastAsia="Arial"/>
                <w:lang w:bidi="cs-CZ"/>
              </w:rPr>
            </w:pPr>
            <w:r w:rsidRPr="008819AF">
              <w:rPr>
                <w:rFonts w:eastAsia="Arial"/>
                <w:lang w:bidi="cs-CZ"/>
              </w:rPr>
              <w:t>Ú</w:t>
            </w:r>
          </w:p>
          <w:p w14:paraId="151318AF" w14:textId="77777777" w:rsidR="001E7872" w:rsidRPr="008819AF" w:rsidRDefault="001E7872" w:rsidP="0021052F">
            <w:pPr>
              <w:ind w:left="215" w:hanging="215"/>
              <w:rPr>
                <w:rFonts w:eastAsia="Arial"/>
                <w:lang w:bidi="cs-CZ"/>
              </w:rPr>
            </w:pPr>
          </w:p>
          <w:p w14:paraId="151318B0" w14:textId="77777777" w:rsidR="001E7872" w:rsidRPr="008819AF" w:rsidRDefault="001E7872" w:rsidP="0021052F">
            <w:pPr>
              <w:ind w:left="215" w:hanging="215"/>
              <w:rPr>
                <w:rFonts w:eastAsia="Arial"/>
                <w:lang w:bidi="cs-CZ"/>
              </w:rPr>
            </w:pPr>
          </w:p>
          <w:p w14:paraId="151318B1" w14:textId="77777777" w:rsidR="001E7872" w:rsidRPr="008819AF" w:rsidRDefault="001E7872" w:rsidP="0021052F">
            <w:pPr>
              <w:ind w:left="215" w:hanging="215"/>
              <w:rPr>
                <w:rFonts w:eastAsia="Arial"/>
                <w:lang w:bidi="cs-CZ"/>
              </w:rPr>
            </w:pPr>
          </w:p>
          <w:p w14:paraId="151318B2" w14:textId="77777777" w:rsidR="001E7872" w:rsidRPr="008819AF" w:rsidRDefault="001E7872" w:rsidP="0021052F">
            <w:pPr>
              <w:ind w:left="215" w:hanging="215"/>
              <w:rPr>
                <w:rFonts w:eastAsia="Arial"/>
                <w:lang w:bidi="cs-CZ"/>
              </w:rPr>
            </w:pPr>
            <w:r w:rsidRPr="008819AF">
              <w:rPr>
                <w:rFonts w:eastAsia="Arial"/>
                <w:lang w:bidi="cs-CZ"/>
              </w:rPr>
              <w:t>Ú</w:t>
            </w:r>
          </w:p>
          <w:p w14:paraId="151318B3" w14:textId="77777777" w:rsidR="001E7872" w:rsidRPr="008819AF" w:rsidRDefault="001E7872" w:rsidP="0021052F">
            <w:pPr>
              <w:ind w:left="215" w:hanging="215"/>
              <w:rPr>
                <w:rFonts w:eastAsia="Arial"/>
                <w:lang w:bidi="cs-CZ"/>
              </w:rPr>
            </w:pPr>
          </w:p>
          <w:p w14:paraId="151318B4" w14:textId="77777777" w:rsidR="007170C3" w:rsidRPr="008819AF" w:rsidRDefault="007170C3" w:rsidP="0021052F">
            <w:pPr>
              <w:ind w:left="215" w:hanging="215"/>
              <w:rPr>
                <w:rFonts w:eastAsia="Arial"/>
                <w:lang w:bidi="cs-CZ"/>
              </w:rPr>
            </w:pPr>
          </w:p>
          <w:p w14:paraId="151318B5" w14:textId="77777777" w:rsidR="001E7872" w:rsidRPr="008819AF" w:rsidRDefault="001E7872" w:rsidP="0021052F">
            <w:pPr>
              <w:ind w:left="215" w:hanging="215"/>
              <w:rPr>
                <w:rFonts w:eastAsia="Arial"/>
                <w:lang w:bidi="cs-CZ"/>
              </w:rPr>
            </w:pPr>
          </w:p>
          <w:p w14:paraId="151318B6" w14:textId="77777777" w:rsidR="001E7872" w:rsidRPr="008819AF" w:rsidRDefault="001E7872"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8B7" w14:textId="77777777" w:rsidR="007170C3" w:rsidRPr="008819AF" w:rsidRDefault="007170C3" w:rsidP="0021052F">
            <w:pPr>
              <w:ind w:left="215" w:hanging="215"/>
              <w:rPr>
                <w:rFonts w:eastAsia="Arial"/>
                <w:lang w:bidi="cs-CZ"/>
              </w:rPr>
            </w:pPr>
          </w:p>
        </w:tc>
      </w:tr>
      <w:tr w:rsidR="00F80158" w:rsidRPr="008819AF" w14:paraId="15131935" w14:textId="77777777" w:rsidTr="003E351D">
        <w:trPr>
          <w:trHeight w:val="7946"/>
          <w:jc w:val="center"/>
        </w:trPr>
        <w:tc>
          <w:tcPr>
            <w:tcW w:w="483" w:type="dxa"/>
            <w:tcBorders>
              <w:top w:val="single" w:sz="4" w:space="0" w:color="000000"/>
              <w:left w:val="single" w:sz="6" w:space="0" w:color="000000"/>
              <w:bottom w:val="single" w:sz="4" w:space="0" w:color="000000"/>
              <w:right w:val="single" w:sz="6" w:space="0" w:color="000000"/>
            </w:tcBorders>
          </w:tcPr>
          <w:p w14:paraId="151318B9"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8BA" w14:textId="77777777" w:rsidR="007170C3" w:rsidRPr="008819AF" w:rsidRDefault="009E10F3" w:rsidP="009E10F3">
            <w:pPr>
              <w:ind w:left="72"/>
              <w:rPr>
                <w:rFonts w:eastAsia="Arial"/>
              </w:rPr>
            </w:pPr>
            <w:r w:rsidRPr="008819AF">
              <w:rPr>
                <w:rFonts w:eastAsia="Arial"/>
              </w:rPr>
              <w:t xml:space="preserve">42. </w:t>
            </w:r>
            <w:r w:rsidR="006F0418" w:rsidRPr="008819AF">
              <w:rPr>
                <w:rFonts w:eastAsia="Arial"/>
              </w:rPr>
              <w:t>„menovitá kapacita“ je súčet spaľovacích kapacít pecí, z ktorých sa spaľovňa odpadov alebo zariadenie na spoluspaľovanie odpadov skladá, ako stanovil výrobca a potvrdil prevádzkovateľ, pričom sa náležite zohľadnila výhrevnosť odpadov, vyjadrená ako množstvo odpadu spáleného za hodinu;</w:t>
            </w:r>
          </w:p>
          <w:p w14:paraId="151318BB" w14:textId="77777777" w:rsidR="007170C3" w:rsidRPr="008819AF" w:rsidRDefault="009E10F3" w:rsidP="009E10F3">
            <w:pPr>
              <w:ind w:left="72"/>
              <w:rPr>
                <w:rFonts w:eastAsia="Arial"/>
              </w:rPr>
            </w:pPr>
            <w:r w:rsidRPr="008819AF">
              <w:rPr>
                <w:rFonts w:eastAsia="Arial"/>
              </w:rPr>
              <w:t xml:space="preserve">43. </w:t>
            </w:r>
            <w:r w:rsidR="006F0418" w:rsidRPr="008819AF">
              <w:rPr>
                <w:rFonts w:eastAsia="Arial"/>
              </w:rPr>
              <w:t>„dioxíny a furány“ sú všetky polychlórované dibenzo-p-dioxíny a dibenzofurány uvedené v prílohe VI časť 2;</w:t>
            </w:r>
          </w:p>
          <w:p w14:paraId="151318BC" w14:textId="77777777" w:rsidR="0074657B" w:rsidRPr="008819AF" w:rsidRDefault="0074657B" w:rsidP="009E10F3">
            <w:pPr>
              <w:rPr>
                <w:rFonts w:eastAsia="Arial"/>
              </w:rPr>
            </w:pPr>
          </w:p>
          <w:p w14:paraId="151318BD" w14:textId="77777777" w:rsidR="0074657B" w:rsidRPr="008819AF" w:rsidRDefault="0074657B" w:rsidP="009E10F3">
            <w:pPr>
              <w:rPr>
                <w:rFonts w:eastAsia="Arial"/>
              </w:rPr>
            </w:pPr>
          </w:p>
          <w:p w14:paraId="151318BE" w14:textId="77777777" w:rsidR="0074657B" w:rsidRPr="008819AF" w:rsidRDefault="0074657B" w:rsidP="009E10F3">
            <w:pPr>
              <w:rPr>
                <w:rFonts w:eastAsia="Arial"/>
              </w:rPr>
            </w:pPr>
          </w:p>
          <w:p w14:paraId="151318BF" w14:textId="77777777" w:rsidR="0074657B" w:rsidRPr="008819AF" w:rsidRDefault="0074657B" w:rsidP="009E10F3">
            <w:pPr>
              <w:rPr>
                <w:rFonts w:eastAsia="Arial"/>
              </w:rPr>
            </w:pPr>
          </w:p>
          <w:p w14:paraId="151318C0" w14:textId="77777777" w:rsidR="0074657B" w:rsidRPr="008819AF" w:rsidRDefault="0074657B" w:rsidP="009E10F3">
            <w:pPr>
              <w:rPr>
                <w:rFonts w:eastAsia="Arial"/>
              </w:rPr>
            </w:pPr>
          </w:p>
          <w:p w14:paraId="151318C1" w14:textId="77777777" w:rsidR="0074657B" w:rsidRPr="008819AF" w:rsidRDefault="0074657B" w:rsidP="009E10F3">
            <w:pPr>
              <w:rPr>
                <w:rFonts w:eastAsia="Arial"/>
              </w:rPr>
            </w:pPr>
          </w:p>
          <w:p w14:paraId="151318C2" w14:textId="77777777" w:rsidR="0074657B" w:rsidRPr="008819AF" w:rsidRDefault="0074657B" w:rsidP="009E10F3">
            <w:pPr>
              <w:rPr>
                <w:rFonts w:eastAsia="Arial"/>
              </w:rPr>
            </w:pPr>
          </w:p>
          <w:p w14:paraId="151318C3" w14:textId="77777777" w:rsidR="0074657B" w:rsidRPr="008819AF" w:rsidRDefault="0074657B" w:rsidP="009E10F3">
            <w:pPr>
              <w:rPr>
                <w:rFonts w:eastAsia="Arial"/>
              </w:rPr>
            </w:pPr>
          </w:p>
          <w:p w14:paraId="151318C4" w14:textId="77777777" w:rsidR="007170C3" w:rsidRPr="008819AF" w:rsidRDefault="009E10F3" w:rsidP="009E10F3">
            <w:pPr>
              <w:ind w:left="72"/>
              <w:rPr>
                <w:rFonts w:eastAsia="Arial"/>
              </w:rPr>
            </w:pPr>
            <w:r w:rsidRPr="008819AF">
              <w:rPr>
                <w:rFonts w:eastAsia="Arial"/>
              </w:rPr>
              <w:t xml:space="preserve">44. </w:t>
            </w:r>
            <w:r w:rsidR="006F0418" w:rsidRPr="008819AF">
              <w:rPr>
                <w:rFonts w:eastAsia="Arial"/>
              </w:rPr>
              <w:t>„organická zlúčenina“ je akákoľvek zlúčenina, ktorá obsahuje minimálne uhlík a jeden alebo niekoľko z nasledujúcich prvkov: vodík, halogény, kyslík, síru, fosfor, kremík alebo dusík, s výnimkou oxidov uhlíka a anorganických uhličitanov a hydrouhličitanov;</w:t>
            </w:r>
          </w:p>
          <w:p w14:paraId="151318C5" w14:textId="77777777" w:rsidR="0074657B" w:rsidRPr="008819AF" w:rsidRDefault="0074657B" w:rsidP="009E10F3">
            <w:pPr>
              <w:ind w:left="72"/>
              <w:rPr>
                <w:rFonts w:eastAsia="Arial"/>
              </w:rPr>
            </w:pPr>
          </w:p>
          <w:p w14:paraId="151318C6" w14:textId="77777777" w:rsidR="007170C3" w:rsidRPr="008819AF" w:rsidRDefault="009E10F3" w:rsidP="009E10F3">
            <w:pPr>
              <w:ind w:left="72"/>
              <w:rPr>
                <w:rFonts w:eastAsia="Arial"/>
              </w:rPr>
            </w:pPr>
            <w:r w:rsidRPr="008819AF">
              <w:rPr>
                <w:rFonts w:eastAsia="Arial"/>
              </w:rPr>
              <w:t xml:space="preserve">45. </w:t>
            </w:r>
            <w:r w:rsidR="006F0418" w:rsidRPr="008819AF">
              <w:rPr>
                <w:rFonts w:eastAsia="Arial"/>
              </w:rPr>
              <w:t>„prchavá organická zlúčenina“ je akákoľvek organická zlúčenina, vrátane frakcií kreozotu, ktorá má pri teplote293,15 K tlak pár 0,01 kPa alebo viac, alebo ktorá má zodpovedajúcu prchavosť za konkrétnych podmienok použitia;</w:t>
            </w:r>
          </w:p>
          <w:p w14:paraId="151318C7" w14:textId="77777777" w:rsidR="007170C3" w:rsidRPr="008819AF" w:rsidRDefault="009E10F3" w:rsidP="009E10F3">
            <w:pPr>
              <w:ind w:left="72"/>
              <w:rPr>
                <w:rFonts w:eastAsia="Arial"/>
              </w:rPr>
            </w:pPr>
            <w:r w:rsidRPr="008819AF">
              <w:rPr>
                <w:rFonts w:eastAsia="Arial"/>
              </w:rPr>
              <w:t xml:space="preserve">46. </w:t>
            </w:r>
            <w:r w:rsidR="006F0418" w:rsidRPr="008819AF">
              <w:rPr>
                <w:rFonts w:eastAsia="Arial"/>
              </w:rPr>
              <w:t>„organické rozpúšťadlo“ je akákoľvek prchavá organická zlúčenina, ktorá sa používa na ktorýkoľvek z týchto účelov:</w:t>
            </w:r>
          </w:p>
          <w:p w14:paraId="151318C8" w14:textId="77777777" w:rsidR="007170C3" w:rsidRPr="008819AF" w:rsidRDefault="006F0418" w:rsidP="009C63CF">
            <w:pPr>
              <w:numPr>
                <w:ilvl w:val="0"/>
                <w:numId w:val="88"/>
              </w:numPr>
              <w:rPr>
                <w:rFonts w:eastAsia="Arial"/>
              </w:rPr>
            </w:pPr>
            <w:r w:rsidRPr="008819AF">
              <w:rPr>
                <w:rFonts w:eastAsia="Arial"/>
              </w:rPr>
              <w:t>samostatne alebo v kombinácii s ostatnými činidlami bez toho, že by prechádzala chemickou zmenou, na rozpúšťanie surovín, výrobkov alebo odpadových materiálov;</w:t>
            </w:r>
          </w:p>
          <w:p w14:paraId="151318C9" w14:textId="77777777" w:rsidR="007170C3" w:rsidRPr="008819AF" w:rsidRDefault="006F0418" w:rsidP="009C63CF">
            <w:pPr>
              <w:numPr>
                <w:ilvl w:val="0"/>
                <w:numId w:val="88"/>
              </w:numPr>
              <w:rPr>
                <w:rFonts w:eastAsia="Arial"/>
              </w:rPr>
            </w:pPr>
            <w:r w:rsidRPr="008819AF">
              <w:rPr>
                <w:rFonts w:eastAsia="Arial"/>
              </w:rPr>
              <w:t>ako čistiaci prostriedok na rozpúšťanie znečisťujúcich látok;</w:t>
            </w:r>
          </w:p>
          <w:p w14:paraId="151318CA" w14:textId="77777777" w:rsidR="007170C3" w:rsidRPr="008819AF" w:rsidRDefault="006F0418" w:rsidP="009C63CF">
            <w:pPr>
              <w:numPr>
                <w:ilvl w:val="0"/>
                <w:numId w:val="88"/>
              </w:numPr>
              <w:rPr>
                <w:rFonts w:eastAsia="Arial"/>
              </w:rPr>
            </w:pPr>
            <w:r w:rsidRPr="008819AF">
              <w:rPr>
                <w:rFonts w:eastAsia="Arial"/>
              </w:rPr>
              <w:t>ako rozpúšťadlo;</w:t>
            </w:r>
          </w:p>
          <w:p w14:paraId="151318CB" w14:textId="77777777" w:rsidR="007170C3" w:rsidRPr="008819AF" w:rsidRDefault="006F0418" w:rsidP="009C63CF">
            <w:pPr>
              <w:numPr>
                <w:ilvl w:val="0"/>
                <w:numId w:val="88"/>
              </w:numPr>
              <w:rPr>
                <w:rFonts w:eastAsia="Arial"/>
              </w:rPr>
            </w:pPr>
            <w:r w:rsidRPr="008819AF">
              <w:rPr>
                <w:rFonts w:eastAsia="Arial"/>
              </w:rPr>
              <w:t>ako disperzné médium;</w:t>
            </w:r>
          </w:p>
          <w:p w14:paraId="151318CC" w14:textId="77777777" w:rsidR="007170C3" w:rsidRPr="008819AF" w:rsidRDefault="006F0418" w:rsidP="009C63CF">
            <w:pPr>
              <w:numPr>
                <w:ilvl w:val="0"/>
                <w:numId w:val="88"/>
              </w:numPr>
              <w:rPr>
                <w:rFonts w:eastAsia="Arial"/>
              </w:rPr>
            </w:pPr>
            <w:r w:rsidRPr="008819AF">
              <w:rPr>
                <w:rFonts w:eastAsia="Arial"/>
              </w:rPr>
              <w:t>na úpravu viskozity;</w:t>
            </w:r>
          </w:p>
          <w:p w14:paraId="151318CD" w14:textId="77777777" w:rsidR="007170C3" w:rsidRPr="008819AF" w:rsidRDefault="006F0418" w:rsidP="009C63CF">
            <w:pPr>
              <w:numPr>
                <w:ilvl w:val="0"/>
                <w:numId w:val="88"/>
              </w:numPr>
              <w:rPr>
                <w:rFonts w:eastAsia="Arial"/>
              </w:rPr>
            </w:pPr>
            <w:r w:rsidRPr="008819AF">
              <w:rPr>
                <w:rFonts w:eastAsia="Arial"/>
              </w:rPr>
              <w:t>na úpravu povrchového napätia;</w:t>
            </w:r>
          </w:p>
          <w:p w14:paraId="151318CE" w14:textId="77777777" w:rsidR="007170C3" w:rsidRPr="008819AF" w:rsidRDefault="006F0418" w:rsidP="009C63CF">
            <w:pPr>
              <w:numPr>
                <w:ilvl w:val="0"/>
                <w:numId w:val="88"/>
              </w:numPr>
              <w:rPr>
                <w:rFonts w:eastAsia="Arial"/>
              </w:rPr>
            </w:pPr>
            <w:r w:rsidRPr="008819AF">
              <w:rPr>
                <w:rFonts w:eastAsia="Arial"/>
              </w:rPr>
              <w:t>ako zmäkčovadlo;</w:t>
            </w:r>
          </w:p>
          <w:p w14:paraId="151318CF" w14:textId="77777777" w:rsidR="007170C3" w:rsidRPr="008819AF" w:rsidRDefault="006F0418" w:rsidP="009C63CF">
            <w:pPr>
              <w:numPr>
                <w:ilvl w:val="0"/>
                <w:numId w:val="88"/>
              </w:numPr>
              <w:rPr>
                <w:rFonts w:eastAsia="Arial"/>
              </w:rPr>
            </w:pPr>
            <w:r w:rsidRPr="008819AF">
              <w:rPr>
                <w:rFonts w:eastAsia="Arial"/>
              </w:rPr>
              <w:t>ako konzervačný prostriedok;</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8D0" w14:textId="77777777" w:rsidR="007170C3" w:rsidRPr="008819AF" w:rsidRDefault="002628BF" w:rsidP="0021052F">
            <w:pPr>
              <w:ind w:left="-70" w:right="-68" w:hanging="6"/>
              <w:jc w:val="center"/>
              <w:rPr>
                <w:rFonts w:eastAsia="Arial"/>
                <w:lang w:bidi="cs-CZ"/>
              </w:rPr>
            </w:pPr>
            <w:r w:rsidRPr="008819AF">
              <w:rPr>
                <w:rFonts w:eastAsia="Arial"/>
                <w:lang w:bidi="cs-CZ"/>
              </w:rPr>
              <w:t>N</w:t>
            </w:r>
          </w:p>
          <w:p w14:paraId="151318D1" w14:textId="77777777" w:rsidR="007170C3" w:rsidRPr="008819AF" w:rsidRDefault="007170C3" w:rsidP="0021052F">
            <w:pPr>
              <w:ind w:left="-70" w:right="-68" w:hanging="6"/>
              <w:jc w:val="center"/>
              <w:rPr>
                <w:rFonts w:eastAsia="Arial"/>
                <w:lang w:bidi="cs-CZ"/>
              </w:rPr>
            </w:pPr>
          </w:p>
          <w:p w14:paraId="151318D2" w14:textId="77777777" w:rsidR="007170C3" w:rsidRPr="008819AF" w:rsidRDefault="007170C3" w:rsidP="0021052F">
            <w:pPr>
              <w:ind w:left="-70" w:right="-68" w:hanging="6"/>
              <w:jc w:val="center"/>
              <w:rPr>
                <w:rFonts w:eastAsia="Arial"/>
                <w:lang w:bidi="cs-CZ"/>
              </w:rPr>
            </w:pPr>
          </w:p>
          <w:p w14:paraId="151318D3" w14:textId="77777777" w:rsidR="007170C3" w:rsidRPr="008819AF" w:rsidRDefault="007170C3" w:rsidP="0021052F">
            <w:pPr>
              <w:ind w:left="-70" w:right="-68" w:hanging="6"/>
              <w:jc w:val="center"/>
              <w:rPr>
                <w:rFonts w:eastAsia="Arial"/>
                <w:lang w:bidi="cs-CZ"/>
              </w:rPr>
            </w:pPr>
          </w:p>
          <w:p w14:paraId="151318D4" w14:textId="77777777" w:rsidR="007170C3" w:rsidRPr="008819AF" w:rsidRDefault="007170C3" w:rsidP="0021052F">
            <w:pPr>
              <w:ind w:left="-70" w:right="-68" w:hanging="6"/>
              <w:jc w:val="center"/>
              <w:rPr>
                <w:rFonts w:eastAsia="Arial"/>
                <w:lang w:bidi="cs-CZ"/>
              </w:rPr>
            </w:pPr>
          </w:p>
          <w:p w14:paraId="151318D5" w14:textId="77777777" w:rsidR="007170C3" w:rsidRPr="008819AF" w:rsidRDefault="00A50BDB" w:rsidP="0021052F">
            <w:pPr>
              <w:ind w:left="-70" w:right="-68" w:hanging="6"/>
              <w:jc w:val="center"/>
              <w:rPr>
                <w:rFonts w:eastAsia="Arial"/>
                <w:lang w:bidi="cs-CZ"/>
              </w:rPr>
            </w:pPr>
            <w:r w:rsidRPr="008819AF">
              <w:rPr>
                <w:rFonts w:eastAsia="Arial"/>
                <w:lang w:bidi="cs-CZ"/>
              </w:rPr>
              <w:t>N</w:t>
            </w:r>
          </w:p>
          <w:p w14:paraId="151318D6" w14:textId="77777777" w:rsidR="0074657B" w:rsidRPr="008819AF" w:rsidRDefault="0074657B" w:rsidP="0021052F">
            <w:pPr>
              <w:ind w:left="-70" w:right="-68" w:hanging="6"/>
              <w:jc w:val="center"/>
              <w:rPr>
                <w:rFonts w:eastAsia="Arial"/>
                <w:lang w:bidi="cs-CZ"/>
              </w:rPr>
            </w:pPr>
          </w:p>
          <w:p w14:paraId="151318D7" w14:textId="77777777" w:rsidR="0074657B" w:rsidRPr="008819AF" w:rsidRDefault="0074657B" w:rsidP="0021052F">
            <w:pPr>
              <w:ind w:left="-70" w:right="-68" w:hanging="6"/>
              <w:jc w:val="center"/>
              <w:rPr>
                <w:rFonts w:eastAsia="Arial"/>
                <w:lang w:bidi="cs-CZ"/>
              </w:rPr>
            </w:pPr>
          </w:p>
          <w:p w14:paraId="151318D8" w14:textId="77777777" w:rsidR="0074657B" w:rsidRPr="008819AF" w:rsidRDefault="0074657B" w:rsidP="0021052F">
            <w:pPr>
              <w:ind w:left="-70" w:right="-68" w:hanging="6"/>
              <w:jc w:val="center"/>
              <w:rPr>
                <w:rFonts w:eastAsia="Arial"/>
                <w:lang w:bidi="cs-CZ"/>
              </w:rPr>
            </w:pPr>
          </w:p>
          <w:p w14:paraId="151318D9" w14:textId="77777777" w:rsidR="0074657B" w:rsidRPr="008819AF" w:rsidRDefault="0074657B" w:rsidP="0021052F">
            <w:pPr>
              <w:ind w:left="-70" w:right="-68" w:hanging="6"/>
              <w:jc w:val="center"/>
              <w:rPr>
                <w:rFonts w:eastAsia="Arial"/>
                <w:lang w:bidi="cs-CZ"/>
              </w:rPr>
            </w:pPr>
          </w:p>
          <w:p w14:paraId="151318DA" w14:textId="77777777" w:rsidR="0074657B" w:rsidRPr="008819AF" w:rsidRDefault="0074657B" w:rsidP="0021052F">
            <w:pPr>
              <w:ind w:left="-70" w:right="-68" w:hanging="6"/>
              <w:jc w:val="center"/>
              <w:rPr>
                <w:rFonts w:eastAsia="Arial"/>
                <w:lang w:bidi="cs-CZ"/>
              </w:rPr>
            </w:pPr>
          </w:p>
          <w:p w14:paraId="151318DB" w14:textId="77777777" w:rsidR="0074657B" w:rsidRPr="008819AF" w:rsidRDefault="0074657B" w:rsidP="0021052F">
            <w:pPr>
              <w:ind w:left="-70" w:right="-68" w:hanging="6"/>
              <w:jc w:val="center"/>
              <w:rPr>
                <w:rFonts w:eastAsia="Arial"/>
                <w:lang w:bidi="cs-CZ"/>
              </w:rPr>
            </w:pPr>
          </w:p>
          <w:p w14:paraId="151318DC" w14:textId="77777777" w:rsidR="0074657B" w:rsidRPr="008819AF" w:rsidRDefault="0074657B" w:rsidP="0021052F">
            <w:pPr>
              <w:ind w:left="-70" w:right="-68" w:hanging="6"/>
              <w:jc w:val="center"/>
              <w:rPr>
                <w:rFonts w:eastAsia="Arial"/>
                <w:lang w:bidi="cs-CZ"/>
              </w:rPr>
            </w:pPr>
          </w:p>
          <w:p w14:paraId="151318DD" w14:textId="77777777" w:rsidR="0074657B" w:rsidRPr="008819AF" w:rsidRDefault="0074657B" w:rsidP="0021052F">
            <w:pPr>
              <w:ind w:left="-70" w:right="-68" w:hanging="6"/>
              <w:jc w:val="center"/>
              <w:rPr>
                <w:rFonts w:eastAsia="Arial"/>
                <w:lang w:bidi="cs-CZ"/>
              </w:rPr>
            </w:pPr>
          </w:p>
          <w:p w14:paraId="151318DE" w14:textId="77777777" w:rsidR="0074657B" w:rsidRPr="008819AF" w:rsidRDefault="0074657B" w:rsidP="0021052F">
            <w:pPr>
              <w:ind w:left="-70" w:right="-68" w:hanging="6"/>
              <w:jc w:val="center"/>
              <w:rPr>
                <w:rFonts w:eastAsia="Arial"/>
                <w:lang w:bidi="cs-CZ"/>
              </w:rPr>
            </w:pPr>
          </w:p>
          <w:p w14:paraId="151318DF" w14:textId="77777777" w:rsidR="0074657B" w:rsidRPr="008819AF" w:rsidRDefault="0074657B" w:rsidP="0021052F">
            <w:pPr>
              <w:ind w:left="-70" w:right="-68" w:hanging="6"/>
              <w:jc w:val="center"/>
              <w:rPr>
                <w:rFonts w:eastAsia="Arial"/>
                <w:lang w:bidi="cs-CZ"/>
              </w:rPr>
            </w:pPr>
            <w:r w:rsidRPr="008819AF">
              <w:rPr>
                <w:rFonts w:eastAsia="Arial"/>
                <w:lang w:bidi="cs-CZ"/>
              </w:rPr>
              <w:t>N</w:t>
            </w:r>
          </w:p>
          <w:p w14:paraId="151318E0" w14:textId="77777777" w:rsidR="0074657B" w:rsidRPr="008819AF" w:rsidRDefault="0074657B" w:rsidP="0021052F">
            <w:pPr>
              <w:ind w:left="-70" w:right="-68" w:hanging="6"/>
              <w:jc w:val="center"/>
              <w:rPr>
                <w:rFonts w:eastAsia="Arial"/>
                <w:lang w:bidi="cs-CZ"/>
              </w:rPr>
            </w:pPr>
          </w:p>
          <w:p w14:paraId="151318E1" w14:textId="77777777" w:rsidR="0074657B" w:rsidRPr="008819AF" w:rsidRDefault="0074657B" w:rsidP="0021052F">
            <w:pPr>
              <w:ind w:left="-70" w:right="-68" w:hanging="6"/>
              <w:jc w:val="center"/>
              <w:rPr>
                <w:rFonts w:eastAsia="Arial"/>
                <w:lang w:bidi="cs-CZ"/>
              </w:rPr>
            </w:pPr>
          </w:p>
          <w:p w14:paraId="151318E2" w14:textId="77777777" w:rsidR="0074657B" w:rsidRPr="008819AF" w:rsidRDefault="0074657B" w:rsidP="0021052F">
            <w:pPr>
              <w:ind w:left="-70" w:right="-68" w:hanging="6"/>
              <w:jc w:val="center"/>
              <w:rPr>
                <w:rFonts w:eastAsia="Arial"/>
                <w:lang w:bidi="cs-CZ"/>
              </w:rPr>
            </w:pPr>
          </w:p>
          <w:p w14:paraId="151318E3" w14:textId="77777777" w:rsidR="0074657B" w:rsidRPr="008819AF" w:rsidRDefault="0074657B" w:rsidP="0021052F">
            <w:pPr>
              <w:ind w:left="-70" w:right="-68" w:hanging="6"/>
              <w:jc w:val="center"/>
              <w:rPr>
                <w:rFonts w:eastAsia="Arial"/>
                <w:lang w:bidi="cs-CZ"/>
              </w:rPr>
            </w:pPr>
          </w:p>
          <w:p w14:paraId="151318E4" w14:textId="77777777" w:rsidR="0074657B" w:rsidRPr="008819AF" w:rsidRDefault="0074657B" w:rsidP="0021052F">
            <w:pPr>
              <w:ind w:left="-70" w:right="-68" w:hanging="6"/>
              <w:jc w:val="center"/>
              <w:rPr>
                <w:rFonts w:eastAsia="Arial"/>
                <w:lang w:bidi="cs-CZ"/>
              </w:rPr>
            </w:pPr>
            <w:r w:rsidRPr="008819AF">
              <w:rPr>
                <w:rFonts w:eastAsia="Arial"/>
                <w:lang w:bidi="cs-CZ"/>
              </w:rPr>
              <w:t>N</w:t>
            </w:r>
          </w:p>
          <w:p w14:paraId="151318E5" w14:textId="77777777" w:rsidR="0074657B" w:rsidRPr="008819AF" w:rsidRDefault="0074657B" w:rsidP="0021052F">
            <w:pPr>
              <w:ind w:left="-70" w:right="-68" w:hanging="6"/>
              <w:jc w:val="center"/>
              <w:rPr>
                <w:rFonts w:eastAsia="Arial"/>
                <w:lang w:bidi="cs-CZ"/>
              </w:rPr>
            </w:pPr>
          </w:p>
          <w:p w14:paraId="151318E6" w14:textId="77777777" w:rsidR="0074657B" w:rsidRPr="008819AF" w:rsidRDefault="0074657B" w:rsidP="0021052F">
            <w:pPr>
              <w:ind w:left="-70" w:right="-68" w:hanging="6"/>
              <w:jc w:val="center"/>
              <w:rPr>
                <w:rFonts w:eastAsia="Arial"/>
                <w:lang w:bidi="cs-CZ"/>
              </w:rPr>
            </w:pPr>
          </w:p>
          <w:p w14:paraId="151318E7" w14:textId="77777777" w:rsidR="0074657B" w:rsidRPr="008819AF" w:rsidRDefault="0074657B" w:rsidP="0021052F">
            <w:pPr>
              <w:ind w:left="-70" w:right="-68" w:hanging="6"/>
              <w:jc w:val="center"/>
              <w:rPr>
                <w:rFonts w:eastAsia="Arial"/>
                <w:lang w:bidi="cs-CZ"/>
              </w:rPr>
            </w:pPr>
          </w:p>
          <w:p w14:paraId="151318E8" w14:textId="77777777" w:rsidR="0074657B" w:rsidRPr="008819AF" w:rsidRDefault="00150B18" w:rsidP="0021052F">
            <w:pPr>
              <w:ind w:left="-70" w:right="-68" w:hanging="6"/>
              <w:jc w:val="center"/>
              <w:rPr>
                <w:rFonts w:eastAsia="Arial"/>
                <w:lang w:bidi="cs-CZ"/>
              </w:rPr>
            </w:pPr>
            <w:r w:rsidRPr="008819AF">
              <w:rPr>
                <w:rFonts w:eastAsia="Arial"/>
                <w:lang w:bidi="cs-CZ"/>
              </w:rPr>
              <w:t>N</w:t>
            </w:r>
          </w:p>
          <w:p w14:paraId="151318E9"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8EA" w14:textId="77777777" w:rsidR="007170C3" w:rsidRPr="008819AF" w:rsidRDefault="006F0418" w:rsidP="0021052F">
            <w:pPr>
              <w:jc w:val="center"/>
              <w:rPr>
                <w:rFonts w:eastAsia="Arial"/>
                <w:lang w:bidi="cs-CZ"/>
              </w:rPr>
            </w:pPr>
            <w:r w:rsidRPr="008819AF">
              <w:rPr>
                <w:rFonts w:eastAsia="Arial"/>
                <w:lang w:bidi="cs-CZ"/>
              </w:rPr>
              <w:t>NV2</w:t>
            </w:r>
          </w:p>
          <w:p w14:paraId="151318EB" w14:textId="77777777" w:rsidR="007170C3" w:rsidRPr="008819AF" w:rsidRDefault="007170C3" w:rsidP="0021052F">
            <w:pPr>
              <w:jc w:val="center"/>
              <w:rPr>
                <w:rFonts w:eastAsia="Arial"/>
                <w:lang w:bidi="cs-CZ"/>
              </w:rPr>
            </w:pPr>
          </w:p>
          <w:p w14:paraId="151318EC" w14:textId="77777777" w:rsidR="007170C3" w:rsidRPr="008819AF" w:rsidRDefault="007170C3" w:rsidP="0021052F">
            <w:pPr>
              <w:jc w:val="center"/>
              <w:rPr>
                <w:rFonts w:eastAsia="Arial"/>
                <w:lang w:bidi="cs-CZ"/>
              </w:rPr>
            </w:pPr>
          </w:p>
          <w:p w14:paraId="151318ED" w14:textId="77777777" w:rsidR="007170C3" w:rsidRPr="008819AF" w:rsidRDefault="007170C3" w:rsidP="0021052F">
            <w:pPr>
              <w:jc w:val="center"/>
              <w:rPr>
                <w:rFonts w:eastAsia="Arial"/>
                <w:lang w:bidi="cs-CZ"/>
              </w:rPr>
            </w:pPr>
          </w:p>
          <w:p w14:paraId="151318EE" w14:textId="77777777" w:rsidR="007170C3" w:rsidRPr="008819AF" w:rsidRDefault="007170C3" w:rsidP="0021052F">
            <w:pPr>
              <w:jc w:val="center"/>
              <w:rPr>
                <w:rFonts w:eastAsia="Arial"/>
                <w:lang w:bidi="cs-CZ"/>
              </w:rPr>
            </w:pPr>
          </w:p>
          <w:p w14:paraId="151318EF" w14:textId="77777777" w:rsidR="007170C3" w:rsidRPr="008819AF" w:rsidRDefault="00A50BDB" w:rsidP="0021052F">
            <w:pPr>
              <w:jc w:val="center"/>
              <w:rPr>
                <w:rFonts w:eastAsia="Arial"/>
                <w:lang w:bidi="cs-CZ"/>
              </w:rPr>
            </w:pPr>
            <w:r w:rsidRPr="008819AF">
              <w:rPr>
                <w:rFonts w:eastAsia="Arial"/>
                <w:lang w:bidi="cs-CZ"/>
              </w:rPr>
              <w:t>NV2</w:t>
            </w:r>
          </w:p>
          <w:p w14:paraId="151318F0" w14:textId="77777777" w:rsidR="007170C3" w:rsidRPr="008819AF" w:rsidRDefault="007170C3" w:rsidP="0021052F">
            <w:pPr>
              <w:jc w:val="center"/>
              <w:rPr>
                <w:rFonts w:eastAsia="Arial"/>
                <w:lang w:bidi="cs-CZ"/>
              </w:rPr>
            </w:pPr>
          </w:p>
          <w:p w14:paraId="151318F1" w14:textId="77777777" w:rsidR="007170C3" w:rsidRPr="008819AF" w:rsidRDefault="007170C3" w:rsidP="0021052F">
            <w:pPr>
              <w:jc w:val="center"/>
              <w:rPr>
                <w:rFonts w:eastAsia="Arial"/>
                <w:lang w:bidi="cs-CZ"/>
              </w:rPr>
            </w:pPr>
          </w:p>
          <w:p w14:paraId="151318F2" w14:textId="77777777" w:rsidR="0074657B" w:rsidRPr="008819AF" w:rsidRDefault="0074657B" w:rsidP="0021052F">
            <w:pPr>
              <w:jc w:val="center"/>
              <w:rPr>
                <w:rFonts w:eastAsia="Arial"/>
                <w:lang w:bidi="cs-CZ"/>
              </w:rPr>
            </w:pPr>
          </w:p>
          <w:p w14:paraId="151318F3" w14:textId="77777777" w:rsidR="0074657B" w:rsidRPr="008819AF" w:rsidRDefault="0074657B" w:rsidP="0021052F">
            <w:pPr>
              <w:jc w:val="center"/>
              <w:rPr>
                <w:rFonts w:eastAsia="Arial"/>
                <w:lang w:bidi="cs-CZ"/>
              </w:rPr>
            </w:pPr>
          </w:p>
          <w:p w14:paraId="151318F4" w14:textId="77777777" w:rsidR="0074657B" w:rsidRPr="008819AF" w:rsidRDefault="0074657B" w:rsidP="0021052F">
            <w:pPr>
              <w:jc w:val="center"/>
              <w:rPr>
                <w:rFonts w:eastAsia="Arial"/>
                <w:lang w:bidi="cs-CZ"/>
              </w:rPr>
            </w:pPr>
          </w:p>
          <w:p w14:paraId="151318F5" w14:textId="77777777" w:rsidR="0074657B" w:rsidRPr="008819AF" w:rsidRDefault="0074657B" w:rsidP="0021052F">
            <w:pPr>
              <w:jc w:val="center"/>
              <w:rPr>
                <w:rFonts w:eastAsia="Arial"/>
                <w:lang w:bidi="cs-CZ"/>
              </w:rPr>
            </w:pPr>
          </w:p>
          <w:p w14:paraId="151318F6" w14:textId="77777777" w:rsidR="0074657B" w:rsidRPr="008819AF" w:rsidRDefault="0074657B" w:rsidP="0021052F">
            <w:pPr>
              <w:jc w:val="center"/>
              <w:rPr>
                <w:rFonts w:eastAsia="Arial"/>
                <w:lang w:bidi="cs-CZ"/>
              </w:rPr>
            </w:pPr>
          </w:p>
          <w:p w14:paraId="151318F7" w14:textId="77777777" w:rsidR="0074657B" w:rsidRPr="008819AF" w:rsidRDefault="0074657B" w:rsidP="0021052F">
            <w:pPr>
              <w:jc w:val="center"/>
              <w:rPr>
                <w:rFonts w:eastAsia="Arial"/>
                <w:lang w:bidi="cs-CZ"/>
              </w:rPr>
            </w:pPr>
          </w:p>
          <w:p w14:paraId="151318F8" w14:textId="77777777" w:rsidR="0074657B" w:rsidRPr="008819AF" w:rsidRDefault="0074657B" w:rsidP="0021052F">
            <w:pPr>
              <w:jc w:val="center"/>
              <w:rPr>
                <w:rFonts w:eastAsia="Arial"/>
                <w:lang w:bidi="cs-CZ"/>
              </w:rPr>
            </w:pPr>
          </w:p>
          <w:p w14:paraId="151318F9" w14:textId="77777777" w:rsidR="007170C3" w:rsidRPr="008819AF" w:rsidRDefault="0074657B" w:rsidP="0021052F">
            <w:pPr>
              <w:jc w:val="center"/>
              <w:rPr>
                <w:rFonts w:eastAsia="Arial"/>
                <w:lang w:bidi="cs-CZ"/>
              </w:rPr>
            </w:pPr>
            <w:r w:rsidRPr="008819AF">
              <w:rPr>
                <w:rFonts w:eastAsia="Arial"/>
                <w:lang w:bidi="cs-CZ"/>
              </w:rPr>
              <w:t>NV2</w:t>
            </w:r>
          </w:p>
          <w:p w14:paraId="151318FA" w14:textId="77777777" w:rsidR="0074657B" w:rsidRPr="008819AF" w:rsidRDefault="0074657B" w:rsidP="0021052F">
            <w:pPr>
              <w:jc w:val="center"/>
              <w:rPr>
                <w:rFonts w:eastAsia="Arial"/>
                <w:lang w:bidi="cs-CZ"/>
              </w:rPr>
            </w:pPr>
          </w:p>
          <w:p w14:paraId="151318FB" w14:textId="77777777" w:rsidR="0074657B" w:rsidRPr="008819AF" w:rsidRDefault="0074657B" w:rsidP="0021052F">
            <w:pPr>
              <w:jc w:val="center"/>
              <w:rPr>
                <w:rFonts w:eastAsia="Arial"/>
                <w:lang w:bidi="cs-CZ"/>
              </w:rPr>
            </w:pPr>
          </w:p>
          <w:p w14:paraId="151318FC" w14:textId="77777777" w:rsidR="0074657B" w:rsidRPr="008819AF" w:rsidRDefault="0074657B" w:rsidP="0021052F">
            <w:pPr>
              <w:jc w:val="center"/>
              <w:rPr>
                <w:rFonts w:eastAsia="Arial"/>
                <w:lang w:bidi="cs-CZ"/>
              </w:rPr>
            </w:pPr>
          </w:p>
          <w:p w14:paraId="151318FD" w14:textId="77777777" w:rsidR="0074657B" w:rsidRPr="008819AF" w:rsidRDefault="0074657B" w:rsidP="0021052F">
            <w:pPr>
              <w:jc w:val="center"/>
              <w:rPr>
                <w:rFonts w:eastAsia="Arial"/>
                <w:lang w:bidi="cs-CZ"/>
              </w:rPr>
            </w:pPr>
          </w:p>
          <w:p w14:paraId="151318FE" w14:textId="77777777" w:rsidR="0074657B" w:rsidRPr="008819AF" w:rsidRDefault="0074657B" w:rsidP="0021052F">
            <w:pPr>
              <w:jc w:val="center"/>
              <w:rPr>
                <w:rFonts w:eastAsia="Arial"/>
                <w:lang w:bidi="cs-CZ"/>
              </w:rPr>
            </w:pPr>
            <w:r w:rsidRPr="008819AF">
              <w:rPr>
                <w:rFonts w:eastAsia="Arial"/>
                <w:lang w:bidi="cs-CZ"/>
              </w:rPr>
              <w:t>NV2</w:t>
            </w:r>
          </w:p>
          <w:p w14:paraId="151318FF" w14:textId="77777777" w:rsidR="0074657B" w:rsidRPr="008819AF" w:rsidRDefault="0074657B" w:rsidP="0021052F">
            <w:pPr>
              <w:jc w:val="center"/>
              <w:rPr>
                <w:rFonts w:eastAsia="Arial"/>
                <w:lang w:bidi="cs-CZ"/>
              </w:rPr>
            </w:pPr>
          </w:p>
          <w:p w14:paraId="15131900" w14:textId="77777777" w:rsidR="0074657B" w:rsidRPr="008819AF" w:rsidRDefault="0074657B" w:rsidP="0021052F">
            <w:pPr>
              <w:jc w:val="center"/>
              <w:rPr>
                <w:rFonts w:eastAsia="Arial"/>
                <w:lang w:bidi="cs-CZ"/>
              </w:rPr>
            </w:pPr>
          </w:p>
          <w:p w14:paraId="15131901" w14:textId="77777777" w:rsidR="0074657B" w:rsidRPr="008819AF" w:rsidRDefault="0074657B" w:rsidP="0021052F">
            <w:pPr>
              <w:jc w:val="center"/>
              <w:rPr>
                <w:rFonts w:eastAsia="Arial"/>
                <w:lang w:bidi="cs-CZ"/>
              </w:rPr>
            </w:pPr>
          </w:p>
          <w:p w14:paraId="15131902" w14:textId="77777777" w:rsidR="0074657B" w:rsidRPr="008819AF" w:rsidRDefault="00150B18" w:rsidP="0021052F">
            <w:pPr>
              <w:jc w:val="center"/>
              <w:rPr>
                <w:rFonts w:eastAsia="Arial"/>
                <w:lang w:bidi="cs-CZ"/>
              </w:rPr>
            </w:pPr>
            <w:r w:rsidRPr="008819AF">
              <w:rPr>
                <w:rFonts w:eastAsia="Arial"/>
                <w:lang w:bidi="cs-CZ"/>
              </w:rPr>
              <w:t>NV2</w:t>
            </w:r>
          </w:p>
          <w:p w14:paraId="15131903"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904"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05"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06"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07"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08"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09" w14:textId="77777777" w:rsidR="007170C3" w:rsidRPr="008819AF" w:rsidRDefault="002628BF"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Pr.2</w:t>
            </w:r>
          </w:p>
          <w:p w14:paraId="1513190A" w14:textId="77777777" w:rsidR="002628BF" w:rsidRPr="008819AF" w:rsidRDefault="0074657B"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Časť I</w:t>
            </w:r>
          </w:p>
          <w:p w14:paraId="1513190B" w14:textId="77777777" w:rsidR="002628BF" w:rsidRPr="008819AF" w:rsidRDefault="002628BF" w:rsidP="0021052F">
            <w:pPr>
              <w:pStyle w:val="BodyText21"/>
              <w:spacing w:before="0" w:line="240" w:lineRule="auto"/>
              <w:ind w:left="0" w:right="-70" w:firstLine="0"/>
              <w:jc w:val="center"/>
              <w:rPr>
                <w:rFonts w:ascii="Times New Roman" w:hAnsi="Times New Roman" w:cs="Times New Roman"/>
              </w:rPr>
            </w:pPr>
          </w:p>
          <w:p w14:paraId="1513190C"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0D"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0E"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0F"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10"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11"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12" w14:textId="77777777" w:rsidR="007170C3" w:rsidRPr="008819AF" w:rsidRDefault="0074657B"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§2</w:t>
            </w:r>
          </w:p>
          <w:p w14:paraId="15131913" w14:textId="77777777" w:rsidR="0074657B" w:rsidRPr="008819AF" w:rsidRDefault="0074657B"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Pi)</w:t>
            </w:r>
          </w:p>
          <w:p w14:paraId="15131914" w14:textId="77777777" w:rsidR="0074657B" w:rsidRPr="008819AF" w:rsidRDefault="0074657B" w:rsidP="0021052F">
            <w:pPr>
              <w:pStyle w:val="BodyText21"/>
              <w:spacing w:before="0" w:line="240" w:lineRule="auto"/>
              <w:ind w:left="0" w:right="-70" w:firstLine="0"/>
              <w:jc w:val="center"/>
              <w:rPr>
                <w:rFonts w:ascii="Times New Roman" w:hAnsi="Times New Roman" w:cs="Times New Roman"/>
              </w:rPr>
            </w:pPr>
          </w:p>
          <w:p w14:paraId="15131915" w14:textId="77777777" w:rsidR="0074657B" w:rsidRPr="008819AF" w:rsidRDefault="0074657B" w:rsidP="0021052F">
            <w:pPr>
              <w:pStyle w:val="BodyText21"/>
              <w:spacing w:before="0" w:line="240" w:lineRule="auto"/>
              <w:ind w:left="0" w:right="-70" w:firstLine="0"/>
              <w:jc w:val="center"/>
              <w:rPr>
                <w:rFonts w:ascii="Times New Roman" w:hAnsi="Times New Roman" w:cs="Times New Roman"/>
              </w:rPr>
            </w:pPr>
          </w:p>
          <w:p w14:paraId="15131916" w14:textId="77777777" w:rsidR="0074657B" w:rsidRPr="008819AF" w:rsidRDefault="0074657B" w:rsidP="0021052F">
            <w:pPr>
              <w:pStyle w:val="BodyText21"/>
              <w:spacing w:before="0" w:line="240" w:lineRule="auto"/>
              <w:ind w:left="0" w:right="-70" w:firstLine="0"/>
              <w:jc w:val="center"/>
              <w:rPr>
                <w:rFonts w:ascii="Times New Roman" w:hAnsi="Times New Roman" w:cs="Times New Roman"/>
              </w:rPr>
            </w:pPr>
          </w:p>
          <w:p w14:paraId="15131917" w14:textId="77777777" w:rsidR="0074657B" w:rsidRPr="008819AF" w:rsidRDefault="0074657B" w:rsidP="0074657B">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§2</w:t>
            </w:r>
          </w:p>
          <w:p w14:paraId="15131918" w14:textId="77777777" w:rsidR="0074657B" w:rsidRPr="008819AF" w:rsidRDefault="0074657B" w:rsidP="0074657B">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Pj)</w:t>
            </w:r>
          </w:p>
          <w:p w14:paraId="15131919" w14:textId="77777777" w:rsidR="007170C3" w:rsidRPr="008819AF" w:rsidRDefault="007170C3" w:rsidP="0021052F">
            <w:pPr>
              <w:pStyle w:val="BodyText21"/>
              <w:spacing w:before="0" w:line="240" w:lineRule="auto"/>
              <w:ind w:left="0" w:right="-70"/>
              <w:jc w:val="center"/>
              <w:rPr>
                <w:rFonts w:ascii="Times New Roman" w:hAnsi="Times New Roman" w:cs="Times New Roman"/>
              </w:rPr>
            </w:pPr>
          </w:p>
          <w:p w14:paraId="1513191A" w14:textId="77777777" w:rsidR="0074657B" w:rsidRPr="008819AF" w:rsidRDefault="0074657B" w:rsidP="0021052F">
            <w:pPr>
              <w:pStyle w:val="BodyText21"/>
              <w:spacing w:before="0" w:line="240" w:lineRule="auto"/>
              <w:ind w:left="0" w:right="-70"/>
              <w:jc w:val="center"/>
              <w:rPr>
                <w:rFonts w:ascii="Times New Roman" w:hAnsi="Times New Roman" w:cs="Times New Roman"/>
              </w:rPr>
            </w:pPr>
          </w:p>
          <w:p w14:paraId="1513191B" w14:textId="77777777" w:rsidR="0074657B" w:rsidRPr="008819AF" w:rsidRDefault="0074657B" w:rsidP="0021052F">
            <w:pPr>
              <w:pStyle w:val="BodyText21"/>
              <w:spacing w:before="0" w:line="240" w:lineRule="auto"/>
              <w:ind w:left="0" w:right="-70"/>
              <w:jc w:val="center"/>
              <w:rPr>
                <w:rFonts w:ascii="Times New Roman" w:hAnsi="Times New Roman" w:cs="Times New Roman"/>
              </w:rPr>
            </w:pPr>
            <w:r w:rsidRPr="008819AF">
              <w:rPr>
                <w:rFonts w:ascii="Times New Roman" w:hAnsi="Times New Roman" w:cs="Times New Roman"/>
              </w:rPr>
              <w:t>§26</w:t>
            </w:r>
          </w:p>
          <w:p w14:paraId="1513191C" w14:textId="77777777" w:rsidR="0074657B" w:rsidRPr="008819AF" w:rsidRDefault="0074657B" w:rsidP="0021052F">
            <w:pPr>
              <w:pStyle w:val="BodyText21"/>
              <w:spacing w:before="0" w:line="240" w:lineRule="auto"/>
              <w:ind w:left="0" w:right="-70"/>
              <w:jc w:val="center"/>
              <w:rPr>
                <w:rFonts w:ascii="Times New Roman" w:hAnsi="Times New Roman" w:cs="Times New Roman"/>
              </w:rPr>
            </w:pPr>
            <w:r w:rsidRPr="008819AF">
              <w:rPr>
                <w:rFonts w:ascii="Times New Roman" w:hAnsi="Times New Roman" w:cs="Times New Roman"/>
              </w:rPr>
              <w:t>O2</w:t>
            </w:r>
          </w:p>
          <w:p w14:paraId="1513191D" w14:textId="77777777" w:rsidR="0074657B" w:rsidRPr="008819AF" w:rsidRDefault="0074657B" w:rsidP="0021052F">
            <w:pPr>
              <w:pStyle w:val="BodyText21"/>
              <w:spacing w:before="0" w:line="240" w:lineRule="auto"/>
              <w:ind w:left="0" w:right="-70"/>
              <w:jc w:val="center"/>
              <w:rPr>
                <w:rFonts w:ascii="Times New Roman" w:hAnsi="Times New Roman" w:cs="Times New Roman"/>
              </w:rPr>
            </w:pPr>
            <w:r w:rsidRPr="008819AF">
              <w:rPr>
                <w:rFonts w:ascii="Times New Roman" w:hAnsi="Times New Roman" w:cs="Times New Roman"/>
              </w:rPr>
              <w:t>Pa)</w:t>
            </w:r>
          </w:p>
          <w:p w14:paraId="1513191E" w14:textId="77777777" w:rsidR="0074657B" w:rsidRPr="008819AF" w:rsidRDefault="0074657B" w:rsidP="0021052F">
            <w:pPr>
              <w:pStyle w:val="BodyText21"/>
              <w:spacing w:before="0" w:line="240" w:lineRule="auto"/>
              <w:ind w:left="0" w:right="-7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noWrap/>
          </w:tcPr>
          <w:p w14:paraId="1513191F" w14:textId="77777777" w:rsidR="007170C3" w:rsidRPr="008819AF" w:rsidRDefault="006F0418" w:rsidP="0021052F">
            <w:pPr>
              <w:pStyle w:val="Hlavika"/>
              <w:ind w:left="72" w:hanging="1"/>
              <w:rPr>
                <w:rFonts w:ascii="Times New Roman" w:hAnsi="Times New Roman" w:cs="Times New Roman"/>
                <w:lang w:bidi="cs-CZ"/>
              </w:rPr>
            </w:pPr>
            <w:r w:rsidRPr="008819AF">
              <w:rPr>
                <w:rFonts w:ascii="Times New Roman" w:hAnsi="Times New Roman" w:cs="Times New Roman"/>
              </w:rPr>
              <w:t>Ustanovenia bude transponovať návrh vyhlášky Ministerstva životného prostredia Slovenskej republiky o požiadavkách na stacionárne zdroje znečisťovania ovzdušia.</w:t>
            </w:r>
          </w:p>
          <w:p w14:paraId="15131920" w14:textId="77777777" w:rsidR="007170C3" w:rsidRPr="008819AF" w:rsidRDefault="007170C3" w:rsidP="0021052F">
            <w:pPr>
              <w:pStyle w:val="Hlavika"/>
              <w:ind w:left="71" w:firstLine="0"/>
              <w:rPr>
                <w:rFonts w:ascii="Times New Roman" w:hAnsi="Times New Roman" w:cs="Times New Roman"/>
              </w:rPr>
            </w:pPr>
          </w:p>
          <w:p w14:paraId="15131921" w14:textId="77777777" w:rsidR="007170C3" w:rsidRPr="008819AF" w:rsidRDefault="007170C3" w:rsidP="00A50BDB">
            <w:pPr>
              <w:pStyle w:val="Hlavika"/>
              <w:ind w:left="72" w:hanging="1"/>
              <w:rPr>
                <w:rFonts w:ascii="Times New Roman" w:hAnsi="Times New Roman" w:cs="Times New Roman"/>
              </w:rPr>
            </w:pPr>
          </w:p>
          <w:p w14:paraId="15131922" w14:textId="77777777" w:rsidR="007170C3" w:rsidRPr="008819AF" w:rsidRDefault="00A50BDB" w:rsidP="00A50BDB">
            <w:pPr>
              <w:pStyle w:val="Hlavika"/>
              <w:ind w:left="72" w:hanging="1"/>
              <w:rPr>
                <w:rFonts w:ascii="Times New Roman" w:hAnsi="Times New Roman" w:cs="Times New Roman"/>
              </w:rPr>
            </w:pPr>
            <w:r w:rsidRPr="008819AF">
              <w:rPr>
                <w:rFonts w:ascii="Times New Roman" w:hAnsi="Times New Roman" w:cs="Times New Roman"/>
              </w:rPr>
              <w:t>1. podskupina – polychlorovanédibenzo-p-dioxíny(PCDD) a polychlorovanédibenzofurány (PCDF)</w:t>
            </w:r>
          </w:p>
          <w:p w14:paraId="15131923" w14:textId="77777777" w:rsidR="007170C3" w:rsidRPr="008819AF" w:rsidRDefault="00A50BDB" w:rsidP="00A50BDB">
            <w:pPr>
              <w:pStyle w:val="Hlavika"/>
              <w:ind w:left="72" w:hanging="1"/>
              <w:rPr>
                <w:rFonts w:ascii="Times New Roman" w:hAnsi="Times New Roman" w:cs="Times New Roman"/>
              </w:rPr>
            </w:pPr>
            <w:r w:rsidRPr="008819AF">
              <w:rPr>
                <w:rFonts w:ascii="Times New Roman" w:hAnsi="Times New Roman" w:cs="Times New Roman"/>
              </w:rPr>
              <w:t>PCDD a PCDF po prepočte I-TEQ</w:t>
            </w:r>
            <w:r w:rsidRPr="008819AF">
              <w:rPr>
                <w:rFonts w:ascii="Times New Roman" w:hAnsi="Times New Roman" w:cs="Times New Roman"/>
                <w:vertAlign w:val="superscript"/>
              </w:rPr>
              <w:t>2</w:t>
            </w:r>
            <w:r w:rsidRPr="008819AF">
              <w:rPr>
                <w:rFonts w:ascii="Times New Roman" w:hAnsi="Times New Roman" w:cs="Times New Roman"/>
              </w:rPr>
              <w:t>)</w:t>
            </w:r>
          </w:p>
          <w:p w14:paraId="15131924" w14:textId="77777777" w:rsidR="007170C3" w:rsidRPr="008819AF" w:rsidRDefault="00A50BDB" w:rsidP="00A50BDB">
            <w:pPr>
              <w:pStyle w:val="Hlavika"/>
              <w:ind w:left="0" w:firstLine="0"/>
              <w:rPr>
                <w:rFonts w:ascii="Times New Roman" w:hAnsi="Times New Roman" w:cs="Times New Roman"/>
              </w:rPr>
            </w:pPr>
            <w:r w:rsidRPr="008819AF">
              <w:rPr>
                <w:rFonts w:ascii="Times New Roman" w:hAnsi="Times New Roman" w:cs="Times New Roman"/>
                <w:vertAlign w:val="superscript"/>
              </w:rPr>
              <w:t>2</w:t>
            </w:r>
            <w:r w:rsidRPr="008819AF">
              <w:rPr>
                <w:rFonts w:ascii="Times New Roman" w:hAnsi="Times New Roman" w:cs="Times New Roman"/>
              </w:rPr>
              <w:t>) Hodnota emisného limitu sa vzťahuje na celkovú hmotnostnú koncentráciu PCDD+ PCDF vyjadrenú ako súčet toxických ekvivalentov (ďalej len „I-TEQ“) jednotlivých PCDD+PCDF. I-TEQ sa získa vynásobením hmotnostnej koncentrácie konkrétnych znečisťujúcich látok príslušným faktorom toxickej ekvivalencie (ďalej len „I-TEF“) uvedeným v časti II. bod 1.</w:t>
            </w:r>
          </w:p>
          <w:p w14:paraId="15131925" w14:textId="77777777" w:rsidR="007170C3" w:rsidRPr="008819AF" w:rsidRDefault="007170C3" w:rsidP="0074657B">
            <w:pPr>
              <w:pStyle w:val="Hlavika"/>
              <w:ind w:left="72" w:hanging="1"/>
              <w:rPr>
                <w:rFonts w:ascii="Times New Roman" w:hAnsi="Times New Roman" w:cs="Times New Roman"/>
              </w:rPr>
            </w:pPr>
          </w:p>
          <w:p w14:paraId="15131926" w14:textId="77777777" w:rsidR="0074657B" w:rsidRPr="008819AF" w:rsidRDefault="0074657B" w:rsidP="0074657B">
            <w:pPr>
              <w:pStyle w:val="Hlavika"/>
              <w:ind w:left="72" w:hanging="1"/>
              <w:rPr>
                <w:rFonts w:ascii="Times New Roman" w:hAnsi="Times New Roman" w:cs="Times New Roman"/>
              </w:rPr>
            </w:pPr>
            <w:r w:rsidRPr="008819AF">
              <w:rPr>
                <w:rFonts w:ascii="Times New Roman" w:hAnsi="Times New Roman" w:cs="Times New Roman"/>
              </w:rPr>
              <w:t>i) organickou zlúčeninou zlúčenina, ktorá obsahuje najmenej jeden atóm uhlíka a jeden alebo viac atómov vodíka, halogénu, kyslíka, síry, fosforu, kremíka alebo dusíka, okrem oxidov uhlíka a anorganických uhličitanov a hydrogénuhličitanov,</w:t>
            </w:r>
          </w:p>
          <w:p w14:paraId="15131927" w14:textId="77777777" w:rsidR="0074657B" w:rsidRPr="008819AF" w:rsidRDefault="0074657B" w:rsidP="0074657B">
            <w:pPr>
              <w:pStyle w:val="Hlavika"/>
              <w:ind w:left="72" w:hanging="1"/>
              <w:rPr>
                <w:rFonts w:ascii="Times New Roman" w:hAnsi="Times New Roman" w:cs="Times New Roman"/>
              </w:rPr>
            </w:pPr>
          </w:p>
          <w:p w14:paraId="15131928" w14:textId="77777777" w:rsidR="0074657B" w:rsidRPr="008819AF" w:rsidRDefault="0074657B" w:rsidP="0074657B">
            <w:pPr>
              <w:pStyle w:val="Hlavika"/>
              <w:ind w:left="72" w:hanging="1"/>
              <w:rPr>
                <w:rFonts w:ascii="Times New Roman" w:hAnsi="Times New Roman" w:cs="Times New Roman"/>
              </w:rPr>
            </w:pPr>
            <w:r w:rsidRPr="008819AF">
              <w:rPr>
                <w:rFonts w:ascii="Times New Roman" w:hAnsi="Times New Roman" w:cs="Times New Roman"/>
              </w:rPr>
              <w:t>j) prchavou organickou zlúčeninou organická zlúčenina, ktorá má pri teplote 20 °C (293,15 K) tlak pár 0,01 kPa a viac alebo ktorá má zodpovedajúcu prchavosť za konkrétnych podmienok použitia vrátane frakcií kreozotu,</w:t>
            </w:r>
          </w:p>
          <w:p w14:paraId="15131929" w14:textId="77777777" w:rsidR="0074657B" w:rsidRPr="008819AF" w:rsidRDefault="0074657B" w:rsidP="0074657B">
            <w:pPr>
              <w:pStyle w:val="Hlavika"/>
              <w:ind w:left="72" w:hanging="1"/>
              <w:rPr>
                <w:rFonts w:ascii="Times New Roman" w:hAnsi="Times New Roman" w:cs="Times New Roman"/>
              </w:rPr>
            </w:pPr>
          </w:p>
          <w:p w14:paraId="1513192A" w14:textId="77777777" w:rsidR="0074657B" w:rsidRPr="008819AF" w:rsidRDefault="00150B18" w:rsidP="0074657B">
            <w:pPr>
              <w:jc w:val="both"/>
              <w:rPr>
                <w:lang w:eastAsia="cs-CZ"/>
              </w:rPr>
            </w:pPr>
            <w:r w:rsidRPr="008819AF">
              <w:rPr>
                <w:lang w:eastAsia="cs-CZ"/>
              </w:rPr>
              <w:t xml:space="preserve">a) </w:t>
            </w:r>
            <w:r w:rsidR="0074657B" w:rsidRPr="008819AF">
              <w:rPr>
                <w:lang w:eastAsia="cs-CZ"/>
              </w:rPr>
              <w:t>organickým rozpúšťadlom prchavá organická zlúčenina, ktorá sa používa:</w:t>
            </w:r>
          </w:p>
          <w:p w14:paraId="1513192B" w14:textId="77777777" w:rsidR="0074657B" w:rsidRPr="008819AF" w:rsidRDefault="0074657B" w:rsidP="009C63CF">
            <w:pPr>
              <w:pStyle w:val="Odsekzoznamu"/>
              <w:numPr>
                <w:ilvl w:val="1"/>
                <w:numId w:val="70"/>
              </w:numPr>
              <w:ind w:left="213" w:hanging="213"/>
              <w:jc w:val="both"/>
              <w:rPr>
                <w:sz w:val="20"/>
                <w:szCs w:val="20"/>
                <w:lang w:eastAsia="cs-CZ"/>
              </w:rPr>
            </w:pPr>
            <w:r w:rsidRPr="008819AF">
              <w:rPr>
                <w:sz w:val="20"/>
                <w:szCs w:val="20"/>
                <w:lang w:eastAsia="cs-CZ"/>
              </w:rPr>
              <w:t xml:space="preserve">na rozpúšťanie surovín, výrobkov alebo odpadových látok, samostatne alebo v kombinácii s inými činidlami bez toho, že by prechádzala chemickou zmenou, </w:t>
            </w:r>
          </w:p>
          <w:p w14:paraId="1513192C" w14:textId="77777777" w:rsidR="0074657B" w:rsidRPr="008819AF" w:rsidRDefault="0074657B" w:rsidP="009C63CF">
            <w:pPr>
              <w:pStyle w:val="Odsekzoznamu"/>
              <w:numPr>
                <w:ilvl w:val="1"/>
                <w:numId w:val="70"/>
              </w:numPr>
              <w:ind w:left="213" w:hanging="213"/>
              <w:jc w:val="both"/>
              <w:rPr>
                <w:sz w:val="20"/>
                <w:szCs w:val="20"/>
                <w:lang w:eastAsia="cs-CZ"/>
              </w:rPr>
            </w:pPr>
            <w:r w:rsidRPr="008819AF">
              <w:rPr>
                <w:sz w:val="20"/>
                <w:szCs w:val="20"/>
                <w:lang w:eastAsia="cs-CZ"/>
              </w:rPr>
              <w:t>ako čistiaci prostriedok na rozpúšťanie znečisťujúcich látok,</w:t>
            </w:r>
          </w:p>
          <w:p w14:paraId="1513192D" w14:textId="77777777" w:rsidR="0074657B" w:rsidRPr="008819AF" w:rsidRDefault="0074657B" w:rsidP="009C63CF">
            <w:pPr>
              <w:pStyle w:val="Odsekzoznamu"/>
              <w:numPr>
                <w:ilvl w:val="1"/>
                <w:numId w:val="70"/>
              </w:numPr>
              <w:ind w:left="213" w:hanging="213"/>
              <w:jc w:val="both"/>
              <w:rPr>
                <w:sz w:val="20"/>
                <w:szCs w:val="20"/>
                <w:lang w:eastAsia="cs-CZ"/>
              </w:rPr>
            </w:pPr>
            <w:r w:rsidRPr="008819AF">
              <w:rPr>
                <w:sz w:val="20"/>
                <w:szCs w:val="20"/>
                <w:lang w:eastAsia="cs-CZ"/>
              </w:rPr>
              <w:t xml:space="preserve">ako rozpúšťadlo, </w:t>
            </w:r>
          </w:p>
          <w:p w14:paraId="1513192E" w14:textId="77777777" w:rsidR="0074657B" w:rsidRPr="008819AF" w:rsidRDefault="0074657B" w:rsidP="009C63CF">
            <w:pPr>
              <w:pStyle w:val="Odsekzoznamu"/>
              <w:numPr>
                <w:ilvl w:val="1"/>
                <w:numId w:val="70"/>
              </w:numPr>
              <w:ind w:left="213" w:hanging="213"/>
              <w:jc w:val="both"/>
              <w:rPr>
                <w:sz w:val="20"/>
                <w:szCs w:val="20"/>
                <w:lang w:eastAsia="cs-CZ"/>
              </w:rPr>
            </w:pPr>
            <w:r w:rsidRPr="008819AF">
              <w:rPr>
                <w:sz w:val="20"/>
                <w:szCs w:val="20"/>
                <w:lang w:eastAsia="cs-CZ"/>
              </w:rPr>
              <w:t xml:space="preserve">ako disperzné médium, </w:t>
            </w:r>
          </w:p>
          <w:p w14:paraId="1513192F" w14:textId="77777777" w:rsidR="0074657B" w:rsidRPr="008819AF" w:rsidRDefault="0074657B" w:rsidP="009C63CF">
            <w:pPr>
              <w:pStyle w:val="Odsekzoznamu"/>
              <w:numPr>
                <w:ilvl w:val="1"/>
                <w:numId w:val="70"/>
              </w:numPr>
              <w:ind w:left="213" w:hanging="213"/>
              <w:jc w:val="both"/>
              <w:rPr>
                <w:sz w:val="20"/>
                <w:szCs w:val="20"/>
                <w:lang w:eastAsia="cs-CZ"/>
              </w:rPr>
            </w:pPr>
            <w:r w:rsidRPr="008819AF">
              <w:rPr>
                <w:sz w:val="20"/>
                <w:szCs w:val="20"/>
                <w:lang w:eastAsia="cs-CZ"/>
              </w:rPr>
              <w:t xml:space="preserve">ako prostriedok na úpravu viskozity, </w:t>
            </w:r>
          </w:p>
          <w:p w14:paraId="15131930" w14:textId="77777777" w:rsidR="0074657B" w:rsidRPr="008819AF" w:rsidRDefault="0074657B" w:rsidP="009C63CF">
            <w:pPr>
              <w:pStyle w:val="Odsekzoznamu"/>
              <w:numPr>
                <w:ilvl w:val="1"/>
                <w:numId w:val="70"/>
              </w:numPr>
              <w:ind w:left="213" w:hanging="213"/>
              <w:jc w:val="both"/>
              <w:rPr>
                <w:sz w:val="20"/>
                <w:szCs w:val="20"/>
                <w:lang w:eastAsia="cs-CZ"/>
              </w:rPr>
            </w:pPr>
            <w:r w:rsidRPr="008819AF">
              <w:rPr>
                <w:sz w:val="20"/>
                <w:szCs w:val="20"/>
                <w:lang w:eastAsia="cs-CZ"/>
              </w:rPr>
              <w:t xml:space="preserve">ako prostriedok na úpravu povrchového napätia, </w:t>
            </w:r>
          </w:p>
          <w:p w14:paraId="15131931" w14:textId="77777777" w:rsidR="0074657B" w:rsidRPr="008819AF" w:rsidRDefault="0074657B" w:rsidP="009C63CF">
            <w:pPr>
              <w:pStyle w:val="Odsekzoznamu"/>
              <w:numPr>
                <w:ilvl w:val="1"/>
                <w:numId w:val="70"/>
              </w:numPr>
              <w:ind w:left="213" w:hanging="213"/>
              <w:jc w:val="both"/>
              <w:rPr>
                <w:sz w:val="20"/>
                <w:szCs w:val="20"/>
                <w:lang w:eastAsia="cs-CZ"/>
              </w:rPr>
            </w:pPr>
            <w:r w:rsidRPr="008819AF">
              <w:rPr>
                <w:sz w:val="20"/>
                <w:szCs w:val="20"/>
                <w:lang w:eastAsia="cs-CZ"/>
              </w:rPr>
              <w:t xml:space="preserve">ako zmäkčovadlo alebo </w:t>
            </w:r>
          </w:p>
          <w:p w14:paraId="15131932" w14:textId="77777777" w:rsidR="007170C3" w:rsidRPr="008819AF" w:rsidRDefault="0074657B" w:rsidP="009C63CF">
            <w:pPr>
              <w:pStyle w:val="Odsekzoznamu"/>
              <w:numPr>
                <w:ilvl w:val="1"/>
                <w:numId w:val="70"/>
              </w:numPr>
              <w:ind w:left="213" w:hanging="213"/>
              <w:jc w:val="both"/>
              <w:rPr>
                <w:lang w:bidi="cs-CZ"/>
              </w:rPr>
            </w:pPr>
            <w:r w:rsidRPr="008819AF">
              <w:rPr>
                <w:sz w:val="20"/>
                <w:szCs w:val="20"/>
                <w:lang w:eastAsia="cs-CZ"/>
              </w:rPr>
              <w:t>ako konzervačný prostriedok,</w:t>
            </w:r>
          </w:p>
        </w:tc>
        <w:tc>
          <w:tcPr>
            <w:tcW w:w="429" w:type="dxa"/>
            <w:tcBorders>
              <w:top w:val="single" w:sz="4" w:space="0" w:color="000000"/>
              <w:left w:val="single" w:sz="6" w:space="0" w:color="000000"/>
              <w:bottom w:val="single" w:sz="4" w:space="0" w:color="000000"/>
              <w:right w:val="single" w:sz="6" w:space="0" w:color="000000"/>
            </w:tcBorders>
          </w:tcPr>
          <w:p w14:paraId="15131933"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934" w14:textId="77777777" w:rsidR="007170C3" w:rsidRPr="008819AF" w:rsidRDefault="007170C3" w:rsidP="0021052F">
            <w:pPr>
              <w:ind w:left="215" w:hanging="215"/>
              <w:rPr>
                <w:rFonts w:eastAsia="Arial"/>
                <w:lang w:bidi="cs-CZ"/>
              </w:rPr>
            </w:pPr>
          </w:p>
        </w:tc>
      </w:tr>
      <w:tr w:rsidR="00F80158" w:rsidRPr="008819AF" w14:paraId="15131945" w14:textId="77777777" w:rsidTr="008819AF">
        <w:trPr>
          <w:trHeight w:val="1408"/>
          <w:jc w:val="center"/>
        </w:trPr>
        <w:tc>
          <w:tcPr>
            <w:tcW w:w="483" w:type="dxa"/>
            <w:tcBorders>
              <w:top w:val="single" w:sz="4" w:space="0" w:color="000000"/>
              <w:left w:val="single" w:sz="6" w:space="0" w:color="000000"/>
              <w:bottom w:val="single" w:sz="6" w:space="0" w:color="000000"/>
              <w:right w:val="single" w:sz="6" w:space="0" w:color="000000"/>
            </w:tcBorders>
          </w:tcPr>
          <w:p w14:paraId="15131936"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1937" w14:textId="77777777" w:rsidR="007170C3" w:rsidRPr="008819AF" w:rsidRDefault="009E10F3" w:rsidP="009E10F3">
            <w:pPr>
              <w:ind w:left="72"/>
              <w:rPr>
                <w:rFonts w:eastAsia="Arial"/>
              </w:rPr>
            </w:pPr>
            <w:r w:rsidRPr="008819AF">
              <w:rPr>
                <w:rFonts w:eastAsia="Arial"/>
              </w:rPr>
              <w:t xml:space="preserve">47. </w:t>
            </w:r>
            <w:r w:rsidR="006F0418" w:rsidRPr="008819AF">
              <w:rPr>
                <w:rFonts w:eastAsia="Arial"/>
              </w:rPr>
              <w:t>„náter“ je náter, ako je vymedzený v článku 2 bod 8 smernice Európskeho parlamentu a Rady 2004/42/ES z 21. apríla2004 o obmedzení emisií prchavých organických zlúčenín unikajúcich pri používaní organických rozpúšťadiel v určitých farbách a lakoch a vo výrobkoch na povrchovú úpravu vozidiel(4)</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1938" w14:textId="77777777" w:rsidR="007170C3" w:rsidRPr="008819AF" w:rsidRDefault="00150B18" w:rsidP="0021052F">
            <w:pPr>
              <w:ind w:left="-70" w:right="-68" w:hanging="6"/>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1939" w14:textId="77777777" w:rsidR="007170C3" w:rsidRPr="008819AF" w:rsidRDefault="006F0418" w:rsidP="0021052F">
            <w:pPr>
              <w:jc w:val="center"/>
              <w:rPr>
                <w:rFonts w:eastAsia="Arial"/>
                <w:lang w:bidi="cs-CZ"/>
              </w:rPr>
            </w:pPr>
            <w:r w:rsidRPr="008819AF">
              <w:rPr>
                <w:rFonts w:eastAsia="Arial"/>
                <w:lang w:bidi="cs-CZ"/>
              </w:rPr>
              <w:t>NV2</w:t>
            </w:r>
          </w:p>
          <w:p w14:paraId="1513193A"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193B" w14:textId="77777777" w:rsidR="00150B18" w:rsidRPr="008819AF" w:rsidRDefault="00150B18" w:rsidP="00150B18">
            <w:pPr>
              <w:pStyle w:val="BodyText21"/>
              <w:spacing w:before="0" w:line="240" w:lineRule="auto"/>
              <w:ind w:left="0" w:right="-70"/>
              <w:jc w:val="center"/>
              <w:rPr>
                <w:rFonts w:ascii="Times New Roman" w:hAnsi="Times New Roman" w:cs="Times New Roman"/>
              </w:rPr>
            </w:pPr>
            <w:r w:rsidRPr="008819AF">
              <w:rPr>
                <w:rFonts w:ascii="Times New Roman" w:hAnsi="Times New Roman" w:cs="Times New Roman"/>
              </w:rPr>
              <w:t>§26</w:t>
            </w:r>
          </w:p>
          <w:p w14:paraId="1513193C" w14:textId="77777777" w:rsidR="00150B18" w:rsidRPr="008819AF" w:rsidRDefault="00150B18" w:rsidP="00150B18">
            <w:pPr>
              <w:pStyle w:val="BodyText21"/>
              <w:spacing w:before="0" w:line="240" w:lineRule="auto"/>
              <w:ind w:left="0" w:right="-70"/>
              <w:jc w:val="center"/>
              <w:rPr>
                <w:rFonts w:ascii="Times New Roman" w:hAnsi="Times New Roman" w:cs="Times New Roman"/>
              </w:rPr>
            </w:pPr>
            <w:r w:rsidRPr="008819AF">
              <w:rPr>
                <w:rFonts w:ascii="Times New Roman" w:hAnsi="Times New Roman" w:cs="Times New Roman"/>
              </w:rPr>
              <w:t>O2</w:t>
            </w:r>
          </w:p>
          <w:p w14:paraId="1513193D" w14:textId="77777777" w:rsidR="00150B18" w:rsidRPr="008819AF" w:rsidRDefault="00150B18" w:rsidP="00150B18">
            <w:pPr>
              <w:pStyle w:val="BodyText21"/>
              <w:spacing w:before="0" w:line="240" w:lineRule="auto"/>
              <w:ind w:left="0" w:right="-70"/>
              <w:jc w:val="center"/>
              <w:rPr>
                <w:rFonts w:ascii="Times New Roman" w:hAnsi="Times New Roman" w:cs="Times New Roman"/>
              </w:rPr>
            </w:pPr>
            <w:r w:rsidRPr="008819AF">
              <w:rPr>
                <w:rFonts w:ascii="Times New Roman" w:hAnsi="Times New Roman" w:cs="Times New Roman"/>
              </w:rPr>
              <w:t>Pj)</w:t>
            </w:r>
          </w:p>
          <w:p w14:paraId="1513193E" w14:textId="77777777" w:rsidR="007170C3" w:rsidRPr="008819AF" w:rsidRDefault="007170C3" w:rsidP="0021052F">
            <w:pPr>
              <w:jc w:val="center"/>
            </w:pPr>
          </w:p>
        </w:tc>
        <w:tc>
          <w:tcPr>
            <w:tcW w:w="5664" w:type="dxa"/>
            <w:gridSpan w:val="5"/>
            <w:tcBorders>
              <w:top w:val="single" w:sz="4" w:space="0" w:color="000000"/>
              <w:left w:val="single" w:sz="6" w:space="0" w:color="000000"/>
              <w:bottom w:val="single" w:sz="6" w:space="0" w:color="000000"/>
              <w:right w:val="single" w:sz="6" w:space="0" w:color="000000"/>
            </w:tcBorders>
            <w:shd w:val="clear" w:color="auto" w:fill="auto"/>
            <w:noWrap/>
          </w:tcPr>
          <w:p w14:paraId="1513193F" w14:textId="77777777" w:rsidR="00150B18" w:rsidRPr="008819AF" w:rsidRDefault="00150B18" w:rsidP="00150B18">
            <w:pPr>
              <w:pStyle w:val="Hlavika"/>
              <w:ind w:left="72" w:hanging="1"/>
              <w:rPr>
                <w:rFonts w:ascii="Times New Roman" w:hAnsi="Times New Roman" w:cs="Times New Roman"/>
              </w:rPr>
            </w:pPr>
            <w:r w:rsidRPr="008819AF">
              <w:rPr>
                <w:rFonts w:ascii="Times New Roman" w:hAnsi="Times New Roman" w:cs="Times New Roman"/>
              </w:rPr>
              <w:t>j)  náterovou látkou je náterová látka vymedzená osobitným predpisom,17)</w:t>
            </w:r>
          </w:p>
          <w:p w14:paraId="15131940" w14:textId="77777777" w:rsidR="00150B18" w:rsidRPr="008819AF" w:rsidRDefault="00150B18" w:rsidP="00150B18">
            <w:pPr>
              <w:pStyle w:val="Textpoznmkypodiarou"/>
              <w:jc w:val="both"/>
            </w:pPr>
            <w:r w:rsidRPr="008819AF">
              <w:t>17) § xxx vyhlášky Ministerstva životného prostredia Slovenskej republiky č. XXX.../2022 Z. z. o regulovaných výrobkoch s obsahom organických rozpúšťadiel.</w:t>
            </w:r>
          </w:p>
          <w:p w14:paraId="15131941" w14:textId="77777777" w:rsidR="00150B18" w:rsidRPr="008819AF" w:rsidRDefault="00150B18" w:rsidP="00150B18">
            <w:pPr>
              <w:pStyle w:val="Hlavika"/>
              <w:ind w:left="72" w:hanging="1"/>
              <w:rPr>
                <w:rFonts w:ascii="Times New Roman" w:hAnsi="Times New Roman" w:cs="Times New Roman"/>
              </w:rPr>
            </w:pPr>
          </w:p>
          <w:p w14:paraId="15131942" w14:textId="77777777" w:rsidR="007170C3" w:rsidRPr="008819AF" w:rsidRDefault="007170C3" w:rsidP="00150B18">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6" w:space="0" w:color="000000"/>
              <w:right w:val="single" w:sz="6" w:space="0" w:color="000000"/>
            </w:tcBorders>
          </w:tcPr>
          <w:p w14:paraId="15131943"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1944" w14:textId="77777777" w:rsidR="007170C3" w:rsidRPr="008819AF" w:rsidRDefault="007170C3" w:rsidP="0021052F">
            <w:pPr>
              <w:ind w:left="215" w:hanging="215"/>
              <w:rPr>
                <w:rFonts w:eastAsia="Arial"/>
                <w:lang w:bidi="cs-CZ"/>
              </w:rPr>
            </w:pPr>
          </w:p>
        </w:tc>
      </w:tr>
      <w:tr w:rsidR="00F80158" w:rsidRPr="008819AF" w14:paraId="15131952" w14:textId="77777777" w:rsidTr="003E351D">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15131946" w14:textId="77777777" w:rsidR="007170C3" w:rsidRPr="008819AF" w:rsidRDefault="006F0418" w:rsidP="003E351D">
            <w:pPr>
              <w:ind w:right="-70"/>
              <w:rPr>
                <w:rFonts w:eastAsia="Arial"/>
              </w:rPr>
            </w:pPr>
            <w:r w:rsidRPr="008819AF">
              <w:rPr>
                <w:rFonts w:eastAsia="Arial"/>
              </w:rPr>
              <w:t>Č:4</w:t>
            </w:r>
          </w:p>
        </w:tc>
        <w:tc>
          <w:tcPr>
            <w:tcW w:w="6227" w:type="dxa"/>
            <w:gridSpan w:val="2"/>
            <w:tcBorders>
              <w:top w:val="single" w:sz="4" w:space="0" w:color="000000"/>
              <w:left w:val="single" w:sz="6" w:space="0" w:color="000000"/>
              <w:bottom w:val="single" w:sz="4" w:space="0" w:color="000000"/>
              <w:right w:val="single" w:sz="6" w:space="0" w:color="000000"/>
            </w:tcBorders>
          </w:tcPr>
          <w:p w14:paraId="15131947" w14:textId="77777777" w:rsidR="007170C3" w:rsidRPr="008819AF" w:rsidRDefault="006F0418" w:rsidP="0021052F">
            <w:pPr>
              <w:ind w:left="215" w:hanging="215"/>
              <w:rPr>
                <w:rFonts w:eastAsia="Arial"/>
                <w:lang w:bidi="cs-CZ"/>
              </w:rPr>
            </w:pPr>
            <w:r w:rsidRPr="008819AF">
              <w:rPr>
                <w:rFonts w:eastAsia="Arial"/>
                <w:lang w:bidi="cs-CZ"/>
              </w:rPr>
              <w:t>Článok 4</w:t>
            </w:r>
          </w:p>
          <w:p w14:paraId="15131948" w14:textId="77777777" w:rsidR="007170C3" w:rsidRPr="008819AF" w:rsidRDefault="006F0418" w:rsidP="0021052F">
            <w:pPr>
              <w:ind w:left="215" w:hanging="215"/>
              <w:rPr>
                <w:rFonts w:eastAsia="Arial"/>
                <w:lang w:bidi="cs-CZ"/>
              </w:rPr>
            </w:pPr>
            <w:r w:rsidRPr="008819AF">
              <w:rPr>
                <w:rFonts w:eastAsia="Arial"/>
                <w:lang w:bidi="cs-CZ"/>
              </w:rPr>
              <w:t>Povinnosť byť držiteľom povolenia</w:t>
            </w:r>
          </w:p>
          <w:p w14:paraId="15131949" w14:textId="77777777" w:rsidR="007170C3" w:rsidRPr="008819AF" w:rsidRDefault="006F0418" w:rsidP="0021052F">
            <w:pPr>
              <w:ind w:left="215" w:hanging="215"/>
              <w:rPr>
                <w:rFonts w:eastAsia="Arial"/>
                <w:lang w:bidi="cs-CZ"/>
              </w:rPr>
            </w:pPr>
            <w:r w:rsidRPr="008819AF">
              <w:rPr>
                <w:rFonts w:eastAsia="Arial"/>
                <w:lang w:bidi="cs-CZ"/>
              </w:rPr>
              <w:t>1. Členské štáty prijmú potrebné opatrenia na zabezpečenie toho, aby žiadne zariadenia alebo spaľovacie zariadenia, spaľovne odpadov alebo zariadenia na spoluspaľovanie odpadov neboli prevádzkované bez povolenia.</w:t>
            </w:r>
          </w:p>
          <w:p w14:paraId="1513194A" w14:textId="77777777" w:rsidR="007170C3" w:rsidRPr="008819AF" w:rsidRDefault="006F0418" w:rsidP="0021052F">
            <w:pPr>
              <w:ind w:left="215" w:hanging="1"/>
              <w:rPr>
                <w:rFonts w:eastAsia="Arial"/>
                <w:lang w:bidi="cs-CZ"/>
              </w:rPr>
            </w:pPr>
            <w:r w:rsidRPr="008819AF">
              <w:rPr>
                <w:rFonts w:eastAsia="Arial"/>
                <w:lang w:bidi="cs-CZ"/>
              </w:rPr>
              <w:t>Odchylne od prvého pododseku môžu členské štáty zaviesť postup registrácie zariadení, na ktoré sa vzťahuje len kapitola V.</w:t>
            </w:r>
          </w:p>
          <w:p w14:paraId="1513194B" w14:textId="77777777" w:rsidR="007170C3" w:rsidRPr="008819AF" w:rsidRDefault="006F0418" w:rsidP="0021052F">
            <w:pPr>
              <w:ind w:left="215" w:hanging="1"/>
              <w:rPr>
                <w:rFonts w:eastAsia="Arial"/>
              </w:rPr>
            </w:pPr>
            <w:r w:rsidRPr="008819AF">
              <w:rPr>
                <w:rFonts w:eastAsia="Arial"/>
              </w:rPr>
              <w:t>Postup registrácie je špecifikovaný v záväznom akte a zahŕňa minimálne notifikáciu príslušnému orgánu prevádzkovateľom zariadenia o úmysle prevádzkovať zariadenie.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94C" w14:textId="77777777" w:rsidR="007170C3" w:rsidRPr="008819AF" w:rsidRDefault="007170C3" w:rsidP="0021052F">
            <w:pPr>
              <w:ind w:left="-70" w:right="-68" w:hanging="6"/>
              <w:jc w:val="center"/>
              <w:rPr>
                <w:rFonts w:eastAsia="Arial"/>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94D" w14:textId="77777777" w:rsidR="007170C3" w:rsidRPr="008819AF" w:rsidRDefault="007170C3" w:rsidP="0021052F">
            <w:pPr>
              <w:jc w:val="center"/>
              <w:rPr>
                <w:rFonts w:eastAsia="Arial"/>
              </w:rPr>
            </w:pPr>
          </w:p>
        </w:tc>
        <w:tc>
          <w:tcPr>
            <w:tcW w:w="543" w:type="dxa"/>
            <w:tcBorders>
              <w:top w:val="single" w:sz="4" w:space="0" w:color="000000"/>
              <w:left w:val="single" w:sz="6" w:space="0" w:color="000000"/>
              <w:bottom w:val="single" w:sz="4" w:space="0" w:color="000000"/>
              <w:right w:val="single" w:sz="6" w:space="0" w:color="000000"/>
            </w:tcBorders>
          </w:tcPr>
          <w:p w14:paraId="1513194E"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94F" w14:textId="77777777" w:rsidR="007170C3" w:rsidRPr="008819AF" w:rsidRDefault="007170C3" w:rsidP="0021052F">
            <w:pPr>
              <w:pStyle w:val="Hlavika"/>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1950" w14:textId="77777777" w:rsidR="007170C3" w:rsidRPr="008819AF" w:rsidRDefault="007170C3" w:rsidP="0021052F">
            <w:pPr>
              <w:ind w:left="215" w:hanging="215"/>
              <w:rPr>
                <w:rFonts w:eastAsia="Arial"/>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951" w14:textId="77777777" w:rsidR="007170C3" w:rsidRPr="008819AF" w:rsidRDefault="007170C3" w:rsidP="0021052F">
            <w:pPr>
              <w:ind w:left="215" w:hanging="215"/>
              <w:rPr>
                <w:rFonts w:eastAsia="Arial"/>
              </w:rPr>
            </w:pPr>
          </w:p>
        </w:tc>
      </w:tr>
      <w:tr w:rsidR="00F80158" w:rsidRPr="008819AF" w14:paraId="1513195E" w14:textId="77777777" w:rsidTr="003E351D">
        <w:trPr>
          <w:trHeight w:val="487"/>
          <w:jc w:val="center"/>
        </w:trPr>
        <w:tc>
          <w:tcPr>
            <w:tcW w:w="483" w:type="dxa"/>
            <w:tcBorders>
              <w:top w:val="single" w:sz="4" w:space="0" w:color="000000"/>
              <w:left w:val="single" w:sz="6" w:space="0" w:color="000000"/>
              <w:bottom w:val="single" w:sz="4" w:space="0" w:color="000000"/>
              <w:right w:val="single" w:sz="6" w:space="0" w:color="000000"/>
            </w:tcBorders>
          </w:tcPr>
          <w:p w14:paraId="15131953" w14:textId="77777777" w:rsidR="007170C3" w:rsidRPr="008819AF" w:rsidRDefault="007170C3" w:rsidP="003E351D">
            <w:pPr>
              <w:ind w:right="-70"/>
              <w:rPr>
                <w:rFonts w:eastAsia="Arial"/>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954" w14:textId="77777777" w:rsidR="007170C3" w:rsidRPr="008819AF" w:rsidRDefault="006F0418" w:rsidP="0021052F">
            <w:pPr>
              <w:ind w:left="215" w:hanging="215"/>
              <w:rPr>
                <w:rFonts w:eastAsia="Arial"/>
              </w:rPr>
            </w:pPr>
            <w:r w:rsidRPr="008819AF">
              <w:rPr>
                <w:rFonts w:eastAsia="Arial"/>
              </w:rPr>
              <w:t>2. Členské štáty sa môžu rozhodnúť ustanoviť, že povolenie sa vzťahuje na dve zariadenia alebo viac zariadení alebo ich časti prevádzkované tým istým prevádzkovateľom na rovnakom mieste.</w:t>
            </w:r>
          </w:p>
          <w:p w14:paraId="15131955" w14:textId="77777777" w:rsidR="007170C3" w:rsidRPr="008819AF" w:rsidRDefault="006F0418" w:rsidP="0021052F">
            <w:pPr>
              <w:ind w:left="215" w:hanging="1"/>
              <w:rPr>
                <w:rFonts w:eastAsia="Arial"/>
              </w:rPr>
            </w:pPr>
            <w:r w:rsidRPr="008819AF">
              <w:rPr>
                <w:rFonts w:eastAsia="Arial"/>
              </w:rPr>
              <w:t>V prípade, že sa povolenie vzťahuje na dve alebo viaceré zariadenia, obsahuje podmienky na to, aby sa zabezpečilo, že všetky zariadenia spĺňajú požiadavky tejto smernice.</w:t>
            </w:r>
          </w:p>
          <w:p w14:paraId="15131956" w14:textId="77777777" w:rsidR="007170C3" w:rsidRPr="008819AF" w:rsidRDefault="006F0418" w:rsidP="0021052F">
            <w:pPr>
              <w:ind w:left="215" w:hanging="215"/>
              <w:rPr>
                <w:rFonts w:eastAsia="Arial"/>
              </w:rPr>
            </w:pPr>
            <w:r w:rsidRPr="008819AF">
              <w:rPr>
                <w:rFonts w:eastAsia="Arial"/>
              </w:rPr>
              <w:t>3. Členské štáty sa môžu rozhodnúť ustanoviť, že povolenie sa vzťahuje na viac častí zariadenia prevádzkovaných rôznymi prevádzkovateľmi. V takom prípade povolenie spresní zodpovednosti jednotlivých prevádzkovateľov.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957" w14:textId="77777777" w:rsidR="007170C3" w:rsidRPr="008819AF" w:rsidRDefault="006F0418" w:rsidP="0021052F">
            <w:pPr>
              <w:ind w:left="-70" w:right="-68" w:hanging="6"/>
              <w:jc w:val="center"/>
              <w:rPr>
                <w:rFonts w:eastAsia="Arial"/>
              </w:rPr>
            </w:pPr>
            <w:r w:rsidRPr="008819AF">
              <w:rPr>
                <w:rFonts w:eastAsia="Arial"/>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1958" w14:textId="77777777" w:rsidR="007170C3" w:rsidRPr="008819AF" w:rsidRDefault="006F0418" w:rsidP="0021052F">
            <w:pPr>
              <w:jc w:val="center"/>
              <w:rPr>
                <w:rFonts w:eastAsia="Arial"/>
              </w:rPr>
            </w:pPr>
            <w:r w:rsidRPr="008819AF">
              <w:rPr>
                <w:rFonts w:eastAsia="Arial"/>
              </w:rPr>
              <w:t>IPKZ</w:t>
            </w:r>
          </w:p>
        </w:tc>
        <w:tc>
          <w:tcPr>
            <w:tcW w:w="543" w:type="dxa"/>
            <w:tcBorders>
              <w:top w:val="single" w:sz="4" w:space="0" w:color="000000"/>
              <w:left w:val="single" w:sz="6" w:space="0" w:color="000000"/>
              <w:bottom w:val="single" w:sz="4" w:space="0" w:color="000000"/>
              <w:right w:val="single" w:sz="6" w:space="0" w:color="000000"/>
            </w:tcBorders>
          </w:tcPr>
          <w:p w14:paraId="15131959"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 3</w:t>
            </w:r>
          </w:p>
          <w:p w14:paraId="1513195A"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O8</w:t>
            </w:r>
          </w:p>
        </w:tc>
        <w:tc>
          <w:tcPr>
            <w:tcW w:w="5664" w:type="dxa"/>
            <w:gridSpan w:val="5"/>
            <w:tcBorders>
              <w:top w:val="single" w:sz="4" w:space="0" w:color="000000"/>
              <w:left w:val="single" w:sz="6" w:space="0" w:color="000000"/>
              <w:bottom w:val="single" w:sz="4" w:space="0" w:color="000000"/>
              <w:right w:val="single" w:sz="6" w:space="0" w:color="000000"/>
            </w:tcBorders>
          </w:tcPr>
          <w:p w14:paraId="1513195B" w14:textId="77777777" w:rsidR="007170C3" w:rsidRPr="008819AF" w:rsidRDefault="006F0418" w:rsidP="0021052F">
            <w:pPr>
              <w:rPr>
                <w:rFonts w:eastAsia="Arial"/>
              </w:rPr>
            </w:pPr>
            <w:r w:rsidRPr="008819AF">
              <w:rPr>
                <w:rFonts w:eastAsia="Arial"/>
                <w:lang w:bidi="cs-CZ"/>
              </w:rPr>
              <w:t>Ak sa v jednej prevádzke vykonáva viac činností vykonávaných viacerými prevádzkovateľmi, vydá sa povolenie, ktoré sa vzťahuje na viac častí prevádzkovaní prevádzkovaných rôznymi prevádzkovateľmi, pričom sa v povolení spresnia povinnosti jednotlivých prevádzkovateľov</w:t>
            </w:r>
          </w:p>
        </w:tc>
        <w:tc>
          <w:tcPr>
            <w:tcW w:w="429" w:type="dxa"/>
            <w:tcBorders>
              <w:top w:val="single" w:sz="4" w:space="0" w:color="000000"/>
              <w:left w:val="single" w:sz="6" w:space="0" w:color="000000"/>
              <w:bottom w:val="single" w:sz="4" w:space="0" w:color="000000"/>
              <w:right w:val="single" w:sz="6" w:space="0" w:color="000000"/>
            </w:tcBorders>
          </w:tcPr>
          <w:p w14:paraId="1513195C" w14:textId="77777777" w:rsidR="007170C3" w:rsidRPr="008819AF" w:rsidRDefault="007170C3" w:rsidP="0021052F">
            <w:pPr>
              <w:ind w:left="215" w:hanging="215"/>
              <w:rPr>
                <w:rFonts w:eastAsia="Arial"/>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95D" w14:textId="77777777" w:rsidR="007170C3" w:rsidRPr="008819AF" w:rsidRDefault="007170C3" w:rsidP="0021052F">
            <w:pPr>
              <w:ind w:left="215" w:hanging="215"/>
              <w:rPr>
                <w:rFonts w:eastAsia="Arial"/>
              </w:rPr>
            </w:pPr>
          </w:p>
        </w:tc>
      </w:tr>
      <w:tr w:rsidR="00F80158" w:rsidRPr="008819AF" w14:paraId="15131974" w14:textId="77777777" w:rsidTr="003E351D">
        <w:trPr>
          <w:trHeight w:val="487"/>
          <w:jc w:val="center"/>
        </w:trPr>
        <w:tc>
          <w:tcPr>
            <w:tcW w:w="483" w:type="dxa"/>
            <w:tcBorders>
              <w:top w:val="single" w:sz="4" w:space="0" w:color="000000"/>
              <w:left w:val="single" w:sz="6" w:space="0" w:color="000000"/>
              <w:bottom w:val="single" w:sz="4" w:space="0" w:color="000000"/>
              <w:right w:val="single" w:sz="6" w:space="0" w:color="000000"/>
            </w:tcBorders>
          </w:tcPr>
          <w:p w14:paraId="1513195F" w14:textId="77777777" w:rsidR="007170C3" w:rsidRPr="008819AF" w:rsidRDefault="006F0418" w:rsidP="003E351D">
            <w:pPr>
              <w:ind w:right="-70"/>
              <w:rPr>
                <w:rFonts w:eastAsia="Arial"/>
                <w:lang w:bidi="cs-CZ"/>
              </w:rPr>
            </w:pPr>
            <w:r w:rsidRPr="008819AF">
              <w:rPr>
                <w:rFonts w:eastAsia="Arial"/>
                <w:lang w:bidi="cs-CZ"/>
              </w:rPr>
              <w:t>Č:5</w:t>
            </w:r>
          </w:p>
        </w:tc>
        <w:tc>
          <w:tcPr>
            <w:tcW w:w="6227" w:type="dxa"/>
            <w:gridSpan w:val="2"/>
            <w:tcBorders>
              <w:top w:val="single" w:sz="4" w:space="0" w:color="000000"/>
              <w:left w:val="single" w:sz="6" w:space="0" w:color="000000"/>
              <w:bottom w:val="single" w:sz="4" w:space="0" w:color="000000"/>
              <w:right w:val="single" w:sz="6" w:space="0" w:color="000000"/>
            </w:tcBorders>
          </w:tcPr>
          <w:p w14:paraId="15131960" w14:textId="77777777" w:rsidR="007170C3" w:rsidRPr="008819AF" w:rsidRDefault="006F0418" w:rsidP="0021052F">
            <w:pPr>
              <w:ind w:left="215" w:hanging="215"/>
              <w:rPr>
                <w:rFonts w:eastAsia="Arial"/>
              </w:rPr>
            </w:pPr>
            <w:r w:rsidRPr="008819AF">
              <w:rPr>
                <w:rFonts w:eastAsia="Arial"/>
              </w:rPr>
              <w:t>Článok 5</w:t>
            </w:r>
          </w:p>
          <w:p w14:paraId="15131961" w14:textId="77777777" w:rsidR="007170C3" w:rsidRPr="008819AF" w:rsidRDefault="006F0418" w:rsidP="0021052F">
            <w:pPr>
              <w:ind w:left="215" w:hanging="215"/>
              <w:rPr>
                <w:rFonts w:eastAsia="Arial"/>
              </w:rPr>
            </w:pPr>
            <w:r w:rsidRPr="008819AF">
              <w:rPr>
                <w:rFonts w:eastAsia="Arial"/>
              </w:rPr>
              <w:t>Udelenie povolenia</w:t>
            </w:r>
          </w:p>
          <w:p w14:paraId="15131962" w14:textId="77777777" w:rsidR="007170C3" w:rsidRPr="008819AF" w:rsidRDefault="006F0418" w:rsidP="0021052F">
            <w:pPr>
              <w:ind w:left="215" w:hanging="215"/>
              <w:rPr>
                <w:rFonts w:eastAsia="Arial"/>
              </w:rPr>
            </w:pPr>
            <w:r w:rsidRPr="008819AF">
              <w:rPr>
                <w:rFonts w:eastAsia="Arial"/>
              </w:rPr>
              <w:t>1. Bez toho, aby boli dotknuté iné požiadavky ustanovené vo vnútroštátnych právnych predpisoch alebo v právnych predpisoch Únie, príslušný orgán udelí povolenie, ak zariadenie spĺňa požiadavky tejto smernice.</w:t>
            </w:r>
          </w:p>
          <w:p w14:paraId="15131963" w14:textId="77777777" w:rsidR="007170C3" w:rsidRPr="008819AF" w:rsidRDefault="006F0418" w:rsidP="0021052F">
            <w:pPr>
              <w:ind w:left="215" w:hanging="215"/>
              <w:rPr>
                <w:rFonts w:eastAsia="Arial"/>
              </w:rPr>
            </w:pPr>
            <w:r w:rsidRPr="008819AF">
              <w:rPr>
                <w:rFonts w:eastAsia="Arial"/>
              </w:rPr>
              <w:t>2. Členské štáty prijmú opatrenia potrebné na úplnú koordináciu povoľovacích konaní a podmienok povolení v prípade, ak sa na týchto konaniach zúčastňuje viac ako jeden príslušný orgán alebo viac ako jeden prevádzkovateľ alebo sa udeľuje viac ako jedno povolenie s cieľom zaručiť účinný integrovaný prístup všetkých orgánov príslušných v tomto konaní.</w:t>
            </w:r>
          </w:p>
          <w:p w14:paraId="15131964" w14:textId="77777777" w:rsidR="007170C3" w:rsidRPr="008819AF" w:rsidRDefault="006F0418" w:rsidP="0021052F">
            <w:pPr>
              <w:ind w:left="215" w:hanging="215"/>
              <w:rPr>
                <w:rFonts w:eastAsia="Arial"/>
              </w:rPr>
            </w:pPr>
            <w:r w:rsidRPr="008819AF">
              <w:rPr>
                <w:rFonts w:eastAsia="Arial"/>
              </w:rPr>
              <w:lastRenderedPageBreak/>
              <w:t>3. V prípade nových zariadení alebo v prípade podstatnej zmeny, na ktoré sa vzťahuje článok 4 smernice 85/337/EHS, sa pri udeľovaní povolenia preskúma a použije akákoľvek relevantná získaná informácia alebo záver, ku ktorému sa dospeje podľa článkov 5, 6, 7 a 9 uvedenej smernice.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965" w14:textId="77777777" w:rsidR="007170C3" w:rsidRPr="008819AF" w:rsidRDefault="007170C3" w:rsidP="0021052F">
            <w:pPr>
              <w:ind w:left="-70" w:right="-68" w:hanging="6"/>
              <w:jc w:val="center"/>
              <w:rPr>
                <w:rFonts w:eastAsia="Arial"/>
              </w:rPr>
            </w:pPr>
          </w:p>
          <w:p w14:paraId="15131966" w14:textId="77777777" w:rsidR="007170C3" w:rsidRPr="008819AF" w:rsidRDefault="006F0418" w:rsidP="0021052F">
            <w:pPr>
              <w:ind w:left="-70" w:right="-68" w:hanging="6"/>
              <w:jc w:val="center"/>
              <w:rPr>
                <w:rFonts w:eastAsia="Arial"/>
              </w:rPr>
            </w:pPr>
            <w:r w:rsidRPr="008819AF">
              <w:rPr>
                <w:rFonts w:eastAsia="Arial"/>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1967" w14:textId="77777777" w:rsidR="007170C3" w:rsidRPr="008819AF" w:rsidRDefault="007170C3" w:rsidP="0021052F">
            <w:pPr>
              <w:jc w:val="center"/>
              <w:rPr>
                <w:rFonts w:eastAsia="Arial"/>
              </w:rPr>
            </w:pPr>
          </w:p>
          <w:p w14:paraId="15131968" w14:textId="77777777" w:rsidR="007170C3" w:rsidRPr="008819AF" w:rsidRDefault="006F0418" w:rsidP="0021052F">
            <w:pPr>
              <w:jc w:val="center"/>
              <w:rPr>
                <w:rFonts w:eastAsia="Arial"/>
              </w:rPr>
            </w:pPr>
            <w:r w:rsidRPr="008819AF">
              <w:rPr>
                <w:rFonts w:eastAsia="Arial"/>
              </w:rPr>
              <w:t>IPKZ-N</w:t>
            </w:r>
          </w:p>
        </w:tc>
        <w:tc>
          <w:tcPr>
            <w:tcW w:w="543" w:type="dxa"/>
            <w:tcBorders>
              <w:top w:val="single" w:sz="4" w:space="0" w:color="000000"/>
              <w:left w:val="single" w:sz="6" w:space="0" w:color="000000"/>
              <w:bottom w:val="single" w:sz="4" w:space="0" w:color="000000"/>
              <w:right w:val="single" w:sz="6" w:space="0" w:color="000000"/>
            </w:tcBorders>
          </w:tcPr>
          <w:p w14:paraId="1513196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96A"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 19</w:t>
            </w:r>
          </w:p>
          <w:p w14:paraId="1513196B"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O1</w:t>
            </w:r>
          </w:p>
        </w:tc>
        <w:tc>
          <w:tcPr>
            <w:tcW w:w="5664" w:type="dxa"/>
            <w:gridSpan w:val="5"/>
            <w:tcBorders>
              <w:top w:val="single" w:sz="4" w:space="0" w:color="000000"/>
              <w:left w:val="single" w:sz="6" w:space="0" w:color="000000"/>
              <w:bottom w:val="single" w:sz="4" w:space="0" w:color="000000"/>
              <w:right w:val="single" w:sz="6" w:space="0" w:color="000000"/>
            </w:tcBorders>
          </w:tcPr>
          <w:p w14:paraId="1513196C" w14:textId="77777777" w:rsidR="007170C3" w:rsidRPr="008819AF" w:rsidRDefault="007170C3" w:rsidP="0021052F">
            <w:pPr>
              <w:pStyle w:val="Zarkazkladnhotextu"/>
              <w:ind w:left="0" w:firstLine="0"/>
              <w:jc w:val="left"/>
              <w:rPr>
                <w:rFonts w:ascii="Times New Roman" w:hAnsi="Times New Roman" w:cs="Times New Roman"/>
                <w:color w:val="auto"/>
                <w:lang w:bidi="sk-SK"/>
              </w:rPr>
            </w:pPr>
          </w:p>
          <w:p w14:paraId="1513196D" w14:textId="77777777" w:rsidR="007170C3" w:rsidRPr="008819AF" w:rsidRDefault="006F0418" w:rsidP="0021052F">
            <w:pPr>
              <w:pStyle w:val="Zarkazkladnhotextu"/>
              <w:ind w:left="0" w:firstLine="0"/>
              <w:jc w:val="left"/>
              <w:rPr>
                <w:rFonts w:ascii="Times New Roman" w:hAnsi="Times New Roman" w:cs="Times New Roman"/>
                <w:color w:val="auto"/>
                <w:lang w:bidi="sk-SK"/>
              </w:rPr>
            </w:pPr>
            <w:r w:rsidRPr="008819AF">
              <w:rPr>
                <w:rFonts w:ascii="Times New Roman" w:hAnsi="Times New Roman" w:cs="Times New Roman"/>
                <w:color w:val="auto"/>
                <w:lang w:bidi="sk-SK"/>
              </w:rPr>
              <w:t>(1) Inšpekcia vydá povolenie, ktorým sa povoľuje činnosť v prevádzke, ak znečisťovanie z nej nespôsobí prekročenie normy kvality životného prostredia a ak sú súčasne splnené aj ostatné podmienky podľa zákona a osobitných predpisov upravujúcich konania,</w:t>
            </w:r>
            <w:r w:rsidRPr="008819AF">
              <w:rPr>
                <w:rFonts w:ascii="Times New Roman" w:hAnsi="Times New Roman" w:cs="Times New Roman"/>
                <w:color w:val="auto"/>
                <w:vertAlign w:val="superscript"/>
                <w:lang w:bidi="sk-SK"/>
              </w:rPr>
              <w:t>47b)</w:t>
            </w:r>
            <w:r w:rsidRPr="008819AF">
              <w:rPr>
                <w:rFonts w:ascii="Times New Roman" w:hAnsi="Times New Roman" w:cs="Times New Roman"/>
                <w:color w:val="auto"/>
                <w:lang w:bidi="sk-SK"/>
              </w:rPr>
              <w:t xml:space="preserve"> ktoré sú súčasťou integrovaného povoľovania.</w:t>
            </w:r>
          </w:p>
          <w:p w14:paraId="1513196E" w14:textId="77777777" w:rsidR="007170C3" w:rsidRPr="008819AF" w:rsidRDefault="007170C3" w:rsidP="0021052F">
            <w:pPr>
              <w:pStyle w:val="Zarkazkladnhotextu"/>
              <w:ind w:left="0" w:firstLine="0"/>
              <w:jc w:val="left"/>
              <w:rPr>
                <w:rFonts w:ascii="Times New Roman" w:hAnsi="Times New Roman" w:cs="Times New Roman"/>
                <w:color w:val="auto"/>
                <w:lang w:bidi="sk-SK"/>
              </w:rPr>
            </w:pPr>
          </w:p>
          <w:p w14:paraId="1513196F" w14:textId="77777777" w:rsidR="007170C3" w:rsidRPr="008819AF" w:rsidRDefault="006F0418" w:rsidP="0021052F">
            <w:pPr>
              <w:pStyle w:val="Hlavika"/>
              <w:ind w:left="0" w:firstLine="0"/>
              <w:rPr>
                <w:rFonts w:ascii="Times New Roman" w:hAnsi="Times New Roman" w:cs="Times New Roman"/>
              </w:rPr>
            </w:pPr>
            <w:r w:rsidRPr="008819AF">
              <w:rPr>
                <w:rFonts w:ascii="Times New Roman" w:hAnsi="Times New Roman" w:cs="Times New Roman"/>
                <w:u w:val="single"/>
              </w:rPr>
              <w:t>Pozn. pod čiarou k odkazom 38 a 39 znejú:</w:t>
            </w:r>
          </w:p>
          <w:p w14:paraId="15131970" w14:textId="77777777" w:rsidR="007170C3" w:rsidRPr="008819AF" w:rsidRDefault="006F0418" w:rsidP="0021052F">
            <w:pPr>
              <w:pStyle w:val="Zarkazkladnhotextu"/>
              <w:ind w:left="0" w:firstLine="0"/>
              <w:jc w:val="left"/>
              <w:rPr>
                <w:rFonts w:ascii="Times New Roman" w:hAnsi="Times New Roman" w:cs="Times New Roman"/>
                <w:color w:val="auto"/>
                <w:lang w:bidi="sk-SK"/>
              </w:rPr>
            </w:pPr>
            <w:r w:rsidRPr="008819AF">
              <w:rPr>
                <w:rFonts w:ascii="Times New Roman" w:hAnsi="Times New Roman" w:cs="Times New Roman"/>
                <w:color w:val="auto"/>
                <w:lang w:bidi="sk-SK"/>
              </w:rPr>
              <w:t xml:space="preserve">47b) Napríklad zákon č. 50/1976 Zb. o územnom plánovaní a stavebnom poriadku (stavebný zákon) v znení neskorších predpisov, zákon č. 223/2001 Z. z. v znení neskorších predpisov, zákon č. 543/2002 Z. z. v znení neskorších predpisov, § 8 ods. 6 zákona č. </w:t>
            </w:r>
            <w:r w:rsidRPr="008819AF">
              <w:rPr>
                <w:rFonts w:ascii="Times New Roman" w:hAnsi="Times New Roman" w:cs="Times New Roman"/>
                <w:color w:val="auto"/>
                <w:lang w:bidi="sk-SK"/>
              </w:rPr>
              <w:lastRenderedPageBreak/>
              <w:t>220/2004 Z. z. v znení neskorších predpisov, zákon č. 364/2004 Z. z. v znení neskorších predpisov, zákon č. 39/2007 Z. z. o veterinárnej starostlivosti v znení neskorších predpisov, zákon č. 355/2007 Z. z. v znení neskorších predpisov, zákon č. 137/2010 Z. z. v znení neskorších predpisov, zákon č. 258/2011 Z. z.“.</w:t>
            </w:r>
          </w:p>
          <w:p w14:paraId="15131971" w14:textId="77777777" w:rsidR="007170C3" w:rsidRPr="008819AF" w:rsidRDefault="007170C3" w:rsidP="0021052F">
            <w:pPr>
              <w:pStyle w:val="Zarkazkladnhotextu"/>
              <w:ind w:left="0" w:firstLine="0"/>
              <w:jc w:val="left"/>
              <w:rPr>
                <w:rFonts w:ascii="Times New Roman" w:hAnsi="Times New Roman" w:cs="Times New Roman"/>
                <w:color w:val="auto"/>
                <w:lang w:bidi="sk-SK"/>
              </w:rPr>
            </w:pPr>
          </w:p>
        </w:tc>
        <w:tc>
          <w:tcPr>
            <w:tcW w:w="429" w:type="dxa"/>
            <w:tcBorders>
              <w:top w:val="single" w:sz="4" w:space="0" w:color="000000"/>
              <w:left w:val="single" w:sz="6" w:space="0" w:color="000000"/>
              <w:bottom w:val="single" w:sz="4" w:space="0" w:color="000000"/>
              <w:right w:val="single" w:sz="6" w:space="0" w:color="000000"/>
            </w:tcBorders>
          </w:tcPr>
          <w:p w14:paraId="15131972" w14:textId="77777777" w:rsidR="007170C3" w:rsidRPr="008819AF" w:rsidRDefault="007170C3" w:rsidP="0021052F">
            <w:pPr>
              <w:ind w:left="215" w:hanging="215"/>
              <w:rPr>
                <w:rFonts w:eastAsia="Arial"/>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973" w14:textId="77777777" w:rsidR="007170C3" w:rsidRPr="008819AF" w:rsidRDefault="007170C3" w:rsidP="0021052F">
            <w:pPr>
              <w:ind w:left="215" w:hanging="215"/>
              <w:rPr>
                <w:rFonts w:eastAsia="Arial"/>
                <w:lang w:bidi="cs-CZ"/>
              </w:rPr>
            </w:pPr>
          </w:p>
        </w:tc>
      </w:tr>
      <w:tr w:rsidR="00F80158" w:rsidRPr="008819AF" w14:paraId="15131980" w14:textId="77777777" w:rsidTr="003E351D">
        <w:trPr>
          <w:trHeight w:val="487"/>
          <w:jc w:val="center"/>
        </w:trPr>
        <w:tc>
          <w:tcPr>
            <w:tcW w:w="483" w:type="dxa"/>
            <w:tcBorders>
              <w:top w:val="single" w:sz="4" w:space="0" w:color="000000"/>
              <w:left w:val="single" w:sz="6" w:space="0" w:color="000000"/>
              <w:bottom w:val="single" w:sz="4" w:space="0" w:color="000000"/>
              <w:right w:val="single" w:sz="6" w:space="0" w:color="000000"/>
            </w:tcBorders>
          </w:tcPr>
          <w:p w14:paraId="15131975" w14:textId="77777777" w:rsidR="007170C3" w:rsidRPr="008819AF" w:rsidRDefault="006F0418" w:rsidP="003E351D">
            <w:pPr>
              <w:ind w:right="-70"/>
              <w:rPr>
                <w:rFonts w:eastAsia="Arial"/>
                <w:lang w:bidi="cs-CZ"/>
              </w:rPr>
            </w:pPr>
            <w:r w:rsidRPr="008819AF">
              <w:rPr>
                <w:rFonts w:eastAsia="Arial"/>
                <w:lang w:bidi="cs-CZ"/>
              </w:rPr>
              <w:t>Č:6</w:t>
            </w:r>
          </w:p>
        </w:tc>
        <w:tc>
          <w:tcPr>
            <w:tcW w:w="6227" w:type="dxa"/>
            <w:gridSpan w:val="2"/>
            <w:tcBorders>
              <w:top w:val="single" w:sz="4" w:space="0" w:color="000000"/>
              <w:left w:val="single" w:sz="6" w:space="0" w:color="000000"/>
              <w:bottom w:val="single" w:sz="4" w:space="0" w:color="000000"/>
              <w:right w:val="single" w:sz="6" w:space="0" w:color="000000"/>
            </w:tcBorders>
          </w:tcPr>
          <w:p w14:paraId="15131976" w14:textId="77777777" w:rsidR="007170C3" w:rsidRPr="008819AF" w:rsidRDefault="006F0418" w:rsidP="0021052F">
            <w:pPr>
              <w:ind w:left="215" w:hanging="215"/>
              <w:rPr>
                <w:rFonts w:eastAsia="Arial"/>
              </w:rPr>
            </w:pPr>
            <w:r w:rsidRPr="008819AF">
              <w:rPr>
                <w:rFonts w:eastAsia="Arial"/>
              </w:rPr>
              <w:t>Článok 6</w:t>
            </w:r>
          </w:p>
          <w:p w14:paraId="15131977" w14:textId="77777777" w:rsidR="007170C3" w:rsidRPr="008819AF" w:rsidRDefault="006F0418" w:rsidP="0021052F">
            <w:pPr>
              <w:ind w:left="215" w:hanging="215"/>
              <w:rPr>
                <w:rFonts w:eastAsia="Arial"/>
              </w:rPr>
            </w:pPr>
            <w:r w:rsidRPr="008819AF">
              <w:rPr>
                <w:rFonts w:eastAsia="Arial"/>
              </w:rPr>
              <w:t>Všeobecne záväzné pravidlá</w:t>
            </w:r>
          </w:p>
          <w:p w14:paraId="15131978" w14:textId="77777777" w:rsidR="007170C3" w:rsidRPr="008819AF" w:rsidRDefault="006F0418" w:rsidP="0021052F">
            <w:pPr>
              <w:ind w:left="215" w:hanging="1"/>
              <w:rPr>
                <w:rFonts w:eastAsia="Arial"/>
              </w:rPr>
            </w:pPr>
            <w:r w:rsidRPr="008819AF">
              <w:rPr>
                <w:rFonts w:eastAsia="Arial"/>
              </w:rPr>
              <w:t>Bez toho, aby bola dotknutá povinnosť mať povolenie, môžu členské štáty do všeobecne záväzných pravidiel začleniť požiadavky pre určité kategórie zariadení alebo spaľovacích zariadení, spaľovní odpadov alebo zariadení na spoluspaľovanie odpadov.</w:t>
            </w:r>
          </w:p>
          <w:p w14:paraId="15131979" w14:textId="77777777" w:rsidR="007170C3" w:rsidRPr="008819AF" w:rsidRDefault="006F0418" w:rsidP="0021052F">
            <w:pPr>
              <w:ind w:left="215" w:hanging="1"/>
              <w:rPr>
                <w:rFonts w:eastAsia="Arial"/>
              </w:rPr>
            </w:pPr>
            <w:r w:rsidRPr="008819AF">
              <w:rPr>
                <w:rFonts w:eastAsia="Arial"/>
              </w:rPr>
              <w:t>V prípade prijatia všeobecne záväzných pravidiel môže povolenie obsahovať len odkaz na takéto pravidlá.</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97A" w14:textId="77777777" w:rsidR="007170C3" w:rsidRPr="008819AF" w:rsidRDefault="007170C3" w:rsidP="0021052F">
            <w:pPr>
              <w:ind w:left="-70" w:right="-68" w:hanging="6"/>
              <w:jc w:val="center"/>
              <w:rPr>
                <w:rFonts w:eastAsia="Arial"/>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97B" w14:textId="77777777" w:rsidR="007170C3" w:rsidRPr="008819AF" w:rsidRDefault="007170C3" w:rsidP="0021052F">
            <w:pPr>
              <w:jc w:val="center"/>
              <w:rPr>
                <w:rFonts w:eastAsia="Arial"/>
              </w:rPr>
            </w:pPr>
          </w:p>
        </w:tc>
        <w:tc>
          <w:tcPr>
            <w:tcW w:w="543" w:type="dxa"/>
            <w:tcBorders>
              <w:top w:val="single" w:sz="4" w:space="0" w:color="000000"/>
              <w:left w:val="single" w:sz="6" w:space="0" w:color="000000"/>
              <w:bottom w:val="single" w:sz="4" w:space="0" w:color="000000"/>
              <w:right w:val="single" w:sz="6" w:space="0" w:color="000000"/>
            </w:tcBorders>
          </w:tcPr>
          <w:p w14:paraId="1513197C"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97D" w14:textId="77777777" w:rsidR="007170C3" w:rsidRPr="008819AF" w:rsidRDefault="007170C3" w:rsidP="0021052F">
            <w:pPr>
              <w:pStyle w:val="Zarkazkladnhotextu"/>
              <w:jc w:val="left"/>
              <w:rPr>
                <w:rFonts w:ascii="Times New Roman" w:hAnsi="Times New Roman" w:cs="Times New Roman"/>
                <w:color w:val="auto"/>
                <w:lang w:bidi="sk-SK"/>
              </w:rPr>
            </w:pPr>
          </w:p>
        </w:tc>
        <w:tc>
          <w:tcPr>
            <w:tcW w:w="429" w:type="dxa"/>
            <w:tcBorders>
              <w:top w:val="single" w:sz="4" w:space="0" w:color="000000"/>
              <w:left w:val="single" w:sz="6" w:space="0" w:color="000000"/>
              <w:bottom w:val="single" w:sz="4" w:space="0" w:color="000000"/>
              <w:right w:val="single" w:sz="6" w:space="0" w:color="000000"/>
            </w:tcBorders>
          </w:tcPr>
          <w:p w14:paraId="1513197E" w14:textId="77777777" w:rsidR="007170C3" w:rsidRPr="008819AF" w:rsidRDefault="007170C3" w:rsidP="0021052F">
            <w:pPr>
              <w:ind w:left="215" w:hanging="215"/>
              <w:rPr>
                <w:rFonts w:eastAsia="Arial"/>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97F" w14:textId="77777777" w:rsidR="007170C3" w:rsidRPr="008819AF" w:rsidRDefault="007170C3" w:rsidP="0021052F">
            <w:pPr>
              <w:ind w:left="215" w:hanging="215"/>
              <w:rPr>
                <w:rFonts w:eastAsia="Arial"/>
                <w:lang w:bidi="cs-CZ"/>
              </w:rPr>
            </w:pPr>
          </w:p>
        </w:tc>
      </w:tr>
      <w:tr w:rsidR="00F80158" w:rsidRPr="008819AF" w14:paraId="15131991" w14:textId="77777777" w:rsidTr="003E351D">
        <w:trPr>
          <w:trHeight w:val="487"/>
          <w:jc w:val="center"/>
        </w:trPr>
        <w:tc>
          <w:tcPr>
            <w:tcW w:w="483" w:type="dxa"/>
            <w:tcBorders>
              <w:top w:val="single" w:sz="4" w:space="0" w:color="000000"/>
              <w:left w:val="single" w:sz="6" w:space="0" w:color="000000"/>
              <w:bottom w:val="single" w:sz="4" w:space="0" w:color="000000"/>
              <w:right w:val="single" w:sz="6" w:space="0" w:color="000000"/>
            </w:tcBorders>
          </w:tcPr>
          <w:p w14:paraId="15131981" w14:textId="77777777" w:rsidR="007170C3" w:rsidRPr="008819AF" w:rsidRDefault="006F0418" w:rsidP="003E351D">
            <w:pPr>
              <w:ind w:right="-70"/>
              <w:rPr>
                <w:rFonts w:eastAsia="Arial"/>
                <w:lang w:bidi="cs-CZ"/>
              </w:rPr>
            </w:pPr>
            <w:r w:rsidRPr="008819AF">
              <w:rPr>
                <w:rFonts w:eastAsia="Arial"/>
                <w:lang w:bidi="cs-CZ"/>
              </w:rPr>
              <w:t>Č:7</w:t>
            </w:r>
          </w:p>
        </w:tc>
        <w:tc>
          <w:tcPr>
            <w:tcW w:w="6227" w:type="dxa"/>
            <w:gridSpan w:val="2"/>
            <w:tcBorders>
              <w:top w:val="single" w:sz="4" w:space="0" w:color="000000"/>
              <w:left w:val="single" w:sz="6" w:space="0" w:color="000000"/>
              <w:bottom w:val="single" w:sz="4" w:space="0" w:color="000000"/>
              <w:right w:val="single" w:sz="6" w:space="0" w:color="000000"/>
            </w:tcBorders>
          </w:tcPr>
          <w:p w14:paraId="15131982" w14:textId="77777777" w:rsidR="007170C3" w:rsidRPr="008819AF" w:rsidRDefault="006F0418" w:rsidP="0021052F">
            <w:pPr>
              <w:ind w:left="215" w:hanging="215"/>
              <w:rPr>
                <w:rFonts w:eastAsia="Arial"/>
              </w:rPr>
            </w:pPr>
            <w:r w:rsidRPr="008819AF">
              <w:rPr>
                <w:rFonts w:eastAsia="Arial"/>
              </w:rPr>
              <w:t>Článok 7</w:t>
            </w:r>
          </w:p>
          <w:p w14:paraId="15131983" w14:textId="77777777" w:rsidR="007170C3" w:rsidRPr="008819AF" w:rsidRDefault="006F0418" w:rsidP="0021052F">
            <w:pPr>
              <w:ind w:left="215" w:hanging="215"/>
              <w:rPr>
                <w:rFonts w:eastAsia="Arial"/>
              </w:rPr>
            </w:pPr>
            <w:r w:rsidRPr="008819AF">
              <w:rPr>
                <w:rFonts w:eastAsia="Arial"/>
              </w:rPr>
              <w:t>Mimoriadne udalosti a havárie</w:t>
            </w:r>
          </w:p>
          <w:p w14:paraId="15131984" w14:textId="77777777" w:rsidR="007170C3" w:rsidRPr="008819AF" w:rsidRDefault="007170C3" w:rsidP="0021052F">
            <w:pPr>
              <w:ind w:left="215" w:hanging="215"/>
              <w:rPr>
                <w:rFonts w:eastAsia="Arial"/>
              </w:rPr>
            </w:pPr>
          </w:p>
          <w:p w14:paraId="15131985" w14:textId="77777777" w:rsidR="007170C3" w:rsidRPr="008819AF" w:rsidRDefault="006F0418" w:rsidP="0021052F">
            <w:pPr>
              <w:ind w:left="215" w:hanging="1"/>
              <w:rPr>
                <w:rFonts w:eastAsia="Arial"/>
              </w:rPr>
            </w:pPr>
            <w:r w:rsidRPr="008819AF">
              <w:rPr>
                <w:rFonts w:eastAsia="Arial"/>
              </w:rPr>
              <w:t>Bez toho, aby bola dotknutá smernica Európskeho parlamentu a Rady 2004/35/ES z 21. apríla 2004 o environmentálnej zodpovednosti pri prevencii a odstraňovaní environmentálnych škôd(1)  v prípade akejkoľvek mimoriadnej udalosti alebo havárie významne ovplyvňujúcej životné prostredie prijmú členské štáty opatrenia potrebné na to, aby zabezpečili, že:</w:t>
            </w:r>
          </w:p>
          <w:p w14:paraId="15131986" w14:textId="77777777" w:rsidR="007170C3" w:rsidRPr="008819AF" w:rsidRDefault="007170C3" w:rsidP="0021052F">
            <w:pPr>
              <w:ind w:left="215" w:hanging="1"/>
              <w:rPr>
                <w:rFonts w:eastAsia="Arial"/>
              </w:rPr>
            </w:pPr>
          </w:p>
          <w:p w14:paraId="15131987" w14:textId="77777777" w:rsidR="007170C3" w:rsidRPr="008819AF" w:rsidRDefault="006F0418" w:rsidP="0021052F">
            <w:pPr>
              <w:ind w:left="497" w:hanging="283"/>
              <w:rPr>
                <w:rFonts w:eastAsia="Arial"/>
              </w:rPr>
            </w:pPr>
            <w:r w:rsidRPr="008819AF">
              <w:rPr>
                <w:rFonts w:eastAsia="Arial"/>
              </w:rPr>
              <w:t>a) prevádzkovateľ ihneď informuje príslušný orgán;</w:t>
            </w:r>
          </w:p>
          <w:p w14:paraId="15131988" w14:textId="77777777" w:rsidR="007170C3" w:rsidRPr="008819AF" w:rsidRDefault="006F0418" w:rsidP="0021052F">
            <w:pPr>
              <w:spacing w:after="120"/>
              <w:ind w:left="499" w:hanging="284"/>
              <w:rPr>
                <w:rFonts w:eastAsia="Arial"/>
              </w:rPr>
            </w:pPr>
            <w:r w:rsidRPr="008819AF">
              <w:rPr>
                <w:rFonts w:eastAsia="Arial"/>
              </w:rPr>
              <w:t>b) prevádzkovateľ ihneď prijme opatrenia na obmedzenie následkov na životné prostredie a zabránenie ďalším možným mimoriadnym udalostiam alebo haváriám;</w:t>
            </w:r>
          </w:p>
          <w:p w14:paraId="15131989" w14:textId="77777777" w:rsidR="007170C3" w:rsidRPr="008819AF" w:rsidRDefault="006F0418" w:rsidP="0021052F">
            <w:pPr>
              <w:spacing w:after="120"/>
              <w:ind w:left="499" w:hanging="284"/>
              <w:rPr>
                <w:rFonts w:eastAsia="Arial"/>
              </w:rPr>
            </w:pPr>
            <w:r w:rsidRPr="008819AF">
              <w:rPr>
                <w:rFonts w:eastAsia="Arial"/>
              </w:rPr>
              <w:t>c) príslušný orgán vyžaduje, aby prevádzkovateľ prijal akékoľvek dodatočné vhodné opatrenia, ktoré príslušný orgán považuje za potrebné na obmedzenie následkov na životné prostredie a zabránenie ďalším možným mimoriadnym udalostiam alebo haváriám.</w:t>
            </w:r>
          </w:p>
          <w:p w14:paraId="1513198A" w14:textId="77777777" w:rsidR="007170C3" w:rsidRPr="008819AF" w:rsidRDefault="007170C3" w:rsidP="0021052F">
            <w:pPr>
              <w:ind w:left="215" w:hanging="21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98B"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98C"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98D"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98E" w14:textId="77777777" w:rsidR="007170C3" w:rsidRPr="008819AF" w:rsidRDefault="007170C3" w:rsidP="0021052F">
            <w:pPr>
              <w:pStyle w:val="Zarkazkladnhotextu"/>
              <w:jc w:val="left"/>
              <w:rPr>
                <w:rFonts w:ascii="Times New Roman" w:hAnsi="Times New Roman" w:cs="Times New Roman"/>
                <w:color w:val="auto"/>
              </w:rPr>
            </w:pPr>
          </w:p>
        </w:tc>
        <w:tc>
          <w:tcPr>
            <w:tcW w:w="429" w:type="dxa"/>
            <w:tcBorders>
              <w:top w:val="single" w:sz="4" w:space="0" w:color="000000"/>
              <w:left w:val="single" w:sz="6" w:space="0" w:color="000000"/>
              <w:bottom w:val="single" w:sz="4" w:space="0" w:color="000000"/>
              <w:right w:val="single" w:sz="6" w:space="0" w:color="000000"/>
            </w:tcBorders>
          </w:tcPr>
          <w:p w14:paraId="1513198F"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990" w14:textId="77777777" w:rsidR="007170C3" w:rsidRPr="008819AF" w:rsidRDefault="007170C3" w:rsidP="0021052F">
            <w:pPr>
              <w:ind w:left="215" w:hanging="215"/>
              <w:rPr>
                <w:rFonts w:eastAsia="Arial"/>
                <w:lang w:bidi="cs-CZ"/>
              </w:rPr>
            </w:pPr>
          </w:p>
        </w:tc>
      </w:tr>
      <w:tr w:rsidR="00F80158" w:rsidRPr="008819AF" w14:paraId="151319D9" w14:textId="77777777" w:rsidTr="003E351D">
        <w:trPr>
          <w:trHeight w:val="487"/>
          <w:jc w:val="center"/>
        </w:trPr>
        <w:tc>
          <w:tcPr>
            <w:tcW w:w="483" w:type="dxa"/>
            <w:tcBorders>
              <w:top w:val="single" w:sz="4" w:space="0" w:color="000000"/>
              <w:left w:val="single" w:sz="6" w:space="0" w:color="000000"/>
              <w:bottom w:val="single" w:sz="4" w:space="0" w:color="000000"/>
              <w:right w:val="single" w:sz="6" w:space="0" w:color="000000"/>
            </w:tcBorders>
          </w:tcPr>
          <w:p w14:paraId="15131992" w14:textId="77777777" w:rsidR="007170C3" w:rsidRPr="008819AF" w:rsidRDefault="006F0418" w:rsidP="003E351D">
            <w:pPr>
              <w:ind w:right="-70"/>
              <w:rPr>
                <w:rFonts w:eastAsia="Arial"/>
                <w:lang w:bidi="cs-CZ"/>
              </w:rPr>
            </w:pPr>
            <w:r w:rsidRPr="008819AF">
              <w:rPr>
                <w:rFonts w:eastAsia="Arial"/>
                <w:lang w:bidi="cs-CZ"/>
              </w:rPr>
              <w:t>Č:8</w:t>
            </w:r>
          </w:p>
        </w:tc>
        <w:tc>
          <w:tcPr>
            <w:tcW w:w="6227" w:type="dxa"/>
            <w:gridSpan w:val="2"/>
            <w:tcBorders>
              <w:top w:val="single" w:sz="4" w:space="0" w:color="000000"/>
              <w:left w:val="single" w:sz="6" w:space="0" w:color="000000"/>
              <w:bottom w:val="single" w:sz="4" w:space="0" w:color="000000"/>
              <w:right w:val="single" w:sz="6" w:space="0" w:color="000000"/>
            </w:tcBorders>
          </w:tcPr>
          <w:p w14:paraId="15131993" w14:textId="77777777" w:rsidR="007170C3" w:rsidRPr="008819AF" w:rsidRDefault="006F0418" w:rsidP="0021052F">
            <w:pPr>
              <w:ind w:left="215" w:hanging="215"/>
              <w:rPr>
                <w:rFonts w:eastAsia="Arial"/>
              </w:rPr>
            </w:pPr>
            <w:r w:rsidRPr="008819AF">
              <w:rPr>
                <w:rFonts w:eastAsia="Arial"/>
              </w:rPr>
              <w:t>Článok 8</w:t>
            </w:r>
          </w:p>
          <w:p w14:paraId="15131994" w14:textId="77777777" w:rsidR="007170C3" w:rsidRPr="008819AF" w:rsidRDefault="006F0418" w:rsidP="0021052F">
            <w:pPr>
              <w:ind w:left="215" w:hanging="215"/>
              <w:rPr>
                <w:rFonts w:eastAsia="Arial"/>
              </w:rPr>
            </w:pPr>
            <w:r w:rsidRPr="008819AF">
              <w:rPr>
                <w:rFonts w:eastAsia="Arial"/>
              </w:rPr>
              <w:t>Nedodržiavanie podmienok povolenia</w:t>
            </w:r>
          </w:p>
          <w:p w14:paraId="15131995" w14:textId="77777777" w:rsidR="007170C3" w:rsidRPr="008819AF" w:rsidRDefault="007170C3" w:rsidP="0021052F">
            <w:pPr>
              <w:ind w:left="215" w:hanging="215"/>
              <w:rPr>
                <w:rFonts w:eastAsia="Arial"/>
              </w:rPr>
            </w:pPr>
          </w:p>
          <w:p w14:paraId="15131996" w14:textId="77777777" w:rsidR="007170C3" w:rsidRPr="008819AF" w:rsidRDefault="006F0418" w:rsidP="0021052F">
            <w:pPr>
              <w:ind w:left="214" w:hanging="214"/>
              <w:rPr>
                <w:rFonts w:eastAsia="Arial"/>
              </w:rPr>
            </w:pPr>
            <w:r w:rsidRPr="008819AF">
              <w:rPr>
                <w:rFonts w:eastAsia="Arial"/>
              </w:rPr>
              <w:t>1. Členské štáty prijmú opatrenia potrebné na to, aby boli dodržané podmienky povolenia.</w:t>
            </w:r>
          </w:p>
          <w:p w14:paraId="15131997" w14:textId="77777777" w:rsidR="007170C3" w:rsidRPr="008819AF" w:rsidRDefault="007170C3" w:rsidP="0021052F">
            <w:pPr>
              <w:ind w:left="215" w:hanging="1"/>
              <w:rPr>
                <w:rFonts w:eastAsia="Arial"/>
              </w:rPr>
            </w:pPr>
          </w:p>
          <w:p w14:paraId="15131998" w14:textId="77777777" w:rsidR="007170C3" w:rsidRPr="008819AF" w:rsidRDefault="006F0418" w:rsidP="0021052F">
            <w:pPr>
              <w:ind w:left="214" w:hanging="214"/>
              <w:rPr>
                <w:rFonts w:eastAsia="Arial"/>
              </w:rPr>
            </w:pPr>
            <w:r w:rsidRPr="008819AF">
              <w:rPr>
                <w:rFonts w:eastAsia="Arial"/>
              </w:rPr>
              <w:t>2. V prípade porušenia podmienok povolenia členské štáty zabezpečia, aby:</w:t>
            </w:r>
          </w:p>
          <w:p w14:paraId="15131999" w14:textId="77777777" w:rsidR="007170C3" w:rsidRPr="008819AF" w:rsidRDefault="007170C3" w:rsidP="0021052F">
            <w:pPr>
              <w:ind w:left="215" w:hanging="1"/>
              <w:rPr>
                <w:rFonts w:eastAsia="Arial"/>
              </w:rPr>
            </w:pPr>
          </w:p>
          <w:p w14:paraId="1513199A" w14:textId="77777777" w:rsidR="007170C3" w:rsidRPr="008819AF" w:rsidRDefault="006F0418" w:rsidP="0021052F">
            <w:pPr>
              <w:ind w:left="497" w:hanging="283"/>
              <w:rPr>
                <w:rFonts w:eastAsia="Arial"/>
              </w:rPr>
            </w:pPr>
            <w:r w:rsidRPr="008819AF">
              <w:rPr>
                <w:rFonts w:eastAsia="Arial"/>
              </w:rPr>
              <w:t>a) prevádzkovateľ okamžite informoval príslušný orgán;</w:t>
            </w:r>
          </w:p>
          <w:p w14:paraId="1513199B" w14:textId="77777777" w:rsidR="007170C3" w:rsidRPr="008819AF" w:rsidRDefault="007170C3" w:rsidP="0021052F">
            <w:pPr>
              <w:ind w:left="497" w:hanging="283"/>
              <w:rPr>
                <w:rFonts w:eastAsia="Arial"/>
              </w:rPr>
            </w:pPr>
          </w:p>
          <w:p w14:paraId="1513199C" w14:textId="77777777" w:rsidR="007170C3" w:rsidRPr="008819AF" w:rsidRDefault="006F0418" w:rsidP="0021052F">
            <w:pPr>
              <w:ind w:left="497" w:hanging="283"/>
              <w:rPr>
                <w:rFonts w:eastAsia="Arial"/>
              </w:rPr>
            </w:pPr>
            <w:r w:rsidRPr="008819AF">
              <w:rPr>
                <w:rFonts w:eastAsia="Arial"/>
              </w:rPr>
              <w:t>b) prevádzkovateľ ihneď prijal opatrenia potrebné na zabezpečenie opätovného splnenia požiadaviek v čo najkratšom možnom čase;</w:t>
            </w:r>
          </w:p>
          <w:p w14:paraId="1513199D" w14:textId="77777777" w:rsidR="007170C3" w:rsidRPr="008819AF" w:rsidRDefault="007170C3" w:rsidP="0021052F">
            <w:pPr>
              <w:ind w:left="497" w:hanging="283"/>
              <w:rPr>
                <w:rFonts w:eastAsia="Arial"/>
              </w:rPr>
            </w:pPr>
          </w:p>
          <w:p w14:paraId="1513199E" w14:textId="77777777" w:rsidR="007170C3" w:rsidRPr="008819AF" w:rsidRDefault="006F0418" w:rsidP="0021052F">
            <w:pPr>
              <w:ind w:left="497" w:hanging="283"/>
              <w:rPr>
                <w:rFonts w:eastAsia="Arial"/>
              </w:rPr>
            </w:pPr>
            <w:r w:rsidRPr="008819AF">
              <w:rPr>
                <w:rFonts w:eastAsia="Arial"/>
              </w:rPr>
              <w:t>c) príslušný orgán požadoval, aby prevádzkovateľ prijal akékoľvek dodatočné vhodné opatrenia, ktoré príslušný orgán považuje za potrebné na opätovné splnenie požiadaviek.</w:t>
            </w:r>
          </w:p>
          <w:p w14:paraId="1513199F" w14:textId="77777777" w:rsidR="007170C3" w:rsidRPr="008819AF" w:rsidRDefault="007170C3" w:rsidP="0021052F">
            <w:pPr>
              <w:ind w:left="215" w:hanging="215"/>
              <w:rPr>
                <w:rFonts w:eastAsia="Arial"/>
              </w:rPr>
            </w:pPr>
          </w:p>
          <w:p w14:paraId="151319A0" w14:textId="77777777" w:rsidR="007170C3" w:rsidRPr="008819AF" w:rsidRDefault="006F0418" w:rsidP="0021052F">
            <w:pPr>
              <w:ind w:left="215" w:hanging="1"/>
              <w:rPr>
                <w:rFonts w:eastAsia="Arial"/>
              </w:rPr>
            </w:pPr>
            <w:r w:rsidRPr="008819AF">
              <w:rPr>
                <w:rFonts w:eastAsia="Arial"/>
              </w:rPr>
              <w:t>Ak porušenie podmienok povolenia predstavuje bezprostredné nebezpečenstvo pre ľudské zdravie alebo hrozí spôsobenie okamžitého významného negatívneho účinku na životné prostredie, prevádzkovanie zariadenia, spaľovacieho zariadenia, spaľovne odpadov, zariadenia na spoluspaľovanie odpadov alebo ich príslušnej časti sa pozastaví až dovtedy, kým nebude opäť zabezpečené splnenie požiadaviek podľa podmienok prvého pododseku písm. b) a c).</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9A1" w14:textId="77777777" w:rsidR="007170C3" w:rsidRPr="008819AF" w:rsidRDefault="007170C3" w:rsidP="0021052F">
            <w:pPr>
              <w:ind w:left="-70" w:right="-68" w:hanging="6"/>
              <w:jc w:val="center"/>
              <w:rPr>
                <w:rFonts w:eastAsia="Arial"/>
                <w:lang w:bidi="cs-CZ"/>
              </w:rPr>
            </w:pPr>
          </w:p>
          <w:p w14:paraId="151319A2" w14:textId="77777777" w:rsidR="007170C3" w:rsidRPr="008819AF" w:rsidRDefault="007170C3" w:rsidP="0021052F">
            <w:pPr>
              <w:ind w:left="-70" w:right="-68" w:hanging="6"/>
              <w:jc w:val="center"/>
              <w:rPr>
                <w:rFonts w:eastAsia="Arial"/>
                <w:lang w:bidi="cs-CZ"/>
              </w:rPr>
            </w:pPr>
          </w:p>
          <w:p w14:paraId="151319A3" w14:textId="77777777" w:rsidR="007170C3" w:rsidRPr="008819AF" w:rsidRDefault="007170C3" w:rsidP="0021052F">
            <w:pPr>
              <w:ind w:left="-70" w:right="-68" w:hanging="6"/>
              <w:jc w:val="center"/>
              <w:rPr>
                <w:rFonts w:eastAsia="Arial"/>
                <w:lang w:bidi="cs-CZ"/>
              </w:rPr>
            </w:pPr>
          </w:p>
          <w:p w14:paraId="151319A4" w14:textId="77777777" w:rsidR="007170C3" w:rsidRPr="008819AF" w:rsidRDefault="007170C3" w:rsidP="0021052F">
            <w:pPr>
              <w:ind w:left="-70" w:right="-68" w:hanging="6"/>
              <w:jc w:val="center"/>
              <w:rPr>
                <w:rFonts w:eastAsia="Arial"/>
                <w:lang w:bidi="cs-CZ"/>
              </w:rPr>
            </w:pPr>
          </w:p>
          <w:p w14:paraId="151319A5" w14:textId="77777777" w:rsidR="007170C3" w:rsidRPr="008819AF" w:rsidRDefault="007170C3" w:rsidP="0021052F">
            <w:pPr>
              <w:ind w:left="-70" w:right="-68" w:hanging="6"/>
              <w:jc w:val="center"/>
              <w:rPr>
                <w:rFonts w:eastAsia="Arial"/>
                <w:lang w:bidi="cs-CZ"/>
              </w:rPr>
            </w:pPr>
          </w:p>
          <w:p w14:paraId="151319A6" w14:textId="77777777" w:rsidR="00F02B7C" w:rsidRPr="008819AF" w:rsidRDefault="00F02B7C" w:rsidP="0021052F">
            <w:pPr>
              <w:ind w:left="-70" w:right="-68" w:hanging="6"/>
              <w:jc w:val="center"/>
              <w:rPr>
                <w:rFonts w:eastAsia="Arial"/>
                <w:lang w:bidi="cs-CZ"/>
              </w:rPr>
            </w:pPr>
          </w:p>
          <w:p w14:paraId="151319A7" w14:textId="77777777" w:rsidR="007170C3" w:rsidRPr="008819AF" w:rsidRDefault="007170C3" w:rsidP="0021052F">
            <w:pPr>
              <w:ind w:right="-68"/>
              <w:jc w:val="center"/>
              <w:rPr>
                <w:rFonts w:eastAsia="Arial"/>
                <w:lang w:bidi="cs-CZ"/>
              </w:rPr>
            </w:pPr>
          </w:p>
          <w:p w14:paraId="151319A8" w14:textId="77777777" w:rsidR="007170C3" w:rsidRPr="008819AF" w:rsidRDefault="006F0418" w:rsidP="0021052F">
            <w:pPr>
              <w:ind w:left="-70" w:right="-68" w:hanging="6"/>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19A9" w14:textId="77777777" w:rsidR="007170C3" w:rsidRPr="008819AF" w:rsidRDefault="007170C3" w:rsidP="0021052F">
            <w:pPr>
              <w:jc w:val="center"/>
              <w:rPr>
                <w:rFonts w:eastAsia="Arial"/>
                <w:lang w:bidi="cs-CZ"/>
              </w:rPr>
            </w:pPr>
          </w:p>
          <w:p w14:paraId="151319AA" w14:textId="77777777" w:rsidR="007170C3" w:rsidRPr="008819AF" w:rsidRDefault="007170C3" w:rsidP="0021052F">
            <w:pPr>
              <w:jc w:val="center"/>
              <w:rPr>
                <w:rFonts w:eastAsia="Arial"/>
                <w:lang w:bidi="cs-CZ"/>
              </w:rPr>
            </w:pPr>
          </w:p>
          <w:p w14:paraId="151319AB" w14:textId="77777777" w:rsidR="007170C3" w:rsidRPr="008819AF" w:rsidRDefault="007170C3" w:rsidP="0021052F">
            <w:pPr>
              <w:jc w:val="center"/>
              <w:rPr>
                <w:rFonts w:eastAsia="Arial"/>
                <w:lang w:bidi="cs-CZ"/>
              </w:rPr>
            </w:pPr>
          </w:p>
          <w:p w14:paraId="151319AC" w14:textId="77777777" w:rsidR="007170C3" w:rsidRPr="008819AF" w:rsidRDefault="007170C3" w:rsidP="0021052F">
            <w:pPr>
              <w:jc w:val="center"/>
              <w:rPr>
                <w:rFonts w:eastAsia="Arial"/>
                <w:lang w:bidi="cs-CZ"/>
              </w:rPr>
            </w:pPr>
          </w:p>
          <w:p w14:paraId="151319AD" w14:textId="77777777" w:rsidR="007170C3" w:rsidRPr="008819AF" w:rsidRDefault="007170C3" w:rsidP="0021052F">
            <w:pPr>
              <w:jc w:val="center"/>
              <w:rPr>
                <w:rFonts w:eastAsia="Arial"/>
                <w:lang w:bidi="cs-CZ"/>
              </w:rPr>
            </w:pPr>
          </w:p>
          <w:p w14:paraId="151319AE" w14:textId="77777777" w:rsidR="007170C3" w:rsidRPr="008819AF" w:rsidRDefault="007170C3" w:rsidP="0021052F">
            <w:pPr>
              <w:jc w:val="center"/>
              <w:rPr>
                <w:rFonts w:eastAsia="Arial"/>
                <w:lang w:bidi="cs-CZ"/>
              </w:rPr>
            </w:pPr>
          </w:p>
          <w:p w14:paraId="151319AF" w14:textId="77777777" w:rsidR="00F02B7C" w:rsidRPr="008819AF" w:rsidRDefault="00F02B7C" w:rsidP="0021052F">
            <w:pPr>
              <w:jc w:val="center"/>
              <w:rPr>
                <w:rFonts w:eastAsia="Arial"/>
                <w:lang w:bidi="cs-CZ"/>
              </w:rPr>
            </w:pPr>
          </w:p>
          <w:p w14:paraId="151319B0" w14:textId="77777777" w:rsidR="007170C3" w:rsidRPr="008819AF" w:rsidRDefault="006F0418" w:rsidP="0021052F">
            <w:pPr>
              <w:jc w:val="center"/>
              <w:rPr>
                <w:rFonts w:eastAsia="Arial"/>
                <w:lang w:bidi="cs-CZ"/>
              </w:rPr>
            </w:pPr>
            <w:r w:rsidRPr="008819AF">
              <w:rPr>
                <w:rFonts w:eastAsia="Arial"/>
                <w:lang w:bidi="cs-CZ"/>
              </w:rPr>
              <w:t>IPKZ</w:t>
            </w:r>
          </w:p>
        </w:tc>
        <w:tc>
          <w:tcPr>
            <w:tcW w:w="543" w:type="dxa"/>
            <w:tcBorders>
              <w:top w:val="single" w:sz="4" w:space="0" w:color="000000"/>
              <w:left w:val="single" w:sz="6" w:space="0" w:color="000000"/>
              <w:bottom w:val="single" w:sz="4" w:space="0" w:color="000000"/>
              <w:right w:val="single" w:sz="6" w:space="0" w:color="000000"/>
            </w:tcBorders>
          </w:tcPr>
          <w:p w14:paraId="151319B1"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B2"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B3"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B4"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B5"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B6"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B7" w14:textId="77777777" w:rsidR="00F02B7C" w:rsidRPr="008819AF" w:rsidRDefault="00F02B7C" w:rsidP="0021052F">
            <w:pPr>
              <w:pStyle w:val="BodyText21"/>
              <w:spacing w:before="0" w:line="240" w:lineRule="auto"/>
              <w:ind w:left="0" w:right="-70" w:firstLine="0"/>
              <w:jc w:val="center"/>
              <w:rPr>
                <w:rFonts w:ascii="Times New Roman" w:hAnsi="Times New Roman" w:cs="Times New Roman"/>
              </w:rPr>
            </w:pPr>
          </w:p>
          <w:p w14:paraId="151319B8"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33</w:t>
            </w:r>
          </w:p>
          <w:p w14:paraId="151319B9"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 4</w:t>
            </w:r>
          </w:p>
          <w:p w14:paraId="151319BA"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BB"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33</w:t>
            </w:r>
          </w:p>
          <w:p w14:paraId="151319BC"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 4 c)</w:t>
            </w:r>
          </w:p>
          <w:p w14:paraId="151319BD"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BE"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33</w:t>
            </w:r>
          </w:p>
          <w:p w14:paraId="151319BF"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 4e)</w:t>
            </w:r>
          </w:p>
          <w:p w14:paraId="151319C0"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C1"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9C2"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33 O 4f)</w:t>
            </w:r>
          </w:p>
          <w:p w14:paraId="151319C3"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33</w:t>
            </w:r>
          </w:p>
          <w:p w14:paraId="151319C4"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 5</w:t>
            </w:r>
          </w:p>
          <w:p w14:paraId="151319C5"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9C6" w14:textId="77777777" w:rsidR="007170C3" w:rsidRPr="008819AF" w:rsidRDefault="007170C3" w:rsidP="0021052F">
            <w:pPr>
              <w:pStyle w:val="Zarkazkladnhotextu"/>
              <w:jc w:val="left"/>
              <w:rPr>
                <w:rFonts w:ascii="Times New Roman" w:hAnsi="Times New Roman" w:cs="Times New Roman"/>
                <w:color w:val="auto"/>
              </w:rPr>
            </w:pPr>
          </w:p>
          <w:p w14:paraId="151319C7" w14:textId="77777777" w:rsidR="007170C3" w:rsidRPr="008819AF" w:rsidRDefault="007170C3" w:rsidP="0021052F">
            <w:pPr>
              <w:pStyle w:val="Zarkazkladnhotextu"/>
              <w:jc w:val="left"/>
              <w:rPr>
                <w:rFonts w:ascii="Times New Roman" w:hAnsi="Times New Roman" w:cs="Times New Roman"/>
                <w:color w:val="auto"/>
              </w:rPr>
            </w:pPr>
          </w:p>
          <w:p w14:paraId="151319C8" w14:textId="77777777" w:rsidR="007170C3" w:rsidRPr="008819AF" w:rsidRDefault="007170C3" w:rsidP="0021052F">
            <w:pPr>
              <w:pStyle w:val="Zarkazkladnhotextu"/>
              <w:jc w:val="left"/>
              <w:rPr>
                <w:rFonts w:ascii="Times New Roman" w:hAnsi="Times New Roman" w:cs="Times New Roman"/>
                <w:color w:val="auto"/>
              </w:rPr>
            </w:pPr>
          </w:p>
          <w:p w14:paraId="151319C9" w14:textId="77777777" w:rsidR="007170C3" w:rsidRPr="008819AF" w:rsidRDefault="007170C3" w:rsidP="0021052F">
            <w:pPr>
              <w:pStyle w:val="Zarkazkladnhotextu"/>
              <w:jc w:val="left"/>
              <w:rPr>
                <w:rFonts w:ascii="Times New Roman" w:hAnsi="Times New Roman" w:cs="Times New Roman"/>
                <w:color w:val="auto"/>
              </w:rPr>
            </w:pPr>
          </w:p>
          <w:p w14:paraId="151319CA" w14:textId="77777777" w:rsidR="007170C3" w:rsidRPr="008819AF" w:rsidRDefault="007170C3" w:rsidP="0021052F">
            <w:pPr>
              <w:pStyle w:val="Zarkazkladnhotextu"/>
              <w:jc w:val="left"/>
              <w:rPr>
                <w:rFonts w:ascii="Times New Roman" w:hAnsi="Times New Roman" w:cs="Times New Roman"/>
                <w:color w:val="auto"/>
              </w:rPr>
            </w:pPr>
          </w:p>
          <w:p w14:paraId="151319CB" w14:textId="77777777" w:rsidR="007170C3" w:rsidRPr="008819AF" w:rsidRDefault="007170C3" w:rsidP="0021052F">
            <w:pPr>
              <w:pStyle w:val="Zarkazkladnhotextu"/>
              <w:jc w:val="left"/>
              <w:rPr>
                <w:rFonts w:ascii="Times New Roman" w:hAnsi="Times New Roman" w:cs="Times New Roman"/>
                <w:color w:val="auto"/>
              </w:rPr>
            </w:pPr>
          </w:p>
          <w:p w14:paraId="151319CC" w14:textId="77777777" w:rsidR="00F02B7C" w:rsidRPr="008819AF" w:rsidRDefault="00F02B7C" w:rsidP="0021052F">
            <w:pPr>
              <w:pStyle w:val="Zarkazkladnhotextu"/>
              <w:jc w:val="left"/>
              <w:rPr>
                <w:rFonts w:ascii="Times New Roman" w:hAnsi="Times New Roman" w:cs="Times New Roman"/>
                <w:color w:val="auto"/>
              </w:rPr>
            </w:pPr>
          </w:p>
          <w:p w14:paraId="151319CD" w14:textId="77777777" w:rsidR="007170C3" w:rsidRPr="008819AF" w:rsidRDefault="006F0418" w:rsidP="0021052F">
            <w:pPr>
              <w:pStyle w:val="Zarkazkladnhotextu"/>
              <w:jc w:val="left"/>
              <w:rPr>
                <w:rFonts w:ascii="Times New Roman" w:hAnsi="Times New Roman" w:cs="Times New Roman"/>
                <w:color w:val="auto"/>
              </w:rPr>
            </w:pPr>
            <w:r w:rsidRPr="008819AF">
              <w:rPr>
                <w:rFonts w:ascii="Times New Roman" w:hAnsi="Times New Roman" w:cs="Times New Roman"/>
                <w:color w:val="auto"/>
              </w:rPr>
              <w:t>Prevádzkovateľ je povinný na účely kontroly plnenia povinností podľa odseku 1</w:t>
            </w:r>
          </w:p>
          <w:p w14:paraId="151319CE" w14:textId="77777777" w:rsidR="007170C3" w:rsidRPr="008819AF" w:rsidRDefault="007170C3" w:rsidP="0021052F">
            <w:pPr>
              <w:pStyle w:val="Zarkazkladnhotextu"/>
              <w:jc w:val="left"/>
              <w:rPr>
                <w:rFonts w:ascii="Times New Roman" w:hAnsi="Times New Roman" w:cs="Times New Roman"/>
                <w:color w:val="auto"/>
              </w:rPr>
            </w:pPr>
          </w:p>
          <w:p w14:paraId="151319CF" w14:textId="77777777" w:rsidR="007170C3" w:rsidRPr="008819AF" w:rsidRDefault="006F0418" w:rsidP="0021052F">
            <w:pPr>
              <w:pStyle w:val="Zarkazkladnhotextu"/>
              <w:jc w:val="left"/>
              <w:rPr>
                <w:rFonts w:ascii="Times New Roman" w:hAnsi="Times New Roman" w:cs="Times New Roman"/>
                <w:color w:val="auto"/>
              </w:rPr>
            </w:pPr>
            <w:r w:rsidRPr="008819AF">
              <w:rPr>
                <w:rFonts w:ascii="Times New Roman" w:hAnsi="Times New Roman" w:cs="Times New Roman"/>
                <w:color w:val="auto"/>
              </w:rPr>
              <w:t>c)</w:t>
            </w:r>
            <w:r w:rsidRPr="008819AF">
              <w:rPr>
                <w:rFonts w:ascii="Times New Roman" w:hAnsi="Times New Roman" w:cs="Times New Roman"/>
                <w:color w:val="auto"/>
              </w:rPr>
              <w:tab/>
              <w:t>bezodkladne informovať inšpekciu o porušení podmienok povolenia</w:t>
            </w:r>
          </w:p>
          <w:p w14:paraId="151319D0" w14:textId="77777777" w:rsidR="007170C3" w:rsidRPr="008819AF" w:rsidRDefault="007170C3" w:rsidP="0021052F">
            <w:pPr>
              <w:pStyle w:val="Zarkazkladnhotextu"/>
              <w:jc w:val="left"/>
              <w:rPr>
                <w:rFonts w:ascii="Times New Roman" w:hAnsi="Times New Roman" w:cs="Times New Roman"/>
                <w:color w:val="auto"/>
              </w:rPr>
            </w:pPr>
          </w:p>
          <w:p w14:paraId="151319D1" w14:textId="77777777" w:rsidR="007170C3" w:rsidRPr="008819AF" w:rsidRDefault="006F0418" w:rsidP="0021052F">
            <w:pPr>
              <w:pStyle w:val="Zarkazkladnhotextu"/>
              <w:numPr>
                <w:ilvl w:val="0"/>
                <w:numId w:val="5"/>
              </w:numPr>
              <w:ind w:left="356"/>
              <w:jc w:val="left"/>
              <w:rPr>
                <w:rFonts w:ascii="Times New Roman" w:hAnsi="Times New Roman" w:cs="Times New Roman"/>
                <w:color w:val="auto"/>
              </w:rPr>
            </w:pPr>
            <w:r w:rsidRPr="008819AF">
              <w:rPr>
                <w:rFonts w:ascii="Times New Roman" w:hAnsi="Times New Roman" w:cs="Times New Roman"/>
                <w:color w:val="auto"/>
              </w:rPr>
              <w:t>pri porušení podmienok povolenia bezodkladne prijať opatrenie potrebné na zabezpečenie opätovného splnenia požiadaviek povolenia</w:t>
            </w:r>
          </w:p>
          <w:p w14:paraId="151319D2" w14:textId="77777777" w:rsidR="007170C3" w:rsidRPr="008819AF" w:rsidRDefault="007170C3" w:rsidP="0021052F">
            <w:pPr>
              <w:pStyle w:val="Zarkazkladnhotextu"/>
              <w:ind w:left="356" w:firstLine="0"/>
              <w:jc w:val="left"/>
              <w:rPr>
                <w:rFonts w:ascii="Times New Roman" w:hAnsi="Times New Roman" w:cs="Times New Roman"/>
                <w:color w:val="auto"/>
              </w:rPr>
            </w:pPr>
          </w:p>
          <w:p w14:paraId="151319D3" w14:textId="77777777" w:rsidR="007170C3" w:rsidRPr="008819AF" w:rsidRDefault="006F0418" w:rsidP="0021052F">
            <w:pPr>
              <w:pStyle w:val="Zarkazkladnhotextu"/>
              <w:jc w:val="left"/>
              <w:rPr>
                <w:rFonts w:ascii="Times New Roman" w:hAnsi="Times New Roman" w:cs="Times New Roman"/>
                <w:color w:val="auto"/>
              </w:rPr>
            </w:pPr>
            <w:r w:rsidRPr="008819AF">
              <w:rPr>
                <w:rFonts w:ascii="Times New Roman" w:hAnsi="Times New Roman" w:cs="Times New Roman"/>
                <w:color w:val="auto"/>
              </w:rPr>
              <w:t>f)</w:t>
            </w:r>
            <w:r w:rsidRPr="008819AF">
              <w:rPr>
                <w:rFonts w:ascii="Times New Roman" w:hAnsi="Times New Roman" w:cs="Times New Roman"/>
                <w:color w:val="auto"/>
              </w:rPr>
              <w:tab/>
              <w:t>odstrániť v určenej lehote nedostatky zistené kontrolou prevádzkovaní a vykonať dodatočné vhodné nápravné opatrenia v prevádzke uložené inšpekciou</w:t>
            </w:r>
          </w:p>
          <w:p w14:paraId="151319D4" w14:textId="77777777" w:rsidR="007170C3" w:rsidRPr="008819AF" w:rsidRDefault="007170C3" w:rsidP="0021052F">
            <w:pPr>
              <w:pStyle w:val="Zarkazkladnhotextu"/>
              <w:jc w:val="left"/>
              <w:rPr>
                <w:rFonts w:ascii="Times New Roman" w:hAnsi="Times New Roman" w:cs="Times New Roman"/>
                <w:color w:val="auto"/>
              </w:rPr>
            </w:pPr>
          </w:p>
          <w:p w14:paraId="151319D5" w14:textId="77777777" w:rsidR="007170C3" w:rsidRPr="008819AF" w:rsidRDefault="006F0418" w:rsidP="0021052F">
            <w:pPr>
              <w:pStyle w:val="Zarkazkladnhotextu"/>
              <w:jc w:val="left"/>
              <w:rPr>
                <w:rFonts w:ascii="Times New Roman" w:hAnsi="Times New Roman" w:cs="Times New Roman"/>
                <w:color w:val="auto"/>
              </w:rPr>
            </w:pPr>
            <w:r w:rsidRPr="008819AF">
              <w:rPr>
                <w:rFonts w:ascii="Times New Roman" w:hAnsi="Times New Roman" w:cs="Times New Roman"/>
                <w:color w:val="auto"/>
              </w:rPr>
              <w:t>Inšpekcia je oprávnená pozastaviť činnosť v prevádzke ak zistí porušenie podmienok povolenia, ktoré predstavuje bezprostredné nebezpečenstvo pre ľudské zdravie alebo hrozí spôsobenie okamžitého významného negatívneho účinku na životné prostredie, prevádzkovaním  prevádzok a zariadení podľa prílohy č. 1, kým nebude opäť zabezpečené splnenie opatrení a odstránenie nedostatkov podľa odseku 4 písm. e) a f).</w:t>
            </w:r>
          </w:p>
          <w:p w14:paraId="151319D6" w14:textId="77777777" w:rsidR="007170C3" w:rsidRPr="008819AF" w:rsidRDefault="007170C3" w:rsidP="0021052F">
            <w:pPr>
              <w:pStyle w:val="Zarkazkladnhotextu"/>
              <w:jc w:val="left"/>
              <w:rPr>
                <w:rFonts w:ascii="Times New Roman" w:hAnsi="Times New Roman" w:cs="Times New Roman"/>
                <w:color w:val="auto"/>
              </w:rPr>
            </w:pPr>
          </w:p>
        </w:tc>
        <w:tc>
          <w:tcPr>
            <w:tcW w:w="429" w:type="dxa"/>
            <w:tcBorders>
              <w:top w:val="single" w:sz="4" w:space="0" w:color="000000"/>
              <w:left w:val="single" w:sz="6" w:space="0" w:color="000000"/>
              <w:bottom w:val="single" w:sz="4" w:space="0" w:color="000000"/>
              <w:right w:val="single" w:sz="6" w:space="0" w:color="000000"/>
            </w:tcBorders>
          </w:tcPr>
          <w:p w14:paraId="151319D7"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9D8" w14:textId="77777777" w:rsidR="007170C3" w:rsidRPr="008819AF" w:rsidRDefault="007170C3" w:rsidP="0021052F">
            <w:pPr>
              <w:ind w:left="215" w:hanging="215"/>
              <w:rPr>
                <w:rFonts w:eastAsia="Arial"/>
                <w:lang w:bidi="cs-CZ"/>
              </w:rPr>
            </w:pPr>
          </w:p>
        </w:tc>
      </w:tr>
      <w:tr w:rsidR="00F80158" w:rsidRPr="008819AF" w14:paraId="151319E7" w14:textId="77777777" w:rsidTr="003E351D">
        <w:trPr>
          <w:trHeight w:val="487"/>
          <w:jc w:val="center"/>
        </w:trPr>
        <w:tc>
          <w:tcPr>
            <w:tcW w:w="483" w:type="dxa"/>
            <w:tcBorders>
              <w:top w:val="single" w:sz="4" w:space="0" w:color="000000"/>
              <w:left w:val="single" w:sz="6" w:space="0" w:color="000000"/>
              <w:bottom w:val="single" w:sz="4" w:space="0" w:color="000000"/>
              <w:right w:val="single" w:sz="6" w:space="0" w:color="000000"/>
            </w:tcBorders>
          </w:tcPr>
          <w:p w14:paraId="151319DA" w14:textId="77777777" w:rsidR="007170C3" w:rsidRPr="008819AF" w:rsidRDefault="006F0418" w:rsidP="003E351D">
            <w:pPr>
              <w:ind w:right="-70"/>
              <w:rPr>
                <w:rFonts w:eastAsia="Arial"/>
                <w:lang w:bidi="cs-CZ"/>
              </w:rPr>
            </w:pPr>
            <w:r w:rsidRPr="008819AF">
              <w:rPr>
                <w:rFonts w:eastAsia="Arial"/>
                <w:lang w:bidi="cs-CZ"/>
              </w:rPr>
              <w:t>Č:9</w:t>
            </w:r>
          </w:p>
        </w:tc>
        <w:tc>
          <w:tcPr>
            <w:tcW w:w="6227" w:type="dxa"/>
            <w:gridSpan w:val="2"/>
            <w:tcBorders>
              <w:top w:val="single" w:sz="4" w:space="0" w:color="000000"/>
              <w:left w:val="single" w:sz="6" w:space="0" w:color="000000"/>
              <w:bottom w:val="single" w:sz="4" w:space="0" w:color="000000"/>
              <w:right w:val="single" w:sz="6" w:space="0" w:color="000000"/>
            </w:tcBorders>
          </w:tcPr>
          <w:p w14:paraId="151319DB" w14:textId="77777777" w:rsidR="007170C3" w:rsidRPr="008819AF" w:rsidRDefault="006F0418" w:rsidP="0021052F">
            <w:pPr>
              <w:ind w:left="215" w:hanging="215"/>
              <w:rPr>
                <w:rFonts w:eastAsia="Arial"/>
              </w:rPr>
            </w:pPr>
            <w:r w:rsidRPr="008819AF">
              <w:rPr>
                <w:rFonts w:eastAsia="Arial"/>
              </w:rPr>
              <w:t>Článok 9</w:t>
            </w:r>
          </w:p>
          <w:p w14:paraId="151319DC" w14:textId="77777777" w:rsidR="007170C3" w:rsidRPr="008819AF" w:rsidRDefault="006F0418" w:rsidP="0021052F">
            <w:pPr>
              <w:ind w:left="215" w:hanging="215"/>
              <w:rPr>
                <w:rFonts w:eastAsia="Arial"/>
              </w:rPr>
            </w:pPr>
            <w:r w:rsidRPr="008819AF">
              <w:rPr>
                <w:rFonts w:eastAsia="Arial"/>
              </w:rPr>
              <w:t>Emisie skleníkových plynov</w:t>
            </w:r>
          </w:p>
          <w:p w14:paraId="151319DD" w14:textId="77777777" w:rsidR="007170C3" w:rsidRPr="008819AF" w:rsidRDefault="006F0418" w:rsidP="0021052F">
            <w:pPr>
              <w:ind w:left="215" w:hanging="215"/>
              <w:rPr>
                <w:rFonts w:eastAsia="Arial"/>
              </w:rPr>
            </w:pPr>
            <w:r w:rsidRPr="008819AF">
              <w:rPr>
                <w:rFonts w:eastAsia="Arial"/>
              </w:rPr>
              <w:t>1. Ak sú emisie skleníkových plynov zo zariadenia špecifikované v prílohe I k smernici 2003/87/ES vo vzťahu k činnosti vykonávanej v tomto zariadení, povolenie neobsahuje emisný limit pre priame emisie tohto plynu, pokiaľ nie je potrebné zabezpečiť, aby nedošlo k významnému miestnemu znečisteniu.</w:t>
            </w:r>
          </w:p>
          <w:p w14:paraId="151319DE" w14:textId="77777777" w:rsidR="007170C3" w:rsidRPr="008819AF" w:rsidRDefault="006F0418" w:rsidP="0021052F">
            <w:pPr>
              <w:ind w:left="215" w:hanging="215"/>
              <w:rPr>
                <w:rFonts w:eastAsia="Arial"/>
              </w:rPr>
            </w:pPr>
            <w:r w:rsidRPr="008819AF">
              <w:rPr>
                <w:rFonts w:eastAsia="Arial"/>
              </w:rPr>
              <w:t>2. Členské štáty sa môžu rozhodnúť, že na činnosti uvedené v prílohe I k smernici 2003/87/ES nestanovia požiadavky týkajúce sa energetickej účinnosti s ohľadom na spaľovacie jednotky alebo iné jednotky vypúšťajúce oxid uhličitý v mieste, kde sa nachádzajú.</w:t>
            </w:r>
          </w:p>
          <w:p w14:paraId="151319DF" w14:textId="77777777" w:rsidR="007170C3" w:rsidRPr="008819AF" w:rsidRDefault="006F0418" w:rsidP="0021052F">
            <w:pPr>
              <w:ind w:left="215" w:hanging="215"/>
              <w:rPr>
                <w:rFonts w:eastAsia="Arial"/>
              </w:rPr>
            </w:pPr>
            <w:r w:rsidRPr="008819AF">
              <w:rPr>
                <w:rFonts w:eastAsia="Arial"/>
              </w:rPr>
              <w:t>3. Ak je to potrebné, príslušné orgány zmenia povolenie zodpovedajúcim spôsobom.</w:t>
            </w:r>
          </w:p>
          <w:p w14:paraId="151319E0" w14:textId="77777777" w:rsidR="007170C3" w:rsidRPr="008819AF" w:rsidRDefault="006F0418" w:rsidP="0021052F">
            <w:pPr>
              <w:ind w:left="215" w:hanging="215"/>
              <w:rPr>
                <w:rFonts w:eastAsia="Arial"/>
              </w:rPr>
            </w:pPr>
            <w:r w:rsidRPr="008819AF">
              <w:rPr>
                <w:rFonts w:eastAsia="Arial"/>
              </w:rPr>
              <w:t>4. Odseky 1 až 3 sa nevzťahujú na zariadenia dočasne vylúčené zo systému obchodovania s emisnými kvótami skleníkových plynov v Únii v súlade s článkom 27 smernice 2003/87/ES.</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9E1"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9E2"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9E3"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9E4" w14:textId="77777777" w:rsidR="007170C3" w:rsidRPr="008819AF" w:rsidRDefault="006F0418" w:rsidP="0021052F">
            <w:pPr>
              <w:pStyle w:val="Zarkazkladnhotextu"/>
              <w:jc w:val="left"/>
              <w:rPr>
                <w:rFonts w:ascii="Times New Roman" w:hAnsi="Times New Roman" w:cs="Times New Roman"/>
                <w:color w:val="auto"/>
              </w:rPr>
            </w:pPr>
            <w:r w:rsidRPr="008819AF">
              <w:rPr>
                <w:rFonts w:ascii="Times New Roman" w:hAnsi="Times New Roman" w:cs="Times New Roman"/>
                <w:color w:val="auto"/>
              </w:rPr>
              <w:t>NA</w:t>
            </w:r>
          </w:p>
        </w:tc>
        <w:tc>
          <w:tcPr>
            <w:tcW w:w="429" w:type="dxa"/>
            <w:tcBorders>
              <w:top w:val="single" w:sz="4" w:space="0" w:color="000000"/>
              <w:left w:val="single" w:sz="6" w:space="0" w:color="000000"/>
              <w:bottom w:val="single" w:sz="4" w:space="0" w:color="000000"/>
              <w:right w:val="single" w:sz="6" w:space="0" w:color="000000"/>
            </w:tcBorders>
          </w:tcPr>
          <w:p w14:paraId="151319E5"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9E6" w14:textId="77777777" w:rsidR="007170C3" w:rsidRPr="008819AF" w:rsidRDefault="007170C3" w:rsidP="0021052F">
            <w:pPr>
              <w:ind w:left="215" w:hanging="215"/>
              <w:rPr>
                <w:rFonts w:eastAsia="Arial"/>
                <w:lang w:bidi="cs-CZ"/>
              </w:rPr>
            </w:pPr>
          </w:p>
        </w:tc>
      </w:tr>
      <w:tr w:rsidR="00F80158" w:rsidRPr="008819AF" w14:paraId="151319F8" w14:textId="77777777" w:rsidTr="003E351D">
        <w:trPr>
          <w:trHeight w:val="1524"/>
          <w:jc w:val="center"/>
        </w:trPr>
        <w:tc>
          <w:tcPr>
            <w:tcW w:w="483" w:type="dxa"/>
            <w:tcBorders>
              <w:top w:val="single" w:sz="4" w:space="0" w:color="000000"/>
              <w:left w:val="single" w:sz="6" w:space="0" w:color="000000"/>
              <w:bottom w:val="single" w:sz="4" w:space="0" w:color="000000"/>
              <w:right w:val="single" w:sz="6" w:space="0" w:color="000000"/>
            </w:tcBorders>
          </w:tcPr>
          <w:p w14:paraId="151319E8" w14:textId="77777777" w:rsidR="007170C3" w:rsidRPr="008819AF" w:rsidRDefault="007170C3" w:rsidP="003E351D">
            <w:pPr>
              <w:ind w:right="-70"/>
              <w:rPr>
                <w:rFonts w:eastAsia="Arial"/>
                <w:lang w:bidi="cs-CZ"/>
              </w:rPr>
            </w:pPr>
          </w:p>
          <w:p w14:paraId="151319E9" w14:textId="77777777" w:rsidR="007170C3" w:rsidRPr="008819AF" w:rsidRDefault="007170C3" w:rsidP="003E351D">
            <w:pPr>
              <w:ind w:right="-70"/>
              <w:rPr>
                <w:rFonts w:eastAsia="Arial"/>
                <w:lang w:bidi="cs-CZ"/>
              </w:rPr>
            </w:pPr>
          </w:p>
          <w:p w14:paraId="151319EA" w14:textId="77777777" w:rsidR="007170C3" w:rsidRPr="008819AF" w:rsidRDefault="007170C3" w:rsidP="003E351D">
            <w:pPr>
              <w:ind w:right="-70"/>
              <w:rPr>
                <w:rFonts w:eastAsia="Arial"/>
                <w:lang w:bidi="cs-CZ"/>
              </w:rPr>
            </w:pPr>
          </w:p>
          <w:p w14:paraId="151319EB" w14:textId="77777777" w:rsidR="007170C3" w:rsidRPr="008819AF" w:rsidRDefault="007170C3" w:rsidP="003E351D">
            <w:pPr>
              <w:ind w:right="-70"/>
              <w:rPr>
                <w:rFonts w:eastAsia="Arial"/>
                <w:lang w:bidi="cs-CZ"/>
              </w:rPr>
            </w:pPr>
          </w:p>
          <w:p w14:paraId="151319EC" w14:textId="77777777" w:rsidR="007170C3" w:rsidRPr="008819AF" w:rsidRDefault="006F0418" w:rsidP="003E351D">
            <w:pPr>
              <w:ind w:right="-70"/>
              <w:rPr>
                <w:rFonts w:eastAsia="Arial"/>
                <w:lang w:bidi="cs-CZ"/>
              </w:rPr>
            </w:pPr>
            <w:r w:rsidRPr="008819AF">
              <w:rPr>
                <w:rFonts w:eastAsia="Arial"/>
                <w:lang w:bidi="cs-CZ"/>
              </w:rPr>
              <w:t>Č:10</w:t>
            </w:r>
          </w:p>
        </w:tc>
        <w:tc>
          <w:tcPr>
            <w:tcW w:w="6227" w:type="dxa"/>
            <w:gridSpan w:val="2"/>
            <w:tcBorders>
              <w:top w:val="single" w:sz="4" w:space="0" w:color="000000"/>
              <w:left w:val="single" w:sz="6" w:space="0" w:color="000000"/>
              <w:bottom w:val="single" w:sz="4" w:space="0" w:color="000000"/>
              <w:right w:val="single" w:sz="4" w:space="0" w:color="000000"/>
            </w:tcBorders>
          </w:tcPr>
          <w:p w14:paraId="151319ED" w14:textId="77777777" w:rsidR="007170C3" w:rsidRPr="008819AF" w:rsidRDefault="006F0418" w:rsidP="0021052F">
            <w:pPr>
              <w:ind w:left="215" w:hanging="215"/>
              <w:rPr>
                <w:rFonts w:eastAsia="Arial"/>
              </w:rPr>
            </w:pPr>
            <w:r w:rsidRPr="008819AF">
              <w:rPr>
                <w:rFonts w:eastAsia="Arial"/>
              </w:rPr>
              <w:t>KAPITOLA II</w:t>
            </w:r>
          </w:p>
          <w:p w14:paraId="151319EE" w14:textId="77777777" w:rsidR="007170C3" w:rsidRPr="008819AF" w:rsidRDefault="006F0418" w:rsidP="0021052F">
            <w:pPr>
              <w:ind w:left="215" w:hanging="215"/>
              <w:rPr>
                <w:rFonts w:eastAsia="Arial"/>
              </w:rPr>
            </w:pPr>
            <w:r w:rsidRPr="008819AF">
              <w:rPr>
                <w:rFonts w:eastAsia="Arial"/>
              </w:rPr>
              <w:t>USTANOVENIA PRE ČINNOSTI UVEDENÉ V PRÍLOHE I</w:t>
            </w:r>
          </w:p>
          <w:p w14:paraId="151319EF" w14:textId="77777777" w:rsidR="007170C3" w:rsidRPr="008819AF" w:rsidRDefault="006F0418" w:rsidP="0021052F">
            <w:pPr>
              <w:ind w:left="215" w:hanging="215"/>
              <w:rPr>
                <w:rFonts w:eastAsia="Arial"/>
              </w:rPr>
            </w:pPr>
            <w:r w:rsidRPr="008819AF">
              <w:rPr>
                <w:rFonts w:eastAsia="Arial"/>
              </w:rPr>
              <w:t>Článok 10</w:t>
            </w:r>
          </w:p>
          <w:p w14:paraId="151319F0" w14:textId="77777777" w:rsidR="007170C3" w:rsidRPr="008819AF" w:rsidRDefault="006F0418" w:rsidP="0021052F">
            <w:pPr>
              <w:ind w:left="215" w:hanging="215"/>
              <w:rPr>
                <w:rFonts w:eastAsia="Arial"/>
              </w:rPr>
            </w:pPr>
            <w:r w:rsidRPr="008819AF">
              <w:rPr>
                <w:rFonts w:eastAsia="Arial"/>
              </w:rPr>
              <w:t>Rozsah pôsobnosti</w:t>
            </w:r>
          </w:p>
          <w:p w14:paraId="151319F1" w14:textId="77777777" w:rsidR="007170C3" w:rsidRPr="008819AF" w:rsidRDefault="006F0418" w:rsidP="0021052F">
            <w:pPr>
              <w:ind w:left="215" w:hanging="215"/>
              <w:rPr>
                <w:rFonts w:eastAsia="Arial"/>
              </w:rPr>
            </w:pPr>
            <w:r w:rsidRPr="008819AF">
              <w:rPr>
                <w:rFonts w:eastAsia="Arial"/>
              </w:rPr>
              <w:t>Táto kapitola sa uplatňuje na činnosti uvedené v prílohe I a prípadne na činnosti, ktoré dosahujú kapacitné prahové hodnoty stanovené v uvedenej prílohe.</w:t>
            </w:r>
          </w:p>
        </w:tc>
        <w:tc>
          <w:tcPr>
            <w:tcW w:w="542" w:type="dxa"/>
            <w:gridSpan w:val="2"/>
            <w:tcBorders>
              <w:top w:val="single" w:sz="4" w:space="0" w:color="000000"/>
              <w:left w:val="single" w:sz="4" w:space="0" w:color="000000"/>
              <w:bottom w:val="single" w:sz="4" w:space="0" w:color="000000"/>
              <w:right w:val="single" w:sz="6" w:space="0" w:color="000000"/>
            </w:tcBorders>
            <w:noWrap/>
          </w:tcPr>
          <w:p w14:paraId="151319F2"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9F3"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9F4"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9F5"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9F6"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9F7" w14:textId="77777777" w:rsidR="007170C3" w:rsidRPr="008819AF" w:rsidRDefault="007170C3" w:rsidP="0021052F">
            <w:pPr>
              <w:ind w:left="215" w:hanging="215"/>
              <w:rPr>
                <w:rFonts w:eastAsia="Arial"/>
                <w:lang w:bidi="cs-CZ"/>
              </w:rPr>
            </w:pPr>
          </w:p>
        </w:tc>
      </w:tr>
      <w:tr w:rsidR="00F80158" w:rsidRPr="008819AF" w14:paraId="15131A0D"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9F9" w14:textId="77777777" w:rsidR="007170C3" w:rsidRPr="008819AF" w:rsidRDefault="006F0418" w:rsidP="003E351D">
            <w:pPr>
              <w:ind w:right="-70"/>
              <w:rPr>
                <w:rFonts w:eastAsia="Arial"/>
                <w:lang w:bidi="cs-CZ"/>
              </w:rPr>
            </w:pPr>
            <w:r w:rsidRPr="008819AF">
              <w:rPr>
                <w:rFonts w:eastAsia="Arial"/>
                <w:lang w:bidi="cs-CZ"/>
              </w:rPr>
              <w:t>Č:11</w:t>
            </w:r>
          </w:p>
        </w:tc>
        <w:tc>
          <w:tcPr>
            <w:tcW w:w="6227" w:type="dxa"/>
            <w:gridSpan w:val="2"/>
            <w:tcBorders>
              <w:top w:val="single" w:sz="4" w:space="0" w:color="000000"/>
              <w:left w:val="single" w:sz="6" w:space="0" w:color="000000"/>
              <w:bottom w:val="single" w:sz="4" w:space="0" w:color="000000"/>
              <w:right w:val="single" w:sz="4" w:space="0" w:color="000000"/>
            </w:tcBorders>
          </w:tcPr>
          <w:p w14:paraId="151319FA" w14:textId="77777777" w:rsidR="007170C3" w:rsidRPr="008819AF" w:rsidRDefault="006F0418" w:rsidP="0021052F">
            <w:pPr>
              <w:ind w:left="215" w:hanging="215"/>
              <w:rPr>
                <w:rFonts w:eastAsia="Arial"/>
              </w:rPr>
            </w:pPr>
            <w:r w:rsidRPr="008819AF">
              <w:rPr>
                <w:rFonts w:eastAsia="Arial"/>
              </w:rPr>
              <w:t>Článok 11</w:t>
            </w:r>
          </w:p>
          <w:p w14:paraId="151319FB" w14:textId="77777777" w:rsidR="007170C3" w:rsidRPr="008819AF" w:rsidRDefault="006F0418" w:rsidP="0021052F">
            <w:pPr>
              <w:rPr>
                <w:rFonts w:eastAsia="Arial"/>
              </w:rPr>
            </w:pPr>
            <w:r w:rsidRPr="008819AF">
              <w:rPr>
                <w:rFonts w:eastAsia="Arial"/>
              </w:rPr>
              <w:t>Všeobecné zásady týkajúce sa základných povinností prevádzkovateľa</w:t>
            </w:r>
          </w:p>
          <w:p w14:paraId="151319FC" w14:textId="77777777" w:rsidR="007170C3" w:rsidRPr="008819AF" w:rsidRDefault="007170C3" w:rsidP="0021052F">
            <w:pPr>
              <w:ind w:left="215" w:hanging="215"/>
              <w:rPr>
                <w:rFonts w:eastAsia="Arial"/>
              </w:rPr>
            </w:pPr>
          </w:p>
          <w:p w14:paraId="151319FD" w14:textId="77777777" w:rsidR="007170C3" w:rsidRPr="008819AF" w:rsidRDefault="006F0418" w:rsidP="0021052F">
            <w:pPr>
              <w:ind w:hanging="1"/>
              <w:rPr>
                <w:rFonts w:eastAsia="Arial"/>
              </w:rPr>
            </w:pPr>
            <w:r w:rsidRPr="008819AF">
              <w:rPr>
                <w:rFonts w:eastAsia="Arial"/>
              </w:rPr>
              <w:t>Členské štáty prijmú potrebné opatrenia na to, aby zariadenia boli prevádzkované v súlade s týmito zásadami:</w:t>
            </w:r>
          </w:p>
          <w:p w14:paraId="151319FE" w14:textId="77777777" w:rsidR="007170C3" w:rsidRPr="008819AF" w:rsidRDefault="007170C3" w:rsidP="0021052F">
            <w:pPr>
              <w:ind w:left="215" w:hanging="215"/>
              <w:rPr>
                <w:rFonts w:eastAsia="Arial"/>
              </w:rPr>
            </w:pPr>
          </w:p>
          <w:p w14:paraId="151319FF" w14:textId="77777777" w:rsidR="007170C3" w:rsidRPr="008819AF" w:rsidRDefault="006F0418" w:rsidP="0021052F">
            <w:pPr>
              <w:spacing w:after="120"/>
              <w:ind w:left="497" w:hanging="283"/>
              <w:rPr>
                <w:rFonts w:eastAsia="Arial"/>
              </w:rPr>
            </w:pPr>
            <w:r w:rsidRPr="008819AF">
              <w:rPr>
                <w:rFonts w:eastAsia="Arial"/>
              </w:rPr>
              <w:t>a) proti znečisťovaniu sa prijímajú všetky vhodné preventívne opatrenia;</w:t>
            </w:r>
          </w:p>
          <w:p w14:paraId="15131A00" w14:textId="77777777" w:rsidR="007170C3" w:rsidRPr="008819AF" w:rsidRDefault="006F0418" w:rsidP="0021052F">
            <w:pPr>
              <w:spacing w:after="120"/>
              <w:ind w:left="497" w:hanging="283"/>
              <w:rPr>
                <w:rFonts w:eastAsia="Arial"/>
              </w:rPr>
            </w:pPr>
            <w:r w:rsidRPr="008819AF">
              <w:rPr>
                <w:rFonts w:eastAsia="Arial"/>
              </w:rPr>
              <w:t>b) uplatňujú sa najlepšie dostupné techniky</w:t>
            </w:r>
            <w:r w:rsidR="00F02B7C" w:rsidRPr="008819AF">
              <w:rPr>
                <w:rFonts w:eastAsia="Arial"/>
              </w:rPr>
              <w:t>,</w:t>
            </w:r>
          </w:p>
          <w:p w14:paraId="15131A01" w14:textId="77777777" w:rsidR="007170C3" w:rsidRPr="008819AF" w:rsidRDefault="00F02B7C" w:rsidP="0021052F">
            <w:pPr>
              <w:spacing w:after="120"/>
              <w:ind w:left="497" w:hanging="283"/>
              <w:rPr>
                <w:rFonts w:eastAsia="Arial"/>
              </w:rPr>
            </w:pPr>
            <w:r w:rsidRPr="008819AF">
              <w:rPr>
                <w:rFonts w:eastAsia="Arial"/>
              </w:rPr>
              <w:t xml:space="preserve">c) </w:t>
            </w:r>
            <w:r w:rsidR="006F0418" w:rsidRPr="008819AF">
              <w:rPr>
                <w:rFonts w:eastAsia="Arial"/>
              </w:rPr>
              <w:t>nespôsobuje sa žiadne významné znečisťovanie;</w:t>
            </w:r>
          </w:p>
          <w:p w14:paraId="15131A02" w14:textId="77777777" w:rsidR="007170C3" w:rsidRPr="008819AF" w:rsidRDefault="006F0418" w:rsidP="0021052F">
            <w:pPr>
              <w:spacing w:after="120"/>
              <w:ind w:left="497" w:hanging="283"/>
              <w:rPr>
                <w:rFonts w:eastAsia="Arial"/>
              </w:rPr>
            </w:pPr>
            <w:r w:rsidRPr="008819AF">
              <w:rPr>
                <w:rFonts w:eastAsia="Arial"/>
              </w:rPr>
              <w:t>d) predchádza sa vzniku odpadov v súlade so smernicou 2008/98/ES;</w:t>
            </w:r>
          </w:p>
          <w:p w14:paraId="15131A03" w14:textId="77777777" w:rsidR="007170C3" w:rsidRPr="008819AF" w:rsidRDefault="006F0418" w:rsidP="0021052F">
            <w:pPr>
              <w:spacing w:after="120"/>
              <w:ind w:left="497" w:hanging="283"/>
              <w:rPr>
                <w:rFonts w:eastAsia="Arial"/>
              </w:rPr>
            </w:pPr>
            <w:r w:rsidRPr="008819AF">
              <w:rPr>
                <w:rFonts w:eastAsia="Arial"/>
              </w:rPr>
              <w:t>e) ak odpad vzniká, je podľa stupňa priority a v súlade so smernicou 2008/98/ES upravovaný s cieľom jeho opätovného použitia, recyklácie, zhodnotenia, alebo ak to nie je z technických alebo z ekonomických dôvodov možné, zneškodňuje sa, pričom treba zamedziť jeho vplyvu alebo znížiť jeho vplyv na životné prostredie;</w:t>
            </w:r>
          </w:p>
          <w:p w14:paraId="15131A04" w14:textId="77777777" w:rsidR="007170C3" w:rsidRPr="008819AF" w:rsidRDefault="006F0418" w:rsidP="0021052F">
            <w:pPr>
              <w:spacing w:before="120" w:after="120"/>
              <w:ind w:left="499" w:hanging="284"/>
              <w:rPr>
                <w:rFonts w:eastAsia="Arial"/>
              </w:rPr>
            </w:pPr>
            <w:r w:rsidRPr="008819AF">
              <w:rPr>
                <w:rFonts w:eastAsia="Arial"/>
              </w:rPr>
              <w:t>f) efektívne sa využíva energia;</w:t>
            </w:r>
          </w:p>
          <w:p w14:paraId="15131A05" w14:textId="77777777" w:rsidR="007170C3" w:rsidRPr="008819AF" w:rsidRDefault="006F0418" w:rsidP="0021052F">
            <w:pPr>
              <w:spacing w:after="120"/>
              <w:ind w:left="497" w:hanging="283"/>
              <w:rPr>
                <w:rFonts w:eastAsia="Arial"/>
              </w:rPr>
            </w:pPr>
            <w:r w:rsidRPr="008819AF">
              <w:rPr>
                <w:rFonts w:eastAsia="Arial"/>
              </w:rPr>
              <w:t>g) prijímajú sa opatrenia potrebné na prevenciu havárií a obmedzenie ich následkov;</w:t>
            </w:r>
          </w:p>
          <w:p w14:paraId="15131A06" w14:textId="77777777" w:rsidR="007170C3" w:rsidRPr="008819AF" w:rsidRDefault="006F0418" w:rsidP="00F02B7C">
            <w:pPr>
              <w:spacing w:after="120"/>
              <w:ind w:left="497" w:hanging="283"/>
              <w:rPr>
                <w:rFonts w:eastAsia="Arial"/>
              </w:rPr>
            </w:pPr>
            <w:r w:rsidRPr="008819AF">
              <w:rPr>
                <w:rFonts w:eastAsia="Arial"/>
              </w:rPr>
              <w:t>h) prijímajú sa opatrenia potrebné pri konečnom odstavení, aby sa predišlo riziku znečisťovania a aby sa miesto prevádzkovania vrátilo do uspokojivého stavu vymedzeného v súlade s článkom 22.</w:t>
            </w:r>
          </w:p>
        </w:tc>
        <w:tc>
          <w:tcPr>
            <w:tcW w:w="542" w:type="dxa"/>
            <w:gridSpan w:val="2"/>
            <w:tcBorders>
              <w:top w:val="single" w:sz="4" w:space="0" w:color="000000"/>
              <w:left w:val="single" w:sz="4" w:space="0" w:color="000000"/>
              <w:bottom w:val="single" w:sz="4" w:space="0" w:color="000000"/>
              <w:right w:val="single" w:sz="6" w:space="0" w:color="000000"/>
            </w:tcBorders>
            <w:noWrap/>
          </w:tcPr>
          <w:p w14:paraId="15131A07"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A08"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A0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A0A"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A0B"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A0C" w14:textId="77777777" w:rsidR="007170C3" w:rsidRPr="008819AF" w:rsidRDefault="007170C3" w:rsidP="0021052F">
            <w:pPr>
              <w:ind w:left="215" w:hanging="215"/>
              <w:rPr>
                <w:rFonts w:eastAsia="Arial"/>
                <w:lang w:bidi="cs-CZ"/>
              </w:rPr>
            </w:pPr>
          </w:p>
        </w:tc>
      </w:tr>
      <w:tr w:rsidR="00F80158" w:rsidRPr="008819AF" w14:paraId="15131A27"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A0E" w14:textId="77777777" w:rsidR="007170C3" w:rsidRPr="008819AF" w:rsidRDefault="006F0418" w:rsidP="003E351D">
            <w:pPr>
              <w:ind w:right="-70"/>
              <w:rPr>
                <w:rFonts w:eastAsia="Arial"/>
                <w:lang w:bidi="cs-CZ"/>
              </w:rPr>
            </w:pPr>
            <w:r w:rsidRPr="008819AF">
              <w:rPr>
                <w:rFonts w:eastAsia="Arial"/>
                <w:lang w:bidi="cs-CZ"/>
              </w:rPr>
              <w:t>Č:12</w:t>
            </w:r>
          </w:p>
        </w:tc>
        <w:tc>
          <w:tcPr>
            <w:tcW w:w="6227" w:type="dxa"/>
            <w:gridSpan w:val="2"/>
            <w:tcBorders>
              <w:top w:val="single" w:sz="4" w:space="0" w:color="000000"/>
              <w:left w:val="single" w:sz="6" w:space="0" w:color="000000"/>
              <w:bottom w:val="single" w:sz="4" w:space="0" w:color="000000"/>
              <w:right w:val="single" w:sz="4" w:space="0" w:color="000000"/>
            </w:tcBorders>
          </w:tcPr>
          <w:p w14:paraId="15131A0F" w14:textId="77777777" w:rsidR="007170C3" w:rsidRPr="008819AF" w:rsidRDefault="006F0418" w:rsidP="0021052F">
            <w:pPr>
              <w:ind w:left="215" w:hanging="215"/>
              <w:rPr>
                <w:rFonts w:eastAsia="Arial"/>
              </w:rPr>
            </w:pPr>
            <w:r w:rsidRPr="008819AF">
              <w:rPr>
                <w:rFonts w:eastAsia="Arial"/>
              </w:rPr>
              <w:t>Článok 12</w:t>
            </w:r>
          </w:p>
          <w:p w14:paraId="15131A10" w14:textId="77777777" w:rsidR="007170C3" w:rsidRPr="008819AF" w:rsidRDefault="006F0418" w:rsidP="0021052F">
            <w:pPr>
              <w:ind w:left="215" w:hanging="215"/>
              <w:rPr>
                <w:rFonts w:eastAsia="Arial"/>
              </w:rPr>
            </w:pPr>
            <w:r w:rsidRPr="008819AF">
              <w:rPr>
                <w:rFonts w:eastAsia="Arial"/>
              </w:rPr>
              <w:t>Žiadosti o povolenia</w:t>
            </w:r>
          </w:p>
          <w:p w14:paraId="15131A11" w14:textId="77777777" w:rsidR="007170C3" w:rsidRPr="008819AF" w:rsidRDefault="006F0418" w:rsidP="0021052F">
            <w:pPr>
              <w:ind w:left="215" w:hanging="215"/>
              <w:rPr>
                <w:rFonts w:eastAsia="Arial"/>
              </w:rPr>
            </w:pPr>
            <w:r w:rsidRPr="008819AF">
              <w:rPr>
                <w:rFonts w:eastAsia="Arial"/>
              </w:rPr>
              <w:t>1. Členské štáty prijmú opatrenia potrebné na to, aby žiadosť o povolenie obsahovala opis týchto prvkov:</w:t>
            </w:r>
          </w:p>
          <w:p w14:paraId="15131A12" w14:textId="77777777" w:rsidR="007170C3" w:rsidRPr="008819AF" w:rsidRDefault="006F0418" w:rsidP="009C63CF">
            <w:pPr>
              <w:numPr>
                <w:ilvl w:val="0"/>
                <w:numId w:val="6"/>
              </w:numPr>
              <w:tabs>
                <w:tab w:val="left" w:pos="441"/>
              </w:tabs>
              <w:spacing w:after="120"/>
              <w:ind w:left="497" w:hanging="283"/>
              <w:rPr>
                <w:rFonts w:eastAsia="Arial"/>
              </w:rPr>
            </w:pPr>
            <w:r w:rsidRPr="008819AF">
              <w:rPr>
                <w:rFonts w:eastAsia="Arial"/>
              </w:rPr>
              <w:t>zariadenia a jeho činností;</w:t>
            </w:r>
          </w:p>
          <w:p w14:paraId="15131A13" w14:textId="77777777" w:rsidR="007170C3" w:rsidRPr="008819AF" w:rsidRDefault="006F0418" w:rsidP="009C63CF">
            <w:pPr>
              <w:numPr>
                <w:ilvl w:val="0"/>
                <w:numId w:val="6"/>
              </w:numPr>
              <w:tabs>
                <w:tab w:val="left" w:pos="441"/>
              </w:tabs>
              <w:spacing w:after="120"/>
              <w:ind w:left="497" w:hanging="283"/>
              <w:rPr>
                <w:rFonts w:eastAsia="Arial"/>
              </w:rPr>
            </w:pPr>
            <w:r w:rsidRPr="008819AF">
              <w:rPr>
                <w:rFonts w:eastAsia="Arial"/>
              </w:rPr>
              <w:t>surovín, pomocných materiálov, iných látok a energie používaných v zariadení alebo v ňom vznikajúcich;</w:t>
            </w:r>
          </w:p>
          <w:p w14:paraId="15131A14" w14:textId="77777777" w:rsidR="007170C3" w:rsidRPr="008819AF" w:rsidRDefault="006F0418" w:rsidP="009C63CF">
            <w:pPr>
              <w:numPr>
                <w:ilvl w:val="0"/>
                <w:numId w:val="6"/>
              </w:numPr>
              <w:tabs>
                <w:tab w:val="left" w:pos="441"/>
              </w:tabs>
              <w:spacing w:after="120"/>
              <w:ind w:left="497" w:hanging="283"/>
              <w:rPr>
                <w:rFonts w:eastAsia="Arial"/>
              </w:rPr>
            </w:pPr>
            <w:r w:rsidRPr="008819AF">
              <w:rPr>
                <w:rFonts w:eastAsia="Arial"/>
              </w:rPr>
              <w:lastRenderedPageBreak/>
              <w:t>zdrojov emisií zo zariadenia;</w:t>
            </w:r>
          </w:p>
          <w:p w14:paraId="15131A15" w14:textId="77777777" w:rsidR="007170C3" w:rsidRPr="008819AF" w:rsidRDefault="006F0418" w:rsidP="009C63CF">
            <w:pPr>
              <w:numPr>
                <w:ilvl w:val="0"/>
                <w:numId w:val="6"/>
              </w:numPr>
              <w:tabs>
                <w:tab w:val="left" w:pos="441"/>
              </w:tabs>
              <w:spacing w:after="120"/>
              <w:ind w:left="497" w:hanging="283"/>
              <w:rPr>
                <w:rFonts w:eastAsia="Arial"/>
              </w:rPr>
            </w:pPr>
            <w:r w:rsidRPr="008819AF">
              <w:rPr>
                <w:rFonts w:eastAsia="Arial"/>
              </w:rPr>
              <w:t>podmienok lokality zariadenia;</w:t>
            </w:r>
          </w:p>
          <w:p w14:paraId="15131A16" w14:textId="77777777" w:rsidR="007170C3" w:rsidRPr="008819AF" w:rsidRDefault="006F0418" w:rsidP="009C63CF">
            <w:pPr>
              <w:numPr>
                <w:ilvl w:val="0"/>
                <w:numId w:val="6"/>
              </w:numPr>
              <w:tabs>
                <w:tab w:val="left" w:pos="441"/>
              </w:tabs>
              <w:spacing w:after="120"/>
              <w:ind w:left="497" w:hanging="283"/>
              <w:rPr>
                <w:rFonts w:eastAsia="Arial"/>
              </w:rPr>
            </w:pPr>
            <w:r w:rsidRPr="008819AF">
              <w:rPr>
                <w:rFonts w:eastAsia="Arial"/>
              </w:rPr>
              <w:t>v prípade potreby východiskovej správy v súlade s článkom 22 ods. 2;</w:t>
            </w:r>
          </w:p>
          <w:p w14:paraId="15131A17" w14:textId="77777777" w:rsidR="007170C3" w:rsidRPr="008819AF" w:rsidRDefault="006F0418" w:rsidP="009C63CF">
            <w:pPr>
              <w:numPr>
                <w:ilvl w:val="0"/>
                <w:numId w:val="6"/>
              </w:numPr>
              <w:tabs>
                <w:tab w:val="left" w:pos="441"/>
              </w:tabs>
              <w:spacing w:after="120"/>
              <w:ind w:left="497" w:hanging="283"/>
              <w:rPr>
                <w:rFonts w:eastAsia="Arial"/>
              </w:rPr>
            </w:pPr>
            <w:r w:rsidRPr="008819AF">
              <w:rPr>
                <w:rFonts w:eastAsia="Arial"/>
              </w:rPr>
              <w:t>druhu a množstiev predpokladaných emisií zo zariadenia do každej zložky životného prostredia, ako aj identifikácie významných účinkov emisií na životné prostredie;</w:t>
            </w:r>
          </w:p>
          <w:p w14:paraId="15131A18" w14:textId="77777777" w:rsidR="007170C3" w:rsidRPr="008819AF" w:rsidRDefault="006F0418" w:rsidP="009C63CF">
            <w:pPr>
              <w:numPr>
                <w:ilvl w:val="0"/>
                <w:numId w:val="6"/>
              </w:numPr>
              <w:tabs>
                <w:tab w:val="left" w:pos="441"/>
              </w:tabs>
              <w:spacing w:after="120"/>
              <w:ind w:left="494" w:hanging="283"/>
              <w:rPr>
                <w:rFonts w:eastAsia="Arial"/>
              </w:rPr>
            </w:pPr>
            <w:r w:rsidRPr="008819AF">
              <w:rPr>
                <w:rFonts w:eastAsia="Arial"/>
              </w:rPr>
              <w:t>navrhovanej technológie a iných techník na zabránenie alebo, ak to nie je možné, na zníženie emisií zo zariadenia</w:t>
            </w:r>
          </w:p>
          <w:p w14:paraId="15131A19" w14:textId="77777777" w:rsidR="007170C3" w:rsidRPr="008819AF" w:rsidRDefault="006F0418" w:rsidP="009C63CF">
            <w:pPr>
              <w:numPr>
                <w:ilvl w:val="0"/>
                <w:numId w:val="6"/>
              </w:numPr>
              <w:tabs>
                <w:tab w:val="left" w:pos="353"/>
                <w:tab w:val="left" w:pos="441"/>
              </w:tabs>
              <w:spacing w:after="120"/>
              <w:ind w:left="494" w:hanging="283"/>
              <w:rPr>
                <w:rFonts w:eastAsia="Arial"/>
              </w:rPr>
            </w:pPr>
            <w:r w:rsidRPr="008819AF">
              <w:rPr>
                <w:rFonts w:eastAsia="Arial"/>
              </w:rPr>
              <w:t>opatrení zameraných na prevenciu, úpravu s cieľom opätovného využitia, recyklácie a zhodnotenia odpadov vzniknutých v zariadení;</w:t>
            </w:r>
          </w:p>
          <w:p w14:paraId="15131A1A" w14:textId="77777777" w:rsidR="007170C3" w:rsidRPr="008819AF" w:rsidRDefault="006F0418" w:rsidP="009C63CF">
            <w:pPr>
              <w:numPr>
                <w:ilvl w:val="0"/>
                <w:numId w:val="6"/>
              </w:numPr>
              <w:tabs>
                <w:tab w:val="left" w:pos="441"/>
              </w:tabs>
              <w:spacing w:after="120"/>
              <w:ind w:left="497" w:hanging="283"/>
              <w:rPr>
                <w:rFonts w:eastAsia="Arial"/>
              </w:rPr>
            </w:pPr>
            <w:r w:rsidRPr="008819AF">
              <w:rPr>
                <w:rFonts w:eastAsia="Arial"/>
              </w:rPr>
              <w:t>ďalších opatrení plánovaných s cieľom dosiahnutia súladu so všeobecnými zásadami základných povinností prevádzkovateľa podľa článku 11;</w:t>
            </w:r>
          </w:p>
          <w:p w14:paraId="15131A1B" w14:textId="77777777" w:rsidR="007170C3" w:rsidRPr="008819AF" w:rsidRDefault="006F0418" w:rsidP="009C63CF">
            <w:pPr>
              <w:numPr>
                <w:ilvl w:val="0"/>
                <w:numId w:val="6"/>
              </w:numPr>
              <w:tabs>
                <w:tab w:val="left" w:pos="441"/>
              </w:tabs>
              <w:spacing w:after="120"/>
              <w:ind w:left="497" w:hanging="283"/>
              <w:rPr>
                <w:rFonts w:eastAsia="Arial"/>
              </w:rPr>
            </w:pPr>
            <w:r w:rsidRPr="008819AF">
              <w:rPr>
                <w:rFonts w:eastAsia="Arial"/>
              </w:rPr>
              <w:t>opatrení plánovaných s cieľom monitorovať emisie do životného prostredia;</w:t>
            </w:r>
          </w:p>
          <w:p w14:paraId="15131A1C" w14:textId="77777777" w:rsidR="007170C3" w:rsidRPr="008819AF" w:rsidRDefault="006F0418" w:rsidP="009C63CF">
            <w:pPr>
              <w:numPr>
                <w:ilvl w:val="0"/>
                <w:numId w:val="6"/>
              </w:numPr>
              <w:tabs>
                <w:tab w:val="left" w:pos="441"/>
              </w:tabs>
              <w:spacing w:after="120"/>
              <w:rPr>
                <w:rFonts w:eastAsia="Arial"/>
              </w:rPr>
            </w:pPr>
            <w:r w:rsidRPr="008819AF">
              <w:rPr>
                <w:rFonts w:eastAsia="Arial"/>
              </w:rPr>
              <w:t>hlavných náhradných riešení k navrhovanej technológii, technikám a opatreniam, ktoré žiadateľ preskúmal, doložených vo forme prehľadu.</w:t>
            </w:r>
          </w:p>
          <w:p w14:paraId="15131A1D" w14:textId="77777777" w:rsidR="007170C3" w:rsidRPr="008819AF" w:rsidRDefault="007170C3" w:rsidP="0021052F">
            <w:pPr>
              <w:ind w:left="215" w:hanging="215"/>
              <w:rPr>
                <w:rFonts w:eastAsia="Arial"/>
              </w:rPr>
            </w:pPr>
          </w:p>
          <w:p w14:paraId="15131A1E" w14:textId="77777777" w:rsidR="007170C3" w:rsidRPr="008819AF" w:rsidRDefault="006F0418" w:rsidP="0021052F">
            <w:pPr>
              <w:ind w:left="215" w:hanging="1"/>
              <w:rPr>
                <w:rFonts w:eastAsia="Arial"/>
              </w:rPr>
            </w:pPr>
            <w:r w:rsidRPr="008819AF">
              <w:rPr>
                <w:rFonts w:eastAsia="Arial"/>
              </w:rPr>
              <w:t>Žiadosť o povolenie musí tiež obsahovať netechnické zhrnutie údajov uvedených v prvom pododseku.</w:t>
            </w:r>
          </w:p>
          <w:p w14:paraId="15131A1F" w14:textId="77777777" w:rsidR="007170C3" w:rsidRPr="008819AF" w:rsidRDefault="007170C3" w:rsidP="0021052F">
            <w:pPr>
              <w:ind w:left="215" w:hanging="215"/>
              <w:rPr>
                <w:rFonts w:eastAsia="Arial"/>
              </w:rPr>
            </w:pPr>
          </w:p>
          <w:p w14:paraId="15131A20" w14:textId="77777777" w:rsidR="007170C3" w:rsidRPr="008819AF" w:rsidRDefault="006F0418" w:rsidP="0021052F">
            <w:pPr>
              <w:tabs>
                <w:tab w:val="left" w:pos="880"/>
              </w:tabs>
              <w:ind w:left="215" w:hanging="215"/>
              <w:rPr>
                <w:rFonts w:eastAsia="Arial"/>
              </w:rPr>
            </w:pPr>
            <w:r w:rsidRPr="008819AF">
              <w:rPr>
                <w:rFonts w:eastAsia="Arial"/>
              </w:rPr>
              <w:t>2. Ak informácie poskytnuté v súlade s požiadavkami ustanovenými v smernici 85/337/EHS alebo správa o bezpečnosti vypracovaná v súlade so smernicou 96/82/ES alebo iné informácie vypracované na základe iných právnych predpisov splnia ktorúkoľvek požiadavku odseku 1, môžu sa zahrnúť do žiadosti alebo k nej pripojiť.</w:t>
            </w:r>
          </w:p>
        </w:tc>
        <w:tc>
          <w:tcPr>
            <w:tcW w:w="542" w:type="dxa"/>
            <w:gridSpan w:val="2"/>
            <w:tcBorders>
              <w:top w:val="single" w:sz="4" w:space="0" w:color="000000"/>
              <w:left w:val="single" w:sz="4" w:space="0" w:color="000000"/>
              <w:bottom w:val="single" w:sz="4" w:space="0" w:color="000000"/>
              <w:right w:val="single" w:sz="6" w:space="0" w:color="000000"/>
            </w:tcBorders>
            <w:noWrap/>
          </w:tcPr>
          <w:p w14:paraId="15131A21"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A22"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A23"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A24" w14:textId="77777777" w:rsidR="007170C3" w:rsidRPr="008819AF" w:rsidRDefault="007170C3" w:rsidP="0021052F">
            <w:pPr>
              <w:ind w:left="4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A25"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A26" w14:textId="77777777" w:rsidR="007170C3" w:rsidRPr="008819AF" w:rsidRDefault="007170C3" w:rsidP="0021052F">
            <w:pPr>
              <w:ind w:left="215" w:hanging="215"/>
              <w:rPr>
                <w:rFonts w:eastAsia="Arial"/>
                <w:lang w:bidi="cs-CZ"/>
              </w:rPr>
            </w:pPr>
          </w:p>
        </w:tc>
      </w:tr>
      <w:tr w:rsidR="00F80158" w:rsidRPr="008819AF" w14:paraId="15131A6D" w14:textId="77777777" w:rsidTr="003E351D">
        <w:trPr>
          <w:trHeight w:val="1524"/>
          <w:jc w:val="center"/>
        </w:trPr>
        <w:tc>
          <w:tcPr>
            <w:tcW w:w="483" w:type="dxa"/>
            <w:tcBorders>
              <w:top w:val="single" w:sz="4" w:space="0" w:color="000000"/>
              <w:left w:val="single" w:sz="6" w:space="0" w:color="000000"/>
              <w:bottom w:val="single" w:sz="4" w:space="0" w:color="000000"/>
              <w:right w:val="single" w:sz="6" w:space="0" w:color="000000"/>
            </w:tcBorders>
          </w:tcPr>
          <w:p w14:paraId="15131A28" w14:textId="77777777" w:rsidR="007170C3" w:rsidRPr="008819AF" w:rsidRDefault="006F0418" w:rsidP="003E351D">
            <w:pPr>
              <w:ind w:right="-70"/>
              <w:rPr>
                <w:rFonts w:eastAsia="Arial"/>
                <w:lang w:bidi="cs-CZ"/>
              </w:rPr>
            </w:pPr>
            <w:r w:rsidRPr="008819AF">
              <w:rPr>
                <w:rFonts w:eastAsia="Arial"/>
                <w:lang w:bidi="cs-CZ"/>
              </w:rPr>
              <w:t>Č:13</w:t>
            </w:r>
          </w:p>
        </w:tc>
        <w:tc>
          <w:tcPr>
            <w:tcW w:w="6227" w:type="dxa"/>
            <w:gridSpan w:val="2"/>
            <w:tcBorders>
              <w:top w:val="single" w:sz="4" w:space="0" w:color="000000"/>
              <w:left w:val="single" w:sz="6" w:space="0" w:color="000000"/>
              <w:bottom w:val="single" w:sz="4" w:space="0" w:color="000000"/>
              <w:right w:val="single" w:sz="4" w:space="0" w:color="000000"/>
            </w:tcBorders>
          </w:tcPr>
          <w:p w14:paraId="15131A29" w14:textId="77777777" w:rsidR="007170C3" w:rsidRPr="008819AF" w:rsidRDefault="006F0418" w:rsidP="0021052F">
            <w:pPr>
              <w:ind w:left="215" w:hanging="215"/>
              <w:rPr>
                <w:rFonts w:eastAsia="Arial"/>
              </w:rPr>
            </w:pPr>
            <w:r w:rsidRPr="008819AF">
              <w:rPr>
                <w:rFonts w:eastAsia="Arial"/>
              </w:rPr>
              <w:t>Článok 13</w:t>
            </w:r>
          </w:p>
          <w:p w14:paraId="15131A2A" w14:textId="77777777" w:rsidR="007170C3" w:rsidRPr="008819AF" w:rsidRDefault="006F0418" w:rsidP="0021052F">
            <w:pPr>
              <w:ind w:left="215" w:hanging="215"/>
              <w:rPr>
                <w:rFonts w:eastAsia="Arial"/>
              </w:rPr>
            </w:pPr>
            <w:r w:rsidRPr="008819AF">
              <w:rPr>
                <w:rFonts w:eastAsia="Arial"/>
              </w:rPr>
              <w:t>Referenčné dokumenty o BAT a výmena informácií</w:t>
            </w:r>
          </w:p>
          <w:p w14:paraId="15131A2B" w14:textId="77777777" w:rsidR="007170C3" w:rsidRPr="008819AF" w:rsidRDefault="006F0418" w:rsidP="0021052F">
            <w:pPr>
              <w:ind w:left="215" w:hanging="215"/>
              <w:rPr>
                <w:rFonts w:eastAsia="Arial"/>
              </w:rPr>
            </w:pPr>
            <w:r w:rsidRPr="008819AF">
              <w:rPr>
                <w:rFonts w:eastAsia="Arial"/>
              </w:rPr>
              <w:t>1. Komisia zorganizuje výmenu informácií medzi členskými štátmi, dotknutými odvetviami, mimovládnymi organizáciami presadzujúcimi ochranu životného prostredia a Komisiou, aby sa vypracovali, preskúmali a v prípade potreby aktualizovali referenčné dokumenty o BAT.</w:t>
            </w:r>
          </w:p>
          <w:p w14:paraId="15131A2C" w14:textId="77777777" w:rsidR="007170C3" w:rsidRPr="008819AF" w:rsidRDefault="006F0418" w:rsidP="0021052F">
            <w:pPr>
              <w:ind w:left="215" w:hanging="215"/>
              <w:rPr>
                <w:rFonts w:eastAsia="Arial"/>
              </w:rPr>
            </w:pPr>
            <w:r w:rsidRPr="008819AF">
              <w:rPr>
                <w:rFonts w:eastAsia="Arial"/>
              </w:rPr>
              <w:t>2. Výmena informácií sa zameriava najmä na:</w:t>
            </w:r>
          </w:p>
          <w:p w14:paraId="15131A2D" w14:textId="77777777" w:rsidR="007170C3" w:rsidRPr="008819AF" w:rsidRDefault="006F0418" w:rsidP="0021052F">
            <w:pPr>
              <w:spacing w:after="120"/>
              <w:ind w:left="497" w:hanging="283"/>
              <w:rPr>
                <w:rFonts w:eastAsia="Arial"/>
              </w:rPr>
            </w:pPr>
            <w:r w:rsidRPr="008819AF">
              <w:rPr>
                <w:rFonts w:eastAsia="Arial"/>
              </w:rPr>
              <w:t>a)</w:t>
            </w:r>
            <w:r w:rsidRPr="008819AF">
              <w:t xml:space="preserve"> </w:t>
            </w:r>
            <w:r w:rsidRPr="008819AF">
              <w:rPr>
                <w:rFonts w:eastAsia="Arial"/>
              </w:rPr>
              <w:t xml:space="preserve">výkonnosť zariadení a techník z hľadiska emisií, vyjadrených prípadne ako krátkodobé a dlhodobé priemerné hodnoty a súvisiacich </w:t>
            </w:r>
            <w:r w:rsidRPr="008819AF">
              <w:rPr>
                <w:rFonts w:eastAsia="Arial"/>
              </w:rPr>
              <w:lastRenderedPageBreak/>
              <w:t>referenčných podmienok, spotreby a charakteru surovín, spotreby vody, využívania energie a vzniku odpadu;;</w:t>
            </w:r>
          </w:p>
          <w:p w14:paraId="15131A2E" w14:textId="77777777" w:rsidR="007170C3" w:rsidRPr="008819AF" w:rsidRDefault="006F0418" w:rsidP="0021052F">
            <w:pPr>
              <w:spacing w:after="120"/>
              <w:ind w:left="497" w:hanging="283"/>
              <w:rPr>
                <w:rFonts w:eastAsia="Arial"/>
              </w:rPr>
            </w:pPr>
            <w:r w:rsidRPr="008819AF">
              <w:rPr>
                <w:rFonts w:eastAsia="Arial"/>
              </w:rPr>
              <w:t>b) používané techniky, súvisiace monitorovanie, dosah na iné zložky životného prostredia, hospodárska a technická únosnosť a ich vývoj;</w:t>
            </w:r>
          </w:p>
          <w:p w14:paraId="15131A2F" w14:textId="77777777" w:rsidR="007170C3" w:rsidRPr="008819AF" w:rsidRDefault="006F0418" w:rsidP="0021052F">
            <w:pPr>
              <w:spacing w:after="120"/>
              <w:ind w:left="497" w:hanging="283"/>
              <w:rPr>
                <w:rFonts w:eastAsia="Arial"/>
              </w:rPr>
            </w:pPr>
            <w:r w:rsidRPr="008819AF">
              <w:rPr>
                <w:rFonts w:eastAsia="Arial"/>
              </w:rPr>
              <w:t>c) najlepšie dostupné techniky a nové techniky určené po zohľadnení aspektov uvedených písmenách a) a b).</w:t>
            </w:r>
          </w:p>
          <w:p w14:paraId="15131A30" w14:textId="77777777" w:rsidR="007170C3" w:rsidRPr="008819AF" w:rsidRDefault="006F0418" w:rsidP="0021052F">
            <w:pPr>
              <w:ind w:left="215" w:hanging="215"/>
              <w:rPr>
                <w:rFonts w:eastAsia="Arial"/>
              </w:rPr>
            </w:pPr>
            <w:r w:rsidRPr="008819AF">
              <w:rPr>
                <w:rFonts w:eastAsia="Arial"/>
              </w:rPr>
              <w:t>3.  Komisia zriadi a pravidelne zvoláva fórum zložené zo zástupcov členských štátov, dotknutých odvetví a mimovládnych organizácií presadzujúcich ochranu životného prostredia.</w:t>
            </w:r>
          </w:p>
          <w:p w14:paraId="15131A31" w14:textId="77777777" w:rsidR="007170C3" w:rsidRPr="008819AF" w:rsidRDefault="006F0418" w:rsidP="0021052F">
            <w:pPr>
              <w:ind w:left="215" w:hanging="1"/>
              <w:rPr>
                <w:rFonts w:eastAsia="Arial"/>
              </w:rPr>
            </w:pPr>
            <w:r w:rsidRPr="008819AF">
              <w:rPr>
                <w:rFonts w:eastAsia="Arial"/>
              </w:rPr>
              <w:t>Komisia získa stanovisko fóra o praktických opatreniach na výmenu informácií, a najmä k:</w:t>
            </w:r>
          </w:p>
          <w:p w14:paraId="15131A32" w14:textId="77777777" w:rsidR="007170C3" w:rsidRPr="008819AF" w:rsidRDefault="006F0418" w:rsidP="009C63CF">
            <w:pPr>
              <w:numPr>
                <w:ilvl w:val="0"/>
                <w:numId w:val="7"/>
              </w:numPr>
              <w:spacing w:after="120"/>
              <w:ind w:left="497" w:hanging="283"/>
              <w:rPr>
                <w:rFonts w:eastAsia="Arial"/>
              </w:rPr>
            </w:pPr>
            <w:r w:rsidRPr="008819AF">
              <w:rPr>
                <w:rFonts w:eastAsia="Arial"/>
              </w:rPr>
              <w:t>rokovaciemu poriadku fóra;</w:t>
            </w:r>
          </w:p>
          <w:p w14:paraId="15131A33" w14:textId="77777777" w:rsidR="007170C3" w:rsidRPr="008819AF" w:rsidRDefault="006F0418" w:rsidP="009C63CF">
            <w:pPr>
              <w:numPr>
                <w:ilvl w:val="0"/>
                <w:numId w:val="7"/>
              </w:numPr>
              <w:spacing w:after="120"/>
              <w:ind w:left="497" w:hanging="283"/>
              <w:rPr>
                <w:rFonts w:eastAsia="Arial"/>
              </w:rPr>
            </w:pPr>
            <w:r w:rsidRPr="008819AF">
              <w:rPr>
                <w:rFonts w:eastAsia="Arial"/>
              </w:rPr>
              <w:t>pracovnému programu na výmenu informácií;</w:t>
            </w:r>
          </w:p>
          <w:p w14:paraId="15131A34" w14:textId="77777777" w:rsidR="007170C3" w:rsidRPr="008819AF" w:rsidRDefault="006F0418" w:rsidP="009C63CF">
            <w:pPr>
              <w:numPr>
                <w:ilvl w:val="0"/>
                <w:numId w:val="7"/>
              </w:numPr>
              <w:spacing w:after="120"/>
              <w:ind w:left="497" w:hanging="283"/>
              <w:rPr>
                <w:rFonts w:eastAsia="Arial"/>
              </w:rPr>
            </w:pPr>
            <w:r w:rsidRPr="008819AF">
              <w:rPr>
                <w:rFonts w:eastAsia="Arial"/>
              </w:rPr>
              <w:t>usmerneniam pre zber údajov;</w:t>
            </w:r>
          </w:p>
          <w:p w14:paraId="15131A35" w14:textId="77777777" w:rsidR="007170C3" w:rsidRPr="008819AF" w:rsidRDefault="006F0418" w:rsidP="009C63CF">
            <w:pPr>
              <w:numPr>
                <w:ilvl w:val="0"/>
                <w:numId w:val="7"/>
              </w:numPr>
              <w:spacing w:after="120"/>
              <w:ind w:left="497" w:hanging="283"/>
              <w:rPr>
                <w:rFonts w:eastAsia="Arial"/>
              </w:rPr>
            </w:pPr>
            <w:r w:rsidRPr="008819AF">
              <w:rPr>
                <w:rFonts w:eastAsia="Arial"/>
              </w:rPr>
              <w:t>usmerneniam pre vypracovanie referenčných dokumentov o BAT a zabezpečenie ich kvality, ako aj ich vhodného obsahu a formátu.</w:t>
            </w:r>
          </w:p>
          <w:p w14:paraId="15131A36" w14:textId="77777777" w:rsidR="007170C3" w:rsidRPr="008819AF" w:rsidRDefault="006F0418" w:rsidP="0021052F">
            <w:pPr>
              <w:ind w:left="215" w:hanging="1"/>
              <w:rPr>
                <w:rFonts w:eastAsia="Arial"/>
              </w:rPr>
            </w:pPr>
            <w:r w:rsidRPr="008819AF">
              <w:rPr>
                <w:rFonts w:eastAsia="Arial"/>
              </w:rPr>
              <w:t>Usmernenia uvedené v druhom pododseku písm. c) a d) zohľadnia stanovisko fóra a prijmú sa v súlade s regulačným postupom uvedeným v článku 75 ods. 2</w:t>
            </w:r>
          </w:p>
          <w:p w14:paraId="15131A37" w14:textId="77777777" w:rsidR="007170C3" w:rsidRPr="008819AF" w:rsidRDefault="006F0418" w:rsidP="0021052F">
            <w:pPr>
              <w:ind w:left="215" w:hanging="215"/>
              <w:rPr>
                <w:rFonts w:eastAsia="Arial"/>
              </w:rPr>
            </w:pPr>
            <w:r w:rsidRPr="008819AF">
              <w:rPr>
                <w:rFonts w:eastAsia="Arial"/>
              </w:rPr>
              <w:t>4.  Komisia získa a zverejní stanovisko fóra k navrhovanému obsahu referenčných dokumentov o BAT a zohľadní ho pri postupoch uvedených v odseku 5.</w:t>
            </w:r>
          </w:p>
          <w:p w14:paraId="15131A38" w14:textId="77777777" w:rsidR="007170C3" w:rsidRPr="008819AF" w:rsidRDefault="006F0418" w:rsidP="0021052F">
            <w:pPr>
              <w:ind w:left="215" w:hanging="215"/>
              <w:rPr>
                <w:rFonts w:eastAsia="Arial"/>
              </w:rPr>
            </w:pPr>
            <w:r w:rsidRPr="008819AF">
              <w:rPr>
                <w:rFonts w:eastAsia="Arial"/>
              </w:rPr>
              <w:t>5.  Rozhodnutia o záveroch o BAT sa prijmú v súlade s regulačným postupom uvedeným v článku 75 ods. 2</w:t>
            </w:r>
          </w:p>
          <w:p w14:paraId="15131A39" w14:textId="77777777" w:rsidR="007170C3" w:rsidRPr="008819AF" w:rsidRDefault="006F0418" w:rsidP="0021052F">
            <w:pPr>
              <w:ind w:left="215" w:hanging="215"/>
              <w:rPr>
                <w:rFonts w:eastAsia="Arial"/>
              </w:rPr>
            </w:pPr>
            <w:r w:rsidRPr="008819AF">
              <w:rPr>
                <w:rFonts w:eastAsia="Arial"/>
              </w:rPr>
              <w:t>6. Po prijatí rozhodnutia v súlade s odsekom 5 Komisia bezodkladne zverejní referenčný dokument o BAT a zabezpečí, aby sa závery o BAT sprístupnili vo všetkých úradných jazykoch Únie.</w:t>
            </w:r>
          </w:p>
          <w:p w14:paraId="15131A3A" w14:textId="77777777" w:rsidR="007170C3" w:rsidRPr="008819AF" w:rsidRDefault="006F0418" w:rsidP="0021052F">
            <w:pPr>
              <w:ind w:left="215" w:hanging="215"/>
              <w:rPr>
                <w:rFonts w:eastAsia="Arial"/>
              </w:rPr>
            </w:pPr>
            <w:r w:rsidRPr="008819AF">
              <w:rPr>
                <w:rFonts w:eastAsia="Arial"/>
              </w:rPr>
              <w:t>7. Závery o najlepších dostupných technikách, ktoré vychádzajú z referenčných dokumentov o BAT, ktoré Komisia prijme pred dátumom uvedeným v článku 83, sa na účely tejto kapitoly, s výnimkou článku 15 ods. 3 a 4, uplatňujú ako závery o BAT až do prijatia príslušného rozhodnutia v súlade s odsekom 5.</w:t>
            </w:r>
          </w:p>
        </w:tc>
        <w:tc>
          <w:tcPr>
            <w:tcW w:w="542" w:type="dxa"/>
            <w:gridSpan w:val="2"/>
            <w:tcBorders>
              <w:top w:val="single" w:sz="4" w:space="0" w:color="000000"/>
              <w:left w:val="single" w:sz="4" w:space="0" w:color="000000"/>
              <w:bottom w:val="single" w:sz="4" w:space="0" w:color="000000"/>
              <w:right w:val="single" w:sz="6" w:space="0" w:color="000000"/>
            </w:tcBorders>
            <w:noWrap/>
          </w:tcPr>
          <w:p w14:paraId="15131A3B" w14:textId="77777777" w:rsidR="007170C3" w:rsidRPr="008819AF" w:rsidRDefault="007170C3" w:rsidP="0021052F">
            <w:pPr>
              <w:ind w:left="-70" w:right="-68" w:hanging="6"/>
              <w:jc w:val="center"/>
              <w:rPr>
                <w:rFonts w:eastAsia="Arial"/>
                <w:lang w:bidi="cs-CZ"/>
              </w:rPr>
            </w:pPr>
          </w:p>
          <w:p w14:paraId="15131A3C" w14:textId="77777777" w:rsidR="007170C3" w:rsidRPr="008819AF" w:rsidRDefault="007170C3" w:rsidP="0021052F">
            <w:pPr>
              <w:ind w:left="-70" w:right="-68" w:hanging="6"/>
              <w:jc w:val="center"/>
              <w:rPr>
                <w:rFonts w:eastAsia="Arial"/>
                <w:lang w:bidi="cs-CZ"/>
              </w:rPr>
            </w:pPr>
          </w:p>
          <w:p w14:paraId="15131A3D" w14:textId="77777777" w:rsidR="007170C3" w:rsidRPr="008819AF" w:rsidRDefault="006F0418" w:rsidP="0021052F">
            <w:pPr>
              <w:ind w:left="-70" w:right="-68" w:hanging="6"/>
              <w:jc w:val="center"/>
              <w:rPr>
                <w:rFonts w:eastAsia="Arial"/>
                <w:lang w:bidi="cs-CZ"/>
              </w:rPr>
            </w:pPr>
            <w:r w:rsidRPr="008819AF">
              <w:rPr>
                <w:rFonts w:eastAsia="Arial"/>
                <w:lang w:bidi="cs-CZ"/>
              </w:rPr>
              <w:t>n.a.</w:t>
            </w:r>
          </w:p>
          <w:p w14:paraId="15131A3E" w14:textId="77777777" w:rsidR="007170C3" w:rsidRPr="008819AF" w:rsidRDefault="007170C3" w:rsidP="0021052F">
            <w:pPr>
              <w:ind w:left="-70" w:right="-68" w:hanging="6"/>
              <w:jc w:val="center"/>
              <w:rPr>
                <w:rFonts w:eastAsia="Arial"/>
                <w:lang w:bidi="cs-CZ"/>
              </w:rPr>
            </w:pPr>
          </w:p>
          <w:p w14:paraId="15131A3F" w14:textId="77777777" w:rsidR="007170C3" w:rsidRPr="008819AF" w:rsidRDefault="007170C3" w:rsidP="0021052F">
            <w:pPr>
              <w:ind w:left="-70" w:right="-68" w:hanging="6"/>
              <w:jc w:val="center"/>
              <w:rPr>
                <w:rFonts w:eastAsia="Arial"/>
                <w:lang w:bidi="cs-CZ"/>
              </w:rPr>
            </w:pPr>
          </w:p>
          <w:p w14:paraId="15131A40" w14:textId="77777777" w:rsidR="007170C3" w:rsidRPr="008819AF" w:rsidRDefault="007170C3" w:rsidP="0021052F">
            <w:pPr>
              <w:ind w:left="-70" w:right="-68" w:hanging="6"/>
              <w:jc w:val="center"/>
              <w:rPr>
                <w:rFonts w:eastAsia="Arial"/>
                <w:lang w:bidi="cs-CZ"/>
              </w:rPr>
            </w:pPr>
          </w:p>
          <w:p w14:paraId="15131A41" w14:textId="77777777" w:rsidR="007170C3" w:rsidRPr="008819AF" w:rsidRDefault="007170C3" w:rsidP="0021052F">
            <w:pPr>
              <w:ind w:left="-70" w:right="-68" w:hanging="6"/>
              <w:jc w:val="center"/>
              <w:rPr>
                <w:rFonts w:eastAsia="Arial"/>
                <w:lang w:bidi="cs-CZ"/>
              </w:rPr>
            </w:pPr>
          </w:p>
          <w:p w14:paraId="15131A42" w14:textId="77777777" w:rsidR="007170C3" w:rsidRPr="008819AF" w:rsidRDefault="006F0418" w:rsidP="0021052F">
            <w:pPr>
              <w:ind w:left="-70" w:right="-68" w:hanging="6"/>
              <w:jc w:val="center"/>
              <w:rPr>
                <w:rFonts w:eastAsia="Arial"/>
                <w:lang w:bidi="cs-CZ"/>
              </w:rPr>
            </w:pPr>
            <w:r w:rsidRPr="008819AF">
              <w:rPr>
                <w:rFonts w:eastAsia="Arial"/>
                <w:lang w:bidi="cs-CZ"/>
              </w:rPr>
              <w:t>n.a.</w:t>
            </w:r>
          </w:p>
          <w:p w14:paraId="15131A43" w14:textId="77777777" w:rsidR="007170C3" w:rsidRPr="008819AF" w:rsidRDefault="007170C3" w:rsidP="0021052F">
            <w:pPr>
              <w:ind w:left="-70" w:right="-68" w:hanging="6"/>
              <w:jc w:val="center"/>
              <w:rPr>
                <w:rFonts w:eastAsia="Arial"/>
                <w:lang w:bidi="cs-CZ"/>
              </w:rPr>
            </w:pPr>
          </w:p>
          <w:p w14:paraId="15131A44" w14:textId="77777777" w:rsidR="007170C3" w:rsidRPr="008819AF" w:rsidRDefault="007170C3" w:rsidP="0021052F">
            <w:pPr>
              <w:ind w:left="-70" w:right="-68" w:hanging="6"/>
              <w:jc w:val="center"/>
              <w:rPr>
                <w:rFonts w:eastAsia="Arial"/>
                <w:lang w:bidi="cs-CZ"/>
              </w:rPr>
            </w:pPr>
          </w:p>
          <w:p w14:paraId="15131A45" w14:textId="77777777" w:rsidR="007170C3" w:rsidRPr="008819AF" w:rsidRDefault="007170C3" w:rsidP="0021052F">
            <w:pPr>
              <w:ind w:left="-70" w:right="-68" w:hanging="6"/>
              <w:jc w:val="center"/>
              <w:rPr>
                <w:rFonts w:eastAsia="Arial"/>
                <w:lang w:bidi="cs-CZ"/>
              </w:rPr>
            </w:pPr>
          </w:p>
          <w:p w14:paraId="15131A46" w14:textId="77777777" w:rsidR="007170C3" w:rsidRPr="008819AF" w:rsidRDefault="007170C3" w:rsidP="0021052F">
            <w:pPr>
              <w:ind w:left="-70" w:right="-68" w:hanging="6"/>
              <w:jc w:val="center"/>
              <w:rPr>
                <w:rFonts w:eastAsia="Arial"/>
                <w:lang w:bidi="cs-CZ"/>
              </w:rPr>
            </w:pPr>
          </w:p>
          <w:p w14:paraId="15131A47" w14:textId="77777777" w:rsidR="007170C3" w:rsidRPr="008819AF" w:rsidRDefault="007170C3" w:rsidP="0021052F">
            <w:pPr>
              <w:ind w:left="-70" w:right="-68" w:hanging="6"/>
              <w:jc w:val="center"/>
              <w:rPr>
                <w:rFonts w:eastAsia="Arial"/>
                <w:lang w:bidi="cs-CZ"/>
              </w:rPr>
            </w:pPr>
          </w:p>
          <w:p w14:paraId="15131A48" w14:textId="77777777" w:rsidR="007170C3" w:rsidRPr="008819AF" w:rsidRDefault="007170C3" w:rsidP="0021052F">
            <w:pPr>
              <w:ind w:left="-70" w:right="-68" w:hanging="6"/>
              <w:jc w:val="center"/>
              <w:rPr>
                <w:rFonts w:eastAsia="Arial"/>
                <w:lang w:bidi="cs-CZ"/>
              </w:rPr>
            </w:pPr>
          </w:p>
          <w:p w14:paraId="15131A49" w14:textId="77777777" w:rsidR="007170C3" w:rsidRPr="008819AF" w:rsidRDefault="007170C3" w:rsidP="0021052F">
            <w:pPr>
              <w:ind w:left="-70" w:right="-68" w:hanging="6"/>
              <w:jc w:val="center"/>
              <w:rPr>
                <w:rFonts w:eastAsia="Arial"/>
                <w:lang w:bidi="cs-CZ"/>
              </w:rPr>
            </w:pPr>
          </w:p>
          <w:p w14:paraId="15131A4A" w14:textId="77777777" w:rsidR="007170C3" w:rsidRPr="008819AF" w:rsidRDefault="007170C3" w:rsidP="0021052F">
            <w:pPr>
              <w:ind w:left="-70" w:right="-68" w:hanging="6"/>
              <w:jc w:val="center"/>
              <w:rPr>
                <w:rFonts w:eastAsia="Arial"/>
                <w:lang w:bidi="cs-CZ"/>
              </w:rPr>
            </w:pPr>
          </w:p>
          <w:p w14:paraId="15131A4B" w14:textId="77777777" w:rsidR="007170C3" w:rsidRPr="008819AF" w:rsidRDefault="007170C3" w:rsidP="0021052F">
            <w:pPr>
              <w:ind w:left="-70" w:right="-68" w:hanging="6"/>
              <w:jc w:val="center"/>
              <w:rPr>
                <w:rFonts w:eastAsia="Arial"/>
                <w:lang w:bidi="cs-CZ"/>
              </w:rPr>
            </w:pPr>
          </w:p>
          <w:p w14:paraId="15131A4C" w14:textId="77777777" w:rsidR="007170C3" w:rsidRPr="008819AF" w:rsidRDefault="007170C3" w:rsidP="0021052F">
            <w:pPr>
              <w:ind w:left="-70" w:right="-68" w:hanging="6"/>
              <w:jc w:val="center"/>
              <w:rPr>
                <w:rFonts w:eastAsia="Arial"/>
                <w:lang w:bidi="cs-CZ"/>
              </w:rPr>
            </w:pPr>
          </w:p>
          <w:p w14:paraId="15131A4D" w14:textId="77777777" w:rsidR="007170C3" w:rsidRPr="008819AF" w:rsidRDefault="007170C3" w:rsidP="0021052F">
            <w:pPr>
              <w:ind w:left="-70" w:right="-68" w:hanging="6"/>
              <w:jc w:val="center"/>
              <w:rPr>
                <w:rFonts w:eastAsia="Arial"/>
                <w:lang w:bidi="cs-CZ"/>
              </w:rPr>
            </w:pPr>
          </w:p>
          <w:p w14:paraId="15131A4E" w14:textId="77777777" w:rsidR="007170C3" w:rsidRPr="008819AF" w:rsidRDefault="006F0418" w:rsidP="0021052F">
            <w:pPr>
              <w:ind w:left="-70" w:right="-68" w:hanging="6"/>
              <w:jc w:val="center"/>
              <w:rPr>
                <w:rFonts w:eastAsia="Arial"/>
                <w:lang w:bidi="cs-CZ"/>
              </w:rPr>
            </w:pPr>
            <w:r w:rsidRPr="008819AF">
              <w:rPr>
                <w:rFonts w:eastAsia="Arial"/>
                <w:lang w:bidi="cs-CZ"/>
              </w:rPr>
              <w:t>n.a.</w:t>
            </w:r>
          </w:p>
          <w:p w14:paraId="15131A4F" w14:textId="77777777" w:rsidR="007170C3" w:rsidRPr="008819AF" w:rsidRDefault="007170C3" w:rsidP="0021052F">
            <w:pPr>
              <w:ind w:left="-70" w:right="-68" w:hanging="6"/>
              <w:jc w:val="center"/>
              <w:rPr>
                <w:rFonts w:eastAsia="Arial"/>
                <w:lang w:bidi="cs-CZ"/>
              </w:rPr>
            </w:pPr>
          </w:p>
          <w:p w14:paraId="15131A50" w14:textId="77777777" w:rsidR="007170C3" w:rsidRPr="008819AF" w:rsidRDefault="007170C3" w:rsidP="0021052F">
            <w:pPr>
              <w:ind w:left="-70" w:right="-68" w:hanging="6"/>
              <w:jc w:val="center"/>
              <w:rPr>
                <w:rFonts w:eastAsia="Arial"/>
                <w:lang w:bidi="cs-CZ"/>
              </w:rPr>
            </w:pPr>
          </w:p>
          <w:p w14:paraId="15131A51" w14:textId="77777777" w:rsidR="007170C3" w:rsidRPr="008819AF" w:rsidRDefault="007170C3" w:rsidP="0021052F">
            <w:pPr>
              <w:ind w:left="-70" w:right="-68" w:hanging="6"/>
              <w:jc w:val="center"/>
              <w:rPr>
                <w:rFonts w:eastAsia="Arial"/>
                <w:lang w:bidi="cs-CZ"/>
              </w:rPr>
            </w:pPr>
          </w:p>
          <w:p w14:paraId="15131A52" w14:textId="77777777" w:rsidR="007170C3" w:rsidRPr="008819AF" w:rsidRDefault="007170C3" w:rsidP="0021052F">
            <w:pPr>
              <w:ind w:left="-70" w:right="-68" w:hanging="6"/>
              <w:jc w:val="center"/>
              <w:rPr>
                <w:rFonts w:eastAsia="Arial"/>
                <w:lang w:bidi="cs-CZ"/>
              </w:rPr>
            </w:pPr>
          </w:p>
          <w:p w14:paraId="15131A53" w14:textId="77777777" w:rsidR="007170C3" w:rsidRPr="008819AF" w:rsidRDefault="007170C3" w:rsidP="0021052F">
            <w:pPr>
              <w:ind w:left="-70" w:right="-68" w:hanging="6"/>
              <w:jc w:val="center"/>
              <w:rPr>
                <w:rFonts w:eastAsia="Arial"/>
                <w:lang w:bidi="cs-CZ"/>
              </w:rPr>
            </w:pPr>
          </w:p>
          <w:p w14:paraId="15131A54" w14:textId="77777777" w:rsidR="007170C3" w:rsidRPr="008819AF" w:rsidRDefault="007170C3" w:rsidP="0021052F">
            <w:pPr>
              <w:ind w:left="-70" w:right="-68" w:hanging="6"/>
              <w:jc w:val="center"/>
              <w:rPr>
                <w:rFonts w:eastAsia="Arial"/>
                <w:lang w:bidi="cs-CZ"/>
              </w:rPr>
            </w:pPr>
          </w:p>
          <w:p w14:paraId="15131A55" w14:textId="77777777" w:rsidR="007170C3" w:rsidRPr="008819AF" w:rsidRDefault="007170C3" w:rsidP="0021052F">
            <w:pPr>
              <w:ind w:left="-70" w:right="-68" w:hanging="6"/>
              <w:jc w:val="center"/>
              <w:rPr>
                <w:rFonts w:eastAsia="Arial"/>
                <w:lang w:bidi="cs-CZ"/>
              </w:rPr>
            </w:pPr>
          </w:p>
          <w:p w14:paraId="15131A56" w14:textId="77777777" w:rsidR="007170C3" w:rsidRPr="008819AF" w:rsidRDefault="007170C3" w:rsidP="0021052F">
            <w:pPr>
              <w:ind w:left="-70" w:right="-68" w:hanging="6"/>
              <w:jc w:val="center"/>
              <w:rPr>
                <w:rFonts w:eastAsia="Arial"/>
                <w:lang w:bidi="cs-CZ"/>
              </w:rPr>
            </w:pPr>
          </w:p>
          <w:p w14:paraId="15131A57" w14:textId="77777777" w:rsidR="007170C3" w:rsidRPr="008819AF" w:rsidRDefault="007170C3" w:rsidP="0021052F">
            <w:pPr>
              <w:ind w:left="-70" w:right="-68" w:hanging="6"/>
              <w:jc w:val="center"/>
              <w:rPr>
                <w:rFonts w:eastAsia="Arial"/>
                <w:lang w:bidi="cs-CZ"/>
              </w:rPr>
            </w:pPr>
          </w:p>
          <w:p w14:paraId="15131A58" w14:textId="77777777" w:rsidR="007170C3" w:rsidRPr="008819AF" w:rsidRDefault="007170C3" w:rsidP="0021052F">
            <w:pPr>
              <w:ind w:left="-70" w:right="-68" w:hanging="6"/>
              <w:jc w:val="center"/>
              <w:rPr>
                <w:rFonts w:eastAsia="Arial"/>
                <w:lang w:bidi="cs-CZ"/>
              </w:rPr>
            </w:pPr>
          </w:p>
          <w:p w14:paraId="15131A59" w14:textId="77777777" w:rsidR="00F02B7C" w:rsidRPr="008819AF" w:rsidRDefault="00F02B7C" w:rsidP="0021052F">
            <w:pPr>
              <w:ind w:left="-70" w:right="-68" w:hanging="6"/>
              <w:jc w:val="center"/>
              <w:rPr>
                <w:rFonts w:eastAsia="Arial"/>
                <w:lang w:bidi="cs-CZ"/>
              </w:rPr>
            </w:pPr>
          </w:p>
          <w:p w14:paraId="15131A5A" w14:textId="77777777" w:rsidR="007170C3" w:rsidRPr="008819AF" w:rsidRDefault="007170C3" w:rsidP="0021052F">
            <w:pPr>
              <w:ind w:left="-70" w:right="-68" w:hanging="6"/>
              <w:jc w:val="center"/>
              <w:rPr>
                <w:rFonts w:eastAsia="Arial"/>
                <w:lang w:bidi="cs-CZ"/>
              </w:rPr>
            </w:pPr>
          </w:p>
          <w:p w14:paraId="15131A5B" w14:textId="77777777" w:rsidR="007170C3" w:rsidRPr="008819AF" w:rsidRDefault="007170C3" w:rsidP="0021052F">
            <w:pPr>
              <w:ind w:left="-70" w:right="-68" w:hanging="6"/>
              <w:jc w:val="center"/>
              <w:rPr>
                <w:rFonts w:eastAsia="Arial"/>
                <w:lang w:bidi="cs-CZ"/>
              </w:rPr>
            </w:pPr>
          </w:p>
          <w:p w14:paraId="15131A5C" w14:textId="77777777" w:rsidR="007170C3" w:rsidRPr="008819AF" w:rsidRDefault="006F0418" w:rsidP="0021052F">
            <w:pPr>
              <w:ind w:left="-70" w:right="-68" w:hanging="6"/>
              <w:jc w:val="center"/>
              <w:rPr>
                <w:rFonts w:eastAsia="Arial"/>
                <w:lang w:bidi="cs-CZ"/>
              </w:rPr>
            </w:pPr>
            <w:r w:rsidRPr="008819AF">
              <w:rPr>
                <w:rFonts w:eastAsia="Arial"/>
                <w:lang w:bidi="cs-CZ"/>
              </w:rPr>
              <w:t>n.a.</w:t>
            </w:r>
          </w:p>
          <w:p w14:paraId="15131A5D" w14:textId="77777777" w:rsidR="007170C3" w:rsidRPr="008819AF" w:rsidRDefault="007170C3" w:rsidP="0021052F">
            <w:pPr>
              <w:ind w:left="-70" w:right="-68" w:hanging="6"/>
              <w:jc w:val="center"/>
              <w:rPr>
                <w:rFonts w:eastAsia="Arial"/>
                <w:lang w:bidi="cs-CZ"/>
              </w:rPr>
            </w:pPr>
          </w:p>
          <w:p w14:paraId="15131A5E" w14:textId="77777777" w:rsidR="007170C3" w:rsidRPr="008819AF" w:rsidRDefault="007170C3" w:rsidP="0021052F">
            <w:pPr>
              <w:ind w:left="-70" w:right="-68" w:hanging="6"/>
              <w:jc w:val="center"/>
              <w:rPr>
                <w:rFonts w:eastAsia="Arial"/>
                <w:lang w:bidi="cs-CZ"/>
              </w:rPr>
            </w:pPr>
          </w:p>
          <w:p w14:paraId="15131A5F" w14:textId="77777777" w:rsidR="007170C3" w:rsidRPr="008819AF" w:rsidRDefault="006F0418" w:rsidP="0021052F">
            <w:pPr>
              <w:ind w:left="-70" w:right="-68" w:hanging="6"/>
              <w:jc w:val="center"/>
              <w:rPr>
                <w:rFonts w:eastAsia="Arial"/>
                <w:lang w:bidi="cs-CZ"/>
              </w:rPr>
            </w:pPr>
            <w:r w:rsidRPr="008819AF">
              <w:rPr>
                <w:rFonts w:eastAsia="Arial"/>
                <w:lang w:bidi="cs-CZ"/>
              </w:rPr>
              <w:t>n.a.</w:t>
            </w:r>
          </w:p>
          <w:p w14:paraId="15131A60" w14:textId="77777777" w:rsidR="007170C3" w:rsidRPr="008819AF" w:rsidRDefault="007170C3" w:rsidP="0021052F">
            <w:pPr>
              <w:ind w:left="-70" w:right="-68" w:hanging="6"/>
              <w:jc w:val="center"/>
              <w:rPr>
                <w:rFonts w:eastAsia="Arial"/>
                <w:lang w:bidi="cs-CZ"/>
              </w:rPr>
            </w:pPr>
          </w:p>
          <w:p w14:paraId="15131A61" w14:textId="77777777" w:rsidR="007170C3" w:rsidRPr="008819AF" w:rsidRDefault="006F0418" w:rsidP="0021052F">
            <w:pPr>
              <w:ind w:left="-70" w:right="-68" w:hanging="6"/>
              <w:jc w:val="center"/>
              <w:rPr>
                <w:rFonts w:eastAsia="Arial"/>
                <w:lang w:bidi="cs-CZ"/>
              </w:rPr>
            </w:pPr>
            <w:r w:rsidRPr="008819AF">
              <w:rPr>
                <w:rFonts w:eastAsia="Arial"/>
                <w:lang w:bidi="cs-CZ"/>
              </w:rPr>
              <w:t>n.a.</w:t>
            </w:r>
          </w:p>
          <w:p w14:paraId="15131A62" w14:textId="77777777" w:rsidR="007170C3" w:rsidRPr="008819AF" w:rsidRDefault="007170C3" w:rsidP="0021052F">
            <w:pPr>
              <w:ind w:left="-70" w:right="-68" w:hanging="6"/>
              <w:jc w:val="center"/>
              <w:rPr>
                <w:rFonts w:eastAsia="Arial"/>
                <w:lang w:bidi="cs-CZ"/>
              </w:rPr>
            </w:pPr>
          </w:p>
          <w:p w14:paraId="15131A63" w14:textId="77777777" w:rsidR="007170C3" w:rsidRPr="008819AF" w:rsidRDefault="007170C3" w:rsidP="0021052F">
            <w:pPr>
              <w:ind w:left="-70" w:right="-68" w:hanging="6"/>
              <w:jc w:val="center"/>
              <w:rPr>
                <w:rFonts w:eastAsia="Arial"/>
                <w:lang w:bidi="cs-CZ"/>
              </w:rPr>
            </w:pPr>
          </w:p>
          <w:p w14:paraId="15131A64" w14:textId="77777777" w:rsidR="007170C3" w:rsidRPr="008819AF" w:rsidRDefault="007170C3" w:rsidP="0021052F">
            <w:pPr>
              <w:ind w:left="-70" w:right="-68" w:hanging="6"/>
              <w:jc w:val="center"/>
              <w:rPr>
                <w:rFonts w:eastAsia="Arial"/>
                <w:lang w:bidi="cs-CZ"/>
              </w:rPr>
            </w:pPr>
          </w:p>
          <w:p w14:paraId="15131A65" w14:textId="77777777" w:rsidR="007170C3" w:rsidRPr="008819AF" w:rsidRDefault="006F0418" w:rsidP="0021052F">
            <w:pPr>
              <w:ind w:left="-70" w:right="-68" w:hanging="6"/>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4" w:space="0" w:color="000000"/>
              <w:right w:val="single" w:sz="6" w:space="0" w:color="000000"/>
            </w:tcBorders>
          </w:tcPr>
          <w:p w14:paraId="15131A66"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A67"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A68" w14:textId="77777777" w:rsidR="007170C3" w:rsidRPr="008819AF" w:rsidRDefault="007170C3" w:rsidP="0021052F">
            <w:pPr>
              <w:ind w:left="215" w:hanging="215"/>
              <w:rPr>
                <w:rFonts w:eastAsia="Arial"/>
                <w:lang w:bidi="cs-CZ"/>
              </w:rPr>
            </w:pPr>
          </w:p>
          <w:p w14:paraId="15131A69" w14:textId="77777777" w:rsidR="007170C3" w:rsidRPr="008819AF" w:rsidRDefault="007170C3" w:rsidP="0021052F">
            <w:pPr>
              <w:ind w:left="215" w:hanging="215"/>
              <w:rPr>
                <w:rFonts w:eastAsia="Arial"/>
                <w:lang w:bidi="cs-CZ"/>
              </w:rPr>
            </w:pPr>
          </w:p>
          <w:p w14:paraId="15131A6A"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A6B"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A6C" w14:textId="77777777" w:rsidR="007170C3" w:rsidRPr="008819AF" w:rsidRDefault="007170C3" w:rsidP="0021052F">
            <w:pPr>
              <w:ind w:left="215" w:hanging="215"/>
              <w:rPr>
                <w:rFonts w:eastAsia="Arial"/>
                <w:lang w:bidi="cs-CZ"/>
              </w:rPr>
            </w:pPr>
          </w:p>
        </w:tc>
      </w:tr>
      <w:tr w:rsidR="00F80158" w:rsidRPr="008819AF" w14:paraId="15131A96" w14:textId="77777777" w:rsidTr="003E351D">
        <w:trPr>
          <w:trHeight w:val="1524"/>
          <w:jc w:val="center"/>
        </w:trPr>
        <w:tc>
          <w:tcPr>
            <w:tcW w:w="483" w:type="dxa"/>
            <w:tcBorders>
              <w:top w:val="single" w:sz="4" w:space="0" w:color="000000"/>
              <w:left w:val="single" w:sz="6" w:space="0" w:color="000000"/>
              <w:bottom w:val="single" w:sz="4" w:space="0" w:color="000000"/>
              <w:right w:val="single" w:sz="6" w:space="0" w:color="000000"/>
            </w:tcBorders>
          </w:tcPr>
          <w:p w14:paraId="15131A6E" w14:textId="77777777" w:rsidR="007170C3" w:rsidRPr="008819AF" w:rsidRDefault="006F0418" w:rsidP="003E351D">
            <w:pPr>
              <w:ind w:right="-70"/>
              <w:rPr>
                <w:rFonts w:eastAsia="Arial"/>
                <w:lang w:bidi="cs-CZ"/>
              </w:rPr>
            </w:pPr>
            <w:r w:rsidRPr="008819AF">
              <w:rPr>
                <w:rFonts w:eastAsia="Arial"/>
                <w:lang w:bidi="cs-CZ"/>
              </w:rPr>
              <w:lastRenderedPageBreak/>
              <w:t>Č:14</w:t>
            </w:r>
          </w:p>
        </w:tc>
        <w:tc>
          <w:tcPr>
            <w:tcW w:w="6227" w:type="dxa"/>
            <w:gridSpan w:val="2"/>
            <w:tcBorders>
              <w:top w:val="single" w:sz="4" w:space="0" w:color="000000"/>
              <w:left w:val="single" w:sz="6" w:space="0" w:color="000000"/>
              <w:bottom w:val="single" w:sz="4" w:space="0" w:color="000000"/>
              <w:right w:val="single" w:sz="4" w:space="0" w:color="000000"/>
            </w:tcBorders>
          </w:tcPr>
          <w:p w14:paraId="15131A6F" w14:textId="77777777" w:rsidR="007170C3" w:rsidRPr="008819AF" w:rsidRDefault="006F0418" w:rsidP="0021052F">
            <w:pPr>
              <w:ind w:left="215" w:hanging="215"/>
              <w:rPr>
                <w:rFonts w:eastAsia="Arial"/>
              </w:rPr>
            </w:pPr>
            <w:r w:rsidRPr="008819AF">
              <w:rPr>
                <w:rFonts w:eastAsia="Arial"/>
              </w:rPr>
              <w:t>Článok 14</w:t>
            </w:r>
          </w:p>
          <w:p w14:paraId="15131A70" w14:textId="77777777" w:rsidR="007170C3" w:rsidRPr="008819AF" w:rsidRDefault="006F0418" w:rsidP="0021052F">
            <w:pPr>
              <w:ind w:left="215" w:hanging="215"/>
              <w:rPr>
                <w:rFonts w:eastAsia="Arial"/>
              </w:rPr>
            </w:pPr>
            <w:r w:rsidRPr="008819AF">
              <w:rPr>
                <w:rFonts w:eastAsia="Arial"/>
              </w:rPr>
              <w:t>Podmienky povolenia</w:t>
            </w:r>
          </w:p>
          <w:p w14:paraId="15131A71" w14:textId="77777777" w:rsidR="007170C3" w:rsidRPr="008819AF" w:rsidRDefault="007170C3" w:rsidP="0021052F">
            <w:pPr>
              <w:ind w:left="215" w:hanging="215"/>
              <w:rPr>
                <w:rFonts w:eastAsia="Arial"/>
              </w:rPr>
            </w:pPr>
          </w:p>
          <w:p w14:paraId="15131A72" w14:textId="77777777" w:rsidR="007170C3" w:rsidRPr="008819AF" w:rsidRDefault="006F0418" w:rsidP="0021052F">
            <w:pPr>
              <w:ind w:left="215" w:hanging="215"/>
              <w:rPr>
                <w:rFonts w:eastAsia="Arial"/>
              </w:rPr>
            </w:pPr>
            <w:r w:rsidRPr="008819AF">
              <w:rPr>
                <w:rFonts w:eastAsia="Arial"/>
              </w:rPr>
              <w:t>1. Členské štáty zabezpečia, aby povolenie obsahovalo všetky opatrenia potrebné na splnenie požiadaviek stanovených v článkoch 11 a 18.</w:t>
            </w:r>
          </w:p>
          <w:p w14:paraId="15131A73" w14:textId="77777777" w:rsidR="007170C3" w:rsidRPr="008819AF" w:rsidRDefault="006F0418" w:rsidP="00F02B7C">
            <w:pPr>
              <w:spacing w:before="120" w:after="120"/>
              <w:ind w:left="430" w:hanging="215"/>
              <w:rPr>
                <w:rFonts w:eastAsia="Arial"/>
              </w:rPr>
            </w:pPr>
            <w:r w:rsidRPr="008819AF">
              <w:rPr>
                <w:rFonts w:eastAsia="Arial"/>
              </w:rPr>
              <w:t>Tieto opatrenia musia obsahovať aspoň:</w:t>
            </w:r>
          </w:p>
          <w:p w14:paraId="15131A74" w14:textId="77777777" w:rsidR="007170C3" w:rsidRPr="008819AF" w:rsidRDefault="006F0418" w:rsidP="009C63CF">
            <w:pPr>
              <w:numPr>
                <w:ilvl w:val="0"/>
                <w:numId w:val="8"/>
              </w:numPr>
              <w:tabs>
                <w:tab w:val="left" w:pos="441"/>
              </w:tabs>
              <w:spacing w:after="120"/>
              <w:ind w:left="499" w:hanging="284"/>
              <w:rPr>
                <w:rFonts w:eastAsia="Arial"/>
              </w:rPr>
            </w:pPr>
            <w:r w:rsidRPr="008819AF">
              <w:rPr>
                <w:rFonts w:eastAsia="Arial"/>
              </w:rPr>
              <w:t>emisné limity pre znečisťujúce látky uvedené v prílohe II a pre iné znečisťujúce látky, ktoré môžu byť vypúšťané z príslušného zariadenia vo významných množstvách, zohľadňujúc ich charakter a potenciál preniesť znečistenie z jednej zložky životného prostredia do druhej;</w:t>
            </w:r>
          </w:p>
          <w:p w14:paraId="15131A75" w14:textId="77777777" w:rsidR="007170C3" w:rsidRPr="008819AF" w:rsidRDefault="006F0418" w:rsidP="009C63CF">
            <w:pPr>
              <w:numPr>
                <w:ilvl w:val="0"/>
                <w:numId w:val="8"/>
              </w:numPr>
              <w:tabs>
                <w:tab w:val="left" w:pos="441"/>
              </w:tabs>
              <w:spacing w:after="120"/>
              <w:ind w:left="499" w:hanging="284"/>
              <w:rPr>
                <w:rFonts w:eastAsia="Arial"/>
              </w:rPr>
            </w:pPr>
            <w:r w:rsidRPr="008819AF">
              <w:rPr>
                <w:rFonts w:eastAsia="Arial"/>
              </w:rPr>
              <w:t>príslušné požiadavky zabezpečujúce ochranu pôdy a podzemných vôd a opatrenia týkajúce sa monitorovania a nakladania s odpadmi produkovanými v zariadení;</w:t>
            </w:r>
          </w:p>
          <w:p w14:paraId="15131A76" w14:textId="77777777" w:rsidR="007170C3" w:rsidRPr="008819AF" w:rsidRDefault="006F0418" w:rsidP="009C63CF">
            <w:pPr>
              <w:numPr>
                <w:ilvl w:val="0"/>
                <w:numId w:val="8"/>
              </w:numPr>
              <w:tabs>
                <w:tab w:val="left" w:pos="441"/>
              </w:tabs>
              <w:spacing w:after="120"/>
              <w:ind w:left="499" w:hanging="284"/>
              <w:rPr>
                <w:rFonts w:eastAsia="Arial"/>
              </w:rPr>
            </w:pPr>
            <w:r w:rsidRPr="008819AF">
              <w:rPr>
                <w:rFonts w:eastAsia="Arial"/>
              </w:rPr>
              <w:t>vhodné požiadavky na monitorovanie emisií určujúce:</w:t>
            </w:r>
          </w:p>
          <w:p w14:paraId="15131A77" w14:textId="77777777" w:rsidR="007170C3" w:rsidRPr="008819AF" w:rsidRDefault="006F0418" w:rsidP="00F02B7C">
            <w:pPr>
              <w:spacing w:after="120"/>
              <w:ind w:left="641" w:hanging="142"/>
              <w:rPr>
                <w:rFonts w:eastAsia="Arial"/>
              </w:rPr>
            </w:pPr>
            <w:r w:rsidRPr="008819AF">
              <w:rPr>
                <w:rFonts w:eastAsia="Arial"/>
              </w:rPr>
              <w:t>i) metodiku merania, jeho frekvenciu a postup vyhodnocovania; a</w:t>
            </w:r>
          </w:p>
          <w:p w14:paraId="15131A78" w14:textId="77777777" w:rsidR="007170C3" w:rsidRPr="008819AF" w:rsidRDefault="006F0418" w:rsidP="00F02B7C">
            <w:pPr>
              <w:spacing w:after="120"/>
              <w:ind w:left="783" w:hanging="284"/>
              <w:rPr>
                <w:rFonts w:eastAsia="Arial"/>
              </w:rPr>
            </w:pPr>
            <w:r w:rsidRPr="008819AF">
              <w:rPr>
                <w:rFonts w:eastAsia="Arial"/>
              </w:rPr>
              <w:t>ii) tam, kde sa uplatňuje článok 15 ods. 3 písm. b), že výsledky monitorovania emisií sú dostupné za rovnaký časový úsek a referenčných podmienok ako v prípade úrovní znečisťovania súvisiacich s najlepšími dostupnými technikami;</w:t>
            </w:r>
          </w:p>
          <w:p w14:paraId="15131A79" w14:textId="77777777" w:rsidR="007170C3" w:rsidRPr="008819AF" w:rsidRDefault="006F0418" w:rsidP="009C63CF">
            <w:pPr>
              <w:numPr>
                <w:ilvl w:val="0"/>
                <w:numId w:val="8"/>
              </w:numPr>
              <w:tabs>
                <w:tab w:val="left" w:pos="441"/>
              </w:tabs>
              <w:spacing w:after="120"/>
              <w:ind w:left="497" w:hanging="283"/>
              <w:rPr>
                <w:rFonts w:eastAsia="Arial"/>
              </w:rPr>
            </w:pPr>
            <w:r w:rsidRPr="008819AF">
              <w:rPr>
                <w:rFonts w:eastAsia="Arial"/>
              </w:rPr>
              <w:t>povinnosť oznamovať príslušnému orgánu pravidelne a aspoň raz ročne:</w:t>
            </w:r>
          </w:p>
          <w:p w14:paraId="15131A7A" w14:textId="77777777" w:rsidR="007170C3" w:rsidRPr="008819AF" w:rsidRDefault="006F0418" w:rsidP="009C63CF">
            <w:pPr>
              <w:numPr>
                <w:ilvl w:val="1"/>
                <w:numId w:val="8"/>
              </w:numPr>
              <w:spacing w:after="120"/>
              <w:ind w:left="781" w:hanging="284"/>
              <w:rPr>
                <w:rFonts w:eastAsia="Arial"/>
              </w:rPr>
            </w:pPr>
            <w:r w:rsidRPr="008819AF">
              <w:rPr>
                <w:rFonts w:eastAsia="Arial"/>
              </w:rPr>
              <w:t>informácie, ktoré vychádzajú z výsledkov monitorovania emisií uvedeného v písmene c), a iné požadované údaje, ktoré príslušnému orgánu umožňujú overiť plnenie podmienok povolenia; a</w:t>
            </w:r>
          </w:p>
          <w:p w14:paraId="15131A7B" w14:textId="77777777" w:rsidR="007170C3" w:rsidRPr="008819AF" w:rsidRDefault="006F0418" w:rsidP="009C63CF">
            <w:pPr>
              <w:numPr>
                <w:ilvl w:val="1"/>
                <w:numId w:val="8"/>
              </w:numPr>
              <w:spacing w:after="120"/>
              <w:ind w:left="781" w:hanging="284"/>
              <w:rPr>
                <w:rFonts w:eastAsia="Arial"/>
              </w:rPr>
            </w:pPr>
            <w:r w:rsidRPr="008819AF">
              <w:rPr>
                <w:rFonts w:eastAsia="Arial"/>
              </w:rPr>
              <w:t>tam, kde sa uplatňuje článok 15 ods. 3 písm. b), súhrn výsledkov monitorovania emisií, ktorý umožňuje porovnanie s úrovňami znečisťovania súvisiacimi s najlepšími dostupnými technikami;</w:t>
            </w:r>
          </w:p>
          <w:p w14:paraId="15131A7C" w14:textId="77777777" w:rsidR="007170C3" w:rsidRPr="008819AF" w:rsidRDefault="006F0418" w:rsidP="009C63CF">
            <w:pPr>
              <w:numPr>
                <w:ilvl w:val="0"/>
                <w:numId w:val="8"/>
              </w:numPr>
              <w:tabs>
                <w:tab w:val="left" w:pos="441"/>
              </w:tabs>
              <w:spacing w:after="120"/>
              <w:ind w:left="497" w:hanging="283"/>
              <w:rPr>
                <w:rFonts w:eastAsia="Arial"/>
              </w:rPr>
            </w:pPr>
            <w:r w:rsidRPr="008819AF">
              <w:rPr>
                <w:rFonts w:eastAsia="Arial"/>
              </w:rPr>
              <w:t xml:space="preserve">vhodné požiadavky na pravidelnú údržbu a dohľad nad prijatými opatreniami, ktoré zabránia emisiám do pôdy a podzemných vôd v súlade s písmenom b), a vhodné požiadavky na periodické monitorovanie pôdy a podzemných vôd v súvislosti s relevantnými nebezpečnými látkami, ktoré sa môžu nachádzať v lokalite, a s prihliadnutím na možnosť kontaminácie pôdy a podzemných vôd v </w:t>
            </w:r>
            <w:r w:rsidRPr="008819AF">
              <w:rPr>
                <w:rFonts w:eastAsia="Arial"/>
              </w:rPr>
              <w:lastRenderedPageBreak/>
              <w:t>lokalite zariadenia;</w:t>
            </w:r>
          </w:p>
          <w:p w14:paraId="15131A7D" w14:textId="77777777" w:rsidR="007170C3" w:rsidRPr="008819AF" w:rsidRDefault="006F0418" w:rsidP="009C63CF">
            <w:pPr>
              <w:numPr>
                <w:ilvl w:val="0"/>
                <w:numId w:val="8"/>
              </w:numPr>
              <w:tabs>
                <w:tab w:val="left" w:pos="441"/>
              </w:tabs>
              <w:spacing w:after="120"/>
              <w:rPr>
                <w:rFonts w:eastAsia="Arial"/>
              </w:rPr>
            </w:pPr>
            <w:r w:rsidRPr="008819AF">
              <w:rPr>
                <w:rFonts w:eastAsia="Arial"/>
              </w:rPr>
              <w:t>opatrenia vzťahujúce sa na podmienky, ktoré nie sú bežnými prevádzkovými podmienkami, napríklad nábeh a odstavovanie, úniky, prevádzková porucha, dočasné prerušenie prevádzkovaní a definitívne ukončenie;</w:t>
            </w:r>
          </w:p>
          <w:p w14:paraId="15131A7E" w14:textId="77777777" w:rsidR="007170C3" w:rsidRPr="008819AF" w:rsidRDefault="006F0418" w:rsidP="009C63CF">
            <w:pPr>
              <w:numPr>
                <w:ilvl w:val="0"/>
                <w:numId w:val="8"/>
              </w:numPr>
              <w:tabs>
                <w:tab w:val="left" w:pos="441"/>
              </w:tabs>
              <w:spacing w:after="120"/>
              <w:ind w:left="497" w:hanging="283"/>
              <w:rPr>
                <w:rFonts w:eastAsia="Arial"/>
              </w:rPr>
            </w:pPr>
            <w:r w:rsidRPr="008819AF">
              <w:rPr>
                <w:rFonts w:eastAsia="Arial"/>
              </w:rPr>
              <w:t>opatrenia na minimalizáciu diaľkového alebo cezhraničného znečisťovania;</w:t>
            </w:r>
          </w:p>
          <w:p w14:paraId="15131A7F" w14:textId="77777777" w:rsidR="007170C3" w:rsidRPr="008819AF" w:rsidRDefault="006F0418" w:rsidP="009C63CF">
            <w:pPr>
              <w:numPr>
                <w:ilvl w:val="0"/>
                <w:numId w:val="8"/>
              </w:numPr>
              <w:tabs>
                <w:tab w:val="left" w:pos="441"/>
              </w:tabs>
              <w:ind w:left="497" w:hanging="283"/>
              <w:rPr>
                <w:rFonts w:eastAsia="Arial"/>
              </w:rPr>
            </w:pPr>
            <w:r w:rsidRPr="008819AF">
              <w:rPr>
                <w:rFonts w:eastAsia="Arial"/>
              </w:rPr>
              <w:t>podmienky posudzovania dodržiavania emisných limitov alebo odkaz na uplatniteľné požiadavky špecifikované inde.</w:t>
            </w:r>
          </w:p>
          <w:p w14:paraId="15131A80" w14:textId="77777777" w:rsidR="007170C3" w:rsidRPr="008819AF" w:rsidRDefault="007170C3" w:rsidP="00F02B7C">
            <w:pPr>
              <w:ind w:left="215" w:hanging="215"/>
              <w:rPr>
                <w:rFonts w:eastAsia="Arial"/>
              </w:rPr>
            </w:pPr>
          </w:p>
          <w:p w14:paraId="15131A81" w14:textId="77777777" w:rsidR="007170C3" w:rsidRPr="008819AF" w:rsidRDefault="006F0418" w:rsidP="0021052F">
            <w:pPr>
              <w:ind w:left="215" w:hanging="215"/>
              <w:rPr>
                <w:rFonts w:eastAsia="Arial"/>
              </w:rPr>
            </w:pPr>
            <w:r w:rsidRPr="008819AF">
              <w:rPr>
                <w:rFonts w:eastAsia="Arial"/>
              </w:rPr>
              <w:t>2.  Na účely odseku 1 písm. a) sa emisné limity môžu doplniť alebo nahradiť ekvivalentnými ukazovateľmi alebo ekvivalentnými technickými opatreniami, ktoré zabezpečujú rovnocennú úroveň ochrany životného prostredia.</w:t>
            </w:r>
          </w:p>
          <w:p w14:paraId="15131A82" w14:textId="77777777" w:rsidR="007170C3" w:rsidRPr="008819AF" w:rsidRDefault="007170C3" w:rsidP="0021052F">
            <w:pPr>
              <w:ind w:left="215" w:hanging="215"/>
              <w:rPr>
                <w:rFonts w:eastAsia="Arial"/>
              </w:rPr>
            </w:pPr>
          </w:p>
          <w:p w14:paraId="15131A83" w14:textId="77777777" w:rsidR="007170C3" w:rsidRPr="008819AF" w:rsidRDefault="006F0418" w:rsidP="0021052F">
            <w:pPr>
              <w:ind w:left="215" w:hanging="215"/>
              <w:rPr>
                <w:rFonts w:eastAsia="Arial"/>
              </w:rPr>
            </w:pPr>
            <w:r w:rsidRPr="008819AF">
              <w:rPr>
                <w:rFonts w:eastAsia="Arial"/>
              </w:rPr>
              <w:t>3. Závery o BAT slúžia ako referencia pri stanovovaní podmienok povolenia.</w:t>
            </w:r>
          </w:p>
          <w:p w14:paraId="15131A84" w14:textId="77777777" w:rsidR="007170C3" w:rsidRPr="008819AF" w:rsidRDefault="007170C3" w:rsidP="0021052F">
            <w:pPr>
              <w:ind w:left="215" w:hanging="215"/>
              <w:rPr>
                <w:rFonts w:eastAsia="Arial"/>
              </w:rPr>
            </w:pPr>
          </w:p>
          <w:p w14:paraId="15131A85" w14:textId="77777777" w:rsidR="007170C3" w:rsidRPr="008819AF" w:rsidRDefault="006F0418" w:rsidP="0021052F">
            <w:pPr>
              <w:ind w:left="215" w:hanging="215"/>
              <w:rPr>
                <w:rFonts w:eastAsia="Arial"/>
              </w:rPr>
            </w:pPr>
            <w:r w:rsidRPr="008819AF">
              <w:rPr>
                <w:rFonts w:eastAsia="Arial"/>
              </w:rPr>
              <w:t>4. Bez toho, aby bol dotknutý článok 18, príslušný orgán môže stanoviť prísnejšie podmienky povolenia, ako sú podmienky dosiahnuteľné použitím najlepších dostupných techník opísaných v záveroch o BAT. Členské štáty môžu stanoviť pravidlá, na základe ktorých môže príslušný orgán stanoviť takéto prísnejšie podmienky.</w:t>
            </w:r>
          </w:p>
          <w:p w14:paraId="15131A86" w14:textId="77777777" w:rsidR="007170C3" w:rsidRPr="008819AF" w:rsidRDefault="007170C3" w:rsidP="0021052F">
            <w:pPr>
              <w:ind w:left="215" w:hanging="215"/>
              <w:rPr>
                <w:rFonts w:eastAsia="Arial"/>
              </w:rPr>
            </w:pPr>
          </w:p>
          <w:p w14:paraId="15131A87" w14:textId="77777777" w:rsidR="007170C3" w:rsidRPr="008819AF" w:rsidRDefault="006F0418" w:rsidP="00F02B7C">
            <w:pPr>
              <w:ind w:left="215" w:hanging="215"/>
              <w:rPr>
                <w:rFonts w:eastAsia="Arial"/>
              </w:rPr>
            </w:pPr>
            <w:r w:rsidRPr="008819AF">
              <w:rPr>
                <w:rFonts w:eastAsia="Arial"/>
              </w:rPr>
              <w:t>5. Ak príslušný orgán stanoví podmienky povolenia na základe najlepšej dostupnej techniky, ktorá nie je opísaná v žiadnych z relevantných záverov o BAT, zabezpečí, aby:</w:t>
            </w:r>
          </w:p>
          <w:p w14:paraId="15131A88" w14:textId="77777777" w:rsidR="007170C3" w:rsidRPr="008819AF" w:rsidRDefault="006F0418" w:rsidP="009C63CF">
            <w:pPr>
              <w:numPr>
                <w:ilvl w:val="0"/>
                <w:numId w:val="9"/>
              </w:numPr>
              <w:spacing w:before="120"/>
              <w:ind w:left="215" w:hanging="215"/>
              <w:rPr>
                <w:rFonts w:eastAsia="Arial"/>
              </w:rPr>
            </w:pPr>
            <w:r w:rsidRPr="008819AF">
              <w:rPr>
                <w:rFonts w:eastAsia="Arial"/>
              </w:rPr>
              <w:t>a) sa táto technika určila na základe osobitného zváženia kritérií uvedených v prílohe III; a</w:t>
            </w:r>
          </w:p>
          <w:p w14:paraId="15131A89" w14:textId="77777777" w:rsidR="007170C3" w:rsidRPr="008819AF" w:rsidRDefault="006F0418" w:rsidP="00F02B7C">
            <w:pPr>
              <w:spacing w:before="120"/>
              <w:ind w:firstLine="214"/>
              <w:rPr>
                <w:rFonts w:eastAsia="Arial"/>
              </w:rPr>
            </w:pPr>
            <w:r w:rsidRPr="008819AF">
              <w:rPr>
                <w:rFonts w:eastAsia="Arial"/>
              </w:rPr>
              <w:t>b) sa splnili požiadavky článku 15.</w:t>
            </w:r>
          </w:p>
          <w:p w14:paraId="15131A8A" w14:textId="77777777" w:rsidR="007170C3" w:rsidRPr="008819AF" w:rsidRDefault="007170C3" w:rsidP="0021052F">
            <w:pPr>
              <w:ind w:left="215" w:hanging="215"/>
              <w:rPr>
                <w:rFonts w:eastAsia="Arial"/>
              </w:rPr>
            </w:pPr>
          </w:p>
          <w:p w14:paraId="15131A8B" w14:textId="77777777" w:rsidR="007170C3" w:rsidRPr="008819AF" w:rsidRDefault="006F0418" w:rsidP="0021052F">
            <w:pPr>
              <w:ind w:left="215" w:hanging="1"/>
              <w:rPr>
                <w:rFonts w:eastAsia="Arial"/>
              </w:rPr>
            </w:pPr>
            <w:r w:rsidRPr="008819AF">
              <w:rPr>
                <w:rFonts w:eastAsia="Arial"/>
              </w:rPr>
              <w:t>Ak závery o BAT uvedené v prvom pododseku neobsahujú úrovne znečisťovania súvisiace s najlepšími dostupnými technikami, príslušný orgán zabezpečí, aby sa technikou uvedenou v prvom pododseku zaistila úroveň ochrany životného prostredia rovnocenná s úrovňou najlepších dostupných techník opísaných v záveroch o BAT.</w:t>
            </w:r>
          </w:p>
          <w:p w14:paraId="15131A8C" w14:textId="77777777" w:rsidR="007170C3" w:rsidRPr="008819AF" w:rsidRDefault="007170C3" w:rsidP="0021052F">
            <w:pPr>
              <w:ind w:left="215" w:hanging="215"/>
              <w:rPr>
                <w:rFonts w:eastAsia="Arial"/>
              </w:rPr>
            </w:pPr>
          </w:p>
          <w:p w14:paraId="15131A8D" w14:textId="77777777" w:rsidR="007170C3" w:rsidRPr="008819AF" w:rsidRDefault="006F0418" w:rsidP="0021052F">
            <w:pPr>
              <w:ind w:left="215" w:hanging="215"/>
              <w:rPr>
                <w:rFonts w:eastAsia="Arial"/>
              </w:rPr>
            </w:pPr>
            <w:r w:rsidRPr="008819AF">
              <w:rPr>
                <w:rFonts w:eastAsia="Arial"/>
              </w:rPr>
              <w:t xml:space="preserve">6. Ak sa na činnosť alebo typ výrobného procesu v zariadení nevzťahujú </w:t>
            </w:r>
            <w:r w:rsidRPr="008819AF">
              <w:rPr>
                <w:rFonts w:eastAsia="Arial"/>
              </w:rPr>
              <w:lastRenderedPageBreak/>
              <w:t>závery o BAT, alebo v prípade, že sa v týchto záveroch neriešia všetky potenciálne vplyvy činnosti alebo procesu na životné prostredie, príslušný orgán stanoví s osobitným zreteľom na kritériá uvedené v prílohe III a po predchádzajúcej porade s prevádzkovateľom podmienky povolenia na základe najlepších dostupných techník, ktoré určil pre dotknuté činnosti alebo procesy.</w:t>
            </w:r>
          </w:p>
          <w:p w14:paraId="15131A8E" w14:textId="77777777" w:rsidR="007170C3" w:rsidRPr="008819AF" w:rsidRDefault="007170C3" w:rsidP="0021052F">
            <w:pPr>
              <w:ind w:left="215" w:hanging="215"/>
              <w:rPr>
                <w:rFonts w:eastAsia="Arial"/>
              </w:rPr>
            </w:pPr>
          </w:p>
          <w:p w14:paraId="15131A8F" w14:textId="77777777" w:rsidR="007170C3" w:rsidRPr="008819AF" w:rsidRDefault="006F0418" w:rsidP="0021052F">
            <w:pPr>
              <w:ind w:left="215" w:hanging="215"/>
              <w:rPr>
                <w:rFonts w:eastAsia="Arial"/>
              </w:rPr>
            </w:pPr>
            <w:r w:rsidRPr="008819AF">
              <w:rPr>
                <w:rFonts w:eastAsia="Arial"/>
              </w:rPr>
              <w:t>7. Bez toho, aby boli dotknuté právne predpisy v oblasti vhodných životných podmienok zvierat, sa na zariadenia uvedené v prílohe I bode 6.6 uplatňujú odseky 1 až 6 tohto článku.</w:t>
            </w:r>
          </w:p>
        </w:tc>
        <w:tc>
          <w:tcPr>
            <w:tcW w:w="542" w:type="dxa"/>
            <w:gridSpan w:val="2"/>
            <w:tcBorders>
              <w:top w:val="single" w:sz="4" w:space="0" w:color="000000"/>
              <w:left w:val="single" w:sz="4" w:space="0" w:color="000000"/>
              <w:bottom w:val="single" w:sz="4" w:space="0" w:color="000000"/>
              <w:right w:val="single" w:sz="6" w:space="0" w:color="000000"/>
            </w:tcBorders>
            <w:noWrap/>
          </w:tcPr>
          <w:p w14:paraId="15131A90" w14:textId="77777777" w:rsidR="007170C3" w:rsidRPr="008819AF" w:rsidRDefault="007170C3" w:rsidP="00E32B03">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A91"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A92"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A93"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A94"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A95" w14:textId="77777777" w:rsidR="007170C3" w:rsidRPr="008819AF" w:rsidRDefault="007170C3" w:rsidP="0021052F">
            <w:pPr>
              <w:ind w:left="215" w:hanging="215"/>
              <w:rPr>
                <w:rFonts w:eastAsia="Arial"/>
                <w:lang w:bidi="cs-CZ"/>
              </w:rPr>
            </w:pPr>
          </w:p>
        </w:tc>
      </w:tr>
      <w:tr w:rsidR="00F80158" w:rsidRPr="008819AF" w14:paraId="15131ABC" w14:textId="77777777" w:rsidTr="003E351D">
        <w:trPr>
          <w:trHeight w:val="1142"/>
          <w:jc w:val="center"/>
        </w:trPr>
        <w:tc>
          <w:tcPr>
            <w:tcW w:w="483" w:type="dxa"/>
            <w:tcBorders>
              <w:top w:val="single" w:sz="4" w:space="0" w:color="000000"/>
              <w:left w:val="single" w:sz="6" w:space="0" w:color="000000"/>
              <w:bottom w:val="single" w:sz="4" w:space="0" w:color="000000"/>
              <w:right w:val="single" w:sz="6" w:space="0" w:color="000000"/>
            </w:tcBorders>
          </w:tcPr>
          <w:p w14:paraId="15131A97" w14:textId="77777777" w:rsidR="007170C3" w:rsidRPr="008819AF" w:rsidRDefault="006F0418" w:rsidP="003E351D">
            <w:pPr>
              <w:ind w:right="-70"/>
              <w:rPr>
                <w:rFonts w:eastAsia="Arial"/>
                <w:lang w:bidi="cs-CZ"/>
              </w:rPr>
            </w:pPr>
            <w:r w:rsidRPr="008819AF">
              <w:rPr>
                <w:rFonts w:eastAsia="Arial"/>
                <w:lang w:bidi="cs-CZ"/>
              </w:rPr>
              <w:lastRenderedPageBreak/>
              <w:t>Č:15</w:t>
            </w:r>
          </w:p>
        </w:tc>
        <w:tc>
          <w:tcPr>
            <w:tcW w:w="6227" w:type="dxa"/>
            <w:gridSpan w:val="2"/>
            <w:tcBorders>
              <w:top w:val="single" w:sz="4" w:space="0" w:color="000000"/>
              <w:left w:val="single" w:sz="6" w:space="0" w:color="000000"/>
              <w:bottom w:val="single" w:sz="4" w:space="0" w:color="000000"/>
              <w:right w:val="single" w:sz="6" w:space="0" w:color="000000"/>
            </w:tcBorders>
          </w:tcPr>
          <w:p w14:paraId="15131A98" w14:textId="77777777" w:rsidR="007170C3" w:rsidRPr="008819AF" w:rsidRDefault="006F0418" w:rsidP="0021052F">
            <w:pPr>
              <w:ind w:left="215" w:hanging="215"/>
              <w:rPr>
                <w:rFonts w:eastAsia="Arial"/>
              </w:rPr>
            </w:pPr>
            <w:r w:rsidRPr="008819AF">
              <w:rPr>
                <w:rFonts w:eastAsia="Arial"/>
              </w:rPr>
              <w:t>Článok 15</w:t>
            </w:r>
          </w:p>
          <w:p w14:paraId="15131A99" w14:textId="77777777" w:rsidR="007170C3" w:rsidRPr="008819AF" w:rsidRDefault="006F0418" w:rsidP="0021052F">
            <w:pPr>
              <w:rPr>
                <w:rFonts w:eastAsia="Arial"/>
              </w:rPr>
            </w:pPr>
            <w:r w:rsidRPr="008819AF">
              <w:rPr>
                <w:rFonts w:eastAsia="Arial"/>
              </w:rPr>
              <w:t>Emisné limity, ekvivalentné ukazovatele a technické opatrenia</w:t>
            </w:r>
          </w:p>
          <w:p w14:paraId="15131A9A" w14:textId="77777777" w:rsidR="007170C3" w:rsidRPr="008819AF" w:rsidRDefault="007170C3" w:rsidP="0021052F">
            <w:pPr>
              <w:ind w:left="215" w:hanging="215"/>
              <w:rPr>
                <w:rFonts w:eastAsia="Arial"/>
              </w:rPr>
            </w:pPr>
          </w:p>
          <w:p w14:paraId="15131A9B" w14:textId="77777777" w:rsidR="007170C3" w:rsidRPr="008819AF" w:rsidRDefault="006F0418" w:rsidP="0021052F">
            <w:pPr>
              <w:ind w:left="215" w:hanging="215"/>
              <w:rPr>
                <w:rFonts w:eastAsia="Arial"/>
              </w:rPr>
            </w:pPr>
            <w:r w:rsidRPr="008819AF">
              <w:rPr>
                <w:rFonts w:eastAsia="Arial"/>
              </w:rPr>
              <w:t>1. Emisné limity pre znečisťujúce látky sú platné v bode, kde emisie opúšťajú zariadenie, a žiadne riedenie pred týmto bodom sa pri zisťovaní týchto hodnôt neberie do úvahy.</w:t>
            </w:r>
          </w:p>
          <w:p w14:paraId="15131A9C" w14:textId="77777777" w:rsidR="007170C3" w:rsidRPr="008819AF" w:rsidRDefault="007170C3" w:rsidP="0021052F">
            <w:pPr>
              <w:ind w:left="215" w:hanging="215"/>
              <w:rPr>
                <w:rFonts w:eastAsia="Arial"/>
              </w:rPr>
            </w:pPr>
          </w:p>
          <w:p w14:paraId="15131A9D" w14:textId="77777777" w:rsidR="007170C3" w:rsidRPr="008819AF" w:rsidRDefault="006F0418" w:rsidP="0021052F">
            <w:pPr>
              <w:ind w:left="215" w:hanging="4"/>
              <w:rPr>
                <w:rFonts w:eastAsia="Arial"/>
              </w:rPr>
            </w:pPr>
            <w:r w:rsidRPr="008819AF">
              <w:rPr>
                <w:rFonts w:eastAsia="Arial"/>
              </w:rPr>
              <w:t>V prípade nepriameho vypúšťania znečisťujúcich látok do vôd sa pri stanovovaní emisných limitov pre dotknuté zariadenie môže zobrať do úvahy účinok čistiarne odpadových vôd, pričom sa musí zabezpečiť ekvivalentná úroveň ochrany životného prostredia ako celku a musí byť zaručené, že to nepovedie k vyššiemu stupňu znečistenia životného prostredia.</w:t>
            </w:r>
          </w:p>
          <w:p w14:paraId="15131A9E" w14:textId="77777777" w:rsidR="007170C3" w:rsidRPr="008819AF" w:rsidRDefault="007170C3" w:rsidP="0021052F">
            <w:pPr>
              <w:ind w:left="215" w:hanging="215"/>
              <w:rPr>
                <w:rFonts w:eastAsia="Arial"/>
              </w:rPr>
            </w:pPr>
          </w:p>
          <w:p w14:paraId="15131A9F" w14:textId="77777777" w:rsidR="007170C3" w:rsidRPr="008819AF" w:rsidRDefault="006F0418" w:rsidP="0021052F">
            <w:pPr>
              <w:ind w:left="215" w:hanging="215"/>
              <w:rPr>
                <w:rFonts w:eastAsia="Arial"/>
              </w:rPr>
            </w:pPr>
            <w:r w:rsidRPr="008819AF">
              <w:rPr>
                <w:rFonts w:eastAsia="Arial"/>
              </w:rPr>
              <w:t>2. Bez toho, aby bol dotknutý článok 18, emisné limity a ekvivalentné ukazovatele a technické opatrenia uvedené v článku 14 ods. 1 a 2 musia vychádzať z najlepších dostupných techník bez toho, aby bolo predpísané použitie akejkoľvek techniky alebo konkrétnej technológie.</w:t>
            </w:r>
          </w:p>
          <w:p w14:paraId="15131AA0" w14:textId="77777777" w:rsidR="007170C3" w:rsidRPr="008819AF" w:rsidRDefault="007170C3" w:rsidP="0021052F">
            <w:pPr>
              <w:ind w:left="215" w:hanging="215"/>
              <w:rPr>
                <w:rFonts w:eastAsia="Arial"/>
              </w:rPr>
            </w:pPr>
          </w:p>
          <w:p w14:paraId="15131AA1" w14:textId="77777777" w:rsidR="007170C3" w:rsidRPr="008819AF" w:rsidRDefault="006F0418" w:rsidP="0021052F">
            <w:pPr>
              <w:ind w:left="215" w:hanging="215"/>
              <w:rPr>
                <w:rFonts w:eastAsia="Arial"/>
              </w:rPr>
            </w:pPr>
            <w:r w:rsidRPr="008819AF">
              <w:rPr>
                <w:rFonts w:eastAsia="Arial"/>
              </w:rPr>
              <w:t>3. Príslušný orgán stanoví emisné limity, ktoré zabezpečujú, že emisie za bežných prevádzkových podmienok neprevyšujú úrovne znečisťovania súvisiace s najlepšími dostupnými technikami, ktoré sú stanovené v rozhodnutiach o záveroch o BAT uvedených v článku 13 ods. 5, a to buď:</w:t>
            </w:r>
          </w:p>
          <w:p w14:paraId="15131AA2" w14:textId="77777777" w:rsidR="007170C3" w:rsidRPr="008819AF" w:rsidRDefault="006F0418" w:rsidP="00D24AF9">
            <w:pPr>
              <w:spacing w:before="120"/>
              <w:ind w:left="499" w:hanging="284"/>
              <w:rPr>
                <w:rFonts w:eastAsia="Arial"/>
              </w:rPr>
            </w:pPr>
            <w:r w:rsidRPr="008819AF">
              <w:rPr>
                <w:rFonts w:eastAsia="Arial"/>
              </w:rPr>
              <w:t>a) stanovením emisných limitov, ktoré neprevyšujú úrovne znečisťovania súvisiace s najlepšími dostupnými technikami. Tieto emisné limity sa vyjadrujú pre rovnaké alebo kratšie obdobie a v rovnakých referenčných podmienkach ako úrovne znečisťovania súvisiace s najlepšími dostupnými technikami; alebo</w:t>
            </w:r>
          </w:p>
          <w:p w14:paraId="15131AA3" w14:textId="77777777" w:rsidR="007170C3" w:rsidRPr="008819AF" w:rsidRDefault="006F0418" w:rsidP="00D24AF9">
            <w:pPr>
              <w:spacing w:before="120"/>
              <w:ind w:left="497" w:hanging="283"/>
              <w:rPr>
                <w:rFonts w:eastAsia="Arial"/>
              </w:rPr>
            </w:pPr>
            <w:r w:rsidRPr="008819AF">
              <w:rPr>
                <w:rFonts w:eastAsia="Arial"/>
              </w:rPr>
              <w:lastRenderedPageBreak/>
              <w:t>b) stanovením iných emisných limitov, než ako sú uvedené v písmene a) v zmysle hodnôt, období a referenčných podmienok.</w:t>
            </w:r>
          </w:p>
          <w:p w14:paraId="15131AA4" w14:textId="77777777" w:rsidR="007170C3" w:rsidRPr="008819AF" w:rsidRDefault="007170C3" w:rsidP="0021052F">
            <w:pPr>
              <w:ind w:left="497" w:hanging="283"/>
              <w:rPr>
                <w:rFonts w:eastAsia="Arial"/>
              </w:rPr>
            </w:pPr>
          </w:p>
          <w:p w14:paraId="15131AA5" w14:textId="77777777" w:rsidR="007170C3" w:rsidRPr="008819AF" w:rsidRDefault="006F0418" w:rsidP="0021052F">
            <w:pPr>
              <w:ind w:left="214"/>
              <w:rPr>
                <w:rFonts w:eastAsia="Arial"/>
              </w:rPr>
            </w:pPr>
            <w:r w:rsidRPr="008819AF">
              <w:rPr>
                <w:rFonts w:eastAsia="Arial"/>
              </w:rPr>
              <w:t>Ak sa uplatňuje písmeno b), príslušný orgán aspoň raz ročne zhodnotí výsledky monitorovania emisií, aby sa zabezpečilo, že emisie za bežných prevádzkových podmienok nepresiahli úrovne znečisťovania súvisiace s najlepšími dostupnými technikami.</w:t>
            </w:r>
          </w:p>
          <w:p w14:paraId="15131AA6" w14:textId="77777777" w:rsidR="007170C3" w:rsidRPr="008819AF" w:rsidRDefault="007170C3" w:rsidP="0021052F">
            <w:pPr>
              <w:ind w:left="215" w:hanging="215"/>
              <w:rPr>
                <w:rFonts w:eastAsia="Arial"/>
              </w:rPr>
            </w:pPr>
          </w:p>
          <w:p w14:paraId="15131AA7" w14:textId="77777777" w:rsidR="007170C3" w:rsidRPr="008819AF" w:rsidRDefault="006F0418" w:rsidP="0021052F">
            <w:pPr>
              <w:ind w:left="215" w:hanging="215"/>
              <w:rPr>
                <w:rFonts w:eastAsia="Arial"/>
              </w:rPr>
            </w:pPr>
            <w:r w:rsidRPr="008819AF">
              <w:rPr>
                <w:rFonts w:eastAsia="Arial"/>
              </w:rPr>
              <w:t>4. Odchylne od odseku 3 a bez toho, aby bol dotknutý článok 18, môže príslušný orgán v určitých prípadoch stanoviť menej prísne emisné limity. Takáto odchýlka sa môže uplatňovať iba vtedy, ak posúdenie preukáže, že dosiahnutie úrovní znečisťovania súvisiacich s najlepšími dostupnými technikami opísanými v záveroch o BAT by viedlo k neúmerne zvýšeným nákladom v porovnaní s environmentálnym prínosom z dôvodov:</w:t>
            </w:r>
          </w:p>
          <w:p w14:paraId="15131AA8" w14:textId="77777777" w:rsidR="007170C3" w:rsidRPr="008819AF" w:rsidRDefault="006F0418" w:rsidP="009C63CF">
            <w:pPr>
              <w:numPr>
                <w:ilvl w:val="0"/>
                <w:numId w:val="10"/>
              </w:numPr>
              <w:spacing w:before="120"/>
              <w:ind w:left="215" w:hanging="215"/>
              <w:rPr>
                <w:rFonts w:eastAsia="Arial"/>
              </w:rPr>
            </w:pPr>
            <w:r w:rsidRPr="008819AF">
              <w:rPr>
                <w:rFonts w:eastAsia="Arial"/>
              </w:rPr>
              <w:t>a) geografickej polohy alebo miestnych podmienok životného prostredia príslušného zariadenia; alebo</w:t>
            </w:r>
          </w:p>
          <w:p w14:paraId="15131AA9" w14:textId="77777777" w:rsidR="007170C3" w:rsidRPr="008819AF" w:rsidRDefault="006F0418" w:rsidP="009C63CF">
            <w:pPr>
              <w:numPr>
                <w:ilvl w:val="0"/>
                <w:numId w:val="10"/>
              </w:numPr>
              <w:spacing w:before="120"/>
              <w:ind w:left="215" w:hanging="215"/>
              <w:rPr>
                <w:rFonts w:eastAsia="Arial"/>
              </w:rPr>
            </w:pPr>
            <w:r w:rsidRPr="008819AF">
              <w:rPr>
                <w:rFonts w:eastAsia="Arial"/>
              </w:rPr>
              <w:t>b) technických charakteristík príslušného zariadenia.</w:t>
            </w:r>
          </w:p>
          <w:p w14:paraId="15131AAA" w14:textId="77777777" w:rsidR="00D24AF9" w:rsidRPr="008819AF" w:rsidRDefault="00D24AF9" w:rsidP="0021052F">
            <w:pPr>
              <w:ind w:left="215" w:hanging="1"/>
              <w:rPr>
                <w:rFonts w:eastAsia="Arial"/>
              </w:rPr>
            </w:pPr>
          </w:p>
          <w:p w14:paraId="15131AAB" w14:textId="77777777" w:rsidR="007170C3" w:rsidRPr="008819AF" w:rsidRDefault="006F0418" w:rsidP="0021052F">
            <w:pPr>
              <w:ind w:left="215" w:hanging="1"/>
              <w:rPr>
                <w:rFonts w:eastAsia="Arial"/>
              </w:rPr>
            </w:pPr>
            <w:r w:rsidRPr="008819AF">
              <w:rPr>
                <w:rFonts w:eastAsia="Arial"/>
              </w:rPr>
              <w:t>Príslušný orgán uvedie v prílohe k podmienkam povolenia dôvody uplatňovania prvého pododseku vrátane výsledku posúdenia a zdôvodnenia stanovených podmienok.</w:t>
            </w:r>
          </w:p>
          <w:p w14:paraId="15131AAC" w14:textId="77777777" w:rsidR="007170C3" w:rsidRPr="008819AF" w:rsidRDefault="007170C3" w:rsidP="0021052F">
            <w:pPr>
              <w:ind w:left="215" w:hanging="1"/>
              <w:rPr>
                <w:rFonts w:eastAsia="Arial"/>
              </w:rPr>
            </w:pPr>
          </w:p>
          <w:p w14:paraId="15131AAD" w14:textId="77777777" w:rsidR="007170C3" w:rsidRPr="008819AF" w:rsidRDefault="006F0418" w:rsidP="0021052F">
            <w:pPr>
              <w:ind w:left="215" w:hanging="1"/>
              <w:rPr>
                <w:rFonts w:eastAsia="Arial"/>
              </w:rPr>
            </w:pPr>
            <w:r w:rsidRPr="008819AF">
              <w:rPr>
                <w:rFonts w:eastAsia="Arial"/>
              </w:rPr>
              <w:t>Emisné limity stanovené v súlade s prvým pododsekom však nesmú v príslušných prípadoch prekročiť emisné limity stanovené v prílohách k tejto smernici.</w:t>
            </w:r>
          </w:p>
          <w:p w14:paraId="15131AAE" w14:textId="77777777" w:rsidR="007170C3" w:rsidRPr="008819AF" w:rsidRDefault="007170C3" w:rsidP="0021052F">
            <w:pPr>
              <w:ind w:left="215" w:hanging="1"/>
              <w:rPr>
                <w:rFonts w:eastAsia="Arial"/>
              </w:rPr>
            </w:pPr>
          </w:p>
          <w:p w14:paraId="15131AAF" w14:textId="77777777" w:rsidR="007170C3" w:rsidRPr="008819AF" w:rsidRDefault="006F0418" w:rsidP="0021052F">
            <w:pPr>
              <w:ind w:left="215" w:hanging="1"/>
              <w:rPr>
                <w:rFonts w:eastAsia="Arial"/>
              </w:rPr>
            </w:pPr>
            <w:r w:rsidRPr="008819AF">
              <w:rPr>
                <w:rFonts w:eastAsia="Arial"/>
              </w:rPr>
              <w:t>Príslušný orgán v každom prípade zabezpečí, aby nebolo spôsobené žiadne významné znečistenie a bola dosiahnutá vysoká úroveň ochrany životného prostredia ako celku.</w:t>
            </w:r>
          </w:p>
          <w:p w14:paraId="15131AB0" w14:textId="77777777" w:rsidR="007170C3" w:rsidRPr="008819AF" w:rsidRDefault="007170C3" w:rsidP="0021052F">
            <w:pPr>
              <w:ind w:left="215" w:hanging="215"/>
              <w:rPr>
                <w:rFonts w:eastAsia="Arial"/>
              </w:rPr>
            </w:pPr>
          </w:p>
          <w:p w14:paraId="15131AB1" w14:textId="77777777" w:rsidR="007170C3" w:rsidRPr="008819AF" w:rsidRDefault="006F0418" w:rsidP="0021052F">
            <w:pPr>
              <w:ind w:left="215" w:hanging="1"/>
              <w:rPr>
                <w:rFonts w:eastAsia="Arial"/>
              </w:rPr>
            </w:pPr>
            <w:r w:rsidRPr="008819AF">
              <w:rPr>
                <w:rFonts w:eastAsia="Arial"/>
              </w:rPr>
              <w:t>Na základe informácií poskytovaných členskými štátmi v súlade s článkom 72 ods. 1, najmä o uplatňovaní tohto odseku, môže Komisia v prípade potreby posúdiť a podrobnejšie objasniť prostredníctvom usmernení kritériá, ktoré sa majú zohľadniť pri uplatňovaní tohto odseku.</w:t>
            </w:r>
          </w:p>
          <w:p w14:paraId="15131AB2" w14:textId="77777777" w:rsidR="007170C3" w:rsidRPr="008819AF" w:rsidRDefault="007170C3" w:rsidP="0021052F">
            <w:pPr>
              <w:ind w:left="215" w:hanging="1"/>
              <w:rPr>
                <w:rFonts w:eastAsia="Arial"/>
              </w:rPr>
            </w:pPr>
          </w:p>
          <w:p w14:paraId="15131AB3" w14:textId="77777777" w:rsidR="007170C3" w:rsidRPr="008819AF" w:rsidRDefault="006F0418" w:rsidP="0021052F">
            <w:pPr>
              <w:ind w:left="215" w:hanging="1"/>
              <w:rPr>
                <w:rFonts w:eastAsia="Arial"/>
              </w:rPr>
            </w:pPr>
            <w:r w:rsidRPr="008819AF">
              <w:rPr>
                <w:rFonts w:eastAsia="Arial"/>
              </w:rPr>
              <w:t>Príslušný orgán prehodnotí uplatňovanie prvého pododseku v rámci každého opätovného zváženia podmienok povolenia v súlade s článkom 21.</w:t>
            </w:r>
          </w:p>
          <w:p w14:paraId="15131AB4" w14:textId="77777777" w:rsidR="007170C3" w:rsidRPr="008819AF" w:rsidRDefault="007170C3" w:rsidP="0021052F">
            <w:pPr>
              <w:ind w:left="215" w:hanging="215"/>
              <w:rPr>
                <w:rFonts w:eastAsia="Arial"/>
              </w:rPr>
            </w:pPr>
          </w:p>
          <w:p w14:paraId="15131AB5" w14:textId="77777777" w:rsidR="007170C3" w:rsidRPr="008819AF" w:rsidRDefault="006F0418" w:rsidP="0021052F">
            <w:pPr>
              <w:ind w:left="215" w:hanging="215"/>
              <w:rPr>
                <w:rFonts w:eastAsia="Arial"/>
              </w:rPr>
            </w:pPr>
            <w:r w:rsidRPr="008819AF">
              <w:rPr>
                <w:rFonts w:eastAsia="Arial"/>
              </w:rPr>
              <w:t>5. Príslušný orgán môže udeliť dočasné výnimky z požiadaviek odsekov 2 a 3 tohto článku a písmen a) a b) článku 11 v prípade testovania a používania nových techník na celkovú dobu najviac deväť mesiacov, pokiaľ sa po stanovenej dobe tieto techniky buď prestanú používať, alebo sa pri činnosti dosiahnu aspoň úrovne znečisťovania súvisiace s najlepšími dostupnými technikami.</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AB6"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AB7"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AB8"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AB9"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ABA"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ABB" w14:textId="77777777" w:rsidR="007170C3" w:rsidRPr="008819AF" w:rsidRDefault="007170C3" w:rsidP="0021052F">
            <w:pPr>
              <w:ind w:left="215" w:hanging="215"/>
              <w:rPr>
                <w:rFonts w:eastAsia="Arial"/>
                <w:lang w:bidi="cs-CZ"/>
              </w:rPr>
            </w:pPr>
          </w:p>
        </w:tc>
      </w:tr>
      <w:tr w:rsidR="00F80158" w:rsidRPr="008819AF" w14:paraId="15131AD5" w14:textId="77777777" w:rsidTr="003E351D">
        <w:trPr>
          <w:trHeight w:val="1524"/>
          <w:jc w:val="center"/>
        </w:trPr>
        <w:tc>
          <w:tcPr>
            <w:tcW w:w="483" w:type="dxa"/>
            <w:tcBorders>
              <w:top w:val="single" w:sz="4" w:space="0" w:color="000000"/>
              <w:left w:val="single" w:sz="6" w:space="0" w:color="000000"/>
              <w:bottom w:val="single" w:sz="4" w:space="0" w:color="000000"/>
              <w:right w:val="single" w:sz="6" w:space="0" w:color="000000"/>
            </w:tcBorders>
          </w:tcPr>
          <w:p w14:paraId="15131ABD" w14:textId="77777777" w:rsidR="007170C3" w:rsidRPr="008819AF" w:rsidRDefault="006F0418" w:rsidP="003E351D">
            <w:pPr>
              <w:ind w:right="-70"/>
              <w:rPr>
                <w:rFonts w:eastAsia="Arial"/>
                <w:lang w:bidi="cs-CZ"/>
              </w:rPr>
            </w:pPr>
            <w:r w:rsidRPr="008819AF">
              <w:rPr>
                <w:rFonts w:eastAsia="Arial"/>
                <w:lang w:bidi="cs-CZ"/>
              </w:rPr>
              <w:lastRenderedPageBreak/>
              <w:t>Č:16</w:t>
            </w:r>
          </w:p>
        </w:tc>
        <w:tc>
          <w:tcPr>
            <w:tcW w:w="6227" w:type="dxa"/>
            <w:gridSpan w:val="2"/>
            <w:tcBorders>
              <w:top w:val="single" w:sz="4" w:space="0" w:color="000000"/>
              <w:left w:val="single" w:sz="6" w:space="0" w:color="000000"/>
              <w:bottom w:val="single" w:sz="4" w:space="0" w:color="000000"/>
              <w:right w:val="single" w:sz="6" w:space="0" w:color="000000"/>
            </w:tcBorders>
          </w:tcPr>
          <w:p w14:paraId="15131ABE" w14:textId="77777777" w:rsidR="007170C3" w:rsidRPr="008819AF" w:rsidRDefault="006F0418" w:rsidP="0021052F">
            <w:pPr>
              <w:ind w:left="215" w:hanging="215"/>
              <w:rPr>
                <w:rFonts w:eastAsia="Arial"/>
              </w:rPr>
            </w:pPr>
            <w:r w:rsidRPr="008819AF">
              <w:rPr>
                <w:rFonts w:eastAsia="Arial"/>
              </w:rPr>
              <w:t>Článok 16</w:t>
            </w:r>
          </w:p>
          <w:p w14:paraId="15131ABF" w14:textId="77777777" w:rsidR="007170C3" w:rsidRPr="008819AF" w:rsidRDefault="006F0418" w:rsidP="0021052F">
            <w:pPr>
              <w:ind w:left="215" w:hanging="215"/>
              <w:rPr>
                <w:rFonts w:eastAsia="Arial"/>
              </w:rPr>
            </w:pPr>
            <w:r w:rsidRPr="008819AF">
              <w:rPr>
                <w:rFonts w:eastAsia="Arial"/>
              </w:rPr>
              <w:t>Požiadavky v oblasti monitorovania</w:t>
            </w:r>
          </w:p>
          <w:p w14:paraId="15131AC0" w14:textId="77777777" w:rsidR="007170C3" w:rsidRPr="008819AF" w:rsidRDefault="007170C3" w:rsidP="0021052F">
            <w:pPr>
              <w:ind w:left="215" w:hanging="215"/>
              <w:rPr>
                <w:rFonts w:eastAsia="Arial"/>
              </w:rPr>
            </w:pPr>
          </w:p>
          <w:p w14:paraId="15131AC1" w14:textId="77777777" w:rsidR="007170C3" w:rsidRPr="008819AF" w:rsidRDefault="006F0418" w:rsidP="0021052F">
            <w:pPr>
              <w:ind w:left="215" w:hanging="215"/>
              <w:rPr>
                <w:rFonts w:eastAsia="Arial"/>
              </w:rPr>
            </w:pPr>
            <w:r w:rsidRPr="008819AF">
              <w:rPr>
                <w:rFonts w:eastAsia="Arial"/>
              </w:rPr>
              <w:t>1. Požiadavky v oblasti monitorovania uvedené v článku 14 ods. 1 písm. c) v prípade potreby vychádzajú zo záverov o monitorovaní opísaných v záveroch o BAT.</w:t>
            </w:r>
          </w:p>
          <w:p w14:paraId="15131AC2" w14:textId="77777777" w:rsidR="007170C3" w:rsidRPr="008819AF" w:rsidRDefault="006F0418" w:rsidP="0021052F">
            <w:pPr>
              <w:ind w:left="215" w:hanging="215"/>
              <w:rPr>
                <w:rFonts w:eastAsia="Arial"/>
              </w:rPr>
            </w:pPr>
            <w:r w:rsidRPr="008819AF">
              <w:rPr>
                <w:rFonts w:eastAsia="Arial"/>
              </w:rPr>
              <w:t>2. Frekvenciu periodického monitorovania uvedeného v článku 14 ods. 1 písm. e) určí príslušný orgán v povolení vydanom pre každé jednotlivé zariadenie alebo vo všeobecne záväzných pravidlách.</w:t>
            </w:r>
          </w:p>
          <w:p w14:paraId="15131AC3" w14:textId="77777777" w:rsidR="007170C3" w:rsidRPr="008819AF" w:rsidRDefault="006F0418" w:rsidP="0021052F">
            <w:pPr>
              <w:ind w:left="215" w:hanging="1"/>
              <w:rPr>
                <w:rFonts w:eastAsia="Arial"/>
              </w:rPr>
            </w:pPr>
            <w:r w:rsidRPr="008819AF">
              <w:rPr>
                <w:rFonts w:eastAsia="Arial"/>
              </w:rPr>
              <w:t>Bez toho, aby bol dotknutý prvý pododsek, periodické monitorovanie sa uskutoční aspoň každých päť rokov v prípade podzemnej vody a každých desať rokov v prípade pôdy, s výnimkou prípadov, keď takéto monitorovanie vychádza zo systematického hodnotenia rizika kontaminácie.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AC4"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AC5"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AC6" w14:textId="77777777" w:rsidR="007170C3" w:rsidRPr="008819AF" w:rsidRDefault="007170C3" w:rsidP="0021052F">
            <w:pPr>
              <w:ind w:right="-70"/>
              <w:jc w:val="center"/>
              <w:rPr>
                <w:rFonts w:eastAsia="Arial"/>
                <w:lang w:bidi="cs-CZ"/>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AC7"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AC8" w14:textId="77777777" w:rsidR="007170C3" w:rsidRPr="008819AF" w:rsidRDefault="007170C3" w:rsidP="0021052F">
            <w:pPr>
              <w:ind w:left="215" w:hanging="215"/>
              <w:rPr>
                <w:rFonts w:eastAsia="Arial"/>
                <w:lang w:bidi="cs-CZ"/>
              </w:rPr>
            </w:pPr>
          </w:p>
          <w:p w14:paraId="15131AC9" w14:textId="77777777" w:rsidR="007170C3" w:rsidRPr="008819AF" w:rsidRDefault="007170C3" w:rsidP="0021052F">
            <w:pPr>
              <w:ind w:left="215" w:hanging="215"/>
              <w:rPr>
                <w:rFonts w:eastAsia="Arial"/>
                <w:lang w:bidi="cs-CZ"/>
              </w:rPr>
            </w:pPr>
          </w:p>
          <w:p w14:paraId="15131ACA"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ACB" w14:textId="77777777" w:rsidR="007170C3" w:rsidRPr="008819AF" w:rsidRDefault="007170C3" w:rsidP="0021052F">
            <w:pPr>
              <w:ind w:left="215" w:hanging="215"/>
              <w:rPr>
                <w:rFonts w:eastAsia="Arial"/>
                <w:lang w:bidi="cs-CZ"/>
              </w:rPr>
            </w:pPr>
          </w:p>
          <w:p w14:paraId="15131ACC" w14:textId="77777777" w:rsidR="007170C3" w:rsidRPr="008819AF" w:rsidRDefault="007170C3" w:rsidP="0021052F">
            <w:pPr>
              <w:ind w:left="215" w:hanging="215"/>
              <w:rPr>
                <w:rFonts w:eastAsia="Arial"/>
                <w:lang w:bidi="cs-CZ"/>
              </w:rPr>
            </w:pPr>
          </w:p>
          <w:p w14:paraId="15131ACD" w14:textId="77777777" w:rsidR="007170C3" w:rsidRPr="008819AF" w:rsidRDefault="007170C3" w:rsidP="0021052F">
            <w:pPr>
              <w:rPr>
                <w:rFonts w:eastAsia="Arial"/>
              </w:rPr>
            </w:pPr>
          </w:p>
          <w:p w14:paraId="15131ACE" w14:textId="77777777" w:rsidR="007170C3" w:rsidRPr="008819AF" w:rsidRDefault="007170C3" w:rsidP="0021052F">
            <w:pPr>
              <w:rPr>
                <w:rFonts w:eastAsia="Arial"/>
              </w:rPr>
            </w:pPr>
          </w:p>
          <w:p w14:paraId="15131ACF" w14:textId="77777777" w:rsidR="007170C3" w:rsidRPr="008819AF" w:rsidRDefault="007170C3" w:rsidP="0021052F">
            <w:pPr>
              <w:rPr>
                <w:rFonts w:eastAsia="Arial"/>
              </w:rPr>
            </w:pPr>
          </w:p>
          <w:p w14:paraId="15131AD0" w14:textId="77777777" w:rsidR="007170C3" w:rsidRPr="008819AF" w:rsidRDefault="007170C3" w:rsidP="0021052F">
            <w:pPr>
              <w:rPr>
                <w:rFonts w:eastAsia="Arial"/>
              </w:rPr>
            </w:pPr>
          </w:p>
          <w:p w14:paraId="15131AD1" w14:textId="77777777" w:rsidR="007170C3" w:rsidRPr="008819AF" w:rsidRDefault="007170C3" w:rsidP="0021052F">
            <w:pPr>
              <w:rPr>
                <w:rFonts w:eastAsia="Arial"/>
              </w:rPr>
            </w:pPr>
          </w:p>
          <w:p w14:paraId="15131AD2" w14:textId="77777777" w:rsidR="007170C3" w:rsidRPr="008819AF" w:rsidRDefault="007170C3" w:rsidP="0021052F">
            <w:pPr>
              <w:ind w:left="215" w:hanging="215"/>
              <w:rPr>
                <w:rFonts w:eastAsia="Arial"/>
                <w:lang w:bidi="cs-CZ"/>
              </w:rPr>
            </w:pPr>
          </w:p>
          <w:p w14:paraId="15131AD3" w14:textId="77777777" w:rsidR="007170C3" w:rsidRPr="008819AF" w:rsidRDefault="007170C3" w:rsidP="0021052F">
            <w:pPr>
              <w:ind w:left="215" w:hanging="215"/>
              <w:rPr>
                <w:rFonts w:eastAsia="Arial"/>
                <w:lang w:bidi="cs-CZ"/>
              </w:rPr>
            </w:pPr>
          </w:p>
          <w:p w14:paraId="15131AD4" w14:textId="77777777" w:rsidR="007170C3" w:rsidRPr="008819AF" w:rsidRDefault="007170C3" w:rsidP="0021052F">
            <w:pPr>
              <w:ind w:left="71"/>
              <w:rPr>
                <w:rFonts w:eastAsia="Arial"/>
                <w:lang w:bidi="cs-CZ"/>
              </w:rPr>
            </w:pPr>
          </w:p>
        </w:tc>
      </w:tr>
      <w:tr w:rsidR="00F80158" w:rsidRPr="008819AF" w14:paraId="15131AE4" w14:textId="77777777" w:rsidTr="003E351D">
        <w:trPr>
          <w:trHeight w:val="1524"/>
          <w:jc w:val="center"/>
        </w:trPr>
        <w:tc>
          <w:tcPr>
            <w:tcW w:w="483" w:type="dxa"/>
            <w:tcBorders>
              <w:top w:val="single" w:sz="4" w:space="0" w:color="000000"/>
              <w:left w:val="single" w:sz="6" w:space="0" w:color="000000"/>
              <w:bottom w:val="single" w:sz="4" w:space="0" w:color="000000"/>
              <w:right w:val="single" w:sz="6" w:space="0" w:color="000000"/>
            </w:tcBorders>
          </w:tcPr>
          <w:p w14:paraId="15131AD6" w14:textId="77777777" w:rsidR="007170C3" w:rsidRPr="008819AF" w:rsidRDefault="006F0418" w:rsidP="003E351D">
            <w:pPr>
              <w:ind w:right="-70"/>
              <w:rPr>
                <w:rFonts w:eastAsia="Arial"/>
                <w:lang w:bidi="cs-CZ"/>
              </w:rPr>
            </w:pPr>
            <w:r w:rsidRPr="008819AF">
              <w:rPr>
                <w:rFonts w:eastAsia="Arial"/>
                <w:lang w:bidi="cs-CZ"/>
              </w:rPr>
              <w:t>Č:17</w:t>
            </w:r>
          </w:p>
        </w:tc>
        <w:tc>
          <w:tcPr>
            <w:tcW w:w="6227" w:type="dxa"/>
            <w:gridSpan w:val="2"/>
            <w:tcBorders>
              <w:top w:val="single" w:sz="4" w:space="0" w:color="000000"/>
              <w:left w:val="single" w:sz="6" w:space="0" w:color="000000"/>
              <w:bottom w:val="single" w:sz="4" w:space="0" w:color="000000"/>
              <w:right w:val="single" w:sz="6" w:space="0" w:color="000000"/>
            </w:tcBorders>
          </w:tcPr>
          <w:p w14:paraId="15131AD7" w14:textId="77777777" w:rsidR="007170C3" w:rsidRPr="008819AF" w:rsidRDefault="006F0418" w:rsidP="0021052F">
            <w:pPr>
              <w:ind w:left="215" w:hanging="215"/>
              <w:rPr>
                <w:rFonts w:eastAsia="Arial"/>
                <w:lang w:bidi="cs-CZ"/>
              </w:rPr>
            </w:pPr>
            <w:r w:rsidRPr="008819AF">
              <w:rPr>
                <w:rFonts w:eastAsia="Arial"/>
                <w:lang w:bidi="cs-CZ"/>
              </w:rPr>
              <w:t>Článok 17</w:t>
            </w:r>
          </w:p>
          <w:p w14:paraId="15131AD8" w14:textId="77777777" w:rsidR="007170C3" w:rsidRPr="008819AF" w:rsidRDefault="006F0418" w:rsidP="0021052F">
            <w:pPr>
              <w:ind w:left="215" w:hanging="215"/>
              <w:rPr>
                <w:rFonts w:eastAsia="Arial"/>
                <w:lang w:bidi="cs-CZ"/>
              </w:rPr>
            </w:pPr>
            <w:r w:rsidRPr="008819AF">
              <w:rPr>
                <w:rFonts w:eastAsia="Arial"/>
                <w:lang w:bidi="cs-CZ"/>
              </w:rPr>
              <w:t>Všeobecne záväzné pravidlá pre činnosti uvedené</w:t>
            </w:r>
          </w:p>
          <w:p w14:paraId="15131AD9" w14:textId="77777777" w:rsidR="007170C3" w:rsidRPr="008819AF" w:rsidRDefault="006F0418" w:rsidP="0021052F">
            <w:pPr>
              <w:ind w:left="215" w:hanging="215"/>
              <w:rPr>
                <w:rFonts w:eastAsia="Arial"/>
                <w:lang w:bidi="cs-CZ"/>
              </w:rPr>
            </w:pPr>
            <w:r w:rsidRPr="008819AF">
              <w:rPr>
                <w:rFonts w:eastAsia="Arial"/>
                <w:lang w:bidi="cs-CZ"/>
              </w:rPr>
              <w:t>v prílohe I</w:t>
            </w:r>
          </w:p>
          <w:p w14:paraId="15131ADA" w14:textId="77777777" w:rsidR="007170C3" w:rsidRPr="008819AF" w:rsidRDefault="006F0418" w:rsidP="0021052F">
            <w:pPr>
              <w:ind w:left="215" w:hanging="215"/>
              <w:rPr>
                <w:rFonts w:eastAsia="Arial"/>
                <w:lang w:bidi="cs-CZ"/>
              </w:rPr>
            </w:pPr>
            <w:r w:rsidRPr="008819AF">
              <w:rPr>
                <w:rFonts w:eastAsia="Arial"/>
                <w:lang w:bidi="cs-CZ"/>
              </w:rPr>
              <w:t>1. Pri prijímaní všeobecne záväzných pravidiel členské štáty zabezpečia integrovaný prístup a vysokú úroveň ochrany životného prostredia rovnocennú s úrovňou, ktorá sa dá dosiahnuť pomocou jednotlivých podmienok povolení.</w:t>
            </w:r>
          </w:p>
          <w:p w14:paraId="15131ADB" w14:textId="77777777" w:rsidR="007170C3" w:rsidRPr="008819AF" w:rsidRDefault="006F0418" w:rsidP="0021052F">
            <w:pPr>
              <w:ind w:left="215" w:hanging="215"/>
              <w:rPr>
                <w:rFonts w:eastAsia="Arial"/>
                <w:lang w:bidi="cs-CZ"/>
              </w:rPr>
            </w:pPr>
            <w:r w:rsidRPr="008819AF">
              <w:rPr>
                <w:rFonts w:eastAsia="Arial"/>
                <w:lang w:bidi="cs-CZ"/>
              </w:rPr>
              <w:t>2. Všeobecne záväzné pravidlá vychádzajú z najlepších dostupných techník bez toho, aby predpisovali používanie akejkoľvek techniky alebo konkrétnej technológie s cieľom zabezpečiť dodržiavanie článkov 14 a 15.</w:t>
            </w:r>
          </w:p>
          <w:p w14:paraId="15131ADC" w14:textId="77777777" w:rsidR="007170C3" w:rsidRPr="008819AF" w:rsidRDefault="006F0418" w:rsidP="0021052F">
            <w:pPr>
              <w:ind w:left="215" w:hanging="215"/>
              <w:rPr>
                <w:rFonts w:eastAsia="Arial"/>
                <w:lang w:bidi="cs-CZ"/>
              </w:rPr>
            </w:pPr>
            <w:r w:rsidRPr="008819AF">
              <w:rPr>
                <w:rFonts w:eastAsia="Arial"/>
                <w:lang w:bidi="cs-CZ"/>
              </w:rPr>
              <w:t>3. Členské štáty zabezpečia aktualizáciu všeobecne záväzných pravidiel, aby sa zohľadnil vývoj v oblasti najlepších dostupných techník, s cieľom zabezpečiť dodržiavanie článku 21.</w:t>
            </w:r>
          </w:p>
          <w:p w14:paraId="15131ADD" w14:textId="77777777" w:rsidR="007170C3" w:rsidRPr="008819AF" w:rsidRDefault="006F0418" w:rsidP="0021052F">
            <w:pPr>
              <w:ind w:left="215" w:hanging="215"/>
              <w:rPr>
                <w:rFonts w:eastAsia="Arial"/>
              </w:rPr>
            </w:pPr>
            <w:r w:rsidRPr="008819AF">
              <w:rPr>
                <w:rFonts w:eastAsia="Arial"/>
              </w:rPr>
              <w:t>4. Všeobecne záväzné pravidlá prijaté v súlade s odsekmi 1 až 3 obsahujú odkaz na túto smernicu alebo sa takýto odkaz uvedie pri ich úradnom uverejnení.</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ADE" w14:textId="77777777" w:rsidR="007170C3" w:rsidRPr="008819AF" w:rsidRDefault="006F0418" w:rsidP="0021052F">
            <w:pPr>
              <w:ind w:left="-70" w:right="-68" w:hanging="6"/>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4" w:space="0" w:color="000000"/>
              <w:right w:val="single" w:sz="6" w:space="0" w:color="000000"/>
            </w:tcBorders>
          </w:tcPr>
          <w:p w14:paraId="15131ADF"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AE0" w14:textId="77777777" w:rsidR="007170C3" w:rsidRPr="008819AF" w:rsidRDefault="007170C3" w:rsidP="0021052F">
            <w:pPr>
              <w:ind w:right="-70"/>
              <w:jc w:val="center"/>
              <w:rPr>
                <w:rFonts w:eastAsia="Arial"/>
                <w:lang w:bidi="cs-CZ"/>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AE1" w14:textId="77777777" w:rsidR="007170C3" w:rsidRPr="008819AF" w:rsidRDefault="007170C3" w:rsidP="0021052F">
            <w:pPr>
              <w:ind w:left="215" w:hanging="215"/>
              <w:rPr>
                <w:rFonts w:eastAsia="Arial"/>
                <w:b/>
                <w:bCs/>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AE2"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AE3" w14:textId="77777777" w:rsidR="007170C3" w:rsidRPr="008819AF" w:rsidRDefault="007170C3" w:rsidP="0021052F">
            <w:pPr>
              <w:ind w:left="215" w:hanging="215"/>
              <w:rPr>
                <w:rFonts w:eastAsia="Arial"/>
                <w:lang w:bidi="cs-CZ"/>
              </w:rPr>
            </w:pPr>
          </w:p>
        </w:tc>
      </w:tr>
      <w:tr w:rsidR="00F80158" w:rsidRPr="008819AF" w14:paraId="15131AEF"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AE5" w14:textId="77777777" w:rsidR="007170C3" w:rsidRPr="008819AF" w:rsidRDefault="006F0418" w:rsidP="003E351D">
            <w:pPr>
              <w:ind w:right="-70"/>
              <w:rPr>
                <w:rFonts w:eastAsia="Arial"/>
                <w:lang w:bidi="cs-CZ"/>
              </w:rPr>
            </w:pPr>
            <w:r w:rsidRPr="008819AF">
              <w:rPr>
                <w:rFonts w:eastAsia="Arial"/>
                <w:lang w:bidi="cs-CZ"/>
              </w:rPr>
              <w:t>Č:18</w:t>
            </w:r>
          </w:p>
        </w:tc>
        <w:tc>
          <w:tcPr>
            <w:tcW w:w="6227" w:type="dxa"/>
            <w:gridSpan w:val="2"/>
            <w:tcBorders>
              <w:top w:val="single" w:sz="4" w:space="0" w:color="000000"/>
              <w:left w:val="single" w:sz="6" w:space="0" w:color="000000"/>
              <w:bottom w:val="single" w:sz="4" w:space="0" w:color="000000"/>
              <w:right w:val="single" w:sz="6" w:space="0" w:color="000000"/>
            </w:tcBorders>
          </w:tcPr>
          <w:p w14:paraId="15131AE6" w14:textId="77777777" w:rsidR="007170C3" w:rsidRPr="008819AF" w:rsidRDefault="006F0418" w:rsidP="0021052F">
            <w:pPr>
              <w:ind w:left="215" w:hanging="215"/>
              <w:rPr>
                <w:rFonts w:eastAsia="Arial"/>
                <w:lang w:bidi="cs-CZ"/>
              </w:rPr>
            </w:pPr>
            <w:r w:rsidRPr="008819AF">
              <w:rPr>
                <w:rFonts w:eastAsia="Arial"/>
                <w:lang w:bidi="cs-CZ"/>
              </w:rPr>
              <w:t>Článok 18</w:t>
            </w:r>
          </w:p>
          <w:p w14:paraId="15131AE7" w14:textId="77777777" w:rsidR="007170C3" w:rsidRPr="008819AF" w:rsidRDefault="006F0418" w:rsidP="0021052F">
            <w:pPr>
              <w:ind w:left="215" w:hanging="215"/>
              <w:rPr>
                <w:rFonts w:eastAsia="Arial"/>
                <w:lang w:bidi="cs-CZ"/>
              </w:rPr>
            </w:pPr>
            <w:r w:rsidRPr="008819AF">
              <w:rPr>
                <w:rFonts w:eastAsia="Arial"/>
                <w:lang w:bidi="cs-CZ"/>
              </w:rPr>
              <w:lastRenderedPageBreak/>
              <w:t>Normy kvality životného prostredia</w:t>
            </w:r>
          </w:p>
          <w:p w14:paraId="15131AE8" w14:textId="77777777" w:rsidR="007170C3" w:rsidRPr="008819AF" w:rsidRDefault="006F0418" w:rsidP="0021052F">
            <w:pPr>
              <w:pStyle w:val="Nadpis2"/>
              <w:ind w:left="0" w:firstLine="0"/>
              <w:jc w:val="left"/>
              <w:rPr>
                <w:rFonts w:ascii="Times New Roman" w:eastAsia="Arial" w:hAnsi="Times New Roman" w:cs="Times New Roman"/>
                <w:b w:val="0"/>
                <w:bCs w:val="0"/>
                <w:spacing w:val="0"/>
                <w:sz w:val="20"/>
                <w:szCs w:val="20"/>
                <w:lang w:bidi="sk-SK"/>
              </w:rPr>
            </w:pPr>
            <w:r w:rsidRPr="008819AF">
              <w:rPr>
                <w:rFonts w:ascii="Times New Roman" w:eastAsia="Arial" w:hAnsi="Times New Roman" w:cs="Times New Roman"/>
                <w:b w:val="0"/>
                <w:bCs w:val="0"/>
                <w:spacing w:val="0"/>
                <w:sz w:val="20"/>
                <w:szCs w:val="20"/>
                <w:lang w:bidi="sk-SK"/>
              </w:rPr>
              <w:t>Ak norma kvality životného prostredia vyžaduje prísnejšie podmienky, ako sú tie, ktoré sa dajú dosiahnuť pomocou použitia najlepších dostupných techník, do povolenia sa začlenia dodatočné opatrenia bez toho, aby boli dotknuté iné opatrenia, ktoré sa môžu prijať s cieľom dosiahnuť súlad s normami kvality životného prostredia.</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AE9"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AEA"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AEB"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AEC"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AED"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AEE" w14:textId="77777777" w:rsidR="007170C3" w:rsidRPr="008819AF" w:rsidRDefault="007170C3" w:rsidP="0021052F">
            <w:pPr>
              <w:ind w:left="215" w:hanging="215"/>
              <w:rPr>
                <w:rFonts w:eastAsia="Arial"/>
                <w:lang w:bidi="cs-CZ"/>
              </w:rPr>
            </w:pPr>
          </w:p>
        </w:tc>
      </w:tr>
      <w:tr w:rsidR="00F80158" w:rsidRPr="008819AF" w14:paraId="15131AFA"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AF0" w14:textId="77777777" w:rsidR="007170C3" w:rsidRPr="008819AF" w:rsidRDefault="006F0418" w:rsidP="003E351D">
            <w:pPr>
              <w:ind w:right="-70"/>
              <w:rPr>
                <w:rFonts w:eastAsia="Arial"/>
                <w:lang w:bidi="cs-CZ"/>
              </w:rPr>
            </w:pPr>
            <w:r w:rsidRPr="008819AF">
              <w:rPr>
                <w:rFonts w:eastAsia="Arial"/>
                <w:lang w:bidi="cs-CZ"/>
              </w:rPr>
              <w:t>Č:19</w:t>
            </w:r>
          </w:p>
        </w:tc>
        <w:tc>
          <w:tcPr>
            <w:tcW w:w="6227" w:type="dxa"/>
            <w:gridSpan w:val="2"/>
            <w:tcBorders>
              <w:top w:val="single" w:sz="4" w:space="0" w:color="000000"/>
              <w:left w:val="single" w:sz="6" w:space="0" w:color="000000"/>
              <w:bottom w:val="single" w:sz="4" w:space="0" w:color="000000"/>
              <w:right w:val="single" w:sz="6" w:space="0" w:color="000000"/>
            </w:tcBorders>
          </w:tcPr>
          <w:p w14:paraId="15131AF1" w14:textId="77777777" w:rsidR="007170C3" w:rsidRPr="008819AF" w:rsidRDefault="006F0418" w:rsidP="0021052F">
            <w:pPr>
              <w:ind w:left="215" w:hanging="215"/>
              <w:rPr>
                <w:rFonts w:eastAsia="Arial"/>
                <w:lang w:bidi="cs-CZ"/>
              </w:rPr>
            </w:pPr>
            <w:r w:rsidRPr="008819AF">
              <w:rPr>
                <w:rFonts w:eastAsia="Arial"/>
                <w:lang w:bidi="cs-CZ"/>
              </w:rPr>
              <w:t>Článok 19</w:t>
            </w:r>
          </w:p>
          <w:p w14:paraId="15131AF2" w14:textId="77777777" w:rsidR="007170C3" w:rsidRPr="008819AF" w:rsidRDefault="006F0418" w:rsidP="0021052F">
            <w:pPr>
              <w:ind w:left="215" w:hanging="215"/>
              <w:rPr>
                <w:rFonts w:eastAsia="Arial"/>
                <w:lang w:bidi="cs-CZ"/>
              </w:rPr>
            </w:pPr>
            <w:r w:rsidRPr="008819AF">
              <w:rPr>
                <w:rFonts w:eastAsia="Arial"/>
                <w:lang w:bidi="cs-CZ"/>
              </w:rPr>
              <w:t>Vývoj v oblasti najlepších dostupných techník</w:t>
            </w:r>
          </w:p>
          <w:p w14:paraId="15131AF3" w14:textId="77777777" w:rsidR="007170C3" w:rsidRPr="008819AF" w:rsidRDefault="006F0418" w:rsidP="0021052F">
            <w:pPr>
              <w:pStyle w:val="Nadpis2"/>
              <w:ind w:left="0" w:firstLine="0"/>
              <w:jc w:val="left"/>
              <w:rPr>
                <w:rFonts w:ascii="Times New Roman" w:eastAsia="Arial" w:hAnsi="Times New Roman" w:cs="Times New Roman"/>
                <w:b w:val="0"/>
                <w:bCs w:val="0"/>
                <w:spacing w:val="0"/>
                <w:sz w:val="20"/>
                <w:szCs w:val="20"/>
                <w:lang w:bidi="sk-SK"/>
              </w:rPr>
            </w:pPr>
            <w:r w:rsidRPr="008819AF">
              <w:rPr>
                <w:rFonts w:ascii="Times New Roman" w:eastAsia="Arial" w:hAnsi="Times New Roman" w:cs="Times New Roman"/>
                <w:b w:val="0"/>
                <w:bCs w:val="0"/>
                <w:spacing w:val="0"/>
                <w:sz w:val="20"/>
                <w:szCs w:val="20"/>
                <w:lang w:bidi="sk-SK"/>
              </w:rPr>
              <w:t>Členské štáty zabezpečia, aby príslušné orgány sledovali alebo boli informované o vývoji v oblasti najlepších dostupných techník a o uverejnení akýchkoľvek nových alebo aktualizovaných záverov o BAT a sprístupnia tieto informácie dotknutej verejnosti.</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AF4"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AF5"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AF6"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AF7" w14:textId="77777777" w:rsidR="007170C3" w:rsidRPr="008819AF" w:rsidRDefault="007170C3" w:rsidP="0021052F">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15131AF8"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AF9" w14:textId="77777777" w:rsidR="007170C3" w:rsidRPr="008819AF" w:rsidRDefault="007170C3" w:rsidP="0021052F">
            <w:pPr>
              <w:ind w:left="215" w:hanging="215"/>
              <w:rPr>
                <w:rFonts w:eastAsia="Arial"/>
                <w:lang w:bidi="cs-CZ"/>
              </w:rPr>
            </w:pPr>
          </w:p>
        </w:tc>
      </w:tr>
      <w:tr w:rsidR="00F80158" w:rsidRPr="008819AF" w14:paraId="15131B0D" w14:textId="77777777" w:rsidTr="003E351D">
        <w:trPr>
          <w:trHeight w:val="1524"/>
          <w:jc w:val="center"/>
        </w:trPr>
        <w:tc>
          <w:tcPr>
            <w:tcW w:w="483" w:type="dxa"/>
            <w:tcBorders>
              <w:top w:val="single" w:sz="4" w:space="0" w:color="000000"/>
              <w:left w:val="single" w:sz="6" w:space="0" w:color="000000"/>
              <w:bottom w:val="single" w:sz="4" w:space="0" w:color="000000"/>
              <w:right w:val="single" w:sz="6" w:space="0" w:color="000000"/>
            </w:tcBorders>
          </w:tcPr>
          <w:p w14:paraId="15131AFB" w14:textId="77777777" w:rsidR="007170C3" w:rsidRPr="008819AF" w:rsidRDefault="006F0418" w:rsidP="003E351D">
            <w:pPr>
              <w:ind w:right="-70"/>
              <w:rPr>
                <w:rFonts w:eastAsia="Arial"/>
                <w:lang w:bidi="cs-CZ"/>
              </w:rPr>
            </w:pPr>
            <w:r w:rsidRPr="008819AF">
              <w:rPr>
                <w:rFonts w:eastAsia="Arial"/>
                <w:lang w:bidi="cs-CZ"/>
              </w:rPr>
              <w:t>Č:20</w:t>
            </w:r>
          </w:p>
        </w:tc>
        <w:tc>
          <w:tcPr>
            <w:tcW w:w="6227" w:type="dxa"/>
            <w:gridSpan w:val="2"/>
            <w:tcBorders>
              <w:top w:val="single" w:sz="4" w:space="0" w:color="000000"/>
              <w:left w:val="single" w:sz="6" w:space="0" w:color="000000"/>
              <w:bottom w:val="single" w:sz="4" w:space="0" w:color="000000"/>
              <w:right w:val="single" w:sz="6" w:space="0" w:color="000000"/>
            </w:tcBorders>
          </w:tcPr>
          <w:p w14:paraId="15131AFC" w14:textId="77777777" w:rsidR="007170C3" w:rsidRPr="008819AF" w:rsidRDefault="006F0418" w:rsidP="0021052F">
            <w:pPr>
              <w:ind w:left="215" w:hanging="215"/>
              <w:rPr>
                <w:rFonts w:eastAsia="Arial"/>
                <w:lang w:bidi="cs-CZ"/>
              </w:rPr>
            </w:pPr>
            <w:r w:rsidRPr="008819AF">
              <w:rPr>
                <w:rFonts w:eastAsia="Arial"/>
                <w:lang w:bidi="cs-CZ"/>
              </w:rPr>
              <w:t>Článok 20</w:t>
            </w:r>
          </w:p>
          <w:p w14:paraId="15131AFD" w14:textId="77777777" w:rsidR="007170C3" w:rsidRPr="008819AF" w:rsidRDefault="007170C3" w:rsidP="0021052F">
            <w:pPr>
              <w:ind w:left="215" w:hanging="215"/>
              <w:rPr>
                <w:rFonts w:eastAsia="Arial"/>
                <w:lang w:bidi="cs-CZ"/>
              </w:rPr>
            </w:pPr>
          </w:p>
          <w:p w14:paraId="15131AFE" w14:textId="77777777" w:rsidR="007170C3" w:rsidRPr="008819AF" w:rsidRDefault="006F0418" w:rsidP="0021052F">
            <w:pPr>
              <w:ind w:left="215" w:hanging="215"/>
              <w:rPr>
                <w:rFonts w:eastAsia="Arial"/>
                <w:lang w:bidi="cs-CZ"/>
              </w:rPr>
            </w:pPr>
            <w:r w:rsidRPr="008819AF">
              <w:rPr>
                <w:rFonts w:eastAsia="Arial"/>
                <w:lang w:bidi="cs-CZ"/>
              </w:rPr>
              <w:t>Zmeny zariadení prevádzkovateľmi</w:t>
            </w:r>
          </w:p>
          <w:p w14:paraId="15131AFF" w14:textId="77777777" w:rsidR="007170C3" w:rsidRPr="008819AF" w:rsidRDefault="007170C3" w:rsidP="0021052F">
            <w:pPr>
              <w:ind w:left="215" w:hanging="215"/>
              <w:rPr>
                <w:rFonts w:eastAsia="Arial"/>
                <w:lang w:bidi="cs-CZ"/>
              </w:rPr>
            </w:pPr>
          </w:p>
          <w:p w14:paraId="15131B00" w14:textId="77777777" w:rsidR="007170C3" w:rsidRPr="008819AF" w:rsidRDefault="006F0418" w:rsidP="0021052F">
            <w:pPr>
              <w:ind w:left="215" w:hanging="215"/>
              <w:rPr>
                <w:rFonts w:eastAsia="Arial"/>
                <w:lang w:bidi="cs-CZ"/>
              </w:rPr>
            </w:pPr>
            <w:r w:rsidRPr="008819AF">
              <w:rPr>
                <w:rFonts w:eastAsia="Arial"/>
                <w:lang w:bidi="cs-CZ"/>
              </w:rPr>
              <w:t>1. Členské štáty prijmú potrebné opatrenia zabezpečujúce, aby prevádzkovateľ informoval príslušný orgán o všetkých plánovaných zmenách charakteru alebo činnosti zariadenia alebo o jeho rozšírení, ktoré môžu mať vplyv na životné prostredie. Ak je to potrebné, príslušný orgán aktualizuje povolenie.</w:t>
            </w:r>
          </w:p>
          <w:p w14:paraId="15131B01" w14:textId="77777777" w:rsidR="007170C3" w:rsidRPr="008819AF" w:rsidRDefault="007170C3" w:rsidP="0021052F">
            <w:pPr>
              <w:ind w:left="215" w:hanging="215"/>
              <w:rPr>
                <w:rFonts w:eastAsia="Arial"/>
                <w:lang w:bidi="cs-CZ"/>
              </w:rPr>
            </w:pPr>
          </w:p>
          <w:p w14:paraId="15131B02" w14:textId="77777777" w:rsidR="007170C3" w:rsidRPr="008819AF" w:rsidRDefault="006F0418" w:rsidP="0021052F">
            <w:pPr>
              <w:ind w:left="215" w:hanging="215"/>
              <w:rPr>
                <w:rFonts w:eastAsia="Arial"/>
                <w:lang w:bidi="cs-CZ"/>
              </w:rPr>
            </w:pPr>
            <w:r w:rsidRPr="008819AF">
              <w:rPr>
                <w:rFonts w:eastAsia="Arial"/>
                <w:lang w:bidi="cs-CZ"/>
              </w:rPr>
              <w:t>2. Členské štáty prijmú potrebné opatrenia zabezpečujúce, aby sa žiadna podstatná zmena plánovaná prevádzkovateľom neuskutočnila bez povolenia udeleného v súlade s touto smernicou.</w:t>
            </w:r>
          </w:p>
          <w:p w14:paraId="15131B03" w14:textId="77777777" w:rsidR="007170C3" w:rsidRPr="008819AF" w:rsidRDefault="007170C3" w:rsidP="0021052F">
            <w:pPr>
              <w:ind w:left="215" w:hanging="215"/>
              <w:rPr>
                <w:rFonts w:eastAsia="Arial"/>
                <w:lang w:bidi="cs-CZ"/>
              </w:rPr>
            </w:pPr>
          </w:p>
          <w:p w14:paraId="15131B04" w14:textId="77777777" w:rsidR="007170C3" w:rsidRPr="008819AF" w:rsidRDefault="006F0418" w:rsidP="0021052F">
            <w:pPr>
              <w:ind w:left="215" w:hanging="1"/>
              <w:rPr>
                <w:rFonts w:eastAsia="Arial"/>
                <w:lang w:bidi="cs-CZ"/>
              </w:rPr>
            </w:pPr>
            <w:r w:rsidRPr="008819AF">
              <w:rPr>
                <w:rFonts w:eastAsia="Arial"/>
                <w:lang w:bidi="cs-CZ"/>
              </w:rPr>
              <w:t>Žiadosť o povolenie a rozhodnutie príslušného orgánu sa týka tých častí zariadenia a tých údajov uvedených v článku 12, ktoré môžu byť podstatnou zmenou dotknuté.</w:t>
            </w:r>
          </w:p>
          <w:p w14:paraId="15131B05" w14:textId="77777777" w:rsidR="007170C3" w:rsidRPr="008819AF" w:rsidRDefault="007170C3" w:rsidP="0021052F">
            <w:pPr>
              <w:ind w:left="215" w:hanging="215"/>
              <w:rPr>
                <w:rFonts w:eastAsia="Arial"/>
                <w:lang w:bidi="cs-CZ"/>
              </w:rPr>
            </w:pPr>
          </w:p>
          <w:p w14:paraId="15131B06" w14:textId="77777777" w:rsidR="007170C3" w:rsidRPr="008819AF" w:rsidRDefault="006F0418" w:rsidP="0021052F">
            <w:pPr>
              <w:ind w:left="215" w:hanging="215"/>
              <w:rPr>
                <w:rFonts w:eastAsia="Arial"/>
                <w:lang w:bidi="cs-CZ"/>
              </w:rPr>
            </w:pPr>
            <w:r w:rsidRPr="008819AF">
              <w:rPr>
                <w:rFonts w:eastAsia="Arial"/>
                <w:lang w:bidi="cs-CZ"/>
              </w:rPr>
              <w:t>3. Akákoľvek zmena charakteru alebo činnosti alebo rozšírenie zariadenia sa považuje za podstatnú, ak zmena alebo rozšírenie samotné presahujú kapacitné prahové hodnoty stanovené v prílohe I.</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B07"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B08"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B0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B0A"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B0B"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B0C" w14:textId="77777777" w:rsidR="007170C3" w:rsidRPr="008819AF" w:rsidRDefault="007170C3" w:rsidP="0021052F">
            <w:pPr>
              <w:ind w:left="215" w:hanging="215"/>
              <w:rPr>
                <w:rFonts w:eastAsia="Arial"/>
                <w:lang w:bidi="cs-CZ"/>
              </w:rPr>
            </w:pPr>
          </w:p>
        </w:tc>
      </w:tr>
      <w:tr w:rsidR="00F80158" w:rsidRPr="008819AF" w14:paraId="15131B2B"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B0E" w14:textId="77777777" w:rsidR="007170C3" w:rsidRPr="008819AF" w:rsidRDefault="006F0418" w:rsidP="003E351D">
            <w:pPr>
              <w:ind w:right="-70"/>
              <w:rPr>
                <w:rFonts w:eastAsia="Arial"/>
                <w:lang w:bidi="cs-CZ"/>
              </w:rPr>
            </w:pPr>
            <w:r w:rsidRPr="008819AF">
              <w:rPr>
                <w:rFonts w:eastAsia="Arial"/>
                <w:lang w:bidi="cs-CZ"/>
              </w:rPr>
              <w:t>Č:21</w:t>
            </w:r>
          </w:p>
        </w:tc>
        <w:tc>
          <w:tcPr>
            <w:tcW w:w="6227" w:type="dxa"/>
            <w:gridSpan w:val="2"/>
            <w:tcBorders>
              <w:top w:val="single" w:sz="4" w:space="0" w:color="000000"/>
              <w:left w:val="single" w:sz="6" w:space="0" w:color="000000"/>
              <w:bottom w:val="single" w:sz="4" w:space="0" w:color="000000"/>
              <w:right w:val="single" w:sz="6" w:space="0" w:color="000000"/>
            </w:tcBorders>
          </w:tcPr>
          <w:p w14:paraId="15131B0F" w14:textId="77777777" w:rsidR="007170C3" w:rsidRPr="008819AF" w:rsidRDefault="006F0418" w:rsidP="0021052F">
            <w:pPr>
              <w:ind w:left="215" w:hanging="215"/>
              <w:rPr>
                <w:rFonts w:eastAsia="Arial"/>
                <w:lang w:bidi="cs-CZ"/>
              </w:rPr>
            </w:pPr>
            <w:r w:rsidRPr="008819AF">
              <w:rPr>
                <w:rFonts w:eastAsia="Arial"/>
                <w:lang w:bidi="cs-CZ"/>
              </w:rPr>
              <w:t>Článok 21</w:t>
            </w:r>
          </w:p>
          <w:p w14:paraId="15131B10" w14:textId="77777777" w:rsidR="007170C3" w:rsidRPr="008819AF" w:rsidRDefault="007170C3" w:rsidP="0021052F">
            <w:pPr>
              <w:ind w:left="215" w:hanging="215"/>
              <w:rPr>
                <w:rFonts w:eastAsia="Arial"/>
                <w:lang w:bidi="cs-CZ"/>
              </w:rPr>
            </w:pPr>
          </w:p>
          <w:p w14:paraId="15131B11" w14:textId="77777777" w:rsidR="007170C3" w:rsidRPr="008819AF" w:rsidRDefault="006F0418" w:rsidP="0021052F">
            <w:pPr>
              <w:rPr>
                <w:rFonts w:eastAsia="Arial"/>
                <w:lang w:bidi="cs-CZ"/>
              </w:rPr>
            </w:pPr>
            <w:r w:rsidRPr="008819AF">
              <w:rPr>
                <w:rFonts w:eastAsia="Arial"/>
                <w:lang w:bidi="cs-CZ"/>
              </w:rPr>
              <w:t>Prehodnotenie a aktualizácia podmienok povolenia príslušným orgánom</w:t>
            </w:r>
          </w:p>
          <w:p w14:paraId="15131B12" w14:textId="77777777" w:rsidR="007170C3" w:rsidRPr="008819AF" w:rsidRDefault="007170C3" w:rsidP="0021052F">
            <w:pPr>
              <w:ind w:left="215" w:hanging="215"/>
              <w:rPr>
                <w:rFonts w:eastAsia="Arial"/>
                <w:lang w:bidi="cs-CZ"/>
              </w:rPr>
            </w:pPr>
          </w:p>
          <w:p w14:paraId="15131B13" w14:textId="77777777" w:rsidR="007170C3" w:rsidRPr="008819AF" w:rsidRDefault="006F0418" w:rsidP="0021052F">
            <w:pPr>
              <w:ind w:left="215" w:hanging="215"/>
              <w:rPr>
                <w:rFonts w:eastAsia="Arial"/>
                <w:lang w:bidi="cs-CZ"/>
              </w:rPr>
            </w:pPr>
            <w:r w:rsidRPr="008819AF">
              <w:rPr>
                <w:rFonts w:eastAsia="Arial"/>
                <w:lang w:bidi="cs-CZ"/>
              </w:rPr>
              <w:t xml:space="preserve">1. Členské štáty prijmú potrebné opatrenia zabezpečujúce, aby príslušný orgán v súlade s odsekmi 2 až 5 pravidelne prehodnocoval všetky </w:t>
            </w:r>
            <w:r w:rsidRPr="008819AF">
              <w:rPr>
                <w:rFonts w:eastAsia="Arial"/>
                <w:lang w:bidi="cs-CZ"/>
              </w:rPr>
              <w:lastRenderedPageBreak/>
              <w:t>podmienky povolenia a ak je to potrebné, aby v záujme dodržiavania požiadaviek tejto smernice tieto podmienky aktualizoval.</w:t>
            </w:r>
          </w:p>
          <w:p w14:paraId="15131B14" w14:textId="77777777" w:rsidR="007170C3" w:rsidRPr="008819AF" w:rsidRDefault="007170C3" w:rsidP="0021052F">
            <w:pPr>
              <w:ind w:left="215" w:hanging="215"/>
              <w:rPr>
                <w:rFonts w:eastAsia="Arial"/>
              </w:rPr>
            </w:pPr>
          </w:p>
          <w:p w14:paraId="15131B15" w14:textId="77777777" w:rsidR="007170C3" w:rsidRPr="008819AF" w:rsidRDefault="006F0418" w:rsidP="0021052F">
            <w:pPr>
              <w:ind w:left="215" w:hanging="215"/>
              <w:rPr>
                <w:rFonts w:eastAsia="Arial"/>
              </w:rPr>
            </w:pPr>
            <w:r w:rsidRPr="008819AF">
              <w:rPr>
                <w:rFonts w:eastAsia="Arial"/>
              </w:rPr>
              <w:t>2. Na žiadosť príslušného orgánu prevádzkovateľ predloží všetky informácie, ktoré sú potrebné na prehodnotenie podmienok povolenia a ktoré zahŕňajú najmä výsledky monitorovania emisií a iné údaje, ktoré umožnia porovnanie prevádzkovaní zariadenia s najlepšími dostupnými technikami opísanými v príslušných záveroch o BAT a s úrovňami znečisťovania súvisiacimi s najlepšími dostupnými technikami.</w:t>
            </w:r>
          </w:p>
          <w:p w14:paraId="15131B16" w14:textId="77777777" w:rsidR="007170C3" w:rsidRPr="008819AF" w:rsidRDefault="007170C3" w:rsidP="0021052F">
            <w:pPr>
              <w:ind w:left="215" w:hanging="215"/>
              <w:rPr>
                <w:rFonts w:eastAsia="Arial"/>
              </w:rPr>
            </w:pPr>
          </w:p>
          <w:p w14:paraId="15131B17" w14:textId="77777777" w:rsidR="007170C3" w:rsidRPr="008819AF" w:rsidRDefault="006F0418" w:rsidP="0021052F">
            <w:pPr>
              <w:ind w:left="215" w:hanging="1"/>
              <w:rPr>
                <w:rFonts w:eastAsia="Arial"/>
              </w:rPr>
            </w:pPr>
            <w:r w:rsidRPr="008819AF">
              <w:rPr>
                <w:rFonts w:eastAsia="Arial"/>
              </w:rPr>
              <w:t>Pri prehodnocovaní podmienok povolenia príslušný orgán použije všetky informácie vyplývajúce z monitorovania alebo inšpekcií.</w:t>
            </w:r>
          </w:p>
          <w:p w14:paraId="15131B18" w14:textId="77777777" w:rsidR="007170C3" w:rsidRPr="008819AF" w:rsidRDefault="007170C3" w:rsidP="0021052F">
            <w:pPr>
              <w:ind w:left="215" w:hanging="215"/>
              <w:rPr>
                <w:rFonts w:eastAsia="Arial"/>
              </w:rPr>
            </w:pPr>
          </w:p>
          <w:p w14:paraId="15131B19" w14:textId="77777777" w:rsidR="007170C3" w:rsidRPr="008819AF" w:rsidRDefault="006F0418" w:rsidP="0021052F">
            <w:pPr>
              <w:ind w:left="215" w:hanging="215"/>
              <w:rPr>
                <w:rFonts w:eastAsia="Arial"/>
              </w:rPr>
            </w:pPr>
            <w:r w:rsidRPr="008819AF">
              <w:rPr>
                <w:rFonts w:eastAsia="Arial"/>
              </w:rPr>
              <w:t>3. Do štyroch rokov od uverejnenia rozhodnutí o záveroch o BAT v súlade s článkom 13 ods. 5, ktoré súvisia s hlavnou činnosťou zariadenia, príslušný orgán zabezpečí, aby:</w:t>
            </w:r>
          </w:p>
          <w:p w14:paraId="15131B1A" w14:textId="77777777" w:rsidR="007170C3" w:rsidRPr="008819AF" w:rsidRDefault="006F0418" w:rsidP="009C63CF">
            <w:pPr>
              <w:numPr>
                <w:ilvl w:val="0"/>
                <w:numId w:val="11"/>
              </w:numPr>
              <w:spacing w:before="120"/>
              <w:ind w:left="215" w:hanging="215"/>
              <w:rPr>
                <w:rFonts w:eastAsia="Arial"/>
              </w:rPr>
            </w:pPr>
            <w:r w:rsidRPr="008819AF">
              <w:rPr>
                <w:rFonts w:eastAsia="Arial"/>
              </w:rPr>
              <w:t>a) sa prehodnotili a v prípade potreby v záujme zabezpečenia súladu s touto smernicou, najmä s článkom 15 ods. 3 a 4, ak je uplatniteľný, aktualizovali všetky podmienky povolenia pre dotknuté zariadenie;</w:t>
            </w:r>
          </w:p>
          <w:p w14:paraId="15131B1B" w14:textId="77777777" w:rsidR="007170C3" w:rsidRPr="008819AF" w:rsidRDefault="006F0418" w:rsidP="009C63CF">
            <w:pPr>
              <w:numPr>
                <w:ilvl w:val="0"/>
                <w:numId w:val="11"/>
              </w:numPr>
              <w:spacing w:before="120"/>
              <w:ind w:left="215" w:hanging="215"/>
              <w:rPr>
                <w:rFonts w:eastAsia="Arial"/>
              </w:rPr>
            </w:pPr>
            <w:r w:rsidRPr="008819AF">
              <w:rPr>
                <w:rFonts w:eastAsia="Arial"/>
              </w:rPr>
              <w:t>b) zariadenie tieto podmienky povolenia dodržiavalo.</w:t>
            </w:r>
          </w:p>
          <w:p w14:paraId="15131B1C" w14:textId="77777777" w:rsidR="00D24AF9" w:rsidRPr="008819AF" w:rsidRDefault="00D24AF9" w:rsidP="0021052F">
            <w:pPr>
              <w:ind w:left="215" w:hanging="1"/>
              <w:rPr>
                <w:rFonts w:eastAsia="Arial"/>
              </w:rPr>
            </w:pPr>
          </w:p>
          <w:p w14:paraId="15131B1D" w14:textId="77777777" w:rsidR="007170C3" w:rsidRPr="008819AF" w:rsidRDefault="006F0418" w:rsidP="0021052F">
            <w:pPr>
              <w:ind w:left="215" w:hanging="1"/>
              <w:rPr>
                <w:rFonts w:eastAsia="Arial"/>
              </w:rPr>
            </w:pPr>
            <w:r w:rsidRPr="008819AF">
              <w:rPr>
                <w:rFonts w:eastAsia="Arial"/>
              </w:rPr>
              <w:t>Pri prehodnocovaní sa zohľadnia všetky nové alebo aktualizované závery o BAT, ktoré sa vzťahujú na zariadenie a ktoré sa prijali súlade s článkom 13 ods. 5 od udelenia alebo posledného prehodnotenia povolenia.</w:t>
            </w:r>
          </w:p>
          <w:p w14:paraId="15131B1E" w14:textId="77777777" w:rsidR="007170C3" w:rsidRPr="008819AF" w:rsidRDefault="007170C3" w:rsidP="0021052F">
            <w:pPr>
              <w:ind w:left="215" w:hanging="215"/>
              <w:rPr>
                <w:rFonts w:eastAsia="Arial"/>
              </w:rPr>
            </w:pPr>
          </w:p>
          <w:p w14:paraId="15131B1F" w14:textId="77777777" w:rsidR="007170C3" w:rsidRPr="008819AF" w:rsidRDefault="006F0418" w:rsidP="0021052F">
            <w:pPr>
              <w:ind w:left="215" w:hanging="215"/>
              <w:rPr>
                <w:rFonts w:eastAsia="Arial"/>
              </w:rPr>
            </w:pPr>
            <w:r w:rsidRPr="008819AF">
              <w:rPr>
                <w:rFonts w:eastAsia="Arial"/>
              </w:rPr>
              <w:t>4. Ak sa na zariadenie nevzťahujú žiadne závery o BAT, podmienky povolenia sa musia prehodnotiť a v prípade potreby aktualizovať, keď sa vývojom v oblasti najlepších dostupných techník umožnilo významné zníženie emisií.</w:t>
            </w:r>
          </w:p>
          <w:p w14:paraId="15131B20" w14:textId="77777777" w:rsidR="007170C3" w:rsidRPr="008819AF" w:rsidRDefault="007170C3" w:rsidP="0021052F">
            <w:pPr>
              <w:ind w:left="215" w:hanging="215"/>
              <w:rPr>
                <w:rFonts w:eastAsia="Arial"/>
              </w:rPr>
            </w:pPr>
          </w:p>
          <w:p w14:paraId="15131B21" w14:textId="77777777" w:rsidR="007170C3" w:rsidRPr="008819AF" w:rsidRDefault="006F0418" w:rsidP="0021052F">
            <w:pPr>
              <w:ind w:left="215" w:hanging="215"/>
              <w:rPr>
                <w:rFonts w:eastAsia="Arial"/>
              </w:rPr>
            </w:pPr>
            <w:r w:rsidRPr="008819AF">
              <w:rPr>
                <w:rFonts w:eastAsia="Arial"/>
              </w:rPr>
              <w:t>5. Podmienky povolenia sa prehodnotia a v prípade potreby aktualizujú aspoň v týchto prípadoch:</w:t>
            </w:r>
          </w:p>
          <w:p w14:paraId="15131B22" w14:textId="77777777" w:rsidR="007170C3" w:rsidRPr="008819AF" w:rsidRDefault="006F0418" w:rsidP="009C63CF">
            <w:pPr>
              <w:numPr>
                <w:ilvl w:val="0"/>
                <w:numId w:val="12"/>
              </w:numPr>
              <w:spacing w:before="120"/>
              <w:ind w:left="499" w:hanging="284"/>
              <w:rPr>
                <w:rFonts w:eastAsia="Arial"/>
              </w:rPr>
            </w:pPr>
            <w:r w:rsidRPr="008819AF">
              <w:rPr>
                <w:rFonts w:eastAsia="Arial"/>
              </w:rPr>
              <w:t>znečistenie spôsobené zariadením je také rozsiahle, že sa musia prehodnotiť existujúce emisné limity uvedené v povolení alebo sa v ňom musia stanoviť nové emisné limity;</w:t>
            </w:r>
          </w:p>
          <w:p w14:paraId="15131B23" w14:textId="77777777" w:rsidR="007170C3" w:rsidRPr="008819AF" w:rsidRDefault="006F0418" w:rsidP="009C63CF">
            <w:pPr>
              <w:numPr>
                <w:ilvl w:val="0"/>
                <w:numId w:val="12"/>
              </w:numPr>
              <w:spacing w:before="120"/>
              <w:ind w:left="499" w:hanging="284"/>
              <w:rPr>
                <w:rFonts w:eastAsia="Arial"/>
              </w:rPr>
            </w:pPr>
            <w:r w:rsidRPr="008819AF">
              <w:rPr>
                <w:rFonts w:eastAsia="Arial"/>
              </w:rPr>
              <w:t>bezpečnosť prevádzkovania vyžaduje použitie iných techník;</w:t>
            </w:r>
          </w:p>
          <w:p w14:paraId="15131B24" w14:textId="77777777" w:rsidR="007170C3" w:rsidRPr="008819AF" w:rsidRDefault="006F0418" w:rsidP="009C63CF">
            <w:pPr>
              <w:numPr>
                <w:ilvl w:val="0"/>
                <w:numId w:val="12"/>
              </w:numPr>
              <w:spacing w:before="120"/>
              <w:ind w:left="499" w:hanging="284"/>
              <w:rPr>
                <w:rFonts w:eastAsia="Arial"/>
              </w:rPr>
            </w:pPr>
            <w:r w:rsidRPr="008819AF">
              <w:rPr>
                <w:rFonts w:eastAsia="Arial"/>
              </w:rPr>
              <w:t xml:space="preserve">ak je to potrebné na dodržanie novej alebo revidovanej normy kvality </w:t>
            </w:r>
            <w:r w:rsidRPr="008819AF">
              <w:rPr>
                <w:rFonts w:eastAsia="Arial"/>
              </w:rPr>
              <w:lastRenderedPageBreak/>
              <w:t>životného prostredia v súlade s článkom 18.</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B25"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B26"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B27"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B28"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B29"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B2A" w14:textId="77777777" w:rsidR="007170C3" w:rsidRPr="008819AF" w:rsidRDefault="007170C3" w:rsidP="0021052F">
            <w:pPr>
              <w:ind w:left="215" w:hanging="215"/>
              <w:rPr>
                <w:rFonts w:eastAsia="Arial"/>
                <w:lang w:bidi="cs-CZ"/>
              </w:rPr>
            </w:pPr>
          </w:p>
        </w:tc>
      </w:tr>
      <w:tr w:rsidR="00F80158" w:rsidRPr="008819AF" w14:paraId="15131B4A"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B2C" w14:textId="77777777" w:rsidR="007170C3" w:rsidRPr="008819AF" w:rsidRDefault="006F0418" w:rsidP="003E351D">
            <w:pPr>
              <w:ind w:right="-70"/>
              <w:rPr>
                <w:rFonts w:eastAsia="Arial"/>
                <w:lang w:bidi="cs-CZ"/>
              </w:rPr>
            </w:pPr>
            <w:r w:rsidRPr="008819AF">
              <w:rPr>
                <w:rFonts w:eastAsia="Arial"/>
                <w:lang w:bidi="cs-CZ"/>
              </w:rPr>
              <w:lastRenderedPageBreak/>
              <w:t>Č:22</w:t>
            </w:r>
          </w:p>
        </w:tc>
        <w:tc>
          <w:tcPr>
            <w:tcW w:w="6227" w:type="dxa"/>
            <w:gridSpan w:val="2"/>
            <w:tcBorders>
              <w:top w:val="single" w:sz="4" w:space="0" w:color="000000"/>
              <w:left w:val="single" w:sz="6" w:space="0" w:color="000000"/>
              <w:bottom w:val="single" w:sz="4" w:space="0" w:color="000000"/>
              <w:right w:val="single" w:sz="6" w:space="0" w:color="000000"/>
            </w:tcBorders>
          </w:tcPr>
          <w:p w14:paraId="15131B2D" w14:textId="77777777" w:rsidR="007170C3" w:rsidRPr="008819AF" w:rsidRDefault="006F0418" w:rsidP="0021052F">
            <w:pPr>
              <w:ind w:left="215" w:hanging="215"/>
              <w:rPr>
                <w:rFonts w:eastAsia="Arial"/>
              </w:rPr>
            </w:pPr>
            <w:r w:rsidRPr="008819AF">
              <w:rPr>
                <w:rFonts w:eastAsia="Arial"/>
              </w:rPr>
              <w:t>Článok 22</w:t>
            </w:r>
          </w:p>
          <w:p w14:paraId="15131B2E" w14:textId="77777777" w:rsidR="007170C3" w:rsidRPr="008819AF" w:rsidRDefault="006F0418" w:rsidP="0021052F">
            <w:pPr>
              <w:ind w:left="215" w:hanging="215"/>
              <w:rPr>
                <w:rFonts w:eastAsia="Arial"/>
              </w:rPr>
            </w:pPr>
            <w:r w:rsidRPr="008819AF">
              <w:rPr>
                <w:rFonts w:eastAsia="Arial"/>
              </w:rPr>
              <w:t>Uzatvorenie lokality</w:t>
            </w:r>
          </w:p>
          <w:p w14:paraId="15131B2F" w14:textId="77777777" w:rsidR="007170C3" w:rsidRPr="008819AF" w:rsidRDefault="007170C3" w:rsidP="0021052F">
            <w:pPr>
              <w:ind w:left="215" w:hanging="215"/>
              <w:rPr>
                <w:rFonts w:eastAsia="Arial"/>
              </w:rPr>
            </w:pPr>
          </w:p>
          <w:p w14:paraId="15131B30" w14:textId="77777777" w:rsidR="007170C3" w:rsidRPr="008819AF" w:rsidRDefault="00D24AF9" w:rsidP="00D24AF9">
            <w:pPr>
              <w:ind w:left="215" w:hanging="215"/>
              <w:rPr>
                <w:rFonts w:eastAsia="Arial"/>
              </w:rPr>
            </w:pPr>
            <w:r w:rsidRPr="008819AF">
              <w:rPr>
                <w:rFonts w:eastAsia="Arial"/>
              </w:rPr>
              <w:t xml:space="preserve">1. </w:t>
            </w:r>
            <w:r w:rsidR="006F0418" w:rsidRPr="008819AF">
              <w:rPr>
                <w:rFonts w:eastAsia="Arial"/>
              </w:rPr>
              <w:t>Bez toho, aby bola dotknutá smernica 2000/60/ES, smernica 2004/35/ES, smernica Európskeho parlamentu a Rady 2006/118/ES z 12. decembra 2006 o ochrane podzemných vôd pred znečistením a zhoršením kvality(1)  a príslušné právne predpisy Únie o ochrane pôdy, príslušný orgán stanoví podmienky povolenia s cieľom zabezpečiť súlad s odsekmi 3 a 4 tohto článku po definitívnom ukončení činností.</w:t>
            </w:r>
          </w:p>
          <w:p w14:paraId="15131B31" w14:textId="77777777" w:rsidR="007170C3" w:rsidRPr="008819AF" w:rsidRDefault="007170C3" w:rsidP="0021052F">
            <w:pPr>
              <w:tabs>
                <w:tab w:val="left" w:pos="0"/>
              </w:tabs>
              <w:ind w:left="215" w:hanging="215"/>
              <w:rPr>
                <w:rFonts w:eastAsia="Arial"/>
              </w:rPr>
            </w:pPr>
          </w:p>
          <w:p w14:paraId="15131B32" w14:textId="77777777" w:rsidR="007170C3" w:rsidRPr="008819AF" w:rsidRDefault="006F0418" w:rsidP="0021052F">
            <w:pPr>
              <w:ind w:left="215" w:hanging="215"/>
              <w:rPr>
                <w:rFonts w:eastAsia="Arial"/>
              </w:rPr>
            </w:pPr>
            <w:r w:rsidRPr="008819AF">
              <w:rPr>
                <w:rFonts w:eastAsia="Arial"/>
              </w:rPr>
              <w:t>2. V prípade, že činnosť zahŕňa používanie, výrobu alebo vypúšťanie príslušných nebezpečných látok a s prihliadnutím na možnosť kontaminácie pôdy a podzemných vôd v lokalite zariadenia, prevádzkovateľ pripraví a predloží východiskovú správu príslušnému orgánu pred spustením prevádzkovaní zariadenia alebo pred prvou aktualizáciou povolenia pre zariadenie po 7. januári 2013.</w:t>
            </w:r>
          </w:p>
          <w:p w14:paraId="15131B33" w14:textId="77777777" w:rsidR="007170C3" w:rsidRPr="008819AF" w:rsidRDefault="007170C3" w:rsidP="0021052F">
            <w:pPr>
              <w:ind w:left="215" w:hanging="215"/>
              <w:rPr>
                <w:rFonts w:eastAsia="Arial"/>
              </w:rPr>
            </w:pPr>
          </w:p>
          <w:p w14:paraId="15131B34" w14:textId="77777777" w:rsidR="007170C3" w:rsidRPr="008819AF" w:rsidRDefault="006F0418" w:rsidP="0021052F">
            <w:pPr>
              <w:ind w:left="215" w:hanging="1"/>
              <w:rPr>
                <w:rFonts w:eastAsia="Arial"/>
              </w:rPr>
            </w:pPr>
            <w:r w:rsidRPr="008819AF">
              <w:rPr>
                <w:rFonts w:eastAsia="Arial"/>
              </w:rPr>
              <w:t>Východisková správa musí obsahovať informácie potrebné na určenie stavu kontaminácie pôdy a podzemných vôd, aby bolo možné kvantifikované porovnanie so stavom po definitívnom ukončení činností uvedenom v odseku 3.</w:t>
            </w:r>
          </w:p>
          <w:p w14:paraId="15131B35" w14:textId="77777777" w:rsidR="007170C3" w:rsidRPr="008819AF" w:rsidRDefault="007170C3" w:rsidP="0021052F">
            <w:pPr>
              <w:ind w:left="215" w:hanging="215"/>
              <w:rPr>
                <w:rFonts w:eastAsia="Arial"/>
              </w:rPr>
            </w:pPr>
          </w:p>
          <w:p w14:paraId="15131B36" w14:textId="77777777" w:rsidR="007170C3" w:rsidRPr="008819AF" w:rsidRDefault="006F0418" w:rsidP="0021052F">
            <w:pPr>
              <w:ind w:left="215" w:hanging="1"/>
              <w:rPr>
                <w:rFonts w:eastAsia="Arial"/>
              </w:rPr>
            </w:pPr>
            <w:r w:rsidRPr="008819AF">
              <w:rPr>
                <w:rFonts w:eastAsia="Arial"/>
              </w:rPr>
              <w:t>Východisková správa obsahuje aspoň tieto informácie:</w:t>
            </w:r>
          </w:p>
          <w:p w14:paraId="15131B37" w14:textId="77777777" w:rsidR="007170C3" w:rsidRPr="008819AF" w:rsidRDefault="007170C3" w:rsidP="0021052F">
            <w:pPr>
              <w:ind w:left="215" w:hanging="1"/>
              <w:rPr>
                <w:rFonts w:eastAsia="Arial"/>
              </w:rPr>
            </w:pPr>
          </w:p>
          <w:p w14:paraId="15131B38" w14:textId="77777777" w:rsidR="007170C3" w:rsidRPr="008819AF" w:rsidRDefault="006F0418" w:rsidP="00D24AF9">
            <w:pPr>
              <w:spacing w:before="120"/>
              <w:ind w:left="214"/>
              <w:rPr>
                <w:rFonts w:eastAsia="Arial"/>
              </w:rPr>
            </w:pPr>
            <w:r w:rsidRPr="008819AF">
              <w:rPr>
                <w:rFonts w:eastAsia="Arial"/>
              </w:rPr>
              <w:t>a) informácie o súčasnom a v prípade dostupnosti i o minulom využití lokality;</w:t>
            </w:r>
          </w:p>
          <w:p w14:paraId="15131B39" w14:textId="77777777" w:rsidR="007170C3" w:rsidRPr="008819AF" w:rsidRDefault="006F0418" w:rsidP="009C63CF">
            <w:pPr>
              <w:numPr>
                <w:ilvl w:val="0"/>
                <w:numId w:val="13"/>
              </w:numPr>
              <w:spacing w:before="120"/>
              <w:ind w:left="215" w:hanging="215"/>
              <w:rPr>
                <w:rFonts w:eastAsia="Arial"/>
              </w:rPr>
            </w:pPr>
            <w:r w:rsidRPr="008819AF">
              <w:rPr>
                <w:rFonts w:eastAsia="Arial"/>
              </w:rPr>
              <w:t>b) v prípade dostupnosti existujúce informácie o meraniach pôdy a podzemných vôd, ktoré odrážajú stav v čase vypracovania správy alebo namiesto toho nové merania pôdy a podzemných vôd s ohľadom na možnosť kontaminácie pôdy a podzemných vôd tými nebezpečnými látkami, ktoré sa použijú, vyrobia alebo vypustia v dotknutom zariadení.</w:t>
            </w:r>
          </w:p>
          <w:p w14:paraId="15131B3A" w14:textId="77777777" w:rsidR="007170C3" w:rsidRPr="008819AF" w:rsidRDefault="007170C3" w:rsidP="0021052F">
            <w:pPr>
              <w:ind w:left="215" w:hanging="215"/>
              <w:rPr>
                <w:rFonts w:eastAsia="Arial"/>
              </w:rPr>
            </w:pPr>
          </w:p>
          <w:p w14:paraId="15131B3B" w14:textId="77777777" w:rsidR="007170C3" w:rsidRPr="008819AF" w:rsidRDefault="006F0418" w:rsidP="0021052F">
            <w:pPr>
              <w:ind w:left="215" w:hanging="1"/>
              <w:rPr>
                <w:rFonts w:eastAsia="Arial"/>
              </w:rPr>
            </w:pPr>
            <w:r w:rsidRPr="008819AF">
              <w:rPr>
                <w:rFonts w:eastAsia="Arial"/>
              </w:rPr>
              <w:t>Ak informácie vypracované v súlade s inými vnútroštátnymi právnymi predpismi alebo právnymi predpismi Únie spĺňajú požiadavky tohto odseku, takéto informácie možno zahrnúť do predkladanej východiskovej správy alebo ich k nej priložiť.</w:t>
            </w:r>
          </w:p>
          <w:p w14:paraId="15131B3C" w14:textId="77777777" w:rsidR="007170C3" w:rsidRPr="008819AF" w:rsidRDefault="007170C3" w:rsidP="0021052F">
            <w:pPr>
              <w:ind w:left="215" w:hanging="1"/>
              <w:rPr>
                <w:rFonts w:eastAsia="Arial"/>
              </w:rPr>
            </w:pPr>
          </w:p>
          <w:p w14:paraId="15131B3D" w14:textId="77777777" w:rsidR="007170C3" w:rsidRPr="008819AF" w:rsidRDefault="006F0418" w:rsidP="0021052F">
            <w:pPr>
              <w:ind w:left="215" w:hanging="1"/>
              <w:rPr>
                <w:rFonts w:eastAsia="Arial"/>
              </w:rPr>
            </w:pPr>
            <w:r w:rsidRPr="008819AF">
              <w:rPr>
                <w:rFonts w:eastAsia="Arial"/>
              </w:rPr>
              <w:t>Komisia vypracuje usmernenia pre obsah východiskovej správy.</w:t>
            </w:r>
          </w:p>
          <w:p w14:paraId="15131B3E" w14:textId="77777777" w:rsidR="007170C3" w:rsidRPr="008819AF" w:rsidRDefault="007170C3" w:rsidP="0021052F">
            <w:pPr>
              <w:ind w:left="215" w:hanging="1"/>
              <w:rPr>
                <w:rFonts w:eastAsia="Arial"/>
              </w:rPr>
            </w:pPr>
          </w:p>
          <w:p w14:paraId="15131B3F" w14:textId="77777777" w:rsidR="007170C3" w:rsidRPr="008819AF" w:rsidRDefault="006F0418" w:rsidP="0021052F">
            <w:pPr>
              <w:ind w:left="215" w:hanging="215"/>
              <w:rPr>
                <w:rFonts w:eastAsia="Arial"/>
              </w:rPr>
            </w:pPr>
            <w:r w:rsidRPr="008819AF">
              <w:rPr>
                <w:rFonts w:eastAsia="Arial"/>
              </w:rPr>
              <w:t>3. Po definitívnom ukončení činností prevádzkovateľ posúdi stav kontaminácie pôdy a podzemných vôd príslušnými nebezpečnými látkami, ktoré zariadenie používalo, produkovalo, alebo vypúšťalo. Ak zariadenie spôsobilo významné znečistenie pôdy alebo podzemných vôd príslušnými nebezpečnými látkami v porovnaní so stavom uvedeným vo východiskovej správe uvedenej v odseku 2, prevádzkovateľ prijme potrebné opatrenia na odstránenie znečistenia, aby túto lokalitu vrátil do uvedeného stavu. Na tento účel sa môže zohľadniť technická priechodnosť takýchto opatrení.</w:t>
            </w:r>
          </w:p>
          <w:p w14:paraId="15131B40" w14:textId="77777777" w:rsidR="007170C3" w:rsidRPr="008819AF" w:rsidRDefault="007170C3" w:rsidP="0021052F">
            <w:pPr>
              <w:tabs>
                <w:tab w:val="left" w:pos="0"/>
              </w:tabs>
              <w:ind w:left="215" w:hanging="215"/>
              <w:rPr>
                <w:rFonts w:eastAsia="Arial"/>
              </w:rPr>
            </w:pPr>
          </w:p>
          <w:p w14:paraId="15131B41" w14:textId="77777777" w:rsidR="007170C3" w:rsidRPr="008819AF" w:rsidRDefault="006F0418" w:rsidP="0021052F">
            <w:pPr>
              <w:ind w:left="215" w:hanging="1"/>
              <w:rPr>
                <w:rFonts w:eastAsia="Arial"/>
              </w:rPr>
            </w:pPr>
            <w:r w:rsidRPr="008819AF">
              <w:rPr>
                <w:rFonts w:eastAsia="Arial"/>
              </w:rPr>
              <w:t>Bez toho, aby bol dotknutý prvý pododsek, po definitívnom ukončení činností a v prípade, že kontaminácia pôdy a podzemnej vody v lokalite predstavuje významné riziko pre ľudské zdravie alebo životné prostredie v dôsledku povolených činností, ktoré prevádzkovateľ vykonával pred prvou aktualizáciou povolenia pre zariadenie po 7. januári 2013 a po zohľadnení podmienok týkajúcich sa lokality zariadenia stanovených v súlade s článkom 12 ods. 1 písm. d), prevádzkovateľ prijme potrebné opatrenia zamerané na odstránenie, kontrolu, izoláciu alebo zníženie množstva relevantných nebezpečných látok, aby lokalita po zohľadnení jej súčasného alebo schváleného budúceho využívania už nepredstavovala takéto riziko.</w:t>
            </w:r>
          </w:p>
          <w:p w14:paraId="15131B42" w14:textId="77777777" w:rsidR="007170C3" w:rsidRPr="008819AF" w:rsidRDefault="007170C3" w:rsidP="0021052F">
            <w:pPr>
              <w:ind w:left="215" w:hanging="215"/>
              <w:rPr>
                <w:rFonts w:eastAsia="Arial"/>
              </w:rPr>
            </w:pPr>
          </w:p>
          <w:p w14:paraId="15131B43" w14:textId="77777777" w:rsidR="007170C3" w:rsidRPr="008819AF" w:rsidRDefault="006F0418" w:rsidP="0021052F">
            <w:pPr>
              <w:ind w:left="215" w:right="-70" w:hanging="215"/>
              <w:rPr>
                <w:rFonts w:eastAsia="Arial"/>
              </w:rPr>
            </w:pPr>
            <w:r w:rsidRPr="008819AF">
              <w:rPr>
                <w:rFonts w:eastAsia="Arial"/>
              </w:rPr>
              <w:t>4. Ak prevádzkovateľ nie je povinný vypracovať východiskovú správu uvedenú v odseku 2, prevádzkovateľ po definitívnom ukončení činností prijme potrebné opatrenia zamerané na odstránenie, kontrolu, izoláciu alebo zníženie množstva relevantných nebezpečných látok tak, aby lokalita po zohľadnení jej súčasného alebo schváleného budúceho využívania nepredstavovala žiadne významné riziko pre ľudské zdravie alebo životné prostredie v dôsledku kontaminácie pôdy a podzemnej vody v dôsledku povolených činností a po zohľadnení podmienok týkajúcich sa lokality zariadenia stanovených v súlade s článkom 12 ods. 1 písm.d)</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B44"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B45"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B46"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B47"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B48"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B49" w14:textId="77777777" w:rsidR="007170C3" w:rsidRPr="008819AF" w:rsidRDefault="007170C3" w:rsidP="0021052F">
            <w:pPr>
              <w:ind w:left="215" w:hanging="215"/>
              <w:rPr>
                <w:rFonts w:eastAsia="Arial"/>
                <w:lang w:bidi="cs-CZ"/>
              </w:rPr>
            </w:pPr>
          </w:p>
        </w:tc>
      </w:tr>
      <w:tr w:rsidR="00F80158" w:rsidRPr="008819AF" w14:paraId="15131B77"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B4B" w14:textId="77777777" w:rsidR="007170C3" w:rsidRPr="008819AF" w:rsidRDefault="006F0418" w:rsidP="003E351D">
            <w:pPr>
              <w:ind w:right="-70"/>
              <w:rPr>
                <w:rFonts w:eastAsia="Arial"/>
                <w:lang w:bidi="cs-CZ"/>
              </w:rPr>
            </w:pPr>
            <w:r w:rsidRPr="008819AF">
              <w:rPr>
                <w:rFonts w:eastAsia="Arial"/>
                <w:lang w:bidi="cs-CZ"/>
              </w:rPr>
              <w:t>Č:23</w:t>
            </w:r>
          </w:p>
        </w:tc>
        <w:tc>
          <w:tcPr>
            <w:tcW w:w="6227" w:type="dxa"/>
            <w:gridSpan w:val="2"/>
            <w:tcBorders>
              <w:top w:val="single" w:sz="4" w:space="0" w:color="000000"/>
              <w:left w:val="single" w:sz="6" w:space="0" w:color="000000"/>
              <w:bottom w:val="single" w:sz="4" w:space="0" w:color="000000"/>
              <w:right w:val="single" w:sz="6" w:space="0" w:color="000000"/>
            </w:tcBorders>
          </w:tcPr>
          <w:p w14:paraId="15131B4C" w14:textId="77777777" w:rsidR="007170C3" w:rsidRPr="008819AF" w:rsidRDefault="006F0418" w:rsidP="0021052F">
            <w:pPr>
              <w:ind w:left="215" w:hanging="215"/>
              <w:rPr>
                <w:rFonts w:eastAsia="Arial"/>
              </w:rPr>
            </w:pPr>
            <w:r w:rsidRPr="008819AF">
              <w:rPr>
                <w:rFonts w:eastAsia="Arial"/>
              </w:rPr>
              <w:t>Článok 23</w:t>
            </w:r>
          </w:p>
          <w:p w14:paraId="15131B4D" w14:textId="77777777" w:rsidR="007170C3" w:rsidRPr="008819AF" w:rsidRDefault="006F0418" w:rsidP="0021052F">
            <w:pPr>
              <w:ind w:left="215" w:hanging="215"/>
              <w:rPr>
                <w:rFonts w:eastAsia="Arial"/>
              </w:rPr>
            </w:pPr>
            <w:r w:rsidRPr="008819AF">
              <w:rPr>
                <w:rFonts w:eastAsia="Arial"/>
              </w:rPr>
              <w:t>Environmentálne inšpekcie</w:t>
            </w:r>
          </w:p>
          <w:p w14:paraId="15131B4E" w14:textId="77777777" w:rsidR="007170C3" w:rsidRPr="008819AF" w:rsidRDefault="007170C3" w:rsidP="0021052F">
            <w:pPr>
              <w:ind w:left="215" w:hanging="215"/>
              <w:rPr>
                <w:rFonts w:eastAsia="Arial"/>
              </w:rPr>
            </w:pPr>
          </w:p>
          <w:p w14:paraId="15131B4F" w14:textId="77777777" w:rsidR="007170C3" w:rsidRPr="008819AF" w:rsidRDefault="006F0418" w:rsidP="0021052F">
            <w:pPr>
              <w:ind w:left="215" w:hanging="215"/>
              <w:rPr>
                <w:rFonts w:eastAsia="Arial"/>
              </w:rPr>
            </w:pPr>
            <w:r w:rsidRPr="008819AF">
              <w:rPr>
                <w:rFonts w:eastAsia="Arial"/>
              </w:rPr>
              <w:t>1. Členské štáty zavedú systém environmentálnych inšpekcií zariadení, ktoré sa zameriavajú na skúmanie celej škály relevantných účinkov dotknutých zariadení na životné prostredie.</w:t>
            </w:r>
          </w:p>
          <w:p w14:paraId="15131B50" w14:textId="77777777" w:rsidR="007170C3" w:rsidRPr="008819AF" w:rsidRDefault="007170C3" w:rsidP="0021052F">
            <w:pPr>
              <w:ind w:left="215" w:hanging="215"/>
              <w:rPr>
                <w:rFonts w:eastAsia="Arial"/>
              </w:rPr>
            </w:pPr>
          </w:p>
          <w:p w14:paraId="15131B51" w14:textId="77777777" w:rsidR="007170C3" w:rsidRPr="008819AF" w:rsidRDefault="006F0418" w:rsidP="0021052F">
            <w:pPr>
              <w:ind w:left="215" w:hanging="1"/>
              <w:rPr>
                <w:rFonts w:eastAsia="Arial"/>
              </w:rPr>
            </w:pPr>
            <w:r w:rsidRPr="008819AF">
              <w:rPr>
                <w:rFonts w:eastAsia="Arial"/>
              </w:rPr>
              <w:t xml:space="preserve">Členské štáty zabezpečia, aby prevádzkovatelia poskytli príslušným </w:t>
            </w:r>
            <w:r w:rsidRPr="008819AF">
              <w:rPr>
                <w:rFonts w:eastAsia="Arial"/>
              </w:rPr>
              <w:lastRenderedPageBreak/>
              <w:t>orgánom všetku nevyhnutnú pomoc s cieľom umožniť týmto orgánom vykonanie kontroly na mieste, odber vzoriek a zber informácií potrebných na výkon ich povinností podľa tejto smernice.</w:t>
            </w:r>
          </w:p>
          <w:p w14:paraId="15131B52" w14:textId="77777777" w:rsidR="007170C3" w:rsidRPr="008819AF" w:rsidRDefault="007170C3" w:rsidP="0021052F">
            <w:pPr>
              <w:ind w:left="215" w:hanging="215"/>
              <w:rPr>
                <w:rFonts w:eastAsia="Arial"/>
              </w:rPr>
            </w:pPr>
          </w:p>
          <w:p w14:paraId="15131B53" w14:textId="77777777" w:rsidR="007170C3" w:rsidRPr="008819AF" w:rsidRDefault="006F0418" w:rsidP="0021052F">
            <w:pPr>
              <w:ind w:left="215" w:hanging="215"/>
              <w:rPr>
                <w:rFonts w:eastAsia="Arial"/>
              </w:rPr>
            </w:pPr>
            <w:r w:rsidRPr="008819AF">
              <w:rPr>
                <w:rFonts w:eastAsia="Arial"/>
              </w:rPr>
              <w:t>2. Členské štáty zabezpečia, aby sa na všetky zariadenia vzťahoval plán environmentálnych inšpekcií na národnej, regionálnej alebo miestnej úrovni a aby sa tento plán pravidelne prehodnocoval a v prípade potreby aktualizoval.</w:t>
            </w:r>
          </w:p>
          <w:p w14:paraId="15131B54" w14:textId="77777777" w:rsidR="007170C3" w:rsidRPr="008819AF" w:rsidRDefault="007170C3" w:rsidP="0021052F">
            <w:pPr>
              <w:ind w:left="215" w:hanging="215"/>
              <w:rPr>
                <w:rFonts w:eastAsia="Arial"/>
              </w:rPr>
            </w:pPr>
          </w:p>
          <w:p w14:paraId="15131B55" w14:textId="77777777" w:rsidR="007170C3" w:rsidRPr="008819AF" w:rsidRDefault="006F0418" w:rsidP="0021052F">
            <w:pPr>
              <w:rPr>
                <w:rFonts w:eastAsia="Arial"/>
              </w:rPr>
            </w:pPr>
            <w:r w:rsidRPr="008819AF">
              <w:rPr>
                <w:rFonts w:eastAsia="Arial"/>
              </w:rPr>
              <w:t>3. Súčasťou každého plánu environmentálnej inšpekcie sú:</w:t>
            </w:r>
          </w:p>
          <w:p w14:paraId="15131B56" w14:textId="77777777" w:rsidR="007170C3" w:rsidRPr="008819AF" w:rsidRDefault="006F0418" w:rsidP="009C63CF">
            <w:pPr>
              <w:numPr>
                <w:ilvl w:val="0"/>
                <w:numId w:val="14"/>
              </w:numPr>
              <w:spacing w:before="120"/>
              <w:ind w:left="499" w:hanging="284"/>
              <w:rPr>
                <w:rFonts w:eastAsia="Arial"/>
              </w:rPr>
            </w:pPr>
            <w:r w:rsidRPr="008819AF">
              <w:rPr>
                <w:rFonts w:eastAsia="Arial"/>
              </w:rPr>
              <w:t>všeobecné posúdenie relevantných dôležitých otázok v oblasti životného prostredia;</w:t>
            </w:r>
          </w:p>
          <w:p w14:paraId="15131B57" w14:textId="77777777" w:rsidR="007170C3" w:rsidRPr="008819AF" w:rsidRDefault="006F0418" w:rsidP="009C63CF">
            <w:pPr>
              <w:numPr>
                <w:ilvl w:val="0"/>
                <w:numId w:val="14"/>
              </w:numPr>
              <w:spacing w:before="120"/>
              <w:ind w:left="499" w:hanging="284"/>
              <w:rPr>
                <w:rFonts w:eastAsia="Arial"/>
              </w:rPr>
            </w:pPr>
            <w:r w:rsidRPr="008819AF">
              <w:rPr>
                <w:rFonts w:eastAsia="Arial"/>
              </w:rPr>
              <w:t>geografická oblasť, na ktorú sa vzťahuje plán inšpekcií;</w:t>
            </w:r>
          </w:p>
          <w:p w14:paraId="15131B58" w14:textId="77777777" w:rsidR="007170C3" w:rsidRPr="008819AF" w:rsidRDefault="006F0418" w:rsidP="009C63CF">
            <w:pPr>
              <w:numPr>
                <w:ilvl w:val="0"/>
                <w:numId w:val="14"/>
              </w:numPr>
              <w:spacing w:before="120"/>
              <w:ind w:left="499" w:hanging="284"/>
              <w:rPr>
                <w:rFonts w:eastAsia="Arial"/>
              </w:rPr>
            </w:pPr>
            <w:r w:rsidRPr="008819AF">
              <w:rPr>
                <w:rFonts w:eastAsia="Arial"/>
              </w:rPr>
              <w:t>register zariadení, na ktoré sa plán vzťahuje;</w:t>
            </w:r>
          </w:p>
          <w:p w14:paraId="15131B59" w14:textId="77777777" w:rsidR="007170C3" w:rsidRPr="008819AF" w:rsidRDefault="006F0418" w:rsidP="009C63CF">
            <w:pPr>
              <w:numPr>
                <w:ilvl w:val="0"/>
                <w:numId w:val="14"/>
              </w:numPr>
              <w:spacing w:before="120"/>
              <w:ind w:left="499" w:hanging="284"/>
              <w:rPr>
                <w:rFonts w:eastAsia="Arial"/>
              </w:rPr>
            </w:pPr>
            <w:r w:rsidRPr="008819AF">
              <w:rPr>
                <w:rFonts w:eastAsia="Arial"/>
              </w:rPr>
              <w:t>postupy tvorby programov pre bežné environmentálne inšpekcie podľa odseku 4;</w:t>
            </w:r>
          </w:p>
          <w:p w14:paraId="15131B5A" w14:textId="77777777" w:rsidR="007170C3" w:rsidRPr="008819AF" w:rsidRDefault="006F0418" w:rsidP="009C63CF">
            <w:pPr>
              <w:numPr>
                <w:ilvl w:val="0"/>
                <w:numId w:val="14"/>
              </w:numPr>
              <w:spacing w:before="120"/>
              <w:ind w:left="499" w:hanging="284"/>
              <w:rPr>
                <w:rFonts w:eastAsia="Arial"/>
              </w:rPr>
            </w:pPr>
            <w:r w:rsidRPr="008819AF">
              <w:rPr>
                <w:rFonts w:eastAsia="Arial"/>
              </w:rPr>
              <w:t>postupy pre mimoriadne environmentálne inšpekcie podľa odseku 5;</w:t>
            </w:r>
          </w:p>
          <w:p w14:paraId="15131B5B" w14:textId="77777777" w:rsidR="007170C3" w:rsidRPr="008819AF" w:rsidRDefault="006F0418" w:rsidP="009C63CF">
            <w:pPr>
              <w:numPr>
                <w:ilvl w:val="0"/>
                <w:numId w:val="14"/>
              </w:numPr>
              <w:spacing w:before="120"/>
              <w:ind w:left="499" w:hanging="284"/>
              <w:rPr>
                <w:rFonts w:eastAsia="Arial"/>
              </w:rPr>
            </w:pPr>
            <w:r w:rsidRPr="008819AF">
              <w:rPr>
                <w:rFonts w:eastAsia="Arial"/>
              </w:rPr>
              <w:t>v prípade potreby ustanovenia o spolupráci medzi rôznymi inšpekčnými orgánmi.</w:t>
            </w:r>
          </w:p>
          <w:p w14:paraId="15131B5C" w14:textId="77777777" w:rsidR="007170C3" w:rsidRPr="008819AF" w:rsidRDefault="007170C3" w:rsidP="0021052F">
            <w:pPr>
              <w:ind w:left="215" w:hanging="215"/>
              <w:rPr>
                <w:rFonts w:eastAsia="Arial"/>
              </w:rPr>
            </w:pPr>
          </w:p>
          <w:p w14:paraId="15131B5D" w14:textId="77777777" w:rsidR="007170C3" w:rsidRPr="008819AF" w:rsidRDefault="006F0418" w:rsidP="0021052F">
            <w:pPr>
              <w:ind w:left="215" w:hanging="215"/>
              <w:rPr>
                <w:rFonts w:eastAsia="Arial"/>
              </w:rPr>
            </w:pPr>
            <w:r w:rsidRPr="008819AF">
              <w:rPr>
                <w:rFonts w:eastAsia="Arial"/>
              </w:rPr>
              <w:t>4. Na základe plánov inšpekcií príslušný orgán pravidelne vypracúva programy bežných environmentálnych inšpekcií, v ktorých sa okrem iného určuje frekvencia kontrol na mieste pre rôzne typy zariadení.</w:t>
            </w:r>
          </w:p>
          <w:p w14:paraId="15131B5E" w14:textId="77777777" w:rsidR="007170C3" w:rsidRPr="008819AF" w:rsidRDefault="007170C3" w:rsidP="0021052F">
            <w:pPr>
              <w:ind w:left="215" w:hanging="215"/>
              <w:rPr>
                <w:rFonts w:eastAsia="Arial"/>
              </w:rPr>
            </w:pPr>
          </w:p>
          <w:p w14:paraId="15131B5F" w14:textId="77777777" w:rsidR="007170C3" w:rsidRPr="008819AF" w:rsidRDefault="006F0418" w:rsidP="0021052F">
            <w:pPr>
              <w:ind w:left="215" w:hanging="1"/>
              <w:rPr>
                <w:rFonts w:eastAsia="Arial"/>
              </w:rPr>
            </w:pPr>
            <w:r w:rsidRPr="008819AF">
              <w:rPr>
                <w:rFonts w:eastAsia="Arial"/>
              </w:rPr>
              <w:t>Obdobie medzi dvoma kontrolami na mieste sa zakladá na systematickom hodnotení environmentálnych rizík dotknutých zariadení a nepresahuje jeden rok pri zariadeniach s najvyšším rizikom a tri roky pri zariadeniach s najnižším rizikom.</w:t>
            </w:r>
          </w:p>
          <w:p w14:paraId="15131B60" w14:textId="77777777" w:rsidR="007170C3" w:rsidRPr="008819AF" w:rsidRDefault="007170C3" w:rsidP="0021052F">
            <w:pPr>
              <w:ind w:left="215" w:hanging="1"/>
              <w:rPr>
                <w:rFonts w:eastAsia="Arial"/>
              </w:rPr>
            </w:pPr>
          </w:p>
          <w:p w14:paraId="15131B61" w14:textId="77777777" w:rsidR="007170C3" w:rsidRPr="008819AF" w:rsidRDefault="006F0418" w:rsidP="0021052F">
            <w:pPr>
              <w:ind w:left="215" w:hanging="1"/>
              <w:rPr>
                <w:rFonts w:eastAsia="Arial"/>
              </w:rPr>
            </w:pPr>
            <w:r w:rsidRPr="008819AF">
              <w:rPr>
                <w:rFonts w:eastAsia="Arial"/>
              </w:rPr>
              <w:t>Ak inšpekcia zistí prípad závažného nedodržania podmienok povolenia, vykoná sa v lehote šiestich mesiacov od uvedenej inšpekcie dodatočná kontrola na mieste.</w:t>
            </w:r>
          </w:p>
          <w:p w14:paraId="15131B62" w14:textId="77777777" w:rsidR="007170C3" w:rsidRPr="008819AF" w:rsidRDefault="007170C3" w:rsidP="0021052F">
            <w:pPr>
              <w:ind w:left="215" w:hanging="1"/>
              <w:rPr>
                <w:rFonts w:eastAsia="Arial"/>
              </w:rPr>
            </w:pPr>
          </w:p>
          <w:p w14:paraId="15131B63" w14:textId="77777777" w:rsidR="007170C3" w:rsidRPr="008819AF" w:rsidRDefault="006F0418" w:rsidP="0021052F">
            <w:pPr>
              <w:ind w:left="215" w:hanging="1"/>
              <w:rPr>
                <w:rFonts w:eastAsia="Arial"/>
              </w:rPr>
            </w:pPr>
            <w:r w:rsidRPr="008819AF">
              <w:rPr>
                <w:rFonts w:eastAsia="Arial"/>
              </w:rPr>
              <w:t>Pri systematickom vyhodnocovaní environmentálnych rizík sa vychádza aspoň z týchto kritérií:</w:t>
            </w:r>
          </w:p>
          <w:p w14:paraId="15131B64" w14:textId="77777777" w:rsidR="007170C3" w:rsidRPr="008819AF" w:rsidRDefault="006F0418" w:rsidP="009C63CF">
            <w:pPr>
              <w:numPr>
                <w:ilvl w:val="0"/>
                <w:numId w:val="15"/>
              </w:numPr>
              <w:spacing w:before="120"/>
              <w:ind w:left="497" w:hanging="283"/>
              <w:rPr>
                <w:rFonts w:eastAsia="Arial"/>
              </w:rPr>
            </w:pPr>
            <w:r w:rsidRPr="008819AF">
              <w:rPr>
                <w:rFonts w:eastAsia="Arial"/>
              </w:rPr>
              <w:t xml:space="preserve">potenciálne a skutočné vplyvy dotknutých zariadení na ľudské zdravie a životné prostredie so zreteľom na úrovne znečisťovania a </w:t>
            </w:r>
            <w:r w:rsidRPr="008819AF">
              <w:rPr>
                <w:rFonts w:eastAsia="Arial"/>
              </w:rPr>
              <w:lastRenderedPageBreak/>
              <w:t>typy emisií, citlivosť miestneho prostredia a riziko havárií;</w:t>
            </w:r>
          </w:p>
          <w:p w14:paraId="15131B65" w14:textId="77777777" w:rsidR="007170C3" w:rsidRPr="008819AF" w:rsidRDefault="006F0418" w:rsidP="009C63CF">
            <w:pPr>
              <w:numPr>
                <w:ilvl w:val="0"/>
                <w:numId w:val="15"/>
              </w:numPr>
              <w:spacing w:before="120"/>
              <w:ind w:left="497" w:hanging="283"/>
              <w:rPr>
                <w:rFonts w:eastAsia="Arial"/>
              </w:rPr>
            </w:pPr>
            <w:r w:rsidRPr="008819AF">
              <w:rPr>
                <w:rFonts w:eastAsia="Arial"/>
              </w:rPr>
              <w:t>dodržiavanie podmienok povolenia v minulosti;</w:t>
            </w:r>
          </w:p>
          <w:p w14:paraId="15131B66" w14:textId="77777777" w:rsidR="007170C3" w:rsidRPr="008819AF" w:rsidRDefault="006F0418" w:rsidP="009C63CF">
            <w:pPr>
              <w:numPr>
                <w:ilvl w:val="0"/>
                <w:numId w:val="15"/>
              </w:numPr>
              <w:spacing w:before="120"/>
              <w:ind w:left="497" w:hanging="283"/>
              <w:rPr>
                <w:rFonts w:eastAsia="Arial"/>
              </w:rPr>
            </w:pPr>
            <w:r w:rsidRPr="008819AF">
              <w:rPr>
                <w:rFonts w:eastAsia="Arial"/>
              </w:rPr>
              <w:t>účasť prevádzkovateľa v schéme Únie pre environmentálne manažérstvo a audit (EMAS) podľa nariadenia (ES) č. 1221/2009(1)</w:t>
            </w:r>
          </w:p>
          <w:p w14:paraId="15131B67" w14:textId="77777777" w:rsidR="007170C3" w:rsidRPr="008819AF" w:rsidRDefault="007170C3" w:rsidP="00003DE9">
            <w:pPr>
              <w:spacing w:before="120"/>
              <w:ind w:left="215" w:hanging="215"/>
              <w:rPr>
                <w:rFonts w:eastAsia="Arial"/>
              </w:rPr>
            </w:pPr>
          </w:p>
          <w:p w14:paraId="15131B68" w14:textId="77777777" w:rsidR="007170C3" w:rsidRPr="008819AF" w:rsidRDefault="006F0418" w:rsidP="0021052F">
            <w:pPr>
              <w:ind w:left="215" w:hanging="1"/>
              <w:rPr>
                <w:rFonts w:eastAsia="Arial"/>
              </w:rPr>
            </w:pPr>
            <w:r w:rsidRPr="008819AF">
              <w:rPr>
                <w:rFonts w:eastAsia="Arial"/>
              </w:rPr>
              <w:t>Komisia môže prijať usmernenia týkajúce sa kritérií vyhodnocovania rizík pre životné prostredie.</w:t>
            </w:r>
          </w:p>
          <w:p w14:paraId="15131B69" w14:textId="77777777" w:rsidR="007170C3" w:rsidRPr="008819AF" w:rsidRDefault="007170C3" w:rsidP="0021052F">
            <w:pPr>
              <w:ind w:left="215" w:hanging="215"/>
              <w:rPr>
                <w:rFonts w:eastAsia="Arial"/>
              </w:rPr>
            </w:pPr>
          </w:p>
          <w:p w14:paraId="15131B6A" w14:textId="77777777" w:rsidR="007170C3" w:rsidRPr="008819AF" w:rsidRDefault="006F0418" w:rsidP="0021052F">
            <w:pPr>
              <w:ind w:left="215" w:hanging="215"/>
              <w:rPr>
                <w:rFonts w:eastAsia="Arial"/>
              </w:rPr>
            </w:pPr>
            <w:r w:rsidRPr="008819AF">
              <w:rPr>
                <w:rFonts w:eastAsia="Arial"/>
              </w:rPr>
              <w:t>5. Cieľom mimoriadnych environmentálnych inšpekcií je čo možno najskôr vyšetriť závažné sťažnosti v oblasti životného prostredia, závažné environmentálne havárie, mimoriadne udalosti a prípady nedodržania podmienok a v prípade potreby prehodnotiť povolenie pred jeho udelením alebo jeho aktualizáciou.</w:t>
            </w:r>
          </w:p>
          <w:p w14:paraId="15131B6B" w14:textId="77777777" w:rsidR="007170C3" w:rsidRPr="008819AF" w:rsidRDefault="007170C3" w:rsidP="0021052F">
            <w:pPr>
              <w:ind w:left="215" w:hanging="215"/>
              <w:rPr>
                <w:rFonts w:eastAsia="Arial"/>
              </w:rPr>
            </w:pPr>
          </w:p>
          <w:p w14:paraId="15131B6C" w14:textId="77777777" w:rsidR="007170C3" w:rsidRPr="008819AF" w:rsidRDefault="006F0418" w:rsidP="0021052F">
            <w:pPr>
              <w:ind w:left="215" w:hanging="215"/>
              <w:rPr>
                <w:rFonts w:eastAsia="Arial"/>
              </w:rPr>
            </w:pPr>
            <w:r w:rsidRPr="008819AF">
              <w:rPr>
                <w:rFonts w:eastAsia="Arial"/>
              </w:rPr>
              <w:t>6. Po každej kontrole na mieste príslušný orgán vypracuje správu, ktorá opíše relevantné zistenia o tom, či zariadenie dodržiava podmienky povolenia, aj závery o tom, či sú potrebné ďalšie opatrenia.</w:t>
            </w:r>
          </w:p>
          <w:p w14:paraId="15131B6D" w14:textId="77777777" w:rsidR="007170C3" w:rsidRPr="008819AF" w:rsidRDefault="007170C3" w:rsidP="0021052F">
            <w:pPr>
              <w:ind w:left="215" w:hanging="215"/>
              <w:rPr>
                <w:rFonts w:eastAsia="Arial"/>
              </w:rPr>
            </w:pPr>
          </w:p>
          <w:p w14:paraId="15131B6E" w14:textId="77777777" w:rsidR="007170C3" w:rsidRPr="008819AF" w:rsidRDefault="006F0418" w:rsidP="0021052F">
            <w:pPr>
              <w:ind w:left="215" w:hanging="1"/>
              <w:rPr>
                <w:rFonts w:eastAsia="Arial"/>
              </w:rPr>
            </w:pPr>
            <w:r w:rsidRPr="008819AF">
              <w:rPr>
                <w:rFonts w:eastAsia="Arial"/>
              </w:rPr>
              <w:t>Správa sa oznámi dotknutému prevádzkovateľovi do dvoch mesiacov od uskutočnenia kontroly na mieste. Správu sprístupní verejnosti príslušný orgán v súlade so smernicou Európskeho parlamentu a Rady 2003/4/ES z 28. januára 2003 o prístupe verejnosti k informáciám o životnom prostredí(2)  do štyroch mesiacov od uskutočnenia kontroly na mieste.</w:t>
            </w:r>
          </w:p>
          <w:p w14:paraId="15131B6F" w14:textId="77777777" w:rsidR="007170C3" w:rsidRPr="008819AF" w:rsidRDefault="007170C3" w:rsidP="0021052F">
            <w:pPr>
              <w:ind w:left="215" w:hanging="1"/>
              <w:rPr>
                <w:rFonts w:eastAsia="Arial"/>
              </w:rPr>
            </w:pPr>
          </w:p>
          <w:p w14:paraId="15131B70" w14:textId="77777777" w:rsidR="007170C3" w:rsidRPr="008819AF" w:rsidRDefault="006F0418" w:rsidP="0021052F">
            <w:pPr>
              <w:ind w:left="215" w:hanging="1"/>
              <w:rPr>
                <w:rFonts w:eastAsia="Arial"/>
              </w:rPr>
            </w:pPr>
            <w:r w:rsidRPr="008819AF">
              <w:rPr>
                <w:rFonts w:eastAsia="Arial"/>
              </w:rPr>
              <w:t>Bez toho, aby bol dotknutý článok 8 ods. 2, príslušný orgán zabezpečí, aby prevádzkovateľ prijal v primeranej lehote všetky potrebné opatrenia, ktoré sú uvedené v správe.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B71"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B72"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B73"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B74"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B75"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B76" w14:textId="77777777" w:rsidR="007170C3" w:rsidRPr="008819AF" w:rsidRDefault="007170C3" w:rsidP="0021052F">
            <w:pPr>
              <w:ind w:left="215" w:hanging="215"/>
              <w:rPr>
                <w:rFonts w:eastAsia="Arial"/>
              </w:rPr>
            </w:pPr>
          </w:p>
        </w:tc>
      </w:tr>
      <w:tr w:rsidR="00F80158" w:rsidRPr="008819AF" w14:paraId="15131B95"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B78" w14:textId="77777777" w:rsidR="007170C3" w:rsidRPr="008819AF" w:rsidRDefault="006F0418" w:rsidP="003E351D">
            <w:pPr>
              <w:ind w:right="-70"/>
              <w:rPr>
                <w:rFonts w:eastAsia="Arial"/>
                <w:lang w:bidi="cs-CZ"/>
              </w:rPr>
            </w:pPr>
            <w:r w:rsidRPr="008819AF">
              <w:rPr>
                <w:rFonts w:eastAsia="Arial"/>
                <w:lang w:bidi="cs-CZ"/>
              </w:rPr>
              <w:lastRenderedPageBreak/>
              <w:t>Č:24</w:t>
            </w:r>
          </w:p>
        </w:tc>
        <w:tc>
          <w:tcPr>
            <w:tcW w:w="6227" w:type="dxa"/>
            <w:gridSpan w:val="2"/>
            <w:tcBorders>
              <w:top w:val="single" w:sz="4" w:space="0" w:color="000000"/>
              <w:left w:val="single" w:sz="6" w:space="0" w:color="000000"/>
              <w:bottom w:val="single" w:sz="4" w:space="0" w:color="000000"/>
              <w:right w:val="single" w:sz="6" w:space="0" w:color="000000"/>
            </w:tcBorders>
          </w:tcPr>
          <w:p w14:paraId="15131B79" w14:textId="77777777" w:rsidR="007170C3" w:rsidRPr="008819AF" w:rsidRDefault="006F0418" w:rsidP="0021052F">
            <w:pPr>
              <w:ind w:hanging="1"/>
              <w:rPr>
                <w:rFonts w:eastAsia="Arial"/>
              </w:rPr>
            </w:pPr>
            <w:r w:rsidRPr="008819AF">
              <w:rPr>
                <w:rFonts w:eastAsia="Arial"/>
              </w:rPr>
              <w:t>Článok 24</w:t>
            </w:r>
          </w:p>
          <w:p w14:paraId="15131B7A" w14:textId="77777777" w:rsidR="007170C3" w:rsidRPr="008819AF" w:rsidRDefault="006F0418" w:rsidP="0021052F">
            <w:pPr>
              <w:ind w:hanging="1"/>
              <w:rPr>
                <w:rFonts w:eastAsia="Arial"/>
              </w:rPr>
            </w:pPr>
            <w:r w:rsidRPr="008819AF">
              <w:rPr>
                <w:rFonts w:eastAsia="Arial"/>
              </w:rPr>
              <w:t>Prístup k informáciám a účasť verejnosti na povoľovacom konaní</w:t>
            </w:r>
          </w:p>
          <w:p w14:paraId="15131B7B" w14:textId="77777777" w:rsidR="007170C3" w:rsidRPr="008819AF" w:rsidRDefault="006F0418" w:rsidP="0021052F">
            <w:pPr>
              <w:ind w:left="215" w:hanging="215"/>
              <w:rPr>
                <w:rFonts w:eastAsia="Arial"/>
              </w:rPr>
            </w:pPr>
            <w:r w:rsidRPr="008819AF">
              <w:rPr>
                <w:rFonts w:eastAsia="Arial"/>
              </w:rPr>
              <w:t>1. Členské štáty zabezpečia, aby sa dotknutej verejnosti poskytli včasné a účinné príležitosti zúčastniť sa týchto konaní:</w:t>
            </w:r>
          </w:p>
          <w:p w14:paraId="15131B7C" w14:textId="77777777" w:rsidR="007170C3" w:rsidRPr="008819AF" w:rsidRDefault="006F0418" w:rsidP="009C63CF">
            <w:pPr>
              <w:numPr>
                <w:ilvl w:val="0"/>
                <w:numId w:val="16"/>
              </w:numPr>
              <w:tabs>
                <w:tab w:val="left" w:pos="227"/>
              </w:tabs>
              <w:spacing w:before="120"/>
              <w:ind w:left="442"/>
              <w:rPr>
                <w:rFonts w:eastAsia="Arial"/>
              </w:rPr>
            </w:pPr>
            <w:r w:rsidRPr="008819AF">
              <w:rPr>
                <w:rFonts w:eastAsia="Arial"/>
              </w:rPr>
              <w:t>udelenie povolenia pre nové zariadenia;</w:t>
            </w:r>
          </w:p>
          <w:p w14:paraId="15131B7D" w14:textId="77777777" w:rsidR="007170C3" w:rsidRPr="008819AF" w:rsidRDefault="006F0418" w:rsidP="009C63CF">
            <w:pPr>
              <w:numPr>
                <w:ilvl w:val="0"/>
                <w:numId w:val="16"/>
              </w:numPr>
              <w:tabs>
                <w:tab w:val="left" w:pos="227"/>
              </w:tabs>
              <w:spacing w:before="120"/>
              <w:ind w:left="442"/>
              <w:rPr>
                <w:rFonts w:eastAsia="Arial"/>
              </w:rPr>
            </w:pPr>
            <w:r w:rsidRPr="008819AF">
              <w:rPr>
                <w:rFonts w:eastAsia="Arial"/>
              </w:rPr>
              <w:t>udelenie povolenia na akúkoľvek podstatnú zmenu;</w:t>
            </w:r>
          </w:p>
          <w:p w14:paraId="15131B7E" w14:textId="77777777" w:rsidR="007170C3" w:rsidRPr="008819AF" w:rsidRDefault="006F0418" w:rsidP="009C63CF">
            <w:pPr>
              <w:numPr>
                <w:ilvl w:val="0"/>
                <w:numId w:val="16"/>
              </w:numPr>
              <w:tabs>
                <w:tab w:val="left" w:pos="227"/>
              </w:tabs>
              <w:spacing w:before="120"/>
              <w:ind w:left="442"/>
              <w:rPr>
                <w:rFonts w:eastAsia="Arial"/>
              </w:rPr>
            </w:pPr>
            <w:r w:rsidRPr="008819AF">
              <w:rPr>
                <w:rFonts w:eastAsia="Arial"/>
              </w:rPr>
              <w:t>udelenie alebo aktualizácia povolenia pre zariadenie, kde sa navrhuje uplatňovanie článku 15 ods. 4;</w:t>
            </w:r>
          </w:p>
          <w:p w14:paraId="15131B7F" w14:textId="77777777" w:rsidR="007170C3" w:rsidRPr="008819AF" w:rsidRDefault="006F0418" w:rsidP="009C63CF">
            <w:pPr>
              <w:numPr>
                <w:ilvl w:val="0"/>
                <w:numId w:val="16"/>
              </w:numPr>
              <w:tabs>
                <w:tab w:val="left" w:pos="227"/>
              </w:tabs>
              <w:spacing w:before="120"/>
              <w:ind w:left="442"/>
              <w:rPr>
                <w:rFonts w:eastAsia="Arial"/>
              </w:rPr>
            </w:pPr>
            <w:r w:rsidRPr="008819AF">
              <w:rPr>
                <w:rFonts w:eastAsia="Arial"/>
              </w:rPr>
              <w:t>aktualizácia povolenia alebo podmienok povolenia pre zariadenie v súlade s článkom 21 ods. 5 písm. a).</w:t>
            </w:r>
          </w:p>
          <w:p w14:paraId="15131B80" w14:textId="77777777" w:rsidR="007170C3" w:rsidRPr="008819AF" w:rsidRDefault="006F0418" w:rsidP="0021052F">
            <w:pPr>
              <w:ind w:left="215" w:hanging="1"/>
              <w:rPr>
                <w:rFonts w:eastAsia="Arial"/>
              </w:rPr>
            </w:pPr>
            <w:r w:rsidRPr="008819AF">
              <w:rPr>
                <w:rFonts w:eastAsia="Arial"/>
              </w:rPr>
              <w:lastRenderedPageBreak/>
              <w:t>Na takúto účasť sa uplatňuje postup stanovený v prílohe IV.</w:t>
            </w:r>
          </w:p>
          <w:p w14:paraId="15131B81" w14:textId="77777777" w:rsidR="007170C3" w:rsidRPr="008819AF" w:rsidRDefault="007170C3" w:rsidP="0021052F">
            <w:pPr>
              <w:ind w:left="215" w:hanging="215"/>
              <w:rPr>
                <w:rFonts w:eastAsia="Arial"/>
              </w:rPr>
            </w:pPr>
          </w:p>
          <w:p w14:paraId="15131B82" w14:textId="77777777" w:rsidR="007170C3" w:rsidRPr="008819AF" w:rsidRDefault="006F0418" w:rsidP="0021052F">
            <w:pPr>
              <w:ind w:left="215" w:hanging="215"/>
              <w:rPr>
                <w:rFonts w:eastAsia="Arial"/>
              </w:rPr>
            </w:pPr>
            <w:r w:rsidRPr="008819AF">
              <w:rPr>
                <w:rFonts w:eastAsia="Arial"/>
              </w:rPr>
              <w:t>2. Ak sa prijalo rozhodnutie o udelení, prehodnotení alebo aktualizácii povolenia, príslušný orgán sprístupní verejnosti v súvislosti s písmenami a), b) a f) aj na internete tieto informácie:</w:t>
            </w:r>
          </w:p>
          <w:p w14:paraId="15131B83" w14:textId="77777777" w:rsidR="007170C3" w:rsidRPr="008819AF" w:rsidRDefault="006F0418" w:rsidP="009C63CF">
            <w:pPr>
              <w:numPr>
                <w:ilvl w:val="0"/>
                <w:numId w:val="17"/>
              </w:numPr>
              <w:tabs>
                <w:tab w:val="left" w:pos="227"/>
              </w:tabs>
              <w:spacing w:before="120"/>
              <w:ind w:left="442"/>
              <w:rPr>
                <w:rFonts w:eastAsia="Arial"/>
              </w:rPr>
            </w:pPr>
            <w:r w:rsidRPr="008819AF">
              <w:rPr>
                <w:rFonts w:eastAsia="Arial"/>
              </w:rPr>
              <w:t>obsah rozhodnutia, vrátane kópie povolenia a akýchkoľvek následných aktualizácií;</w:t>
            </w:r>
          </w:p>
          <w:p w14:paraId="15131B84" w14:textId="77777777" w:rsidR="007170C3" w:rsidRPr="008819AF" w:rsidRDefault="006F0418" w:rsidP="009C63CF">
            <w:pPr>
              <w:numPr>
                <w:ilvl w:val="0"/>
                <w:numId w:val="17"/>
              </w:numPr>
              <w:tabs>
                <w:tab w:val="left" w:pos="227"/>
              </w:tabs>
              <w:spacing w:before="120"/>
              <w:ind w:left="442"/>
              <w:rPr>
                <w:rFonts w:eastAsia="Arial"/>
              </w:rPr>
            </w:pPr>
            <w:r w:rsidRPr="008819AF">
              <w:rPr>
                <w:rFonts w:eastAsia="Arial"/>
              </w:rPr>
              <w:t>dôvody, na ktorých sa rozhodnutie zakladá;</w:t>
            </w:r>
          </w:p>
          <w:p w14:paraId="15131B85" w14:textId="77777777" w:rsidR="007170C3" w:rsidRPr="008819AF" w:rsidRDefault="006F0418" w:rsidP="009C63CF">
            <w:pPr>
              <w:numPr>
                <w:ilvl w:val="0"/>
                <w:numId w:val="17"/>
              </w:numPr>
              <w:tabs>
                <w:tab w:val="left" w:pos="227"/>
              </w:tabs>
              <w:spacing w:before="120"/>
              <w:ind w:left="442"/>
              <w:rPr>
                <w:rFonts w:eastAsia="Arial"/>
              </w:rPr>
            </w:pPr>
            <w:r w:rsidRPr="008819AF">
              <w:rPr>
                <w:rFonts w:eastAsia="Arial"/>
              </w:rPr>
              <w:t>výsledky konzultácií uskutočnených pred prijatím rozhodnutia a vysvetlenie spôsobu, akým boli v rozhodnutí zohľadnené;</w:t>
            </w:r>
          </w:p>
          <w:p w14:paraId="15131B86" w14:textId="77777777" w:rsidR="007170C3" w:rsidRPr="008819AF" w:rsidRDefault="006F0418" w:rsidP="009C63CF">
            <w:pPr>
              <w:numPr>
                <w:ilvl w:val="0"/>
                <w:numId w:val="17"/>
              </w:numPr>
              <w:tabs>
                <w:tab w:val="left" w:pos="227"/>
              </w:tabs>
              <w:spacing w:before="120"/>
              <w:ind w:left="442"/>
              <w:rPr>
                <w:rFonts w:eastAsia="Arial"/>
              </w:rPr>
            </w:pPr>
            <w:r w:rsidRPr="008819AF">
              <w:rPr>
                <w:rFonts w:eastAsia="Arial"/>
              </w:rPr>
              <w:t>názov referenčných dokumentov o BAT, ktoré sú relevantné pre dotknuté zariadenie alebo dotknutú činnosť;</w:t>
            </w:r>
          </w:p>
          <w:p w14:paraId="15131B87" w14:textId="77777777" w:rsidR="007170C3" w:rsidRPr="008819AF" w:rsidRDefault="006F0418" w:rsidP="009C63CF">
            <w:pPr>
              <w:numPr>
                <w:ilvl w:val="0"/>
                <w:numId w:val="17"/>
              </w:numPr>
              <w:tabs>
                <w:tab w:val="left" w:pos="227"/>
              </w:tabs>
              <w:spacing w:before="120"/>
              <w:ind w:left="442"/>
              <w:rPr>
                <w:rFonts w:eastAsia="Arial"/>
              </w:rPr>
            </w:pPr>
            <w:r w:rsidRPr="008819AF">
              <w:rPr>
                <w:rFonts w:eastAsia="Arial"/>
              </w:rPr>
              <w:t>spôsob určenia podmienok povolenia uvedených v článku 14 vrátane emisných limitov v súvislosti s najlepšími dostupnými technikami a úrovňami znečisťovania súvisiacimi s najlepšími dostupnými technikami;</w:t>
            </w:r>
          </w:p>
          <w:p w14:paraId="15131B88" w14:textId="77777777" w:rsidR="007170C3" w:rsidRPr="008819AF" w:rsidRDefault="006F0418" w:rsidP="009C63CF">
            <w:pPr>
              <w:numPr>
                <w:ilvl w:val="0"/>
                <w:numId w:val="17"/>
              </w:numPr>
              <w:tabs>
                <w:tab w:val="left" w:pos="227"/>
              </w:tabs>
              <w:spacing w:before="120"/>
              <w:ind w:left="442"/>
              <w:rPr>
                <w:rFonts w:eastAsia="Arial"/>
              </w:rPr>
            </w:pPr>
            <w:r w:rsidRPr="008819AF">
              <w:rPr>
                <w:rFonts w:eastAsia="Arial"/>
              </w:rPr>
              <w:t>v prípade udelenia výnimky podľa článku 15 ods. 4 konkrétne dôvody tejto výnimky na základe kritérií stanovených v uvedenom odseku a uložené podmienky.</w:t>
            </w:r>
          </w:p>
          <w:p w14:paraId="15131B89" w14:textId="77777777" w:rsidR="007170C3" w:rsidRPr="008819AF" w:rsidRDefault="007170C3" w:rsidP="0021052F">
            <w:pPr>
              <w:ind w:left="215" w:hanging="215"/>
              <w:rPr>
                <w:rFonts w:eastAsia="Arial"/>
              </w:rPr>
            </w:pPr>
          </w:p>
          <w:p w14:paraId="15131B8A" w14:textId="77777777" w:rsidR="007170C3" w:rsidRPr="008819AF" w:rsidRDefault="006F0418" w:rsidP="0021052F">
            <w:pPr>
              <w:ind w:left="215" w:hanging="215"/>
              <w:rPr>
                <w:rFonts w:eastAsia="Arial"/>
              </w:rPr>
            </w:pPr>
            <w:r w:rsidRPr="008819AF">
              <w:rPr>
                <w:rFonts w:eastAsia="Arial"/>
              </w:rPr>
              <w:t>3. Príslušný orgán sprístupní tiež verejnosti, a to aj prostredníctvom internetu, najmenej vo vzťahu k písmenu a):</w:t>
            </w:r>
          </w:p>
          <w:p w14:paraId="15131B8B" w14:textId="77777777" w:rsidR="007170C3" w:rsidRPr="008819AF" w:rsidRDefault="006F0418" w:rsidP="009C63CF">
            <w:pPr>
              <w:numPr>
                <w:ilvl w:val="0"/>
                <w:numId w:val="18"/>
              </w:numPr>
              <w:tabs>
                <w:tab w:val="left" w:pos="227"/>
              </w:tabs>
              <w:spacing w:before="120"/>
              <w:ind w:left="442"/>
              <w:rPr>
                <w:rFonts w:eastAsia="Arial"/>
              </w:rPr>
            </w:pPr>
            <w:r w:rsidRPr="008819AF">
              <w:rPr>
                <w:rFonts w:eastAsia="Arial"/>
              </w:rPr>
              <w:t>relevantné informácie o opatreniach, ktoré prevádzkovateľ prijal po definitívnom ukončení činností v súlade s článkom 22;</w:t>
            </w:r>
          </w:p>
          <w:p w14:paraId="15131B8C" w14:textId="77777777" w:rsidR="007170C3" w:rsidRPr="008819AF" w:rsidRDefault="006F0418" w:rsidP="009C63CF">
            <w:pPr>
              <w:numPr>
                <w:ilvl w:val="0"/>
                <w:numId w:val="18"/>
              </w:numPr>
              <w:tabs>
                <w:tab w:val="left" w:pos="227"/>
              </w:tabs>
              <w:spacing w:before="120"/>
              <w:ind w:left="442"/>
              <w:rPr>
                <w:rFonts w:eastAsia="Arial"/>
              </w:rPr>
            </w:pPr>
            <w:r w:rsidRPr="008819AF">
              <w:rPr>
                <w:rFonts w:eastAsia="Arial"/>
              </w:rPr>
              <w:t>výsledky monitorovania emisií na základe podmienok povolenia, ktoré má príslušný orgán.</w:t>
            </w:r>
          </w:p>
          <w:p w14:paraId="15131B8D" w14:textId="77777777" w:rsidR="007170C3" w:rsidRPr="008819AF" w:rsidRDefault="007170C3" w:rsidP="0021052F">
            <w:pPr>
              <w:ind w:left="215" w:hanging="215"/>
              <w:rPr>
                <w:rFonts w:eastAsia="Arial"/>
              </w:rPr>
            </w:pPr>
          </w:p>
          <w:p w14:paraId="15131B8E" w14:textId="77777777" w:rsidR="007170C3" w:rsidRPr="008819AF" w:rsidRDefault="006F0418" w:rsidP="0021052F">
            <w:pPr>
              <w:ind w:left="215" w:hanging="215"/>
              <w:rPr>
                <w:rFonts w:eastAsia="Arial"/>
              </w:rPr>
            </w:pPr>
            <w:r w:rsidRPr="008819AF">
              <w:rPr>
                <w:rFonts w:eastAsia="Arial"/>
              </w:rPr>
              <w:t>4. Odseky 1, 2 a 3 tohto článku sa uplatňujú bez toho, aby boli dotknuté obmedzenia ustanovené v článku 4 ods. 1 a 2 smernice 2003/4/ES.</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B8F"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B90"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B91"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B92" w14:textId="77777777" w:rsidR="007170C3" w:rsidRPr="008819AF" w:rsidRDefault="007170C3" w:rsidP="0021052F">
            <w:pPr>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B93"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B94" w14:textId="77777777" w:rsidR="007170C3" w:rsidRPr="008819AF" w:rsidRDefault="007170C3" w:rsidP="0021052F">
            <w:pPr>
              <w:ind w:left="215" w:hanging="215"/>
              <w:rPr>
                <w:rFonts w:eastAsia="Arial"/>
              </w:rPr>
            </w:pPr>
          </w:p>
        </w:tc>
      </w:tr>
      <w:tr w:rsidR="00F80158" w:rsidRPr="008819AF" w14:paraId="15131BA9" w14:textId="77777777" w:rsidTr="003E351D">
        <w:trPr>
          <w:trHeight w:val="1338"/>
          <w:jc w:val="center"/>
        </w:trPr>
        <w:tc>
          <w:tcPr>
            <w:tcW w:w="483" w:type="dxa"/>
            <w:tcBorders>
              <w:top w:val="single" w:sz="4" w:space="0" w:color="000000"/>
              <w:left w:val="single" w:sz="6" w:space="0" w:color="000000"/>
              <w:bottom w:val="single" w:sz="4" w:space="0" w:color="000000"/>
              <w:right w:val="single" w:sz="6" w:space="0" w:color="000000"/>
            </w:tcBorders>
          </w:tcPr>
          <w:p w14:paraId="15131B96" w14:textId="77777777" w:rsidR="007170C3" w:rsidRPr="008819AF" w:rsidRDefault="006F0418" w:rsidP="003E351D">
            <w:pPr>
              <w:ind w:right="-70"/>
              <w:rPr>
                <w:rFonts w:eastAsia="Arial"/>
                <w:lang w:bidi="cs-CZ"/>
              </w:rPr>
            </w:pPr>
            <w:r w:rsidRPr="008819AF">
              <w:rPr>
                <w:rFonts w:eastAsia="Arial"/>
                <w:lang w:bidi="cs-CZ"/>
              </w:rPr>
              <w:t>Č:25</w:t>
            </w:r>
          </w:p>
        </w:tc>
        <w:tc>
          <w:tcPr>
            <w:tcW w:w="6227" w:type="dxa"/>
            <w:gridSpan w:val="2"/>
            <w:tcBorders>
              <w:top w:val="single" w:sz="4" w:space="0" w:color="000000"/>
              <w:left w:val="single" w:sz="6" w:space="0" w:color="000000"/>
              <w:bottom w:val="single" w:sz="4" w:space="0" w:color="000000"/>
              <w:right w:val="single" w:sz="6" w:space="0" w:color="000000"/>
            </w:tcBorders>
          </w:tcPr>
          <w:p w14:paraId="15131B97" w14:textId="77777777" w:rsidR="007170C3" w:rsidRPr="008819AF" w:rsidRDefault="006F0418" w:rsidP="0021052F">
            <w:pPr>
              <w:ind w:left="215" w:hanging="215"/>
              <w:rPr>
                <w:rFonts w:eastAsia="Arial"/>
              </w:rPr>
            </w:pPr>
            <w:r w:rsidRPr="008819AF">
              <w:rPr>
                <w:rFonts w:eastAsia="Arial"/>
              </w:rPr>
              <w:t>Článok 25</w:t>
            </w:r>
          </w:p>
          <w:p w14:paraId="15131B98" w14:textId="77777777" w:rsidR="007170C3" w:rsidRPr="008819AF" w:rsidRDefault="006F0418" w:rsidP="0021052F">
            <w:pPr>
              <w:ind w:left="215" w:hanging="215"/>
              <w:rPr>
                <w:rFonts w:eastAsia="Arial"/>
              </w:rPr>
            </w:pPr>
            <w:r w:rsidRPr="008819AF">
              <w:rPr>
                <w:rFonts w:eastAsia="Arial"/>
              </w:rPr>
              <w:t>Prístup k spravodlivosti</w:t>
            </w:r>
          </w:p>
          <w:p w14:paraId="15131B99" w14:textId="77777777" w:rsidR="007170C3" w:rsidRPr="008819AF" w:rsidRDefault="006F0418" w:rsidP="00003DE9">
            <w:pPr>
              <w:spacing w:before="120"/>
              <w:ind w:left="215" w:hanging="215"/>
              <w:rPr>
                <w:rFonts w:eastAsia="Arial"/>
              </w:rPr>
            </w:pPr>
            <w:r w:rsidRPr="008819AF">
              <w:rPr>
                <w:rFonts w:eastAsia="Arial"/>
              </w:rPr>
              <w:t xml:space="preserve">1. Členské štáty zaistia, aby v súlade s príslušným vnútroštátnym právnym systémom, dotknutá verejnosť mala prístup k opravným prostriedkom pred súdom alebo iným nezávislým a nestranným orgánom ustanoveným na základe zákona s cieľom napadnúť vecnú a procesnú zákonnosť rozhodnutia, skutku alebo opomenutia, ktoré sú predmetom článku 24, ak </w:t>
            </w:r>
            <w:r w:rsidRPr="008819AF">
              <w:rPr>
                <w:rFonts w:eastAsia="Arial"/>
              </w:rPr>
              <w:lastRenderedPageBreak/>
              <w:t>je splnená jedna z týchto podmienok:</w:t>
            </w:r>
          </w:p>
          <w:p w14:paraId="15131B9A" w14:textId="77777777" w:rsidR="007170C3" w:rsidRPr="008819AF" w:rsidRDefault="006F0418" w:rsidP="009C63CF">
            <w:pPr>
              <w:numPr>
                <w:ilvl w:val="0"/>
                <w:numId w:val="19"/>
              </w:numPr>
              <w:tabs>
                <w:tab w:val="left" w:pos="227"/>
              </w:tabs>
              <w:ind w:left="441"/>
              <w:rPr>
                <w:rFonts w:eastAsia="Arial"/>
              </w:rPr>
            </w:pPr>
            <w:r w:rsidRPr="008819AF">
              <w:rPr>
                <w:rFonts w:eastAsia="Arial"/>
              </w:rPr>
              <w:t>existuje dostatočný záujem;</w:t>
            </w:r>
          </w:p>
          <w:p w14:paraId="15131B9B" w14:textId="77777777" w:rsidR="007170C3" w:rsidRPr="008819AF" w:rsidRDefault="006F0418" w:rsidP="009C63CF">
            <w:pPr>
              <w:numPr>
                <w:ilvl w:val="0"/>
                <w:numId w:val="19"/>
              </w:numPr>
              <w:tabs>
                <w:tab w:val="left" w:pos="227"/>
              </w:tabs>
              <w:spacing w:after="120"/>
              <w:ind w:left="442"/>
              <w:rPr>
                <w:rFonts w:eastAsia="Arial"/>
              </w:rPr>
            </w:pPr>
            <w:r w:rsidRPr="008819AF">
              <w:rPr>
                <w:rFonts w:eastAsia="Arial"/>
              </w:rPr>
              <w:t>ak pretrváva porušovanie práva v prípadoch, keď to právne predpisy členského štátu upravujúce správne konanie požadujú ako predbežnú podmienku.</w:t>
            </w:r>
          </w:p>
          <w:p w14:paraId="15131B9C" w14:textId="77777777" w:rsidR="007170C3" w:rsidRPr="008819AF" w:rsidRDefault="006F0418" w:rsidP="0021052F">
            <w:pPr>
              <w:ind w:left="215" w:hanging="215"/>
              <w:rPr>
                <w:rFonts w:eastAsia="Arial"/>
              </w:rPr>
            </w:pPr>
            <w:r w:rsidRPr="008819AF">
              <w:rPr>
                <w:rFonts w:eastAsia="Arial"/>
              </w:rPr>
              <w:t>2. Členské štáty určia, v akom štádiu možno napadnúť rozhodnutia, skutky alebo opomenutie.</w:t>
            </w:r>
          </w:p>
          <w:p w14:paraId="15131B9D" w14:textId="77777777" w:rsidR="007170C3" w:rsidRPr="008819AF" w:rsidRDefault="006F0418" w:rsidP="00003DE9">
            <w:pPr>
              <w:spacing w:before="120"/>
              <w:ind w:left="215" w:hanging="215"/>
              <w:rPr>
                <w:rFonts w:eastAsia="Arial"/>
              </w:rPr>
            </w:pPr>
            <w:r w:rsidRPr="008819AF">
              <w:rPr>
                <w:rFonts w:eastAsia="Arial"/>
              </w:rPr>
              <w:t>3. O tom, čo predstavuje dostatočný záujem a porušovanie práva, rozhodnú členské štáty v súlade s cieľom poskytnúť dotknutej verejnosti široký prístup k spravodlivosti.</w:t>
            </w:r>
          </w:p>
          <w:p w14:paraId="15131B9E" w14:textId="77777777" w:rsidR="007170C3" w:rsidRPr="008819AF" w:rsidRDefault="006F0418" w:rsidP="0021052F">
            <w:pPr>
              <w:ind w:left="215" w:hanging="1"/>
              <w:rPr>
                <w:rFonts w:eastAsia="Arial"/>
              </w:rPr>
            </w:pPr>
            <w:r w:rsidRPr="008819AF">
              <w:rPr>
                <w:rFonts w:eastAsia="Arial"/>
              </w:rPr>
              <w:t>Na tento účel sa záujem akejkoľvek mimovládnej organizácie, ktorá presadzuje ochranu životného prostredia a spĺňa všetky požiadavky podľa vnútroštátneho práva, považuje za dostatočný na účely odseku 1 písm. a).</w:t>
            </w:r>
          </w:p>
          <w:p w14:paraId="15131B9F" w14:textId="77777777" w:rsidR="007170C3" w:rsidRPr="008819AF" w:rsidRDefault="006F0418" w:rsidP="0021052F">
            <w:pPr>
              <w:ind w:left="215" w:hanging="1"/>
              <w:rPr>
                <w:rFonts w:eastAsia="Arial"/>
              </w:rPr>
            </w:pPr>
            <w:r w:rsidRPr="008819AF">
              <w:rPr>
                <w:rFonts w:eastAsia="Arial"/>
              </w:rPr>
              <w:t>Tieto organizácie sa takisto považujú za organizácie, ktorých práva môžu byť porušené na účely odseku 1 písm. b).</w:t>
            </w:r>
          </w:p>
          <w:p w14:paraId="15131BA0" w14:textId="77777777" w:rsidR="007170C3" w:rsidRPr="008819AF" w:rsidRDefault="006F0418" w:rsidP="00003DE9">
            <w:pPr>
              <w:spacing w:before="120"/>
              <w:ind w:left="215" w:hanging="215"/>
              <w:rPr>
                <w:rFonts w:eastAsia="Arial"/>
              </w:rPr>
            </w:pPr>
            <w:r w:rsidRPr="008819AF">
              <w:rPr>
                <w:rFonts w:eastAsia="Arial"/>
              </w:rPr>
              <w:t>4. Odseky 1, 2 a 3 nevylučujú možnosť predbežného preskúmania správnym orgánom a nie je nimi dotknutá požiadavka vyčerpania správnych opravných prostriedkov pred súdnymi opravnými prostriedkami, ak takáto požiadavka vyplýva z vnútroštátneho práva.</w:t>
            </w:r>
          </w:p>
          <w:p w14:paraId="15131BA1" w14:textId="77777777" w:rsidR="007170C3" w:rsidRPr="008819AF" w:rsidRDefault="006F0418" w:rsidP="0021052F">
            <w:pPr>
              <w:ind w:left="215" w:hanging="1"/>
              <w:rPr>
                <w:rFonts w:eastAsia="Arial"/>
              </w:rPr>
            </w:pPr>
            <w:r w:rsidRPr="008819AF">
              <w:rPr>
                <w:rFonts w:eastAsia="Arial"/>
              </w:rPr>
              <w:t>Každé takéto konanie musí byť spravodlivé, včasné a nie nedostupne drahé.</w:t>
            </w:r>
          </w:p>
          <w:p w14:paraId="15131BA2" w14:textId="77777777" w:rsidR="007170C3" w:rsidRPr="008819AF" w:rsidRDefault="006F0418" w:rsidP="00003DE9">
            <w:pPr>
              <w:spacing w:before="120"/>
              <w:ind w:left="215" w:hanging="215"/>
              <w:rPr>
                <w:rFonts w:eastAsia="Arial"/>
              </w:rPr>
            </w:pPr>
            <w:r w:rsidRPr="008819AF">
              <w:rPr>
                <w:rFonts w:eastAsia="Arial"/>
              </w:rPr>
              <w:t>5. Členské štáty zabezpečia, aby boli verejnosti dostupné praktické informácie o prístupe k správnemu a súdnemu preskúmaniu.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BA3" w14:textId="77777777" w:rsidR="007170C3" w:rsidRPr="008819AF" w:rsidRDefault="006F0418" w:rsidP="0021052F">
            <w:pPr>
              <w:ind w:left="-70" w:right="-68" w:hanging="6"/>
              <w:jc w:val="center"/>
              <w:rPr>
                <w:rFonts w:eastAsia="Arial"/>
                <w:lang w:bidi="cs-CZ"/>
              </w:rPr>
            </w:pPr>
            <w:r w:rsidRPr="008819AF">
              <w:rPr>
                <w:rFonts w:eastAsia="Arial"/>
                <w:lang w:bidi="cs-CZ"/>
              </w:rPr>
              <w:lastRenderedPageBreak/>
              <w:t>n.a.</w:t>
            </w:r>
          </w:p>
        </w:tc>
        <w:tc>
          <w:tcPr>
            <w:tcW w:w="543" w:type="dxa"/>
            <w:gridSpan w:val="2"/>
            <w:tcBorders>
              <w:top w:val="single" w:sz="4" w:space="0" w:color="000000"/>
              <w:left w:val="single" w:sz="6" w:space="0" w:color="000000"/>
              <w:bottom w:val="single" w:sz="4" w:space="0" w:color="000000"/>
              <w:right w:val="single" w:sz="6" w:space="0" w:color="000000"/>
            </w:tcBorders>
          </w:tcPr>
          <w:p w14:paraId="15131BA4"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BA5"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BA6" w14:textId="77777777" w:rsidR="007170C3" w:rsidRPr="008819AF" w:rsidRDefault="007170C3" w:rsidP="0021052F">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15131BA7"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BA8" w14:textId="77777777" w:rsidR="007170C3" w:rsidRPr="008819AF" w:rsidRDefault="007170C3" w:rsidP="0021052F">
            <w:pPr>
              <w:ind w:left="215" w:hanging="215"/>
              <w:rPr>
                <w:rFonts w:eastAsia="Arial"/>
              </w:rPr>
            </w:pPr>
          </w:p>
        </w:tc>
      </w:tr>
      <w:tr w:rsidR="00F80158" w:rsidRPr="008819AF" w14:paraId="15131BB8"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BAA" w14:textId="77777777" w:rsidR="007170C3" w:rsidRPr="008819AF" w:rsidRDefault="006F0418" w:rsidP="003E351D">
            <w:pPr>
              <w:ind w:right="-70"/>
              <w:rPr>
                <w:rFonts w:eastAsia="Arial"/>
                <w:lang w:bidi="cs-CZ"/>
              </w:rPr>
            </w:pPr>
            <w:r w:rsidRPr="008819AF">
              <w:rPr>
                <w:rFonts w:eastAsia="Arial"/>
                <w:lang w:bidi="cs-CZ"/>
              </w:rPr>
              <w:t>Č:26</w:t>
            </w:r>
          </w:p>
        </w:tc>
        <w:tc>
          <w:tcPr>
            <w:tcW w:w="6227" w:type="dxa"/>
            <w:gridSpan w:val="2"/>
            <w:tcBorders>
              <w:top w:val="single" w:sz="4" w:space="0" w:color="000000"/>
              <w:left w:val="single" w:sz="6" w:space="0" w:color="000000"/>
              <w:bottom w:val="single" w:sz="4" w:space="0" w:color="000000"/>
              <w:right w:val="single" w:sz="6" w:space="0" w:color="000000"/>
            </w:tcBorders>
          </w:tcPr>
          <w:p w14:paraId="15131BAB" w14:textId="77777777" w:rsidR="007170C3" w:rsidRPr="008819AF" w:rsidRDefault="006F0418" w:rsidP="0021052F">
            <w:pPr>
              <w:ind w:left="215" w:hanging="215"/>
              <w:rPr>
                <w:rFonts w:eastAsia="Arial"/>
              </w:rPr>
            </w:pPr>
            <w:r w:rsidRPr="008819AF">
              <w:rPr>
                <w:rFonts w:eastAsia="Arial"/>
              </w:rPr>
              <w:t>Článok 26</w:t>
            </w:r>
          </w:p>
          <w:p w14:paraId="15131BAC" w14:textId="77777777" w:rsidR="007170C3" w:rsidRPr="008819AF" w:rsidRDefault="006F0418" w:rsidP="0021052F">
            <w:pPr>
              <w:ind w:left="215" w:hanging="215"/>
              <w:rPr>
                <w:rFonts w:eastAsia="Arial"/>
              </w:rPr>
            </w:pPr>
            <w:r w:rsidRPr="008819AF">
              <w:rPr>
                <w:rFonts w:eastAsia="Arial"/>
              </w:rPr>
              <w:t>Cezhraničné vplyvy</w:t>
            </w:r>
          </w:p>
          <w:p w14:paraId="15131BAD" w14:textId="77777777" w:rsidR="007170C3" w:rsidRPr="008819AF" w:rsidRDefault="006F0418" w:rsidP="00003DE9">
            <w:pPr>
              <w:spacing w:before="120"/>
              <w:ind w:left="215" w:hanging="215"/>
              <w:rPr>
                <w:rFonts w:eastAsia="Arial"/>
              </w:rPr>
            </w:pPr>
            <w:r w:rsidRPr="008819AF">
              <w:rPr>
                <w:rFonts w:eastAsia="Arial"/>
              </w:rPr>
              <w:t>1. Ak si je členský štát vedomý, že prevádzkovanie zariadenia bude mať pravdepodobne významné nepriaznivé účinky na životné prostredie iného členského štátu, alebo ak o to členský štát, ktorý bude pravdepodobne významne dotknutý, požiada, zašle členský štát, na území ktorého sa podala žiadosť o povolenie podľa článku 4 alebo článku 20 ods. 2, druhému členskému štátu akékoľvek informácie, ktoré má poskytnúť alebo sprístupniť podľa prílohy IV v rovnakom čase, ako ich sprístupní verejnosti.</w:t>
            </w:r>
          </w:p>
          <w:p w14:paraId="15131BAE" w14:textId="77777777" w:rsidR="007170C3" w:rsidRPr="008819AF" w:rsidRDefault="006F0418" w:rsidP="00003DE9">
            <w:pPr>
              <w:spacing w:before="120"/>
              <w:ind w:left="215" w:hanging="1"/>
              <w:rPr>
                <w:rFonts w:eastAsia="Arial"/>
              </w:rPr>
            </w:pPr>
            <w:r w:rsidRPr="008819AF">
              <w:rPr>
                <w:rFonts w:eastAsia="Arial"/>
              </w:rPr>
              <w:t>Takéto informácie poslúžia ako základ pre akékoľvek konzultácie potrebné v rámci bilaterálnych vzťahov medzi dvoma členskými štátmi na báze reciprocity a rovnocennosti.</w:t>
            </w:r>
          </w:p>
          <w:p w14:paraId="15131BAF" w14:textId="77777777" w:rsidR="007170C3" w:rsidRPr="008819AF" w:rsidRDefault="006F0418" w:rsidP="00003DE9">
            <w:pPr>
              <w:spacing w:before="120"/>
              <w:ind w:left="215" w:hanging="215"/>
              <w:rPr>
                <w:rFonts w:eastAsia="Arial"/>
              </w:rPr>
            </w:pPr>
            <w:r w:rsidRPr="008819AF">
              <w:rPr>
                <w:rFonts w:eastAsia="Arial"/>
              </w:rPr>
              <w:lastRenderedPageBreak/>
              <w:t>2. V rámci svojich bilaterálnych vzťahov musia členské štáty zabezpečiť, aby v prípadoch uvedených v odseku 1 boli žiadosti na primeraný čas sprístupnené aj verejnosti členského štátu, ktorého životné prostredie by mohlo byť dotknuté, aby mohla predložiť pripomienky pred tým, ako príslušný orgán prijme svoje rozhodnutie.</w:t>
            </w:r>
          </w:p>
          <w:p w14:paraId="15131BB0" w14:textId="77777777" w:rsidR="007170C3" w:rsidRPr="008819AF" w:rsidRDefault="006F0418" w:rsidP="00003DE9">
            <w:pPr>
              <w:spacing w:before="120"/>
              <w:ind w:left="215" w:hanging="215"/>
              <w:rPr>
                <w:rFonts w:eastAsia="Arial"/>
              </w:rPr>
            </w:pPr>
            <w:r w:rsidRPr="008819AF">
              <w:rPr>
                <w:rFonts w:eastAsia="Arial"/>
              </w:rPr>
              <w:t>3. Výsledky akýchkoľvek konzultácií podľa odsekov 1 a 2 sa zohľadňujú pri rozhodovaní príslušného orgánu o žiadosti.</w:t>
            </w:r>
          </w:p>
          <w:p w14:paraId="15131BB1" w14:textId="77777777" w:rsidR="007170C3" w:rsidRPr="008819AF" w:rsidRDefault="006F0418" w:rsidP="00003DE9">
            <w:pPr>
              <w:spacing w:before="120"/>
              <w:ind w:left="215" w:hanging="215"/>
              <w:rPr>
                <w:rFonts w:eastAsia="Arial"/>
              </w:rPr>
            </w:pPr>
            <w:r w:rsidRPr="008819AF">
              <w:rPr>
                <w:rFonts w:eastAsia="Arial"/>
              </w:rPr>
              <w:t>4. Príslušný orgán informuje každý členský štát, s ktorým sa uskutočnili konzultácie podľa odseku 1, o rozhodnutí prijatom v súvislosti so žiadosťou a zašle mu informácie uvedené v článku 24 ods. 2 Tento členský štát prijme potrebné opatrenia, aby zabezpečil vhodným spôsobom sprístupnenie informácií dotknutej verejnosti na svojom vlastnom území.</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BB2"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BB3"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BB4"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BB5"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BB6"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BB7" w14:textId="77777777" w:rsidR="007170C3" w:rsidRPr="008819AF" w:rsidRDefault="007170C3" w:rsidP="0021052F">
            <w:pPr>
              <w:ind w:left="215" w:hanging="215"/>
              <w:rPr>
                <w:rFonts w:eastAsia="Arial"/>
              </w:rPr>
            </w:pPr>
          </w:p>
        </w:tc>
      </w:tr>
      <w:tr w:rsidR="00F80158" w:rsidRPr="008819AF" w14:paraId="15131BC5"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BB9" w14:textId="77777777" w:rsidR="007170C3" w:rsidRPr="008819AF" w:rsidRDefault="006F0418" w:rsidP="003E351D">
            <w:pPr>
              <w:ind w:right="-70"/>
              <w:rPr>
                <w:rFonts w:eastAsia="Arial"/>
                <w:lang w:bidi="cs-CZ"/>
              </w:rPr>
            </w:pPr>
            <w:r w:rsidRPr="008819AF">
              <w:rPr>
                <w:rFonts w:eastAsia="Arial"/>
                <w:lang w:bidi="cs-CZ"/>
              </w:rPr>
              <w:t>Č:27</w:t>
            </w:r>
          </w:p>
        </w:tc>
        <w:tc>
          <w:tcPr>
            <w:tcW w:w="6227" w:type="dxa"/>
            <w:gridSpan w:val="2"/>
            <w:tcBorders>
              <w:top w:val="single" w:sz="4" w:space="0" w:color="000000"/>
              <w:left w:val="single" w:sz="6" w:space="0" w:color="000000"/>
              <w:bottom w:val="single" w:sz="4" w:space="0" w:color="000000"/>
              <w:right w:val="single" w:sz="6" w:space="0" w:color="000000"/>
            </w:tcBorders>
          </w:tcPr>
          <w:p w14:paraId="15131BBA" w14:textId="77777777" w:rsidR="007170C3" w:rsidRPr="008819AF" w:rsidRDefault="006F0418" w:rsidP="0021052F">
            <w:pPr>
              <w:ind w:left="215" w:hanging="215"/>
              <w:rPr>
                <w:rFonts w:eastAsia="Arial"/>
              </w:rPr>
            </w:pPr>
            <w:r w:rsidRPr="008819AF">
              <w:rPr>
                <w:rFonts w:eastAsia="Arial"/>
              </w:rPr>
              <w:t>Článok 27</w:t>
            </w:r>
          </w:p>
          <w:p w14:paraId="15131BBB" w14:textId="77777777" w:rsidR="007170C3" w:rsidRPr="008819AF" w:rsidRDefault="006F0418" w:rsidP="0021052F">
            <w:pPr>
              <w:ind w:left="215" w:hanging="215"/>
              <w:rPr>
                <w:rFonts w:eastAsia="Arial"/>
              </w:rPr>
            </w:pPr>
            <w:r w:rsidRPr="008819AF">
              <w:rPr>
                <w:rFonts w:eastAsia="Arial"/>
              </w:rPr>
              <w:t>Nové techniky</w:t>
            </w:r>
          </w:p>
          <w:p w14:paraId="15131BBC" w14:textId="77777777" w:rsidR="007170C3" w:rsidRPr="008819AF" w:rsidRDefault="006F0418" w:rsidP="0021052F">
            <w:pPr>
              <w:ind w:left="215" w:hanging="215"/>
              <w:rPr>
                <w:rFonts w:eastAsia="Arial"/>
              </w:rPr>
            </w:pPr>
            <w:r w:rsidRPr="008819AF">
              <w:rPr>
                <w:rFonts w:eastAsia="Arial"/>
              </w:rPr>
              <w:t>1. Členské štáty v prípade potreby podnietia vývoj a uplatňovanie nových techník, najmä pokiaľ ide o nové techniky uvedené v referenčných dokumentoch o BAT.</w:t>
            </w:r>
          </w:p>
          <w:p w14:paraId="15131BBD" w14:textId="77777777" w:rsidR="007170C3" w:rsidRPr="008819AF" w:rsidRDefault="007170C3" w:rsidP="0021052F">
            <w:pPr>
              <w:ind w:left="215" w:hanging="215"/>
              <w:rPr>
                <w:rFonts w:eastAsia="Arial"/>
              </w:rPr>
            </w:pPr>
          </w:p>
          <w:p w14:paraId="15131BBE" w14:textId="77777777" w:rsidR="007170C3" w:rsidRPr="008819AF" w:rsidRDefault="006F0418" w:rsidP="0021052F">
            <w:pPr>
              <w:ind w:left="215" w:hanging="215"/>
              <w:rPr>
                <w:rFonts w:eastAsia="Arial"/>
              </w:rPr>
            </w:pPr>
            <w:r w:rsidRPr="008819AF">
              <w:rPr>
                <w:rFonts w:eastAsia="Arial"/>
              </w:rPr>
              <w:t>2. Komisia vypracuje usmernenia na pomoc členským štátom pri podpore vývoja a uplatňovania nových techník podľa odseku 1.</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BBF" w14:textId="77777777" w:rsidR="007170C3" w:rsidRPr="008819AF" w:rsidRDefault="006F0418" w:rsidP="0021052F">
            <w:pPr>
              <w:ind w:left="-70" w:right="-68" w:hanging="6"/>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4" w:space="0" w:color="000000"/>
              <w:right w:val="single" w:sz="6" w:space="0" w:color="000000"/>
            </w:tcBorders>
          </w:tcPr>
          <w:p w14:paraId="15131BC0"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BC1"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BC2" w14:textId="77777777" w:rsidR="007170C3" w:rsidRPr="008819AF" w:rsidRDefault="007170C3" w:rsidP="0021052F">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15131BC3"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BC4" w14:textId="77777777" w:rsidR="007170C3" w:rsidRPr="008819AF" w:rsidRDefault="007170C3" w:rsidP="0021052F">
            <w:pPr>
              <w:ind w:left="215" w:hanging="215"/>
              <w:rPr>
                <w:rFonts w:eastAsia="Arial"/>
              </w:rPr>
            </w:pPr>
          </w:p>
        </w:tc>
      </w:tr>
      <w:tr w:rsidR="00F80158" w:rsidRPr="008819AF" w14:paraId="15131BF6"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BC6" w14:textId="77777777" w:rsidR="007170C3" w:rsidRPr="008819AF" w:rsidRDefault="007170C3" w:rsidP="003E351D">
            <w:pPr>
              <w:ind w:right="-70"/>
              <w:rPr>
                <w:rFonts w:eastAsia="Arial"/>
                <w:lang w:bidi="cs-CZ"/>
              </w:rPr>
            </w:pPr>
          </w:p>
          <w:p w14:paraId="15131BC7" w14:textId="77777777" w:rsidR="007170C3" w:rsidRPr="008819AF" w:rsidRDefault="007170C3" w:rsidP="003E351D">
            <w:pPr>
              <w:ind w:right="-70"/>
              <w:rPr>
                <w:rFonts w:eastAsia="Arial"/>
                <w:lang w:bidi="cs-CZ"/>
              </w:rPr>
            </w:pPr>
          </w:p>
          <w:p w14:paraId="15131BC8" w14:textId="77777777" w:rsidR="007170C3" w:rsidRPr="008819AF" w:rsidRDefault="007170C3" w:rsidP="003E351D">
            <w:pPr>
              <w:ind w:right="-70"/>
              <w:rPr>
                <w:rFonts w:eastAsia="Arial"/>
                <w:lang w:bidi="cs-CZ"/>
              </w:rPr>
            </w:pPr>
          </w:p>
          <w:p w14:paraId="15131BC9" w14:textId="77777777" w:rsidR="007170C3" w:rsidRPr="008819AF" w:rsidRDefault="006F0418" w:rsidP="003E351D">
            <w:pPr>
              <w:ind w:right="-70"/>
              <w:rPr>
                <w:rFonts w:eastAsia="Arial"/>
                <w:lang w:bidi="cs-CZ"/>
              </w:rPr>
            </w:pPr>
            <w:r w:rsidRPr="008819AF">
              <w:rPr>
                <w:rFonts w:eastAsia="Arial"/>
                <w:lang w:bidi="cs-CZ"/>
              </w:rPr>
              <w:t>Č:28</w:t>
            </w:r>
          </w:p>
        </w:tc>
        <w:tc>
          <w:tcPr>
            <w:tcW w:w="6227" w:type="dxa"/>
            <w:gridSpan w:val="2"/>
            <w:tcBorders>
              <w:top w:val="single" w:sz="4" w:space="0" w:color="000000"/>
              <w:left w:val="single" w:sz="6" w:space="0" w:color="000000"/>
              <w:bottom w:val="single" w:sz="4" w:space="0" w:color="000000"/>
              <w:right w:val="single" w:sz="6" w:space="0" w:color="000000"/>
            </w:tcBorders>
          </w:tcPr>
          <w:p w14:paraId="15131BCA" w14:textId="77777777" w:rsidR="007170C3" w:rsidRPr="008819AF" w:rsidRDefault="006F0418" w:rsidP="0021052F">
            <w:pPr>
              <w:ind w:left="215" w:hanging="215"/>
              <w:rPr>
                <w:rFonts w:eastAsia="Arial"/>
              </w:rPr>
            </w:pPr>
            <w:r w:rsidRPr="008819AF">
              <w:rPr>
                <w:rFonts w:eastAsia="Arial"/>
              </w:rPr>
              <w:t>KAPITOLA III</w:t>
            </w:r>
          </w:p>
          <w:p w14:paraId="15131BCB" w14:textId="77777777" w:rsidR="007170C3" w:rsidRPr="008819AF" w:rsidRDefault="006F0418" w:rsidP="0021052F">
            <w:pPr>
              <w:ind w:left="215" w:hanging="215"/>
              <w:rPr>
                <w:rFonts w:eastAsia="Arial"/>
              </w:rPr>
            </w:pPr>
            <w:r w:rsidRPr="008819AF">
              <w:rPr>
                <w:rFonts w:eastAsia="Arial"/>
              </w:rPr>
              <w:t>OSOBITNÉ USTANOVENIA PRE SPAĽOVACIE ZARIADENIA</w:t>
            </w:r>
          </w:p>
          <w:p w14:paraId="15131BCC" w14:textId="77777777" w:rsidR="007170C3" w:rsidRPr="008819AF" w:rsidRDefault="006F0418" w:rsidP="0021052F">
            <w:pPr>
              <w:ind w:left="215" w:hanging="215"/>
              <w:rPr>
                <w:rFonts w:eastAsia="Arial"/>
              </w:rPr>
            </w:pPr>
            <w:r w:rsidRPr="008819AF">
              <w:rPr>
                <w:rFonts w:eastAsia="Arial"/>
              </w:rPr>
              <w:t>Článok 28</w:t>
            </w:r>
          </w:p>
          <w:p w14:paraId="15131BCD" w14:textId="77777777" w:rsidR="007170C3" w:rsidRPr="008819AF" w:rsidRDefault="006F0418" w:rsidP="0021052F">
            <w:pPr>
              <w:ind w:left="215" w:hanging="215"/>
              <w:rPr>
                <w:rFonts w:eastAsia="Arial"/>
              </w:rPr>
            </w:pPr>
            <w:r w:rsidRPr="008819AF">
              <w:rPr>
                <w:rFonts w:eastAsia="Arial"/>
              </w:rPr>
              <w:t>Rozsah pôsobnosti</w:t>
            </w:r>
          </w:p>
          <w:p w14:paraId="15131BCE" w14:textId="77777777" w:rsidR="007170C3" w:rsidRPr="008819AF" w:rsidRDefault="006F0418" w:rsidP="0021052F">
            <w:pPr>
              <w:ind w:left="215" w:hanging="1"/>
              <w:rPr>
                <w:rFonts w:eastAsia="Arial"/>
              </w:rPr>
            </w:pPr>
            <w:r w:rsidRPr="008819AF">
              <w:rPr>
                <w:rFonts w:eastAsia="Arial"/>
              </w:rPr>
              <w:t>Táto kapitola sa vzťahuje na spaľovacie zariadenia, ktorých celkový menovitý tepelný príkon sa rovná alebo je väčší ako 50 MW, bez ohľadu na druh používaného paliva.</w:t>
            </w:r>
          </w:p>
          <w:p w14:paraId="15131BCF" w14:textId="77777777" w:rsidR="007170C3" w:rsidRPr="008819AF" w:rsidRDefault="006F0418" w:rsidP="00003DE9">
            <w:pPr>
              <w:spacing w:before="120"/>
              <w:ind w:left="215" w:hanging="1"/>
              <w:rPr>
                <w:rFonts w:eastAsia="Arial"/>
              </w:rPr>
            </w:pPr>
            <w:r w:rsidRPr="008819AF">
              <w:rPr>
                <w:rFonts w:eastAsia="Arial"/>
              </w:rPr>
              <w:t>Táto kapitola sa nevzťahuje na tieto spaľovacie zariadenia:</w:t>
            </w:r>
          </w:p>
          <w:p w14:paraId="15131BD0" w14:textId="77777777" w:rsidR="007170C3" w:rsidRPr="008819AF" w:rsidRDefault="006F0418" w:rsidP="009C63CF">
            <w:pPr>
              <w:numPr>
                <w:ilvl w:val="0"/>
                <w:numId w:val="20"/>
              </w:numPr>
              <w:tabs>
                <w:tab w:val="left" w:pos="227"/>
              </w:tabs>
              <w:spacing w:before="120"/>
              <w:ind w:left="441"/>
              <w:rPr>
                <w:rFonts w:eastAsia="Arial"/>
              </w:rPr>
            </w:pPr>
            <w:r w:rsidRPr="008819AF">
              <w:rPr>
                <w:rFonts w:eastAsia="Arial"/>
              </w:rPr>
              <w:t>zariadenia, v ktorých sa produkty spaľovania používajú na priame vykurovanie, sušenie alebo iné spracovanie predmetov alebo materiálov;</w:t>
            </w:r>
          </w:p>
          <w:p w14:paraId="15131BD1" w14:textId="77777777" w:rsidR="007170C3" w:rsidRPr="008819AF" w:rsidRDefault="006F0418" w:rsidP="009C63CF">
            <w:pPr>
              <w:numPr>
                <w:ilvl w:val="0"/>
                <w:numId w:val="20"/>
              </w:numPr>
              <w:tabs>
                <w:tab w:val="left" w:pos="227"/>
              </w:tabs>
              <w:spacing w:before="120"/>
              <w:ind w:left="441"/>
              <w:rPr>
                <w:rFonts w:eastAsia="Arial"/>
              </w:rPr>
            </w:pPr>
            <w:r w:rsidRPr="008819AF">
              <w:rPr>
                <w:rFonts w:eastAsia="Arial"/>
              </w:rPr>
              <w:t>zariadenia na dodatočné spaľovanie určené na čistenie odpadových plynov spaľovaním, ktoré nie sú prevádzkované ako samostatné spaľovacie zariadenia;</w:t>
            </w:r>
          </w:p>
          <w:p w14:paraId="15131BD2" w14:textId="77777777" w:rsidR="007170C3" w:rsidRPr="008819AF" w:rsidRDefault="006F0418" w:rsidP="009C63CF">
            <w:pPr>
              <w:numPr>
                <w:ilvl w:val="0"/>
                <w:numId w:val="20"/>
              </w:numPr>
              <w:tabs>
                <w:tab w:val="left" w:pos="227"/>
              </w:tabs>
              <w:spacing w:before="120"/>
              <w:ind w:left="441"/>
              <w:rPr>
                <w:rFonts w:eastAsia="Arial"/>
              </w:rPr>
            </w:pPr>
            <w:r w:rsidRPr="008819AF">
              <w:rPr>
                <w:rFonts w:eastAsia="Arial"/>
              </w:rPr>
              <w:t>zariadenia na regeneráciu katalyzátorov na katalytické krakovanie;</w:t>
            </w:r>
          </w:p>
          <w:p w14:paraId="15131BD3" w14:textId="77777777" w:rsidR="007170C3" w:rsidRPr="008819AF" w:rsidRDefault="006F0418" w:rsidP="009C63CF">
            <w:pPr>
              <w:numPr>
                <w:ilvl w:val="0"/>
                <w:numId w:val="20"/>
              </w:numPr>
              <w:tabs>
                <w:tab w:val="left" w:pos="227"/>
              </w:tabs>
              <w:spacing w:before="120"/>
              <w:ind w:left="441"/>
              <w:rPr>
                <w:rFonts w:eastAsia="Arial"/>
              </w:rPr>
            </w:pPr>
            <w:r w:rsidRPr="008819AF">
              <w:rPr>
                <w:rFonts w:eastAsia="Arial"/>
              </w:rPr>
              <w:lastRenderedPageBreak/>
              <w:t>zariadenia na premenu sírovodíka na síru;</w:t>
            </w:r>
          </w:p>
          <w:p w14:paraId="15131BD4" w14:textId="77777777" w:rsidR="007170C3" w:rsidRPr="008819AF" w:rsidRDefault="006F0418" w:rsidP="009C63CF">
            <w:pPr>
              <w:numPr>
                <w:ilvl w:val="0"/>
                <w:numId w:val="20"/>
              </w:numPr>
              <w:tabs>
                <w:tab w:val="left" w:pos="227"/>
              </w:tabs>
              <w:spacing w:before="120"/>
              <w:ind w:left="441"/>
              <w:rPr>
                <w:rFonts w:eastAsia="Arial"/>
              </w:rPr>
            </w:pPr>
            <w:r w:rsidRPr="008819AF">
              <w:rPr>
                <w:rFonts w:eastAsia="Arial"/>
              </w:rPr>
              <w:t>reaktory používané v chemickom priemysle;</w:t>
            </w:r>
          </w:p>
          <w:p w14:paraId="15131BD5" w14:textId="77777777" w:rsidR="007170C3" w:rsidRPr="008819AF" w:rsidRDefault="006F0418" w:rsidP="009C63CF">
            <w:pPr>
              <w:numPr>
                <w:ilvl w:val="0"/>
                <w:numId w:val="20"/>
              </w:numPr>
              <w:tabs>
                <w:tab w:val="left" w:pos="227"/>
              </w:tabs>
              <w:spacing w:before="120"/>
              <w:ind w:left="441"/>
              <w:rPr>
                <w:rFonts w:eastAsia="Arial"/>
              </w:rPr>
            </w:pPr>
            <w:r w:rsidRPr="008819AF">
              <w:rPr>
                <w:rFonts w:eastAsia="Arial"/>
              </w:rPr>
              <w:t>pece s koksovými batériami;</w:t>
            </w:r>
          </w:p>
          <w:p w14:paraId="15131BD6" w14:textId="77777777" w:rsidR="007170C3" w:rsidRPr="008819AF" w:rsidRDefault="006F0418" w:rsidP="009C63CF">
            <w:pPr>
              <w:numPr>
                <w:ilvl w:val="0"/>
                <w:numId w:val="20"/>
              </w:numPr>
              <w:tabs>
                <w:tab w:val="left" w:pos="227"/>
              </w:tabs>
              <w:spacing w:before="120"/>
              <w:ind w:left="441"/>
              <w:rPr>
                <w:rFonts w:eastAsia="Arial"/>
              </w:rPr>
            </w:pPr>
            <w:r w:rsidRPr="008819AF">
              <w:rPr>
                <w:rFonts w:eastAsia="Arial"/>
              </w:rPr>
              <w:t>kaupre;</w:t>
            </w:r>
          </w:p>
          <w:p w14:paraId="15131BD7" w14:textId="77777777" w:rsidR="007170C3" w:rsidRPr="008819AF" w:rsidRDefault="006F0418" w:rsidP="009C63CF">
            <w:pPr>
              <w:numPr>
                <w:ilvl w:val="0"/>
                <w:numId w:val="20"/>
              </w:numPr>
              <w:tabs>
                <w:tab w:val="left" w:pos="227"/>
              </w:tabs>
              <w:spacing w:before="120"/>
              <w:ind w:left="441"/>
              <w:rPr>
                <w:rFonts w:eastAsia="Arial"/>
              </w:rPr>
            </w:pPr>
            <w:r w:rsidRPr="008819AF">
              <w:rPr>
                <w:rFonts w:eastAsia="Arial"/>
              </w:rPr>
              <w:t>akékoľvek technické zariadenia používané na pohon vozidiel, lodí alebo lietadiel;</w:t>
            </w:r>
          </w:p>
          <w:p w14:paraId="15131BD8" w14:textId="77777777" w:rsidR="007170C3" w:rsidRPr="008819AF" w:rsidRDefault="006F0418" w:rsidP="009C63CF">
            <w:pPr>
              <w:numPr>
                <w:ilvl w:val="0"/>
                <w:numId w:val="20"/>
              </w:numPr>
              <w:tabs>
                <w:tab w:val="left" w:pos="227"/>
              </w:tabs>
              <w:spacing w:before="120"/>
              <w:ind w:left="441"/>
              <w:rPr>
                <w:rFonts w:eastAsia="Arial"/>
              </w:rPr>
            </w:pPr>
            <w:r w:rsidRPr="008819AF">
              <w:rPr>
                <w:rFonts w:eastAsia="Arial"/>
              </w:rPr>
              <w:t>plynové turbíny a plynové motory používané na morských plošinách;</w:t>
            </w:r>
          </w:p>
          <w:p w14:paraId="15131BD9" w14:textId="77777777" w:rsidR="007170C3" w:rsidRPr="008819AF" w:rsidRDefault="006F0418" w:rsidP="009C63CF">
            <w:pPr>
              <w:numPr>
                <w:ilvl w:val="0"/>
                <w:numId w:val="20"/>
              </w:numPr>
              <w:tabs>
                <w:tab w:val="left" w:pos="227"/>
              </w:tabs>
              <w:spacing w:before="120"/>
              <w:ind w:left="441"/>
              <w:rPr>
                <w:rFonts w:eastAsia="Arial"/>
              </w:rPr>
            </w:pPr>
            <w:r w:rsidRPr="008819AF">
              <w:rPr>
                <w:rFonts w:eastAsia="Arial"/>
              </w:rPr>
              <w:t>zariadenia, ktoré používajú ako palivo akýkoľvek tuhý alebo kvapalný odpad iný než odpad uvedený v článku 3 bod 31 písm. b).</w:t>
            </w:r>
          </w:p>
          <w:p w14:paraId="15131BDA" w14:textId="77777777" w:rsidR="007170C3" w:rsidRPr="008819AF" w:rsidRDefault="007170C3" w:rsidP="0021052F">
            <w:pPr>
              <w:ind w:left="215" w:hanging="21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BDB" w14:textId="77777777" w:rsidR="007170C3" w:rsidRPr="008819AF" w:rsidRDefault="007170C3" w:rsidP="0021052F">
            <w:pPr>
              <w:ind w:left="-70" w:right="-68" w:hanging="6"/>
              <w:jc w:val="center"/>
              <w:rPr>
                <w:rFonts w:eastAsia="Arial"/>
                <w:lang w:bidi="cs-CZ"/>
              </w:rPr>
            </w:pPr>
          </w:p>
          <w:p w14:paraId="15131BDC" w14:textId="77777777" w:rsidR="000953AD" w:rsidRPr="008819AF" w:rsidRDefault="000953AD" w:rsidP="0021052F">
            <w:pPr>
              <w:ind w:left="-70" w:right="-68" w:hanging="6"/>
              <w:jc w:val="center"/>
              <w:rPr>
                <w:rFonts w:eastAsia="Arial"/>
                <w:lang w:bidi="cs-CZ"/>
              </w:rPr>
            </w:pPr>
          </w:p>
          <w:p w14:paraId="15131BDD" w14:textId="77777777" w:rsidR="000953AD" w:rsidRPr="008819AF" w:rsidRDefault="000953AD" w:rsidP="0021052F">
            <w:pPr>
              <w:ind w:left="-70" w:right="-68" w:hanging="6"/>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1BDE" w14:textId="77777777" w:rsidR="007170C3" w:rsidRPr="008819AF" w:rsidRDefault="007170C3" w:rsidP="0021052F">
            <w:pPr>
              <w:jc w:val="center"/>
              <w:rPr>
                <w:rFonts w:eastAsia="Arial"/>
                <w:lang w:bidi="cs-CZ"/>
              </w:rPr>
            </w:pPr>
          </w:p>
          <w:p w14:paraId="15131BDF" w14:textId="77777777" w:rsidR="007170C3" w:rsidRPr="008819AF" w:rsidRDefault="007170C3" w:rsidP="0021052F">
            <w:pPr>
              <w:jc w:val="center"/>
              <w:rPr>
                <w:rFonts w:eastAsia="Arial"/>
                <w:lang w:bidi="cs-CZ"/>
              </w:rPr>
            </w:pPr>
          </w:p>
          <w:p w14:paraId="15131BE0" w14:textId="77777777" w:rsidR="007170C3" w:rsidRPr="008819AF" w:rsidRDefault="006F0418" w:rsidP="0021052F">
            <w:pPr>
              <w:jc w:val="center"/>
              <w:rPr>
                <w:rFonts w:eastAsia="Arial"/>
                <w:lang w:bidi="cs-CZ"/>
              </w:rPr>
            </w:pPr>
            <w:r w:rsidRPr="008819AF">
              <w:rPr>
                <w:rFonts w:eastAsia="Arial"/>
                <w:lang w:bidi="cs-CZ"/>
              </w:rPr>
              <w:t>NV2</w:t>
            </w:r>
          </w:p>
          <w:p w14:paraId="15131BE1"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BE2"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BE3"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BE4" w14:textId="77777777" w:rsidR="000953AD" w:rsidRPr="008819AF" w:rsidRDefault="000953AD"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§8</w:t>
            </w:r>
          </w:p>
          <w:p w14:paraId="15131BE5" w14:textId="77777777" w:rsidR="007170C3" w:rsidRPr="008819AF" w:rsidRDefault="000953AD"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O1</w:t>
            </w:r>
          </w:p>
        </w:tc>
        <w:tc>
          <w:tcPr>
            <w:tcW w:w="5664" w:type="dxa"/>
            <w:gridSpan w:val="5"/>
            <w:tcBorders>
              <w:top w:val="single" w:sz="4" w:space="0" w:color="000000"/>
              <w:left w:val="single" w:sz="6" w:space="0" w:color="000000"/>
              <w:bottom w:val="single" w:sz="4" w:space="0" w:color="000000"/>
              <w:right w:val="single" w:sz="6" w:space="0" w:color="000000"/>
            </w:tcBorders>
          </w:tcPr>
          <w:p w14:paraId="15131BE6" w14:textId="77777777" w:rsidR="007170C3" w:rsidRPr="008819AF" w:rsidRDefault="007170C3" w:rsidP="0021052F">
            <w:pPr>
              <w:ind w:left="215" w:hanging="215"/>
              <w:rPr>
                <w:rFonts w:eastAsia="Arial"/>
                <w:lang w:bidi="cs-CZ"/>
              </w:rPr>
            </w:pPr>
          </w:p>
          <w:p w14:paraId="15131BE7" w14:textId="77777777" w:rsidR="007170C3" w:rsidRPr="008819AF" w:rsidRDefault="007170C3" w:rsidP="0021052F">
            <w:pPr>
              <w:ind w:left="215" w:hanging="215"/>
              <w:rPr>
                <w:rFonts w:eastAsia="Arial"/>
                <w:lang w:bidi="cs-CZ"/>
              </w:rPr>
            </w:pPr>
          </w:p>
          <w:p w14:paraId="15131BE8" w14:textId="77777777" w:rsidR="000953AD" w:rsidRPr="008819AF" w:rsidRDefault="000953AD" w:rsidP="000953AD">
            <w:pPr>
              <w:spacing w:after="99" w:line="261" w:lineRule="auto"/>
              <w:ind w:left="-15"/>
              <w:jc w:val="both"/>
              <w:rPr>
                <w:rFonts w:eastAsia="Arial"/>
                <w:lang w:bidi="cs-CZ"/>
              </w:rPr>
            </w:pPr>
            <w:r w:rsidRPr="008819AF">
              <w:rPr>
                <w:rFonts w:eastAsia="Arial"/>
                <w:lang w:bidi="cs-CZ"/>
              </w:rPr>
              <w:t>(1) Špecifické požiadavky na spaľovacie zariadenia ustanovené v tejto časti sa uplatňujú na zariadenia spaľujúce palivá; neuplatňujú sa pre</w:t>
            </w:r>
          </w:p>
          <w:p w14:paraId="15131BE9" w14:textId="77777777" w:rsidR="000953AD" w:rsidRPr="008819AF" w:rsidRDefault="000953AD" w:rsidP="009C63CF">
            <w:pPr>
              <w:pStyle w:val="Odsekzoznamu"/>
              <w:numPr>
                <w:ilvl w:val="0"/>
                <w:numId w:val="71"/>
              </w:numPr>
              <w:spacing w:line="261" w:lineRule="auto"/>
              <w:ind w:left="308" w:hanging="308"/>
              <w:jc w:val="both"/>
              <w:rPr>
                <w:rFonts w:eastAsia="Arial"/>
                <w:sz w:val="20"/>
                <w:szCs w:val="20"/>
                <w:lang w:bidi="cs-CZ"/>
              </w:rPr>
            </w:pPr>
            <w:r w:rsidRPr="008819AF">
              <w:rPr>
                <w:rFonts w:eastAsia="Arial"/>
                <w:sz w:val="20"/>
                <w:szCs w:val="20"/>
                <w:lang w:bidi="cs-CZ"/>
              </w:rPr>
              <w:t>zariadenia, v ktorých sa spaliny používajú na priamy ohrev, sušenie alebo iné tepelné spracovanie materiálov alebo predmetov (ďalej len „priamy procesný ohrev“),</w:t>
            </w:r>
          </w:p>
          <w:p w14:paraId="15131BEA" w14:textId="77777777" w:rsidR="000953AD" w:rsidRPr="008819AF" w:rsidRDefault="000953AD" w:rsidP="009C63CF">
            <w:pPr>
              <w:pStyle w:val="Odsekzoznamu"/>
              <w:numPr>
                <w:ilvl w:val="0"/>
                <w:numId w:val="71"/>
              </w:numPr>
              <w:spacing w:line="261" w:lineRule="auto"/>
              <w:ind w:left="308" w:hanging="308"/>
              <w:jc w:val="both"/>
              <w:rPr>
                <w:rFonts w:eastAsia="Arial"/>
                <w:sz w:val="20"/>
                <w:szCs w:val="20"/>
                <w:lang w:bidi="cs-CZ"/>
              </w:rPr>
            </w:pPr>
            <w:r w:rsidRPr="008819AF">
              <w:rPr>
                <w:rFonts w:eastAsia="Arial"/>
                <w:sz w:val="20"/>
                <w:szCs w:val="20"/>
                <w:lang w:bidi="cs-CZ"/>
              </w:rPr>
              <w:t>koncové spaľovacie zariadenia určené na čistenie odpadových plynov spaľovaním, ak nie sú prevádzkované ako samostatné spaľovacie zariadenia,</w:t>
            </w:r>
          </w:p>
          <w:p w14:paraId="15131BEB" w14:textId="77777777" w:rsidR="000953AD" w:rsidRPr="008819AF" w:rsidRDefault="000953AD" w:rsidP="009C63CF">
            <w:pPr>
              <w:pStyle w:val="Odsekzoznamu"/>
              <w:numPr>
                <w:ilvl w:val="0"/>
                <w:numId w:val="71"/>
              </w:numPr>
              <w:spacing w:line="261" w:lineRule="auto"/>
              <w:ind w:left="308" w:hanging="308"/>
              <w:jc w:val="both"/>
              <w:rPr>
                <w:rFonts w:eastAsia="Arial"/>
                <w:sz w:val="20"/>
                <w:szCs w:val="20"/>
                <w:lang w:bidi="cs-CZ"/>
              </w:rPr>
            </w:pPr>
            <w:r w:rsidRPr="008819AF">
              <w:rPr>
                <w:rFonts w:eastAsia="Arial"/>
                <w:sz w:val="20"/>
                <w:szCs w:val="20"/>
                <w:lang w:bidi="cs-CZ"/>
              </w:rPr>
              <w:t>zariadenia na regeneráciu katalyzátorov pre katalytické krakovanie,</w:t>
            </w:r>
          </w:p>
          <w:p w14:paraId="15131BEC" w14:textId="77777777" w:rsidR="000953AD" w:rsidRPr="008819AF" w:rsidRDefault="000953AD" w:rsidP="009C63CF">
            <w:pPr>
              <w:pStyle w:val="Odsekzoznamu"/>
              <w:numPr>
                <w:ilvl w:val="0"/>
                <w:numId w:val="71"/>
              </w:numPr>
              <w:spacing w:line="261" w:lineRule="auto"/>
              <w:ind w:left="308" w:hanging="308"/>
              <w:jc w:val="both"/>
              <w:rPr>
                <w:rFonts w:eastAsia="Arial"/>
                <w:sz w:val="20"/>
                <w:szCs w:val="20"/>
                <w:lang w:bidi="cs-CZ"/>
              </w:rPr>
            </w:pPr>
            <w:r w:rsidRPr="008819AF">
              <w:rPr>
                <w:rFonts w:eastAsia="Arial"/>
                <w:sz w:val="20"/>
                <w:szCs w:val="20"/>
                <w:lang w:bidi="cs-CZ"/>
              </w:rPr>
              <w:t>zariadenia na premenu sulfánu na síru,</w:t>
            </w:r>
          </w:p>
          <w:p w14:paraId="15131BED" w14:textId="77777777" w:rsidR="000953AD" w:rsidRPr="008819AF" w:rsidRDefault="000953AD" w:rsidP="009C63CF">
            <w:pPr>
              <w:pStyle w:val="Odsekzoznamu"/>
              <w:numPr>
                <w:ilvl w:val="0"/>
                <w:numId w:val="71"/>
              </w:numPr>
              <w:spacing w:line="261" w:lineRule="auto"/>
              <w:ind w:left="308" w:hanging="308"/>
              <w:jc w:val="both"/>
              <w:rPr>
                <w:rFonts w:eastAsia="Arial"/>
                <w:sz w:val="20"/>
                <w:szCs w:val="20"/>
                <w:lang w:bidi="cs-CZ"/>
              </w:rPr>
            </w:pPr>
            <w:r w:rsidRPr="008819AF">
              <w:rPr>
                <w:rFonts w:eastAsia="Arial"/>
                <w:sz w:val="20"/>
                <w:szCs w:val="20"/>
                <w:lang w:bidi="cs-CZ"/>
              </w:rPr>
              <w:t xml:space="preserve">reaktory používané v chemickom priemysle, </w:t>
            </w:r>
          </w:p>
          <w:p w14:paraId="15131BEE" w14:textId="77777777" w:rsidR="000953AD" w:rsidRPr="008819AF" w:rsidRDefault="000953AD" w:rsidP="009C63CF">
            <w:pPr>
              <w:pStyle w:val="Odsekzoznamu"/>
              <w:numPr>
                <w:ilvl w:val="0"/>
                <w:numId w:val="71"/>
              </w:numPr>
              <w:spacing w:line="261" w:lineRule="auto"/>
              <w:ind w:left="308" w:hanging="308"/>
              <w:jc w:val="both"/>
              <w:rPr>
                <w:rFonts w:eastAsia="Arial"/>
                <w:sz w:val="20"/>
                <w:szCs w:val="20"/>
                <w:lang w:bidi="cs-CZ"/>
              </w:rPr>
            </w:pPr>
            <w:r w:rsidRPr="008819AF">
              <w:rPr>
                <w:rFonts w:eastAsia="Arial"/>
                <w:sz w:val="20"/>
                <w:szCs w:val="20"/>
                <w:lang w:bidi="cs-CZ"/>
              </w:rPr>
              <w:t>koksárenské pece,</w:t>
            </w:r>
          </w:p>
          <w:p w14:paraId="15131BEF" w14:textId="77777777" w:rsidR="000953AD" w:rsidRPr="008819AF" w:rsidRDefault="000953AD" w:rsidP="009C63CF">
            <w:pPr>
              <w:pStyle w:val="Odsekzoznamu"/>
              <w:numPr>
                <w:ilvl w:val="0"/>
                <w:numId w:val="71"/>
              </w:numPr>
              <w:spacing w:line="261" w:lineRule="auto"/>
              <w:ind w:left="308" w:hanging="308"/>
              <w:jc w:val="both"/>
              <w:rPr>
                <w:rFonts w:eastAsia="Arial"/>
                <w:sz w:val="20"/>
                <w:szCs w:val="20"/>
                <w:lang w:bidi="cs-CZ"/>
              </w:rPr>
            </w:pPr>
            <w:r w:rsidRPr="008819AF">
              <w:rPr>
                <w:rFonts w:eastAsia="Arial"/>
                <w:sz w:val="20"/>
                <w:szCs w:val="20"/>
                <w:lang w:bidi="cs-CZ"/>
              </w:rPr>
              <w:lastRenderedPageBreak/>
              <w:t>ohrievače vetra – kaupre,</w:t>
            </w:r>
          </w:p>
          <w:p w14:paraId="15131BF0" w14:textId="77777777" w:rsidR="000953AD" w:rsidRPr="008819AF" w:rsidRDefault="000953AD" w:rsidP="009C63CF">
            <w:pPr>
              <w:pStyle w:val="Odsekzoznamu"/>
              <w:numPr>
                <w:ilvl w:val="0"/>
                <w:numId w:val="71"/>
              </w:numPr>
              <w:spacing w:line="261" w:lineRule="auto"/>
              <w:ind w:left="308" w:hanging="308"/>
              <w:jc w:val="both"/>
              <w:rPr>
                <w:rFonts w:eastAsia="Arial"/>
                <w:sz w:val="20"/>
                <w:szCs w:val="20"/>
                <w:lang w:bidi="cs-CZ"/>
              </w:rPr>
            </w:pPr>
            <w:r w:rsidRPr="008819AF">
              <w:rPr>
                <w:rFonts w:eastAsia="Arial"/>
                <w:sz w:val="20"/>
                <w:szCs w:val="20"/>
                <w:lang w:bidi="cs-CZ"/>
              </w:rPr>
              <w:t>technické zariadenia používané na pohon vozidiel, lodí alebo lietadiel,</w:t>
            </w:r>
          </w:p>
          <w:p w14:paraId="15131BF1" w14:textId="77777777" w:rsidR="000953AD" w:rsidRPr="008819AF" w:rsidRDefault="000953AD" w:rsidP="009C63CF">
            <w:pPr>
              <w:pStyle w:val="Odsekzoznamu"/>
              <w:numPr>
                <w:ilvl w:val="0"/>
                <w:numId w:val="71"/>
              </w:numPr>
              <w:spacing w:line="261" w:lineRule="auto"/>
              <w:ind w:left="308" w:hanging="308"/>
              <w:jc w:val="both"/>
              <w:rPr>
                <w:rFonts w:eastAsia="Arial"/>
                <w:sz w:val="20"/>
                <w:szCs w:val="20"/>
                <w:lang w:bidi="cs-CZ"/>
              </w:rPr>
            </w:pPr>
            <w:r w:rsidRPr="008819AF">
              <w:rPr>
                <w:rFonts w:eastAsia="Arial"/>
                <w:sz w:val="20"/>
                <w:szCs w:val="20"/>
                <w:lang w:bidi="cs-CZ"/>
              </w:rPr>
              <w:t>plynové turbíny a zážihové motory používané na morských plošinách,</w:t>
            </w:r>
          </w:p>
          <w:p w14:paraId="15131BF2" w14:textId="77777777" w:rsidR="000953AD" w:rsidRPr="008819AF" w:rsidRDefault="000953AD" w:rsidP="009C63CF">
            <w:pPr>
              <w:pStyle w:val="Odsekzoznamu"/>
              <w:numPr>
                <w:ilvl w:val="0"/>
                <w:numId w:val="71"/>
              </w:numPr>
              <w:spacing w:line="261" w:lineRule="auto"/>
              <w:ind w:left="308" w:hanging="308"/>
              <w:jc w:val="both"/>
              <w:rPr>
                <w:rFonts w:eastAsia="Arial"/>
                <w:sz w:val="20"/>
                <w:szCs w:val="20"/>
                <w:lang w:bidi="cs-CZ"/>
              </w:rPr>
            </w:pPr>
            <w:r w:rsidRPr="008819AF">
              <w:rPr>
                <w:rFonts w:eastAsia="Arial"/>
                <w:sz w:val="20"/>
                <w:szCs w:val="20"/>
                <w:lang w:bidi="cs-CZ"/>
              </w:rPr>
              <w:t>zariadenia, ktoré používajú ako palivo tuhý alebo kvapalný odpad iný ako odpad uvedený v odseku 5 písm. i).</w:t>
            </w:r>
          </w:p>
          <w:p w14:paraId="15131BF3" w14:textId="77777777" w:rsidR="007170C3" w:rsidRPr="008819AF" w:rsidRDefault="007170C3" w:rsidP="000953AD">
            <w:pPr>
              <w:ind w:left="284" w:hanging="284"/>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BF4"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BF5" w14:textId="77777777" w:rsidR="007170C3" w:rsidRPr="008819AF" w:rsidRDefault="007170C3" w:rsidP="0021052F">
            <w:pPr>
              <w:ind w:left="215" w:hanging="215"/>
              <w:rPr>
                <w:rFonts w:eastAsia="Arial"/>
                <w:lang w:bidi="cs-CZ"/>
              </w:rPr>
            </w:pPr>
          </w:p>
        </w:tc>
      </w:tr>
      <w:tr w:rsidR="00F80158" w:rsidRPr="008819AF" w14:paraId="15131C09"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BF7" w14:textId="77777777" w:rsidR="007170C3" w:rsidRPr="008819AF" w:rsidRDefault="006F0418" w:rsidP="003E351D">
            <w:pPr>
              <w:ind w:right="-70"/>
              <w:rPr>
                <w:rFonts w:eastAsia="Arial"/>
                <w:lang w:bidi="cs-CZ"/>
              </w:rPr>
            </w:pPr>
            <w:r w:rsidRPr="008819AF">
              <w:rPr>
                <w:rFonts w:eastAsia="Arial"/>
                <w:lang w:bidi="cs-CZ"/>
              </w:rPr>
              <w:t>Č:29</w:t>
            </w:r>
          </w:p>
        </w:tc>
        <w:tc>
          <w:tcPr>
            <w:tcW w:w="6227" w:type="dxa"/>
            <w:gridSpan w:val="2"/>
            <w:tcBorders>
              <w:top w:val="single" w:sz="4" w:space="0" w:color="000000"/>
              <w:left w:val="single" w:sz="6" w:space="0" w:color="000000"/>
              <w:bottom w:val="single" w:sz="4" w:space="0" w:color="000000"/>
              <w:right w:val="single" w:sz="6" w:space="0" w:color="000000"/>
            </w:tcBorders>
          </w:tcPr>
          <w:p w14:paraId="15131BF8" w14:textId="77777777" w:rsidR="007170C3" w:rsidRPr="008819AF" w:rsidRDefault="006F0418" w:rsidP="0021052F">
            <w:pPr>
              <w:ind w:left="215" w:hanging="215"/>
              <w:rPr>
                <w:rFonts w:eastAsia="Arial"/>
              </w:rPr>
            </w:pPr>
            <w:r w:rsidRPr="008819AF">
              <w:rPr>
                <w:rFonts w:eastAsia="Arial"/>
              </w:rPr>
              <w:t>Článok 29</w:t>
            </w:r>
          </w:p>
          <w:p w14:paraId="15131BF9" w14:textId="77777777" w:rsidR="007170C3" w:rsidRPr="008819AF" w:rsidRDefault="006F0418" w:rsidP="0021052F">
            <w:pPr>
              <w:ind w:left="215" w:hanging="215"/>
              <w:rPr>
                <w:rFonts w:eastAsia="Arial"/>
              </w:rPr>
            </w:pPr>
            <w:r w:rsidRPr="008819AF">
              <w:rPr>
                <w:rFonts w:eastAsia="Arial"/>
              </w:rPr>
              <w:t>Agregačné pravidlá</w:t>
            </w:r>
          </w:p>
          <w:p w14:paraId="15131BFA" w14:textId="77777777" w:rsidR="007170C3" w:rsidRPr="008819AF" w:rsidRDefault="006F0418" w:rsidP="0021052F">
            <w:pPr>
              <w:ind w:left="215" w:hanging="215"/>
              <w:rPr>
                <w:rFonts w:eastAsia="Arial"/>
              </w:rPr>
            </w:pPr>
            <w:r w:rsidRPr="008819AF">
              <w:rPr>
                <w:rFonts w:eastAsia="Arial"/>
              </w:rPr>
              <w:t>1. V prípade, že odpadové plyny z dvoch alebo viacerých samostatných spaľovacích zariadení sa vypúšťajú spoločným komínom, kombinácia vytvorená takýmito zariadeniami sa bude považovať za jedno spaľovacie zariadenie a ich kapacity sa na výpočet celkového menovitého tepelného príkonu spočítajú.</w:t>
            </w:r>
          </w:p>
          <w:p w14:paraId="15131BFB" w14:textId="77777777" w:rsidR="007170C3" w:rsidRPr="008819AF" w:rsidRDefault="006F0418" w:rsidP="0021052F">
            <w:pPr>
              <w:ind w:left="215" w:hanging="215"/>
              <w:rPr>
                <w:rFonts w:eastAsia="Arial"/>
              </w:rPr>
            </w:pPr>
            <w:r w:rsidRPr="008819AF">
              <w:rPr>
                <w:rFonts w:eastAsia="Arial"/>
              </w:rPr>
              <w:t>2. Ak sa dve alebo viaceré oddelené spaľovacie zariadenia, ktorým bolo prvýkrát udelené povolenie 1. júla 1987 alebo po tomto dátume, alebo ktorých prevádzkovatelia predložili úplnú žiadosť o povolenie k tomuto alebo po uvedenom dátume, postavia takým spôsobom, že ich odpadové plyny sa podľa názoru príslušného orgánu pri zohľadnení technických a ekonomických faktorov môžu vypúšťať spoločným komínom, kombinácia vytvorená takýmito zariadeniami sa bude považovať za jedno spaľovacie zariadenie a ich kapacity sa na výpočet celkového menovitého tepelného príkonu spočítajú.</w:t>
            </w:r>
          </w:p>
          <w:p w14:paraId="15131BFC" w14:textId="77777777" w:rsidR="007170C3" w:rsidRPr="008819AF" w:rsidRDefault="006F0418" w:rsidP="0021052F">
            <w:pPr>
              <w:ind w:left="215" w:hanging="215"/>
              <w:rPr>
                <w:rFonts w:eastAsia="Arial"/>
              </w:rPr>
            </w:pPr>
            <w:r w:rsidRPr="008819AF">
              <w:rPr>
                <w:rFonts w:eastAsia="Arial"/>
              </w:rPr>
              <w:t>3. Pri výpočte celkového menovitého tepelného príkonu kombinácie spaľovacích zariadení uvedených v odsekoch 1 a 2 sa ne zohľadňujú jednotlivé spaľovacie zariadenia s celkovým menovitým tepelným príkonom nižším ako 15 MW.</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BFD"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BFE" w14:textId="77777777" w:rsidR="007170C3" w:rsidRPr="008819AF" w:rsidRDefault="006F0418" w:rsidP="0021052F">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15131BFF" w14:textId="77777777" w:rsidR="009C3D02" w:rsidRPr="008819AF" w:rsidRDefault="009C3D02"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Pr.4</w:t>
            </w:r>
          </w:p>
          <w:p w14:paraId="15131C00" w14:textId="77777777" w:rsidR="009C3D02" w:rsidRPr="008819AF" w:rsidRDefault="009C3D02"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Časť I</w:t>
            </w:r>
          </w:p>
        </w:tc>
        <w:tc>
          <w:tcPr>
            <w:tcW w:w="5664" w:type="dxa"/>
            <w:gridSpan w:val="5"/>
            <w:tcBorders>
              <w:top w:val="single" w:sz="4" w:space="0" w:color="000000"/>
              <w:left w:val="single" w:sz="6" w:space="0" w:color="000000"/>
              <w:bottom w:val="single" w:sz="4" w:space="0" w:color="000000"/>
              <w:right w:val="single" w:sz="6" w:space="0" w:color="000000"/>
            </w:tcBorders>
          </w:tcPr>
          <w:p w14:paraId="15131C01" w14:textId="77777777" w:rsidR="009C3D02" w:rsidRPr="008819AF" w:rsidRDefault="009C3D02" w:rsidP="009C63CF">
            <w:pPr>
              <w:pStyle w:val="Odsekzoznamu1"/>
              <w:numPr>
                <w:ilvl w:val="0"/>
                <w:numId w:val="74"/>
              </w:numPr>
              <w:tabs>
                <w:tab w:val="clear" w:pos="720"/>
              </w:tabs>
              <w:ind w:left="308" w:hanging="308"/>
              <w:rPr>
                <w:b/>
                <w:sz w:val="20"/>
                <w:szCs w:val="20"/>
              </w:rPr>
            </w:pPr>
            <w:r w:rsidRPr="008819AF">
              <w:rPr>
                <w:b/>
                <w:sz w:val="20"/>
                <w:szCs w:val="20"/>
              </w:rPr>
              <w:t xml:space="preserve">Veľké spaľovacie zariadenie </w:t>
            </w:r>
          </w:p>
          <w:p w14:paraId="15131C02" w14:textId="77777777" w:rsidR="009C3D02" w:rsidRPr="008819AF" w:rsidRDefault="009C3D02" w:rsidP="009C63CF">
            <w:pPr>
              <w:numPr>
                <w:ilvl w:val="1"/>
                <w:numId w:val="73"/>
              </w:numPr>
              <w:spacing w:before="120"/>
              <w:ind w:left="567" w:hanging="567"/>
              <w:jc w:val="both"/>
            </w:pPr>
            <w:r w:rsidRPr="008819AF">
              <w:t xml:space="preserve">Veľkým spaľovacím zariadením je zariadenie s celkovým MTP ≥ 50 MW bez ohľadu na typ spaľovaného paliva, </w:t>
            </w:r>
          </w:p>
          <w:p w14:paraId="15131C03" w14:textId="77777777" w:rsidR="009C3D02" w:rsidRPr="008819AF" w:rsidRDefault="009C3D02" w:rsidP="009C63CF">
            <w:pPr>
              <w:pStyle w:val="Odsekzoznamu1"/>
              <w:numPr>
                <w:ilvl w:val="0"/>
                <w:numId w:val="72"/>
              </w:numPr>
              <w:ind w:left="851" w:hanging="284"/>
              <w:jc w:val="both"/>
              <w:rPr>
                <w:sz w:val="20"/>
                <w:szCs w:val="20"/>
              </w:rPr>
            </w:pPr>
            <w:r w:rsidRPr="008819AF">
              <w:rPr>
                <w:sz w:val="20"/>
                <w:szCs w:val="20"/>
              </w:rPr>
              <w:t>zložené zo spaľovacích jednotiek ktorých emisie sú vypúšťané cez spoločný komín, alebo</w:t>
            </w:r>
          </w:p>
          <w:p w14:paraId="15131C04" w14:textId="77777777" w:rsidR="009C3D02" w:rsidRPr="008819AF" w:rsidRDefault="009C3D02" w:rsidP="009C63CF">
            <w:pPr>
              <w:pStyle w:val="Odsekzoznamu1"/>
              <w:numPr>
                <w:ilvl w:val="0"/>
                <w:numId w:val="72"/>
              </w:numPr>
              <w:ind w:left="851" w:hanging="284"/>
              <w:jc w:val="both"/>
              <w:rPr>
                <w:sz w:val="20"/>
                <w:szCs w:val="20"/>
              </w:rPr>
            </w:pPr>
            <w:r w:rsidRPr="008819AF">
              <w:rPr>
                <w:sz w:val="20"/>
                <w:szCs w:val="20"/>
              </w:rPr>
              <w:t>ak ide o dve alebo viaceré spaľovacie jednotky postavené oddelene, ktoré podľa posúdenia príslušného správneho orgánu po zohľadnení technických a ekonomických faktorov by mohli vypúšťať odpadové plyny cez spoločný komín; uvedené sa nevzťahuje na spaľovacie zariadenia, ktoré sa podľa dátumu vydania prvého stavebného povolenia zaraďujú ako jestvujúce zariadenie Z1.</w:t>
            </w:r>
          </w:p>
          <w:p w14:paraId="15131C05" w14:textId="77777777" w:rsidR="009C3D02" w:rsidRPr="008819AF" w:rsidRDefault="009C3D02" w:rsidP="009C63CF">
            <w:pPr>
              <w:numPr>
                <w:ilvl w:val="1"/>
                <w:numId w:val="73"/>
              </w:numPr>
              <w:spacing w:before="120"/>
              <w:ind w:left="567" w:hanging="567"/>
              <w:jc w:val="both"/>
            </w:pPr>
            <w:r w:rsidRPr="008819AF">
              <w:t>Pri výpočte celkového MTP veľkého spaľovacieho zariadenia podľa bodu 1.1 sa spaľovacie jednotky s MTP &lt; 15 MW do celkového MTP spaľovacieho zariadenia nespočítavajú.</w:t>
            </w:r>
          </w:p>
          <w:p w14:paraId="15131C06" w14:textId="77777777" w:rsidR="007170C3" w:rsidRPr="008819AF" w:rsidRDefault="007170C3" w:rsidP="00E7430A">
            <w:pPr>
              <w:pStyle w:val="Hlavika"/>
              <w:ind w:left="72" w:hanging="1"/>
            </w:pPr>
          </w:p>
        </w:tc>
        <w:tc>
          <w:tcPr>
            <w:tcW w:w="429" w:type="dxa"/>
            <w:tcBorders>
              <w:top w:val="single" w:sz="4" w:space="0" w:color="000000"/>
              <w:left w:val="single" w:sz="6" w:space="0" w:color="000000"/>
              <w:bottom w:val="single" w:sz="4" w:space="0" w:color="000000"/>
              <w:right w:val="single" w:sz="6" w:space="0" w:color="000000"/>
            </w:tcBorders>
          </w:tcPr>
          <w:p w14:paraId="15131C07"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C08" w14:textId="77777777" w:rsidR="007170C3" w:rsidRPr="008819AF" w:rsidRDefault="007170C3" w:rsidP="0021052F">
            <w:pPr>
              <w:ind w:left="215" w:hanging="215"/>
              <w:rPr>
                <w:rFonts w:eastAsia="Arial"/>
                <w:lang w:bidi="cs-CZ"/>
              </w:rPr>
            </w:pPr>
          </w:p>
        </w:tc>
      </w:tr>
      <w:tr w:rsidR="00F80158" w:rsidRPr="008819AF" w14:paraId="15131C37"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C0A" w14:textId="77777777" w:rsidR="007170C3" w:rsidRPr="008819AF" w:rsidRDefault="006F0418" w:rsidP="003E351D">
            <w:pPr>
              <w:ind w:right="-70"/>
              <w:rPr>
                <w:rFonts w:eastAsia="Arial"/>
                <w:lang w:bidi="cs-CZ"/>
              </w:rPr>
            </w:pPr>
            <w:r w:rsidRPr="008819AF">
              <w:rPr>
                <w:rFonts w:eastAsia="Arial"/>
                <w:lang w:bidi="cs-CZ"/>
              </w:rPr>
              <w:t>Č</w:t>
            </w:r>
            <w:r w:rsidR="00E7430A" w:rsidRPr="008819AF">
              <w:rPr>
                <w:rFonts w:eastAsia="Arial"/>
                <w:lang w:bidi="cs-CZ"/>
              </w:rPr>
              <w:t xml:space="preserve">. </w:t>
            </w:r>
            <w:r w:rsidRPr="008819AF">
              <w:rPr>
                <w:rFonts w:eastAsia="Arial"/>
                <w:lang w:bidi="cs-CZ"/>
              </w:rPr>
              <w:t>30</w:t>
            </w:r>
          </w:p>
        </w:tc>
        <w:tc>
          <w:tcPr>
            <w:tcW w:w="6227" w:type="dxa"/>
            <w:gridSpan w:val="2"/>
            <w:tcBorders>
              <w:top w:val="single" w:sz="4" w:space="0" w:color="000000"/>
              <w:left w:val="single" w:sz="6" w:space="0" w:color="000000"/>
              <w:bottom w:val="single" w:sz="4" w:space="0" w:color="000000"/>
              <w:right w:val="single" w:sz="6" w:space="0" w:color="000000"/>
            </w:tcBorders>
          </w:tcPr>
          <w:p w14:paraId="15131C0B" w14:textId="77777777" w:rsidR="007170C3" w:rsidRPr="008819AF" w:rsidRDefault="006F0418" w:rsidP="0021052F">
            <w:pPr>
              <w:ind w:left="215" w:hanging="215"/>
              <w:rPr>
                <w:rFonts w:eastAsia="Arial"/>
              </w:rPr>
            </w:pPr>
            <w:r w:rsidRPr="008819AF">
              <w:rPr>
                <w:rFonts w:eastAsia="Arial"/>
              </w:rPr>
              <w:t>Článok 30</w:t>
            </w:r>
          </w:p>
          <w:p w14:paraId="15131C0C" w14:textId="77777777" w:rsidR="007170C3" w:rsidRPr="008819AF" w:rsidRDefault="006F0418" w:rsidP="0021052F">
            <w:pPr>
              <w:ind w:left="215" w:hanging="215"/>
              <w:rPr>
                <w:rFonts w:eastAsia="Arial"/>
              </w:rPr>
            </w:pPr>
            <w:r w:rsidRPr="008819AF">
              <w:rPr>
                <w:rFonts w:eastAsia="Arial"/>
              </w:rPr>
              <w:t>Emisné limity</w:t>
            </w:r>
          </w:p>
          <w:p w14:paraId="15131C0D" w14:textId="77777777" w:rsidR="007170C3" w:rsidRPr="008819AF" w:rsidRDefault="006F0418" w:rsidP="0021052F">
            <w:pPr>
              <w:ind w:left="215" w:hanging="215"/>
              <w:rPr>
                <w:rFonts w:eastAsia="Arial"/>
              </w:rPr>
            </w:pPr>
            <w:r w:rsidRPr="008819AF">
              <w:rPr>
                <w:rFonts w:eastAsia="Arial"/>
              </w:rPr>
              <w:t>1. Odpadové plyny zo spaľovacích zariadení sa musia vypúšťať riadeným spôsobom komínom, ktorý obsahuje jeden spalinovod alebo viaceré spalinovody, ktorých výška sa vypočíta tak, aby sa zaistila bezpečnosť ľudského zdravia a životného prostredia.</w:t>
            </w:r>
          </w:p>
          <w:p w14:paraId="15131C0E" w14:textId="77777777" w:rsidR="007170C3" w:rsidRPr="008819AF" w:rsidRDefault="007170C3" w:rsidP="0021052F">
            <w:pPr>
              <w:ind w:left="215" w:hanging="21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C0F" w14:textId="77777777" w:rsidR="007170C3" w:rsidRPr="008819AF" w:rsidRDefault="006F0418" w:rsidP="0021052F">
            <w:pPr>
              <w:ind w:left="-70" w:right="-68" w:hanging="6"/>
              <w:jc w:val="center"/>
              <w:rPr>
                <w:rFonts w:eastAsia="Arial"/>
                <w:lang w:bidi="cs-CZ"/>
              </w:rPr>
            </w:pPr>
            <w:r w:rsidRPr="008819AF">
              <w:rPr>
                <w:rFonts w:eastAsia="Arial"/>
                <w:lang w:bidi="cs-CZ"/>
              </w:rPr>
              <w:lastRenderedPageBreak/>
              <w:t>N</w:t>
            </w:r>
          </w:p>
          <w:p w14:paraId="15131C10" w14:textId="77777777" w:rsidR="00E7430A" w:rsidRPr="008819AF" w:rsidRDefault="00E7430A" w:rsidP="0021052F">
            <w:pPr>
              <w:ind w:left="-70" w:right="-68" w:hanging="6"/>
              <w:jc w:val="center"/>
              <w:rPr>
                <w:rFonts w:eastAsia="Arial"/>
                <w:lang w:bidi="cs-CZ"/>
              </w:rPr>
            </w:pPr>
          </w:p>
          <w:p w14:paraId="15131C11" w14:textId="77777777" w:rsidR="00E7430A" w:rsidRPr="008819AF" w:rsidRDefault="00E7430A" w:rsidP="0021052F">
            <w:pPr>
              <w:ind w:left="-70" w:right="-68" w:hanging="6"/>
              <w:jc w:val="center"/>
              <w:rPr>
                <w:rFonts w:eastAsia="Arial"/>
                <w:lang w:bidi="cs-CZ"/>
              </w:rPr>
            </w:pPr>
          </w:p>
          <w:p w14:paraId="15131C12" w14:textId="77777777" w:rsidR="00E7430A" w:rsidRPr="008819AF" w:rsidRDefault="00E7430A" w:rsidP="0021052F">
            <w:pPr>
              <w:ind w:left="-70" w:right="-68" w:hanging="6"/>
              <w:jc w:val="center"/>
              <w:rPr>
                <w:rFonts w:eastAsia="Arial"/>
                <w:lang w:bidi="cs-CZ"/>
              </w:rPr>
            </w:pPr>
          </w:p>
          <w:p w14:paraId="15131C13" w14:textId="77777777" w:rsidR="00E7430A" w:rsidRPr="008819AF" w:rsidRDefault="00E7430A" w:rsidP="0021052F">
            <w:pPr>
              <w:ind w:left="-70" w:right="-68" w:hanging="6"/>
              <w:jc w:val="center"/>
              <w:rPr>
                <w:rFonts w:eastAsia="Arial"/>
                <w:lang w:bidi="cs-CZ"/>
              </w:rPr>
            </w:pPr>
          </w:p>
          <w:p w14:paraId="15131C14" w14:textId="77777777" w:rsidR="00E7430A" w:rsidRPr="008819AF" w:rsidRDefault="00E7430A" w:rsidP="0021052F">
            <w:pPr>
              <w:ind w:left="-70" w:right="-68" w:hanging="6"/>
              <w:jc w:val="center"/>
              <w:rPr>
                <w:rFonts w:eastAsia="Arial"/>
                <w:lang w:bidi="cs-CZ"/>
              </w:rPr>
            </w:pPr>
          </w:p>
          <w:p w14:paraId="15131C15" w14:textId="77777777" w:rsidR="00E7430A" w:rsidRPr="008819AF" w:rsidRDefault="00E7430A" w:rsidP="0021052F">
            <w:pPr>
              <w:ind w:left="-70" w:right="-68" w:hanging="6"/>
              <w:jc w:val="center"/>
              <w:rPr>
                <w:rFonts w:eastAsia="Arial"/>
                <w:lang w:bidi="cs-CZ"/>
              </w:rPr>
            </w:pPr>
          </w:p>
          <w:p w14:paraId="15131C16" w14:textId="77777777" w:rsidR="00E7430A" w:rsidRPr="008819AF" w:rsidRDefault="00E7430A" w:rsidP="0021052F">
            <w:pPr>
              <w:ind w:left="-70" w:right="-68" w:hanging="6"/>
              <w:jc w:val="center"/>
              <w:rPr>
                <w:rFonts w:eastAsia="Arial"/>
                <w:lang w:bidi="cs-CZ"/>
              </w:rPr>
            </w:pPr>
          </w:p>
          <w:p w14:paraId="15131C17" w14:textId="77777777" w:rsidR="00E7430A" w:rsidRPr="008819AF" w:rsidRDefault="00E7430A" w:rsidP="0021052F">
            <w:pPr>
              <w:ind w:left="-70" w:right="-68" w:hanging="6"/>
              <w:jc w:val="center"/>
              <w:rPr>
                <w:rFonts w:eastAsia="Arial"/>
                <w:lang w:bidi="cs-CZ"/>
              </w:rPr>
            </w:pPr>
            <w:r w:rsidRPr="008819AF">
              <w:rPr>
                <w:rFonts w:eastAsia="Arial"/>
                <w:lang w:bidi="cs-CZ"/>
              </w:rPr>
              <w:t>N</w:t>
            </w:r>
          </w:p>
          <w:p w14:paraId="15131C18"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C19" w14:textId="77777777" w:rsidR="007170C3" w:rsidRPr="008819AF" w:rsidRDefault="00A32C9B" w:rsidP="0021052F">
            <w:pPr>
              <w:jc w:val="center"/>
              <w:rPr>
                <w:rFonts w:eastAsia="Arial"/>
                <w:lang w:bidi="cs-CZ"/>
              </w:rPr>
            </w:pPr>
            <w:r w:rsidRPr="008819AF">
              <w:rPr>
                <w:rFonts w:eastAsia="Arial"/>
                <w:lang w:bidi="cs-CZ"/>
              </w:rPr>
              <w:lastRenderedPageBreak/>
              <w:t>NZ</w:t>
            </w:r>
          </w:p>
          <w:p w14:paraId="15131C1A" w14:textId="77777777" w:rsidR="007170C3" w:rsidRPr="008819AF" w:rsidRDefault="007170C3" w:rsidP="0021052F">
            <w:pPr>
              <w:jc w:val="center"/>
              <w:rPr>
                <w:rFonts w:eastAsia="Arial"/>
                <w:lang w:bidi="cs-CZ"/>
              </w:rPr>
            </w:pPr>
          </w:p>
          <w:p w14:paraId="15131C1B" w14:textId="77777777" w:rsidR="007170C3" w:rsidRPr="008819AF" w:rsidRDefault="007170C3" w:rsidP="0021052F">
            <w:pPr>
              <w:jc w:val="center"/>
              <w:rPr>
                <w:rFonts w:eastAsia="Arial"/>
                <w:lang w:bidi="cs-CZ"/>
              </w:rPr>
            </w:pPr>
          </w:p>
          <w:p w14:paraId="15131C1C" w14:textId="77777777" w:rsidR="007170C3" w:rsidRPr="008819AF" w:rsidRDefault="007170C3" w:rsidP="0021052F">
            <w:pPr>
              <w:jc w:val="center"/>
              <w:rPr>
                <w:rFonts w:eastAsia="Arial"/>
                <w:lang w:bidi="cs-CZ"/>
              </w:rPr>
            </w:pPr>
          </w:p>
          <w:p w14:paraId="15131C1D" w14:textId="77777777" w:rsidR="007170C3" w:rsidRPr="008819AF" w:rsidRDefault="007170C3" w:rsidP="0021052F">
            <w:pPr>
              <w:jc w:val="center"/>
              <w:rPr>
                <w:rFonts w:eastAsia="Arial"/>
                <w:lang w:bidi="cs-CZ"/>
              </w:rPr>
            </w:pPr>
          </w:p>
          <w:p w14:paraId="15131C1E" w14:textId="77777777" w:rsidR="007170C3" w:rsidRPr="008819AF" w:rsidRDefault="007170C3" w:rsidP="0021052F">
            <w:pPr>
              <w:jc w:val="center"/>
              <w:rPr>
                <w:rFonts w:eastAsia="Arial"/>
                <w:lang w:bidi="cs-CZ"/>
              </w:rPr>
            </w:pPr>
          </w:p>
          <w:p w14:paraId="15131C1F" w14:textId="77777777" w:rsidR="007170C3" w:rsidRPr="008819AF" w:rsidRDefault="007170C3" w:rsidP="0021052F">
            <w:pPr>
              <w:jc w:val="center"/>
              <w:rPr>
                <w:rFonts w:eastAsia="Arial"/>
                <w:lang w:bidi="cs-CZ"/>
              </w:rPr>
            </w:pPr>
          </w:p>
          <w:p w14:paraId="15131C20" w14:textId="77777777" w:rsidR="007170C3" w:rsidRPr="008819AF" w:rsidRDefault="007170C3" w:rsidP="0021052F">
            <w:pPr>
              <w:jc w:val="center"/>
              <w:rPr>
                <w:rFonts w:eastAsia="Arial"/>
                <w:lang w:bidi="cs-CZ"/>
              </w:rPr>
            </w:pPr>
          </w:p>
          <w:p w14:paraId="15131C21" w14:textId="77777777" w:rsidR="007170C3" w:rsidRPr="008819AF" w:rsidRDefault="006F0418" w:rsidP="0021052F">
            <w:pPr>
              <w:jc w:val="center"/>
              <w:rPr>
                <w:rFonts w:eastAsia="Arial"/>
                <w:lang w:bidi="cs-CZ"/>
              </w:rPr>
            </w:pPr>
            <w:r w:rsidRPr="008819AF">
              <w:rPr>
                <w:rFonts w:eastAsia="Arial"/>
                <w:lang w:bidi="cs-CZ"/>
              </w:rPr>
              <w:t>NV2</w:t>
            </w:r>
          </w:p>
          <w:p w14:paraId="15131C22"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C23"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lastRenderedPageBreak/>
              <w:t>§ 29</w:t>
            </w:r>
          </w:p>
          <w:p w14:paraId="15131C24"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 1</w:t>
            </w:r>
          </w:p>
          <w:p w14:paraId="15131C25"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 d)</w:t>
            </w:r>
          </w:p>
          <w:p w14:paraId="15131C26"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C27"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C28"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C2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C2A"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C2B" w14:textId="77777777" w:rsidR="007170C3" w:rsidRPr="008819AF" w:rsidRDefault="00E7430A"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§2 Pe)</w:t>
            </w:r>
          </w:p>
          <w:p w14:paraId="15131C2C" w14:textId="77777777" w:rsidR="00E7430A" w:rsidRPr="008819AF" w:rsidRDefault="00E7430A" w:rsidP="0021052F">
            <w:pPr>
              <w:pStyle w:val="BodyText21"/>
              <w:spacing w:before="0" w:line="240" w:lineRule="auto"/>
              <w:ind w:left="0" w:right="-70" w:firstLine="0"/>
              <w:jc w:val="center"/>
              <w:rPr>
                <w:rFonts w:ascii="Times New Roman" w:hAnsi="Times New Roman" w:cs="Times New Roman"/>
              </w:rPr>
            </w:pPr>
          </w:p>
          <w:p w14:paraId="15131C2D" w14:textId="77777777" w:rsidR="00E7430A" w:rsidRPr="008819AF" w:rsidRDefault="00E7430A"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Pr.9</w:t>
            </w:r>
          </w:p>
          <w:p w14:paraId="15131C2E"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C2F" w14:textId="77777777" w:rsidR="007170C3" w:rsidRPr="008819AF" w:rsidRDefault="006F0418" w:rsidP="0021052F">
            <w:pPr>
              <w:pStyle w:val="Odsekzoznamu"/>
              <w:ind w:left="0"/>
              <w:rPr>
                <w:rFonts w:eastAsia="Arial"/>
                <w:sz w:val="20"/>
                <w:szCs w:val="20"/>
                <w:lang w:bidi="cs-CZ"/>
              </w:rPr>
            </w:pPr>
            <w:r w:rsidRPr="008819AF">
              <w:rPr>
                <w:rFonts w:eastAsia="Arial"/>
                <w:sz w:val="20"/>
                <w:szCs w:val="20"/>
                <w:lang w:bidi="cs-CZ"/>
              </w:rPr>
              <w:lastRenderedPageBreak/>
              <w:t>§ 29 Požiadavky na stacionárny zdroj pri jeho výstavbe a podstatnej zmene</w:t>
            </w:r>
          </w:p>
          <w:p w14:paraId="15131C30" w14:textId="77777777" w:rsidR="007170C3" w:rsidRPr="008819AF" w:rsidRDefault="006F0418" w:rsidP="0021052F">
            <w:pPr>
              <w:pStyle w:val="Odsekzoznamu"/>
              <w:ind w:left="0"/>
              <w:rPr>
                <w:rFonts w:eastAsia="Arial"/>
                <w:sz w:val="20"/>
                <w:szCs w:val="20"/>
                <w:lang w:bidi="cs-CZ"/>
              </w:rPr>
            </w:pPr>
            <w:r w:rsidRPr="008819AF">
              <w:rPr>
                <w:rFonts w:eastAsia="Arial"/>
                <w:sz w:val="20"/>
                <w:szCs w:val="20"/>
                <w:lang w:bidi="cs-CZ"/>
              </w:rPr>
              <w:t>Novobudovaný stacionárny zdroj a stacionárny zdroj a jeho zariadenia po vykonaní podstatne</w:t>
            </w:r>
            <w:r w:rsidR="00CE05AC" w:rsidRPr="008819AF">
              <w:rPr>
                <w:rFonts w:eastAsia="Arial"/>
                <w:sz w:val="20"/>
                <w:szCs w:val="20"/>
                <w:lang w:bidi="cs-CZ"/>
              </w:rPr>
              <w:t>j zmeny podľa § 2 ods. 1 písm. q</w:t>
            </w:r>
            <w:r w:rsidRPr="008819AF">
              <w:rPr>
                <w:rFonts w:eastAsia="Arial"/>
                <w:sz w:val="20"/>
                <w:szCs w:val="20"/>
                <w:lang w:bidi="cs-CZ"/>
              </w:rPr>
              <w:t>) musí byť navrhnutý a konštruovaný tak, aby spĺňal</w:t>
            </w:r>
          </w:p>
          <w:p w14:paraId="15131C31" w14:textId="77777777" w:rsidR="007170C3" w:rsidRPr="008819AF" w:rsidRDefault="006F0418" w:rsidP="0021052F">
            <w:pPr>
              <w:pStyle w:val="Odsekzoznamu"/>
              <w:ind w:left="0"/>
              <w:rPr>
                <w:rFonts w:eastAsia="Arial"/>
                <w:sz w:val="20"/>
                <w:szCs w:val="20"/>
                <w:lang w:bidi="cs-CZ"/>
              </w:rPr>
            </w:pPr>
            <w:r w:rsidRPr="008819AF">
              <w:rPr>
                <w:rFonts w:eastAsia="Arial"/>
                <w:sz w:val="20"/>
                <w:szCs w:val="20"/>
                <w:lang w:bidi="cs-CZ"/>
              </w:rPr>
              <w:t xml:space="preserve">d) požiadavky na zabezpečenie rozptylu ustanovené </w:t>
            </w:r>
            <w:r w:rsidR="00E71DB5" w:rsidRPr="008819AF">
              <w:rPr>
                <w:rFonts w:eastAsia="Arial"/>
                <w:sz w:val="20"/>
                <w:szCs w:val="20"/>
                <w:lang w:bidi="cs-CZ"/>
              </w:rPr>
              <w:t xml:space="preserve">vykonávacím </w:t>
            </w:r>
            <w:r w:rsidR="00E71DB5" w:rsidRPr="008819AF">
              <w:rPr>
                <w:rFonts w:eastAsia="Arial"/>
                <w:sz w:val="20"/>
                <w:szCs w:val="20"/>
                <w:lang w:bidi="cs-CZ"/>
              </w:rPr>
              <w:lastRenderedPageBreak/>
              <w:t>predpisom podľa § 62</w:t>
            </w:r>
            <w:r w:rsidRPr="008819AF">
              <w:rPr>
                <w:rFonts w:eastAsia="Arial"/>
                <w:sz w:val="20"/>
                <w:szCs w:val="20"/>
                <w:lang w:bidi="cs-CZ"/>
              </w:rPr>
              <w:t xml:space="preserve"> písm. f)</w:t>
            </w:r>
          </w:p>
          <w:p w14:paraId="15131C32" w14:textId="77777777" w:rsidR="007170C3" w:rsidRPr="008819AF" w:rsidRDefault="007170C3" w:rsidP="0021052F">
            <w:pPr>
              <w:pStyle w:val="Odsekzoznamu"/>
              <w:ind w:left="0"/>
              <w:rPr>
                <w:rFonts w:eastAsia="Arial"/>
                <w:sz w:val="20"/>
                <w:szCs w:val="20"/>
                <w:lang w:bidi="cs-CZ"/>
              </w:rPr>
            </w:pPr>
          </w:p>
          <w:p w14:paraId="15131C33" w14:textId="77777777" w:rsidR="00E7430A" w:rsidRPr="008819AF" w:rsidRDefault="00E7430A" w:rsidP="00E7430A">
            <w:pPr>
              <w:pStyle w:val="odsek"/>
              <w:tabs>
                <w:tab w:val="left" w:pos="-426"/>
              </w:tabs>
              <w:spacing w:before="0"/>
              <w:ind w:left="0" w:firstLine="0"/>
              <w:jc w:val="left"/>
              <w:rPr>
                <w:rFonts w:ascii="Times New Roman" w:hAnsi="Times New Roman" w:cs="Times New Roman"/>
                <w:color w:val="auto"/>
                <w:sz w:val="20"/>
                <w:szCs w:val="20"/>
              </w:rPr>
            </w:pPr>
            <w:r w:rsidRPr="008819AF">
              <w:rPr>
                <w:rFonts w:ascii="Times New Roman" w:hAnsi="Times New Roman" w:cs="Times New Roman"/>
                <w:color w:val="auto"/>
                <w:sz w:val="20"/>
                <w:szCs w:val="20"/>
              </w:rPr>
              <w:t>e) komínom objekt, ktorý obsahuje jeden prieduch alebo viac samostatných prieduchov na vypúšťanie odpadových plynov do ovzdušia,</w:t>
            </w:r>
          </w:p>
          <w:p w14:paraId="15131C34" w14:textId="77777777" w:rsidR="00E7430A" w:rsidRPr="008819AF" w:rsidRDefault="00E7430A" w:rsidP="00E7430A">
            <w:pPr>
              <w:pStyle w:val="Nadpis1"/>
              <w:spacing w:before="0"/>
              <w:ind w:left="0" w:firstLine="0"/>
              <w:jc w:val="both"/>
              <w:rPr>
                <w:rFonts w:ascii="Times New Roman" w:hAnsi="Times New Roman" w:cs="Times New Roman"/>
              </w:rPr>
            </w:pPr>
            <w:r w:rsidRPr="008819AF">
              <w:rPr>
                <w:rFonts w:ascii="Times New Roman" w:hAnsi="Times New Roman" w:cs="Times New Roman"/>
                <w:b w:val="0"/>
                <w:bCs w:val="0"/>
                <w:sz w:val="20"/>
                <w:szCs w:val="20"/>
                <w:lang w:bidi="sk-SK"/>
              </w:rPr>
              <w:t>POŽIADAVKY ZABEZPEČENIA ROZPTYLU EMISIÍ ZNEČISŤUJÚCICH LÁTOK</w:t>
            </w:r>
          </w:p>
        </w:tc>
        <w:tc>
          <w:tcPr>
            <w:tcW w:w="429" w:type="dxa"/>
            <w:tcBorders>
              <w:top w:val="single" w:sz="4" w:space="0" w:color="000000"/>
              <w:left w:val="single" w:sz="6" w:space="0" w:color="000000"/>
              <w:bottom w:val="single" w:sz="4" w:space="0" w:color="000000"/>
              <w:right w:val="single" w:sz="6" w:space="0" w:color="000000"/>
            </w:tcBorders>
          </w:tcPr>
          <w:p w14:paraId="15131C35" w14:textId="77777777" w:rsidR="007170C3" w:rsidRPr="008819AF" w:rsidRDefault="00166B76" w:rsidP="0021052F">
            <w:pPr>
              <w:ind w:left="215" w:hanging="215"/>
              <w:rPr>
                <w:rFonts w:eastAsia="Arial"/>
                <w:lang w:bidi="cs-CZ"/>
              </w:rPr>
            </w:pPr>
            <w:r w:rsidRPr="008819AF">
              <w:rPr>
                <w:rFonts w:eastAsia="Arial"/>
                <w:lang w:bidi="cs-CZ"/>
              </w:rPr>
              <w:lastRenderedPageBreak/>
              <w:t>Ú</w:t>
            </w:r>
          </w:p>
        </w:tc>
        <w:tc>
          <w:tcPr>
            <w:tcW w:w="821" w:type="dxa"/>
            <w:gridSpan w:val="3"/>
            <w:tcBorders>
              <w:top w:val="single" w:sz="4" w:space="0" w:color="000000"/>
              <w:left w:val="single" w:sz="6" w:space="0" w:color="000000"/>
              <w:bottom w:val="single" w:sz="4" w:space="0" w:color="000000"/>
              <w:right w:val="single" w:sz="6" w:space="0" w:color="000000"/>
            </w:tcBorders>
          </w:tcPr>
          <w:p w14:paraId="15131C36" w14:textId="77777777" w:rsidR="007170C3" w:rsidRPr="008819AF" w:rsidRDefault="007170C3" w:rsidP="0021052F">
            <w:pPr>
              <w:ind w:left="215" w:hanging="215"/>
              <w:rPr>
                <w:rFonts w:eastAsia="Arial"/>
                <w:lang w:bidi="cs-CZ"/>
              </w:rPr>
            </w:pPr>
          </w:p>
        </w:tc>
      </w:tr>
      <w:tr w:rsidR="00F80158" w:rsidRPr="008819AF" w14:paraId="15131C8D"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C38"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C39" w14:textId="77777777" w:rsidR="007170C3" w:rsidRPr="008819AF" w:rsidRDefault="00C870C1" w:rsidP="00C870C1">
            <w:pPr>
              <w:ind w:left="215" w:hanging="215"/>
              <w:rPr>
                <w:rFonts w:eastAsia="Arial"/>
              </w:rPr>
            </w:pPr>
            <w:r w:rsidRPr="008819AF">
              <w:rPr>
                <w:rFonts w:eastAsia="Arial"/>
              </w:rPr>
              <w:t xml:space="preserve">2. </w:t>
            </w:r>
            <w:r w:rsidR="006F0418" w:rsidRPr="008819AF">
              <w:rPr>
                <w:rFonts w:eastAsia="Arial"/>
              </w:rPr>
              <w:t>Všetky povolenia pre zariadenia obsahujúce spaľovacie zariadenia, pre ktoré bolo udelené povolenie pred 7. januárom 2013 alebo prevádzkovatelia ktorých predložili úplnú žiadosť o povolenie pred uvedeným dátumom, pokiaľ sa takéto zariadenia uvedú do prevádzkovaní najneskôr do 7. januára 2014, obsahujú podmienky, pomocou ktorých sa zabezpečí, že emisie do ovzdušia z týchto zariadení neprekročia emisné limity stanovené v prílohe V časť 1.</w:t>
            </w:r>
          </w:p>
          <w:p w14:paraId="15131C3A" w14:textId="77777777" w:rsidR="007170C3" w:rsidRPr="008819AF" w:rsidRDefault="007170C3" w:rsidP="00C870C1">
            <w:pPr>
              <w:ind w:left="215" w:hanging="215"/>
              <w:rPr>
                <w:rFonts w:eastAsia="Arial"/>
              </w:rPr>
            </w:pPr>
          </w:p>
          <w:p w14:paraId="15131C3B" w14:textId="77777777" w:rsidR="007170C3" w:rsidRPr="008819AF" w:rsidRDefault="00C870C1" w:rsidP="00C870C1">
            <w:pPr>
              <w:ind w:left="215" w:hanging="215"/>
              <w:rPr>
                <w:rFonts w:eastAsia="Arial"/>
              </w:rPr>
            </w:pPr>
            <w:r w:rsidRPr="008819AF">
              <w:rPr>
                <w:rFonts w:eastAsia="Arial"/>
              </w:rPr>
              <w:t xml:space="preserve">     </w:t>
            </w:r>
            <w:r w:rsidR="006F0418" w:rsidRPr="008819AF">
              <w:rPr>
                <w:rFonts w:eastAsia="Arial"/>
              </w:rPr>
              <w:t>Všetky povolenia pre zariadenia obsahujúce spaľovacie zariadenia, ktoré dostali výnimku v zmysle článku 4 ods. 4 smernice 2001/80/ES a ktoré sú v prevádzke po 1. januári 2016, obsahujú podmienky, ktoré zabezpečia, že emisie z týchto zariadení do ovzdušia neprekročia emisné limity stanovené v prílohe V časť 2.</w:t>
            </w:r>
          </w:p>
          <w:p w14:paraId="15131C3C" w14:textId="77777777" w:rsidR="007170C3" w:rsidRPr="008819AF" w:rsidRDefault="007170C3" w:rsidP="00C870C1">
            <w:pPr>
              <w:ind w:left="215" w:hanging="21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C3D" w14:textId="77777777" w:rsidR="007170C3" w:rsidRPr="008819AF" w:rsidRDefault="00DC4FF3" w:rsidP="0021052F">
            <w:pPr>
              <w:ind w:left="-70" w:right="-68" w:hanging="6"/>
              <w:jc w:val="center"/>
              <w:rPr>
                <w:rFonts w:eastAsia="Arial"/>
                <w:lang w:bidi="cs-CZ"/>
              </w:rPr>
            </w:pPr>
            <w:r w:rsidRPr="008819AF">
              <w:rPr>
                <w:rFonts w:eastAsia="Arial"/>
                <w:lang w:bidi="cs-CZ"/>
              </w:rPr>
              <w:t>N</w:t>
            </w:r>
          </w:p>
          <w:p w14:paraId="15131C3E" w14:textId="77777777" w:rsidR="00DC4FF3" w:rsidRPr="008819AF" w:rsidRDefault="00DC4FF3" w:rsidP="0021052F">
            <w:pPr>
              <w:ind w:left="-70" w:right="-68" w:hanging="6"/>
              <w:jc w:val="center"/>
              <w:rPr>
                <w:rFonts w:eastAsia="Arial"/>
                <w:lang w:bidi="cs-CZ"/>
              </w:rPr>
            </w:pPr>
          </w:p>
          <w:p w14:paraId="15131C3F" w14:textId="77777777" w:rsidR="00DC4FF3" w:rsidRPr="008819AF" w:rsidRDefault="00DC4FF3" w:rsidP="0021052F">
            <w:pPr>
              <w:ind w:left="-70" w:right="-68" w:hanging="6"/>
              <w:jc w:val="center"/>
              <w:rPr>
                <w:rFonts w:eastAsia="Arial"/>
                <w:lang w:bidi="cs-CZ"/>
              </w:rPr>
            </w:pPr>
          </w:p>
          <w:p w14:paraId="15131C40" w14:textId="77777777" w:rsidR="00DC4FF3" w:rsidRPr="008819AF" w:rsidRDefault="00DC4FF3" w:rsidP="0021052F">
            <w:pPr>
              <w:ind w:left="-70" w:right="-68" w:hanging="6"/>
              <w:jc w:val="center"/>
              <w:rPr>
                <w:rFonts w:eastAsia="Arial"/>
                <w:lang w:bidi="cs-CZ"/>
              </w:rPr>
            </w:pPr>
          </w:p>
          <w:p w14:paraId="15131C41" w14:textId="77777777" w:rsidR="00DC4FF3" w:rsidRPr="008819AF" w:rsidRDefault="00DC4FF3" w:rsidP="0021052F">
            <w:pPr>
              <w:ind w:left="-70" w:right="-68" w:hanging="6"/>
              <w:jc w:val="center"/>
              <w:rPr>
                <w:rFonts w:eastAsia="Arial"/>
                <w:lang w:bidi="cs-CZ"/>
              </w:rPr>
            </w:pPr>
          </w:p>
          <w:p w14:paraId="15131C42" w14:textId="77777777" w:rsidR="008B369F" w:rsidRPr="008819AF" w:rsidRDefault="008B369F" w:rsidP="0021052F">
            <w:pPr>
              <w:ind w:left="-70" w:right="-68" w:hanging="6"/>
              <w:jc w:val="center"/>
              <w:rPr>
                <w:rFonts w:eastAsia="Arial"/>
                <w:lang w:bidi="cs-CZ"/>
              </w:rPr>
            </w:pPr>
          </w:p>
          <w:p w14:paraId="15131C43" w14:textId="77777777" w:rsidR="00DC4FF3" w:rsidRPr="008819AF" w:rsidRDefault="00DC4FF3" w:rsidP="0021052F">
            <w:pPr>
              <w:ind w:left="-70" w:right="-68" w:hanging="6"/>
              <w:jc w:val="center"/>
              <w:rPr>
                <w:rFonts w:eastAsia="Arial"/>
                <w:lang w:bidi="cs-CZ"/>
              </w:rPr>
            </w:pPr>
            <w:r w:rsidRPr="008819AF">
              <w:rPr>
                <w:rFonts w:eastAsia="Arial"/>
                <w:lang w:bidi="cs-CZ"/>
              </w:rPr>
              <w:t>N</w:t>
            </w:r>
          </w:p>
          <w:p w14:paraId="15131C44" w14:textId="77777777" w:rsidR="00DC4FF3" w:rsidRPr="008819AF" w:rsidRDefault="00DC4FF3" w:rsidP="0021052F">
            <w:pPr>
              <w:ind w:left="-70" w:right="-68" w:hanging="6"/>
              <w:jc w:val="center"/>
              <w:rPr>
                <w:rFonts w:eastAsia="Arial"/>
                <w:lang w:bidi="cs-CZ"/>
              </w:rPr>
            </w:pPr>
          </w:p>
          <w:p w14:paraId="15131C45" w14:textId="77777777" w:rsidR="00DC4FF3" w:rsidRPr="008819AF" w:rsidRDefault="00DC4FF3" w:rsidP="0021052F">
            <w:pPr>
              <w:ind w:left="-70" w:right="-68" w:hanging="6"/>
              <w:jc w:val="center"/>
              <w:rPr>
                <w:rFonts w:eastAsia="Arial"/>
                <w:lang w:bidi="cs-CZ"/>
              </w:rPr>
            </w:pPr>
          </w:p>
          <w:p w14:paraId="15131C46" w14:textId="77777777" w:rsidR="008B369F" w:rsidRPr="008819AF" w:rsidRDefault="008B369F" w:rsidP="0021052F">
            <w:pPr>
              <w:ind w:left="-70" w:right="-68" w:hanging="6"/>
              <w:jc w:val="center"/>
              <w:rPr>
                <w:rFonts w:eastAsia="Arial"/>
                <w:lang w:bidi="cs-CZ"/>
              </w:rPr>
            </w:pPr>
          </w:p>
          <w:p w14:paraId="15131C47" w14:textId="77777777" w:rsidR="008B369F" w:rsidRPr="008819AF" w:rsidRDefault="008B369F" w:rsidP="0021052F">
            <w:pPr>
              <w:ind w:left="-70" w:right="-68" w:hanging="6"/>
              <w:jc w:val="center"/>
              <w:rPr>
                <w:rFonts w:eastAsia="Arial"/>
                <w:lang w:bidi="cs-CZ"/>
              </w:rPr>
            </w:pPr>
            <w:r w:rsidRPr="008819AF">
              <w:rPr>
                <w:rFonts w:eastAsia="Arial"/>
                <w:lang w:bidi="cs-CZ"/>
              </w:rPr>
              <w:t>N</w:t>
            </w:r>
          </w:p>
          <w:p w14:paraId="15131C48" w14:textId="77777777" w:rsidR="00DC4FF3" w:rsidRPr="008819AF" w:rsidRDefault="00DC4FF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C49" w14:textId="77777777" w:rsidR="007170C3" w:rsidRPr="008819AF" w:rsidRDefault="00A32C9B" w:rsidP="0021052F">
            <w:pPr>
              <w:jc w:val="center"/>
              <w:rPr>
                <w:rFonts w:eastAsia="Arial"/>
                <w:lang w:bidi="cs-CZ"/>
              </w:rPr>
            </w:pPr>
            <w:r w:rsidRPr="008819AF">
              <w:rPr>
                <w:rFonts w:eastAsia="Arial"/>
                <w:lang w:bidi="cs-CZ"/>
              </w:rPr>
              <w:t>NZ</w:t>
            </w:r>
          </w:p>
          <w:p w14:paraId="15131C4A" w14:textId="77777777" w:rsidR="007170C3" w:rsidRPr="008819AF" w:rsidRDefault="007170C3" w:rsidP="0021052F">
            <w:pPr>
              <w:jc w:val="center"/>
              <w:rPr>
                <w:rFonts w:eastAsia="Arial"/>
                <w:lang w:bidi="cs-CZ"/>
              </w:rPr>
            </w:pPr>
          </w:p>
          <w:p w14:paraId="15131C4B" w14:textId="77777777" w:rsidR="007170C3" w:rsidRPr="008819AF" w:rsidRDefault="007170C3" w:rsidP="0021052F">
            <w:pPr>
              <w:jc w:val="center"/>
              <w:rPr>
                <w:rFonts w:eastAsia="Arial"/>
                <w:lang w:bidi="cs-CZ"/>
              </w:rPr>
            </w:pPr>
          </w:p>
          <w:p w14:paraId="15131C4C" w14:textId="77777777" w:rsidR="007170C3" w:rsidRPr="008819AF" w:rsidRDefault="007170C3" w:rsidP="0021052F">
            <w:pPr>
              <w:jc w:val="center"/>
              <w:rPr>
                <w:rFonts w:eastAsia="Arial"/>
                <w:lang w:bidi="cs-CZ"/>
              </w:rPr>
            </w:pPr>
          </w:p>
          <w:p w14:paraId="15131C4D" w14:textId="77777777" w:rsidR="007170C3" w:rsidRPr="008819AF" w:rsidRDefault="007170C3" w:rsidP="0021052F">
            <w:pPr>
              <w:jc w:val="center"/>
              <w:rPr>
                <w:rFonts w:eastAsia="Arial"/>
                <w:lang w:bidi="cs-CZ"/>
              </w:rPr>
            </w:pPr>
          </w:p>
          <w:p w14:paraId="15131C4E" w14:textId="77777777" w:rsidR="008B369F" w:rsidRPr="008819AF" w:rsidRDefault="008B369F" w:rsidP="0021052F">
            <w:pPr>
              <w:jc w:val="center"/>
              <w:rPr>
                <w:rFonts w:eastAsia="Arial"/>
                <w:lang w:bidi="cs-CZ"/>
              </w:rPr>
            </w:pPr>
          </w:p>
          <w:p w14:paraId="15131C4F" w14:textId="77777777" w:rsidR="007170C3" w:rsidRPr="008819AF" w:rsidRDefault="006F0418" w:rsidP="0021052F">
            <w:pPr>
              <w:jc w:val="center"/>
              <w:rPr>
                <w:rFonts w:eastAsia="Arial"/>
                <w:lang w:bidi="cs-CZ"/>
              </w:rPr>
            </w:pPr>
            <w:r w:rsidRPr="008819AF">
              <w:rPr>
                <w:rFonts w:eastAsia="Arial"/>
                <w:lang w:bidi="cs-CZ"/>
              </w:rPr>
              <w:t>NV2</w:t>
            </w:r>
          </w:p>
          <w:p w14:paraId="15131C50" w14:textId="77777777" w:rsidR="008B369F" w:rsidRPr="008819AF" w:rsidRDefault="008B369F" w:rsidP="0021052F">
            <w:pPr>
              <w:jc w:val="center"/>
              <w:rPr>
                <w:rFonts w:eastAsia="Arial"/>
                <w:lang w:bidi="cs-CZ"/>
              </w:rPr>
            </w:pPr>
          </w:p>
          <w:p w14:paraId="15131C51" w14:textId="77777777" w:rsidR="008B369F" w:rsidRPr="008819AF" w:rsidRDefault="008B369F" w:rsidP="0021052F">
            <w:pPr>
              <w:jc w:val="center"/>
              <w:rPr>
                <w:rFonts w:eastAsia="Arial"/>
                <w:lang w:bidi="cs-CZ"/>
              </w:rPr>
            </w:pPr>
          </w:p>
          <w:p w14:paraId="15131C52" w14:textId="77777777" w:rsidR="008B369F" w:rsidRPr="008819AF" w:rsidRDefault="008B369F" w:rsidP="0021052F">
            <w:pPr>
              <w:jc w:val="center"/>
              <w:rPr>
                <w:rFonts w:eastAsia="Arial"/>
                <w:lang w:bidi="cs-CZ"/>
              </w:rPr>
            </w:pPr>
          </w:p>
          <w:p w14:paraId="15131C53" w14:textId="77777777" w:rsidR="008B369F" w:rsidRPr="008819AF" w:rsidRDefault="008B369F" w:rsidP="0021052F">
            <w:pPr>
              <w:jc w:val="center"/>
              <w:rPr>
                <w:rFonts w:eastAsia="Arial"/>
                <w:lang w:bidi="cs-CZ"/>
              </w:rPr>
            </w:pPr>
            <w:r w:rsidRPr="008819AF">
              <w:rPr>
                <w:rFonts w:eastAsia="Arial"/>
                <w:lang w:bidi="cs-CZ"/>
              </w:rPr>
              <w:t>NV2</w:t>
            </w:r>
          </w:p>
          <w:p w14:paraId="15131C54" w14:textId="77777777" w:rsidR="008B369F" w:rsidRPr="008819AF" w:rsidRDefault="008B369F"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C55"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34</w:t>
            </w:r>
          </w:p>
          <w:p w14:paraId="15131C56"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 1</w:t>
            </w:r>
          </w:p>
          <w:p w14:paraId="15131C57"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 b)</w:t>
            </w:r>
          </w:p>
          <w:p w14:paraId="15131C58"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C5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C5A" w14:textId="77777777" w:rsidR="008B369F" w:rsidRPr="008819AF" w:rsidRDefault="008B369F" w:rsidP="0021052F">
            <w:pPr>
              <w:pStyle w:val="BodyText21"/>
              <w:spacing w:before="0" w:line="240" w:lineRule="auto"/>
              <w:ind w:left="0" w:right="-70" w:firstLine="0"/>
              <w:jc w:val="center"/>
              <w:rPr>
                <w:rFonts w:ascii="Times New Roman" w:hAnsi="Times New Roman" w:cs="Times New Roman"/>
              </w:rPr>
            </w:pPr>
          </w:p>
          <w:p w14:paraId="15131C5B" w14:textId="77777777" w:rsidR="00C870C1" w:rsidRPr="008819AF" w:rsidRDefault="00C870C1"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w:t>
            </w:r>
            <w:r w:rsidR="00CB7C08" w:rsidRPr="008819AF">
              <w:rPr>
                <w:rFonts w:ascii="Times New Roman" w:hAnsi="Times New Roman" w:cs="Times New Roman"/>
              </w:rPr>
              <w:t xml:space="preserve"> </w:t>
            </w:r>
            <w:r w:rsidR="00DC4FF3" w:rsidRPr="008819AF">
              <w:rPr>
                <w:rFonts w:ascii="Times New Roman" w:hAnsi="Times New Roman" w:cs="Times New Roman"/>
              </w:rPr>
              <w:t>10</w:t>
            </w:r>
          </w:p>
          <w:p w14:paraId="15131C5C" w14:textId="77777777" w:rsidR="00DC4FF3" w:rsidRPr="008819AF" w:rsidRDefault="00DC4FF3"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O2</w:t>
            </w:r>
          </w:p>
          <w:p w14:paraId="15131C5D" w14:textId="77777777" w:rsidR="008B369F" w:rsidRPr="008819AF" w:rsidRDefault="008B369F" w:rsidP="0021052F">
            <w:pPr>
              <w:pStyle w:val="BodyText21"/>
              <w:spacing w:before="0" w:line="240" w:lineRule="auto"/>
              <w:ind w:left="0" w:right="-70" w:firstLine="0"/>
              <w:jc w:val="center"/>
              <w:rPr>
                <w:rFonts w:ascii="Times New Roman" w:hAnsi="Times New Roman" w:cs="Times New Roman"/>
              </w:rPr>
            </w:pPr>
          </w:p>
          <w:p w14:paraId="15131C5E" w14:textId="77777777" w:rsidR="008B369F" w:rsidRPr="008819AF" w:rsidRDefault="008B369F" w:rsidP="0021052F">
            <w:pPr>
              <w:pStyle w:val="BodyText21"/>
              <w:spacing w:before="0" w:line="240" w:lineRule="auto"/>
              <w:ind w:left="0" w:right="-70" w:firstLine="0"/>
              <w:jc w:val="center"/>
              <w:rPr>
                <w:rFonts w:ascii="Times New Roman" w:hAnsi="Times New Roman" w:cs="Times New Roman"/>
              </w:rPr>
            </w:pPr>
          </w:p>
          <w:p w14:paraId="15131C5F" w14:textId="77777777" w:rsidR="008B369F" w:rsidRPr="008819AF" w:rsidRDefault="00F95525"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Pr.4</w:t>
            </w:r>
          </w:p>
          <w:p w14:paraId="15131C60" w14:textId="77777777" w:rsidR="008B369F" w:rsidRPr="008819AF" w:rsidRDefault="00F95525"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časť III</w:t>
            </w:r>
          </w:p>
          <w:p w14:paraId="15131C61" w14:textId="77777777" w:rsidR="007170C3" w:rsidRPr="008819AF" w:rsidRDefault="007170C3" w:rsidP="00F95525">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C62" w14:textId="77777777" w:rsidR="00353DF4" w:rsidRPr="008819AF" w:rsidRDefault="00353DF4" w:rsidP="0021052F">
            <w:pPr>
              <w:pStyle w:val="Nra"/>
              <w:ind w:left="215" w:hanging="215"/>
              <w:rPr>
                <w:rFonts w:ascii="Times New Roman" w:eastAsia="Arial" w:hAnsi="Times New Roman" w:cs="Times New Roman"/>
                <w:lang w:bidi="cs-CZ"/>
              </w:rPr>
            </w:pPr>
            <w:r w:rsidRPr="008819AF">
              <w:rPr>
                <w:rFonts w:ascii="Times New Roman" w:eastAsia="Arial" w:hAnsi="Times New Roman" w:cs="Times New Roman"/>
                <w:lang w:bidi="cs-CZ"/>
              </w:rPr>
              <w:t xml:space="preserve">Prevádzkovateľ veľkého zdroja a prevádzkovateľ stredného zdroja je povinný </w:t>
            </w:r>
          </w:p>
          <w:p w14:paraId="15131C63" w14:textId="77777777" w:rsidR="007170C3" w:rsidRPr="008819AF" w:rsidRDefault="00353DF4" w:rsidP="0021052F">
            <w:pPr>
              <w:ind w:left="215" w:hanging="215"/>
              <w:rPr>
                <w:rFonts w:eastAsia="Arial"/>
                <w:lang w:bidi="cs-CZ"/>
              </w:rPr>
            </w:pPr>
            <w:r w:rsidRPr="008819AF">
              <w:rPr>
                <w:rFonts w:eastAsia="Arial"/>
                <w:lang w:bidi="cs-CZ"/>
              </w:rPr>
              <w:t>b)</w:t>
            </w:r>
            <w:r w:rsidRPr="008819AF">
              <w:rPr>
                <w:rFonts w:eastAsia="Arial"/>
                <w:lang w:bidi="cs-CZ"/>
              </w:rPr>
              <w:tab/>
              <w:t>dodržiavať emisné limity určené v povolení; ak emisné limity nie sú určené, dodržiavať emisné limity ustanovené vykonávacím predpisom podľa § 62 písm. f),</w:t>
            </w:r>
          </w:p>
          <w:p w14:paraId="15131C64" w14:textId="77777777" w:rsidR="008B369F" w:rsidRPr="008819AF" w:rsidRDefault="008B369F" w:rsidP="008B369F">
            <w:pPr>
              <w:pStyle w:val="Hlavika"/>
              <w:ind w:left="72" w:hanging="1"/>
              <w:rPr>
                <w:rFonts w:ascii="Times New Roman" w:hAnsi="Times New Roman" w:cs="Times New Roman"/>
              </w:rPr>
            </w:pPr>
          </w:p>
          <w:p w14:paraId="15131C65" w14:textId="77777777" w:rsidR="008B369F" w:rsidRPr="008819AF" w:rsidRDefault="00F95525" w:rsidP="008B369F">
            <w:pPr>
              <w:pStyle w:val="Hlavika"/>
              <w:ind w:left="72" w:hanging="1"/>
              <w:rPr>
                <w:rFonts w:ascii="Times New Roman" w:hAnsi="Times New Roman" w:cs="Times New Roman"/>
              </w:rPr>
            </w:pPr>
            <w:r w:rsidRPr="008819AF">
              <w:rPr>
                <w:rFonts w:ascii="Times New Roman" w:hAnsi="Times New Roman" w:cs="Times New Roman"/>
              </w:rPr>
              <w:t xml:space="preserve">(2) </w:t>
            </w:r>
            <w:r w:rsidR="008B369F" w:rsidRPr="008819AF">
              <w:rPr>
                <w:rFonts w:ascii="Times New Roman" w:hAnsi="Times New Roman" w:cs="Times New Roman"/>
              </w:rPr>
              <w:t>Pre veľké spaľovacie zariadenia začlenené ako jestvujúce zariadenia platia emisné limity uvedené v prílohe č. 4 tretej časti bodoch 2 až 6 tabuľkách A, ak nie je v odseku 6 ustanovené inak.</w:t>
            </w:r>
          </w:p>
          <w:p w14:paraId="15131C66" w14:textId="77777777" w:rsidR="00F95525" w:rsidRPr="008819AF" w:rsidRDefault="00F95525" w:rsidP="008B369F">
            <w:pPr>
              <w:pStyle w:val="Hlavika"/>
              <w:ind w:left="72" w:hanging="1"/>
              <w:rPr>
                <w:rFonts w:ascii="Times New Roman" w:hAnsi="Times New Roman" w:cs="Times New Roman"/>
              </w:rPr>
            </w:pPr>
          </w:p>
          <w:p w14:paraId="15131C67" w14:textId="77777777" w:rsidR="007170C3" w:rsidRPr="008819AF" w:rsidRDefault="00F95525" w:rsidP="0021052F">
            <w:pPr>
              <w:pStyle w:val="Hlavika"/>
              <w:ind w:left="72" w:hanging="1"/>
              <w:rPr>
                <w:rFonts w:ascii="Times New Roman" w:hAnsi="Times New Roman" w:cs="Times New Roman"/>
                <w:lang w:bidi="cs-CZ"/>
              </w:rPr>
            </w:pPr>
            <w:r w:rsidRPr="008819AF">
              <w:rPr>
                <w:rFonts w:ascii="Times New Roman" w:hAnsi="Times New Roman" w:cs="Times New Roman"/>
                <w:lang w:bidi="cs-CZ"/>
              </w:rPr>
              <w:t>Členenie veľkých spaľovacích zariadení</w:t>
            </w:r>
          </w:p>
          <w:tbl>
            <w:tblPr>
              <w:tblW w:w="5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1"/>
              <w:gridCol w:w="425"/>
              <w:gridCol w:w="4111"/>
            </w:tblGrid>
            <w:tr w:rsidR="008B369F" w:rsidRPr="008819AF" w14:paraId="15131C6B" w14:textId="77777777" w:rsidTr="008B369F">
              <w:tc>
                <w:tcPr>
                  <w:tcW w:w="871" w:type="dxa"/>
                  <w:vMerge w:val="restart"/>
                  <w:tcBorders>
                    <w:top w:val="single" w:sz="4" w:space="0" w:color="000000"/>
                    <w:left w:val="single" w:sz="4" w:space="0" w:color="000000"/>
                    <w:bottom w:val="single" w:sz="4" w:space="0" w:color="000000"/>
                    <w:right w:val="single" w:sz="4" w:space="0" w:color="000000"/>
                  </w:tcBorders>
                </w:tcPr>
                <w:p w14:paraId="15131C68" w14:textId="77777777" w:rsidR="00F95525" w:rsidRPr="008819AF" w:rsidRDefault="008B369F" w:rsidP="005608F0">
                  <w:pPr>
                    <w:ind w:right="-108" w:hanging="73"/>
                    <w:rPr>
                      <w:b/>
                      <w:sz w:val="16"/>
                      <w:szCs w:val="16"/>
                      <w:lang w:eastAsia="cs-CZ"/>
                    </w:rPr>
                  </w:pPr>
                  <w:r w:rsidRPr="008819AF">
                    <w:rPr>
                      <w:b/>
                      <w:sz w:val="16"/>
                      <w:szCs w:val="16"/>
                      <w:lang w:eastAsia="cs-CZ"/>
                    </w:rPr>
                    <w:t>Jestvujúce</w:t>
                  </w:r>
                </w:p>
                <w:p w14:paraId="15131C69" w14:textId="77777777" w:rsidR="008B369F" w:rsidRPr="008819AF" w:rsidRDefault="008B369F" w:rsidP="005608F0">
                  <w:pPr>
                    <w:ind w:right="-108" w:hanging="73"/>
                    <w:rPr>
                      <w:sz w:val="16"/>
                      <w:szCs w:val="16"/>
                      <w:lang w:eastAsia="cs-CZ"/>
                    </w:rPr>
                  </w:pPr>
                  <w:r w:rsidRPr="008819AF">
                    <w:rPr>
                      <w:b/>
                      <w:sz w:val="16"/>
                      <w:szCs w:val="16"/>
                      <w:lang w:eastAsia="cs-CZ"/>
                    </w:rPr>
                    <w:t xml:space="preserve"> zariadenie</w:t>
                  </w:r>
                </w:p>
              </w:tc>
              <w:tc>
                <w:tcPr>
                  <w:tcW w:w="4536" w:type="dxa"/>
                  <w:gridSpan w:val="2"/>
                  <w:tcBorders>
                    <w:top w:val="single" w:sz="4" w:space="0" w:color="000000"/>
                    <w:left w:val="single" w:sz="4" w:space="0" w:color="000000"/>
                    <w:bottom w:val="single" w:sz="4" w:space="0" w:color="000000"/>
                    <w:right w:val="single" w:sz="4" w:space="0" w:color="000000"/>
                  </w:tcBorders>
                </w:tcPr>
                <w:p w14:paraId="15131C6A" w14:textId="77777777" w:rsidR="008B369F" w:rsidRPr="008819AF" w:rsidRDefault="008B369F" w:rsidP="005608F0">
                  <w:pPr>
                    <w:rPr>
                      <w:sz w:val="16"/>
                      <w:szCs w:val="16"/>
                      <w:lang w:eastAsia="cs-CZ"/>
                    </w:rPr>
                  </w:pPr>
                  <w:r w:rsidRPr="008819AF">
                    <w:rPr>
                      <w:sz w:val="16"/>
                      <w:szCs w:val="16"/>
                      <w:lang w:eastAsia="cs-CZ"/>
                    </w:rPr>
                    <w:t>Jestvujúce veľké spaľovacie zariadenia sa  členia takto:</w:t>
                  </w:r>
                </w:p>
              </w:tc>
            </w:tr>
            <w:tr w:rsidR="008B369F" w:rsidRPr="008819AF" w14:paraId="15131C6F" w14:textId="77777777" w:rsidTr="00F95525">
              <w:tc>
                <w:tcPr>
                  <w:tcW w:w="871" w:type="dxa"/>
                  <w:vMerge/>
                  <w:tcBorders>
                    <w:top w:val="single" w:sz="4" w:space="0" w:color="000000"/>
                    <w:left w:val="single" w:sz="4" w:space="0" w:color="000000"/>
                    <w:bottom w:val="single" w:sz="4" w:space="0" w:color="000000"/>
                    <w:right w:val="single" w:sz="4" w:space="0" w:color="000000"/>
                  </w:tcBorders>
                </w:tcPr>
                <w:p w14:paraId="15131C6C" w14:textId="77777777" w:rsidR="008B369F" w:rsidRPr="008819AF" w:rsidRDefault="008B369F" w:rsidP="005608F0">
                  <w:pPr>
                    <w:ind w:hanging="73"/>
                    <w:rPr>
                      <w:sz w:val="16"/>
                      <w:szCs w:val="16"/>
                      <w:lang w:eastAsia="cs-CZ"/>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5131C6D" w14:textId="77777777" w:rsidR="008B369F" w:rsidRPr="008819AF" w:rsidRDefault="008B369F" w:rsidP="005608F0">
                  <w:pPr>
                    <w:ind w:left="207" w:hanging="207"/>
                    <w:rPr>
                      <w:sz w:val="16"/>
                      <w:szCs w:val="16"/>
                      <w:lang w:eastAsia="cs-CZ"/>
                    </w:rPr>
                  </w:pPr>
                  <w:r w:rsidRPr="008819AF">
                    <w:rPr>
                      <w:sz w:val="16"/>
                      <w:szCs w:val="16"/>
                      <w:lang w:eastAsia="cs-CZ"/>
                    </w:rPr>
                    <w:t>Z1</w:t>
                  </w:r>
                </w:p>
              </w:tc>
              <w:tc>
                <w:tcPr>
                  <w:tcW w:w="4111" w:type="dxa"/>
                  <w:tcBorders>
                    <w:top w:val="single" w:sz="4" w:space="0" w:color="000000"/>
                    <w:left w:val="single" w:sz="4" w:space="0" w:color="000000"/>
                    <w:bottom w:val="single" w:sz="4" w:space="0" w:color="000000"/>
                    <w:right w:val="single" w:sz="4" w:space="0" w:color="000000"/>
                  </w:tcBorders>
                </w:tcPr>
                <w:p w14:paraId="15131C6E" w14:textId="77777777" w:rsidR="008B369F" w:rsidRPr="008819AF" w:rsidRDefault="008B369F" w:rsidP="00F95525">
                  <w:pPr>
                    <w:ind w:left="-108"/>
                    <w:jc w:val="both"/>
                    <w:rPr>
                      <w:sz w:val="16"/>
                      <w:szCs w:val="16"/>
                      <w:lang w:eastAsia="cs-CZ"/>
                    </w:rPr>
                  </w:pPr>
                  <w:r w:rsidRPr="008819AF">
                    <w:rPr>
                      <w:sz w:val="16"/>
                      <w:szCs w:val="16"/>
                      <w:lang w:eastAsia="cs-CZ"/>
                    </w:rPr>
                    <w:t>spaľovacie zariadenie, pre ktoré bolo vydané stavebné povolenie, alebo ak také nie je, povolenie na užívanie pred 1. júlom 1987</w:t>
                  </w:r>
                </w:p>
              </w:tc>
            </w:tr>
            <w:tr w:rsidR="008B369F" w:rsidRPr="008819AF" w14:paraId="15131C73" w14:textId="77777777" w:rsidTr="00F95525">
              <w:tc>
                <w:tcPr>
                  <w:tcW w:w="871" w:type="dxa"/>
                  <w:vMerge/>
                  <w:tcBorders>
                    <w:top w:val="single" w:sz="4" w:space="0" w:color="000000"/>
                    <w:left w:val="single" w:sz="4" w:space="0" w:color="000000"/>
                    <w:bottom w:val="single" w:sz="4" w:space="0" w:color="000000"/>
                    <w:right w:val="single" w:sz="4" w:space="0" w:color="000000"/>
                  </w:tcBorders>
                </w:tcPr>
                <w:p w14:paraId="15131C70" w14:textId="77777777" w:rsidR="008B369F" w:rsidRPr="008819AF" w:rsidRDefault="008B369F" w:rsidP="005608F0">
                  <w:pPr>
                    <w:ind w:hanging="73"/>
                    <w:rPr>
                      <w:sz w:val="16"/>
                      <w:szCs w:val="16"/>
                      <w:lang w:eastAsia="cs-CZ"/>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5131C71" w14:textId="77777777" w:rsidR="008B369F" w:rsidRPr="008819AF" w:rsidRDefault="008B369F" w:rsidP="005608F0">
                  <w:pPr>
                    <w:ind w:left="215" w:hanging="215"/>
                    <w:rPr>
                      <w:sz w:val="16"/>
                      <w:szCs w:val="16"/>
                      <w:lang w:eastAsia="cs-CZ"/>
                    </w:rPr>
                  </w:pPr>
                  <w:r w:rsidRPr="008819AF">
                    <w:rPr>
                      <w:sz w:val="16"/>
                      <w:szCs w:val="16"/>
                      <w:lang w:eastAsia="cs-CZ"/>
                    </w:rPr>
                    <w:t>Z2</w:t>
                  </w:r>
                </w:p>
              </w:tc>
              <w:tc>
                <w:tcPr>
                  <w:tcW w:w="4111" w:type="dxa"/>
                  <w:tcBorders>
                    <w:top w:val="single" w:sz="4" w:space="0" w:color="000000"/>
                    <w:left w:val="single" w:sz="4" w:space="0" w:color="000000"/>
                    <w:bottom w:val="single" w:sz="4" w:space="0" w:color="000000"/>
                    <w:right w:val="single" w:sz="4" w:space="0" w:color="000000"/>
                  </w:tcBorders>
                </w:tcPr>
                <w:p w14:paraId="15131C72" w14:textId="77777777" w:rsidR="008B369F" w:rsidRPr="008819AF" w:rsidRDefault="008B369F" w:rsidP="00F95525">
                  <w:pPr>
                    <w:ind w:left="-108"/>
                    <w:jc w:val="both"/>
                    <w:rPr>
                      <w:sz w:val="16"/>
                      <w:szCs w:val="16"/>
                      <w:lang w:eastAsia="cs-CZ"/>
                    </w:rPr>
                  </w:pPr>
                  <w:r w:rsidRPr="008819AF">
                    <w:rPr>
                      <w:sz w:val="16"/>
                      <w:szCs w:val="16"/>
                      <w:lang w:eastAsia="cs-CZ"/>
                    </w:rPr>
                    <w:t>spaľovacie zariadenie, ktoré zahŕňa spaľovacie jednotky, ktorým bolo vydané prvé povolenie v období od 1. júla 1987 najneskôr 26. novembra 2002, ak zariadenie bolo uvedené do prevádzkovaní najneskôr 27. novembra 2003</w:t>
                  </w:r>
                </w:p>
              </w:tc>
            </w:tr>
            <w:tr w:rsidR="008B369F" w:rsidRPr="008819AF" w14:paraId="15131C77" w14:textId="77777777" w:rsidTr="00F95525">
              <w:tc>
                <w:tcPr>
                  <w:tcW w:w="871" w:type="dxa"/>
                  <w:vMerge/>
                  <w:tcBorders>
                    <w:top w:val="single" w:sz="4" w:space="0" w:color="000000"/>
                    <w:left w:val="single" w:sz="4" w:space="0" w:color="000000"/>
                    <w:bottom w:val="single" w:sz="4" w:space="0" w:color="000000"/>
                    <w:right w:val="single" w:sz="4" w:space="0" w:color="000000"/>
                  </w:tcBorders>
                </w:tcPr>
                <w:p w14:paraId="15131C74" w14:textId="77777777" w:rsidR="008B369F" w:rsidRPr="008819AF" w:rsidRDefault="008B369F" w:rsidP="005608F0">
                  <w:pPr>
                    <w:ind w:hanging="73"/>
                    <w:rPr>
                      <w:sz w:val="16"/>
                      <w:szCs w:val="16"/>
                      <w:lang w:eastAsia="cs-CZ"/>
                    </w:rPr>
                  </w:pPr>
                </w:p>
              </w:tc>
              <w:tc>
                <w:tcPr>
                  <w:tcW w:w="425" w:type="dxa"/>
                  <w:tcBorders>
                    <w:top w:val="single" w:sz="4" w:space="0" w:color="000000"/>
                    <w:left w:val="single" w:sz="4" w:space="0" w:color="000000"/>
                    <w:bottom w:val="single" w:sz="4" w:space="0" w:color="000000"/>
                    <w:right w:val="single" w:sz="4" w:space="0" w:color="000000"/>
                  </w:tcBorders>
                </w:tcPr>
                <w:p w14:paraId="15131C75" w14:textId="77777777" w:rsidR="008B369F" w:rsidRPr="008819AF" w:rsidRDefault="008B369F" w:rsidP="005608F0">
                  <w:pPr>
                    <w:rPr>
                      <w:sz w:val="16"/>
                      <w:szCs w:val="16"/>
                      <w:lang w:eastAsia="cs-CZ"/>
                    </w:rPr>
                  </w:pPr>
                  <w:r w:rsidRPr="008819AF">
                    <w:rPr>
                      <w:sz w:val="16"/>
                      <w:szCs w:val="16"/>
                      <w:lang w:eastAsia="cs-CZ"/>
                    </w:rPr>
                    <w:t>Z3</w:t>
                  </w:r>
                </w:p>
              </w:tc>
              <w:tc>
                <w:tcPr>
                  <w:tcW w:w="4111" w:type="dxa"/>
                  <w:tcBorders>
                    <w:top w:val="single" w:sz="4" w:space="0" w:color="000000"/>
                    <w:left w:val="single" w:sz="4" w:space="0" w:color="000000"/>
                    <w:bottom w:val="single" w:sz="4" w:space="0" w:color="000000"/>
                    <w:right w:val="single" w:sz="4" w:space="0" w:color="000000"/>
                  </w:tcBorders>
                </w:tcPr>
                <w:p w14:paraId="15131C76" w14:textId="77777777" w:rsidR="008B369F" w:rsidRPr="008819AF" w:rsidRDefault="008B369F" w:rsidP="00F95525">
                  <w:pPr>
                    <w:ind w:left="-108"/>
                    <w:jc w:val="both"/>
                    <w:rPr>
                      <w:sz w:val="16"/>
                      <w:szCs w:val="16"/>
                      <w:lang w:eastAsia="cs-CZ"/>
                    </w:rPr>
                  </w:pPr>
                  <w:r w:rsidRPr="008819AF">
                    <w:rPr>
                      <w:sz w:val="16"/>
                      <w:szCs w:val="16"/>
                      <w:lang w:eastAsia="cs-CZ"/>
                    </w:rPr>
                    <w:t>spaľovacie zariadenie, pre ktoré bolo vydané povolenie v období od 27. novembra 2002 najneskôr do 6. januára 2013, alebo ak prevádzkovateľ predložil úplnú žiadosť o povolenie pred uvedeným dátumom, pokiaľ sa dané zariadenia uvedie do prevádzkovaní najneskôr do 6. januára  2014</w:t>
                  </w:r>
                </w:p>
              </w:tc>
            </w:tr>
            <w:tr w:rsidR="008B369F" w:rsidRPr="008819AF" w14:paraId="15131C7B" w14:textId="77777777" w:rsidTr="008B369F">
              <w:tc>
                <w:tcPr>
                  <w:tcW w:w="871" w:type="dxa"/>
                  <w:tcBorders>
                    <w:top w:val="single" w:sz="4" w:space="0" w:color="000000"/>
                    <w:left w:val="single" w:sz="4" w:space="0" w:color="000000"/>
                    <w:bottom w:val="single" w:sz="4" w:space="0" w:color="000000"/>
                    <w:right w:val="single" w:sz="4" w:space="0" w:color="000000"/>
                  </w:tcBorders>
                </w:tcPr>
                <w:p w14:paraId="15131C78" w14:textId="77777777" w:rsidR="00F95525" w:rsidRPr="008819AF" w:rsidRDefault="008B369F" w:rsidP="005608F0">
                  <w:pPr>
                    <w:ind w:hanging="73"/>
                    <w:jc w:val="both"/>
                    <w:rPr>
                      <w:b/>
                      <w:sz w:val="16"/>
                      <w:szCs w:val="16"/>
                      <w:lang w:eastAsia="cs-CZ"/>
                    </w:rPr>
                  </w:pPr>
                  <w:r w:rsidRPr="008819AF">
                    <w:rPr>
                      <w:b/>
                      <w:sz w:val="16"/>
                      <w:szCs w:val="16"/>
                      <w:lang w:eastAsia="cs-CZ"/>
                    </w:rPr>
                    <w:t>Nové</w:t>
                  </w:r>
                </w:p>
                <w:p w14:paraId="15131C79" w14:textId="77777777" w:rsidR="008B369F" w:rsidRPr="008819AF" w:rsidRDefault="008B369F" w:rsidP="005608F0">
                  <w:pPr>
                    <w:ind w:hanging="73"/>
                    <w:jc w:val="both"/>
                    <w:rPr>
                      <w:b/>
                      <w:sz w:val="16"/>
                      <w:szCs w:val="16"/>
                      <w:lang w:eastAsia="cs-CZ"/>
                    </w:rPr>
                  </w:pPr>
                  <w:r w:rsidRPr="008819AF">
                    <w:rPr>
                      <w:b/>
                      <w:sz w:val="16"/>
                      <w:szCs w:val="16"/>
                      <w:lang w:eastAsia="cs-CZ"/>
                    </w:rPr>
                    <w:t>zariadenie</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15131C7A" w14:textId="77777777" w:rsidR="008B369F" w:rsidRPr="008819AF" w:rsidRDefault="008B369F" w:rsidP="00F95525">
                  <w:pPr>
                    <w:rPr>
                      <w:sz w:val="16"/>
                      <w:szCs w:val="16"/>
                      <w:lang w:eastAsia="cs-CZ"/>
                    </w:rPr>
                  </w:pPr>
                  <w:r w:rsidRPr="008819AF">
                    <w:rPr>
                      <w:sz w:val="16"/>
                      <w:szCs w:val="16"/>
                      <w:lang w:eastAsia="cs-CZ"/>
                    </w:rPr>
                    <w:t>veľké spaľovacie zariadenie, ktoré nie je uvedené ako jestvujúce zariadenie.</w:t>
                  </w:r>
                </w:p>
              </w:tc>
            </w:tr>
          </w:tbl>
          <w:p w14:paraId="15131C7C" w14:textId="77777777" w:rsidR="007170C3" w:rsidRPr="008819AF" w:rsidRDefault="007170C3" w:rsidP="00F95525">
            <w:pPr>
              <w:pStyle w:val="Hlavika"/>
              <w:ind w:left="72" w:hanging="1"/>
              <w:rPr>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C7D" w14:textId="77777777" w:rsidR="007170C3" w:rsidRPr="008819AF" w:rsidRDefault="007170C3" w:rsidP="0021052F">
            <w:pPr>
              <w:ind w:left="215" w:hanging="215"/>
              <w:rPr>
                <w:rFonts w:eastAsia="Arial"/>
                <w:lang w:bidi="cs-CZ"/>
              </w:rPr>
            </w:pPr>
          </w:p>
          <w:p w14:paraId="15131C7E" w14:textId="77777777" w:rsidR="007170C3" w:rsidRPr="008819AF" w:rsidRDefault="006F0418" w:rsidP="0021052F">
            <w:pPr>
              <w:ind w:left="215" w:hanging="215"/>
              <w:rPr>
                <w:rFonts w:eastAsia="Arial"/>
                <w:lang w:bidi="cs-CZ"/>
              </w:rPr>
            </w:pPr>
            <w:r w:rsidRPr="008819AF">
              <w:rPr>
                <w:rFonts w:eastAsia="Arial"/>
                <w:lang w:bidi="cs-CZ"/>
              </w:rPr>
              <w:t>Ú</w:t>
            </w:r>
          </w:p>
          <w:p w14:paraId="15131C7F" w14:textId="77777777" w:rsidR="007170C3" w:rsidRPr="008819AF" w:rsidRDefault="007170C3" w:rsidP="0021052F">
            <w:pPr>
              <w:ind w:left="215" w:hanging="215"/>
              <w:rPr>
                <w:rFonts w:eastAsia="Arial"/>
                <w:lang w:bidi="cs-CZ"/>
              </w:rPr>
            </w:pPr>
          </w:p>
          <w:p w14:paraId="15131C80" w14:textId="77777777" w:rsidR="007170C3" w:rsidRPr="008819AF" w:rsidRDefault="007170C3" w:rsidP="0021052F">
            <w:pPr>
              <w:ind w:left="215" w:hanging="215"/>
              <w:rPr>
                <w:rFonts w:eastAsia="Arial"/>
                <w:lang w:bidi="cs-CZ"/>
              </w:rPr>
            </w:pPr>
          </w:p>
          <w:p w14:paraId="15131C81" w14:textId="77777777" w:rsidR="007170C3" w:rsidRPr="008819AF" w:rsidRDefault="007170C3" w:rsidP="0021052F">
            <w:pPr>
              <w:ind w:left="215" w:hanging="215"/>
              <w:rPr>
                <w:rFonts w:eastAsia="Arial"/>
                <w:lang w:bidi="cs-CZ"/>
              </w:rPr>
            </w:pPr>
          </w:p>
          <w:p w14:paraId="15131C82" w14:textId="77777777" w:rsidR="007170C3" w:rsidRPr="008819AF" w:rsidRDefault="007170C3" w:rsidP="0021052F">
            <w:pPr>
              <w:ind w:left="215" w:hanging="215"/>
              <w:rPr>
                <w:rFonts w:eastAsia="Arial"/>
                <w:lang w:bidi="cs-CZ"/>
              </w:rPr>
            </w:pPr>
          </w:p>
          <w:p w14:paraId="15131C83" w14:textId="77777777" w:rsidR="007170C3" w:rsidRPr="008819AF" w:rsidRDefault="007170C3" w:rsidP="0021052F">
            <w:pPr>
              <w:ind w:left="215" w:hanging="215"/>
              <w:rPr>
                <w:rFonts w:eastAsia="Arial"/>
                <w:lang w:bidi="cs-CZ"/>
              </w:rPr>
            </w:pPr>
          </w:p>
          <w:p w14:paraId="15131C84" w14:textId="77777777" w:rsidR="007170C3" w:rsidRPr="008819AF" w:rsidRDefault="007170C3" w:rsidP="0021052F">
            <w:pPr>
              <w:ind w:left="215" w:hanging="215"/>
              <w:rPr>
                <w:rFonts w:eastAsia="Arial"/>
                <w:lang w:bidi="cs-CZ"/>
              </w:rPr>
            </w:pPr>
          </w:p>
          <w:p w14:paraId="15131C85" w14:textId="77777777" w:rsidR="007170C3" w:rsidRPr="008819AF" w:rsidRDefault="006F0418" w:rsidP="0021052F">
            <w:pPr>
              <w:ind w:left="215" w:hanging="215"/>
              <w:rPr>
                <w:rFonts w:eastAsia="Arial"/>
                <w:lang w:bidi="cs-CZ"/>
              </w:rPr>
            </w:pPr>
            <w:r w:rsidRPr="008819AF">
              <w:rPr>
                <w:rFonts w:eastAsia="Arial"/>
                <w:lang w:bidi="cs-CZ"/>
              </w:rPr>
              <w:t>Ú</w:t>
            </w:r>
          </w:p>
          <w:p w14:paraId="15131C86" w14:textId="77777777" w:rsidR="007170C3" w:rsidRPr="008819AF" w:rsidRDefault="007170C3" w:rsidP="0021052F">
            <w:pPr>
              <w:ind w:left="215" w:hanging="215"/>
              <w:rPr>
                <w:rFonts w:eastAsia="Arial"/>
                <w:lang w:bidi="cs-CZ"/>
              </w:rPr>
            </w:pPr>
          </w:p>
          <w:p w14:paraId="15131C87" w14:textId="77777777" w:rsidR="007170C3" w:rsidRPr="008819AF" w:rsidRDefault="007170C3" w:rsidP="0021052F">
            <w:pPr>
              <w:ind w:left="215" w:hanging="215"/>
              <w:rPr>
                <w:rFonts w:eastAsia="Arial"/>
                <w:lang w:bidi="cs-CZ"/>
              </w:rPr>
            </w:pPr>
          </w:p>
          <w:p w14:paraId="15131C88" w14:textId="77777777" w:rsidR="007170C3" w:rsidRPr="008819AF" w:rsidRDefault="007170C3" w:rsidP="0021052F">
            <w:pPr>
              <w:ind w:left="215" w:hanging="215"/>
              <w:rPr>
                <w:rFonts w:eastAsia="Arial"/>
                <w:lang w:bidi="cs-CZ"/>
              </w:rPr>
            </w:pPr>
          </w:p>
          <w:p w14:paraId="15131C89" w14:textId="77777777" w:rsidR="007170C3" w:rsidRPr="008819AF" w:rsidRDefault="007170C3" w:rsidP="0021052F">
            <w:pPr>
              <w:ind w:left="215" w:hanging="215"/>
              <w:rPr>
                <w:rFonts w:eastAsia="Arial"/>
                <w:lang w:bidi="cs-CZ"/>
              </w:rPr>
            </w:pPr>
          </w:p>
          <w:p w14:paraId="15131C8A" w14:textId="77777777" w:rsidR="007170C3" w:rsidRPr="008819AF" w:rsidRDefault="007170C3" w:rsidP="0021052F">
            <w:pPr>
              <w:ind w:left="215" w:hanging="215"/>
              <w:rPr>
                <w:rFonts w:eastAsia="Arial"/>
                <w:lang w:bidi="cs-CZ"/>
              </w:rPr>
            </w:pPr>
          </w:p>
          <w:p w14:paraId="15131C8B"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C8C" w14:textId="77777777" w:rsidR="007170C3" w:rsidRPr="008819AF" w:rsidRDefault="007170C3" w:rsidP="0021052F">
            <w:pPr>
              <w:ind w:left="215" w:hanging="215"/>
              <w:rPr>
                <w:rFonts w:eastAsia="Arial"/>
                <w:lang w:bidi="cs-CZ"/>
              </w:rPr>
            </w:pPr>
          </w:p>
        </w:tc>
      </w:tr>
      <w:tr w:rsidR="00F95525" w:rsidRPr="008819AF" w14:paraId="15131C98"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C8E" w14:textId="77777777" w:rsidR="00F95525" w:rsidRPr="008819AF" w:rsidRDefault="00F95525"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C8F" w14:textId="77777777" w:rsidR="00F95525" w:rsidRPr="008819AF" w:rsidRDefault="00F95525" w:rsidP="00F95525">
            <w:pPr>
              <w:ind w:left="215" w:hanging="215"/>
              <w:rPr>
                <w:rFonts w:eastAsia="Arial"/>
              </w:rPr>
            </w:pPr>
            <w:r w:rsidRPr="008819AF">
              <w:rPr>
                <w:rFonts w:eastAsia="Arial"/>
              </w:rPr>
              <w:t>3. Všetky povolenia pre zariadenia obsahujúce spaľovacie zariadenia, na ktoré sa nevzťahuje odsek 2, obsahujú podmienky, pomocou ktorých sa zabezpečí, že emisie do ovzdušia z týchto zariadení neprekročia emisné limity stanovené v prílohe V časť 2.</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C90" w14:textId="77777777" w:rsidR="00F95525" w:rsidRPr="008819AF" w:rsidRDefault="00F95525" w:rsidP="0021052F">
            <w:pPr>
              <w:ind w:left="-70" w:right="-68" w:hanging="6"/>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1C91" w14:textId="77777777" w:rsidR="00F95525" w:rsidRPr="008819AF" w:rsidRDefault="00F95525" w:rsidP="0021052F">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15131C92" w14:textId="77777777" w:rsidR="00F95525" w:rsidRPr="008819AF" w:rsidRDefault="00F95525" w:rsidP="00F95525">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§10</w:t>
            </w:r>
          </w:p>
          <w:p w14:paraId="15131C93" w14:textId="77777777" w:rsidR="00F95525" w:rsidRPr="008819AF" w:rsidRDefault="00F95525" w:rsidP="00F95525">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O3</w:t>
            </w:r>
          </w:p>
          <w:p w14:paraId="15131C94" w14:textId="77777777" w:rsidR="00F95525" w:rsidRPr="008819AF" w:rsidRDefault="00F95525"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C95" w14:textId="77777777" w:rsidR="00F95525" w:rsidRPr="008819AF" w:rsidRDefault="00F95525" w:rsidP="00F95525">
            <w:pPr>
              <w:pStyle w:val="Hlavika"/>
              <w:ind w:left="72" w:hanging="1"/>
              <w:rPr>
                <w:rFonts w:ascii="Times New Roman" w:hAnsi="Times New Roman" w:cs="Times New Roman"/>
              </w:rPr>
            </w:pPr>
            <w:r w:rsidRPr="008819AF">
              <w:rPr>
                <w:rFonts w:ascii="Times New Roman" w:hAnsi="Times New Roman" w:cs="Times New Roman"/>
              </w:rPr>
              <w:t>(3) Pre veľké spaľovacie zariadenia začlenené ako nové zariadenia platia emisné limity uvedené v prílohe č. 4 tretej časti bodoch 2 až 6 tabuľkách B.</w:t>
            </w:r>
          </w:p>
        </w:tc>
        <w:tc>
          <w:tcPr>
            <w:tcW w:w="429" w:type="dxa"/>
            <w:tcBorders>
              <w:top w:val="single" w:sz="4" w:space="0" w:color="000000"/>
              <w:left w:val="single" w:sz="6" w:space="0" w:color="000000"/>
              <w:bottom w:val="single" w:sz="4" w:space="0" w:color="000000"/>
              <w:right w:val="single" w:sz="6" w:space="0" w:color="000000"/>
            </w:tcBorders>
          </w:tcPr>
          <w:p w14:paraId="15131C96" w14:textId="77777777" w:rsidR="00F95525" w:rsidRPr="008819AF" w:rsidRDefault="00F95525"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C97" w14:textId="77777777" w:rsidR="00F95525" w:rsidRPr="008819AF" w:rsidRDefault="00F95525" w:rsidP="0021052F">
            <w:pPr>
              <w:ind w:left="215" w:hanging="215"/>
              <w:rPr>
                <w:rFonts w:eastAsia="Arial"/>
                <w:lang w:bidi="cs-CZ"/>
              </w:rPr>
            </w:pPr>
          </w:p>
        </w:tc>
      </w:tr>
      <w:tr w:rsidR="00F80158" w:rsidRPr="008819AF" w14:paraId="15131CC3"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C99"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C9A" w14:textId="77777777" w:rsidR="007170C3" w:rsidRPr="008819AF" w:rsidRDefault="006F0418" w:rsidP="0021052F">
            <w:pPr>
              <w:ind w:left="215" w:hanging="215"/>
              <w:rPr>
                <w:rFonts w:eastAsia="Arial"/>
              </w:rPr>
            </w:pPr>
            <w:r w:rsidRPr="008819AF">
              <w:rPr>
                <w:rFonts w:eastAsia="Arial"/>
              </w:rPr>
              <w:t xml:space="preserve">4. Emisné limity stanovené prílohe V časti 1 a 2, ako aj minimálne stupne odsírenia stanovené v časti 5 prílohy V sa uplatňujú na emisie každého spoločného komína vo vzťahu k celkovému menovitému tepelnému príkonu celého spaľovacieho zariadenia. Ak sa v prílohe V ustanovuje, že emisné limity sa môžu uplatňovať na časť spaľovacieho zariadenia s </w:t>
            </w:r>
            <w:r w:rsidRPr="008819AF">
              <w:rPr>
                <w:rFonts w:eastAsia="Arial"/>
              </w:rPr>
              <w:lastRenderedPageBreak/>
              <w:t>obmedzeným počtom prevádzkových hodín, tieto limitné hodnoty sa uplatňujú na emisie uvedenej časti spaľovacieho zariadenia, avšak sú ustanovené vo vzťahu k celkovému menovitému tepelnému príkonu celého</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C9B" w14:textId="77777777" w:rsidR="007170C3" w:rsidRPr="008819AF" w:rsidRDefault="006F0418" w:rsidP="0021052F">
            <w:pPr>
              <w:ind w:left="-70" w:right="-68" w:hanging="6"/>
              <w:jc w:val="center"/>
              <w:rPr>
                <w:rFonts w:eastAsia="Arial"/>
                <w:lang w:bidi="cs-CZ"/>
              </w:rPr>
            </w:pPr>
            <w:r w:rsidRPr="008819AF">
              <w:rPr>
                <w:rFonts w:eastAsia="Arial"/>
                <w:lang w:bidi="cs-CZ"/>
              </w:rPr>
              <w:lastRenderedPageBreak/>
              <w:t>N</w:t>
            </w:r>
          </w:p>
          <w:p w14:paraId="15131C9C" w14:textId="77777777" w:rsidR="007170C3" w:rsidRPr="008819AF" w:rsidRDefault="007170C3" w:rsidP="0021052F">
            <w:pPr>
              <w:ind w:left="-70" w:right="-68" w:hanging="6"/>
              <w:jc w:val="center"/>
              <w:rPr>
                <w:rFonts w:eastAsia="Arial"/>
                <w:lang w:bidi="cs-CZ"/>
              </w:rPr>
            </w:pPr>
          </w:p>
          <w:p w14:paraId="15131C9D" w14:textId="77777777" w:rsidR="007170C3" w:rsidRPr="008819AF" w:rsidRDefault="007170C3" w:rsidP="0021052F">
            <w:pPr>
              <w:ind w:left="-70" w:right="-68" w:hanging="6"/>
              <w:jc w:val="center"/>
              <w:rPr>
                <w:rFonts w:eastAsia="Arial"/>
                <w:lang w:bidi="cs-CZ"/>
              </w:rPr>
            </w:pPr>
          </w:p>
          <w:p w14:paraId="15131C9E" w14:textId="77777777" w:rsidR="007170C3" w:rsidRPr="008819AF" w:rsidRDefault="007170C3" w:rsidP="0021052F">
            <w:pPr>
              <w:ind w:left="-70" w:right="-68" w:hanging="6"/>
              <w:jc w:val="center"/>
              <w:rPr>
                <w:rFonts w:eastAsia="Arial"/>
                <w:lang w:bidi="cs-CZ"/>
              </w:rPr>
            </w:pPr>
          </w:p>
          <w:p w14:paraId="15131C9F" w14:textId="77777777" w:rsidR="007170C3" w:rsidRPr="008819AF" w:rsidRDefault="007170C3" w:rsidP="0021052F">
            <w:pPr>
              <w:ind w:left="-70" w:right="-68" w:hanging="6"/>
              <w:jc w:val="center"/>
              <w:rPr>
                <w:rFonts w:eastAsia="Arial"/>
                <w:lang w:bidi="cs-CZ"/>
              </w:rPr>
            </w:pPr>
          </w:p>
          <w:p w14:paraId="15131CA0" w14:textId="77777777" w:rsidR="00F95525" w:rsidRPr="008819AF" w:rsidRDefault="00F95525" w:rsidP="0021052F">
            <w:pPr>
              <w:ind w:left="-70" w:right="-68" w:hanging="6"/>
              <w:jc w:val="center"/>
              <w:rPr>
                <w:rFonts w:eastAsia="Arial"/>
                <w:lang w:bidi="cs-CZ"/>
              </w:rPr>
            </w:pPr>
            <w:r w:rsidRPr="008819AF">
              <w:rPr>
                <w:rFonts w:eastAsia="Arial"/>
                <w:lang w:bidi="cs-CZ"/>
              </w:rPr>
              <w:lastRenderedPageBreak/>
              <w:t>N</w:t>
            </w:r>
          </w:p>
          <w:p w14:paraId="15131CA1"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CA2" w14:textId="77777777" w:rsidR="007170C3" w:rsidRPr="008819AF" w:rsidRDefault="00A32C9B" w:rsidP="0021052F">
            <w:pPr>
              <w:jc w:val="center"/>
              <w:rPr>
                <w:rFonts w:eastAsia="Arial"/>
                <w:lang w:bidi="cs-CZ"/>
              </w:rPr>
            </w:pPr>
            <w:r w:rsidRPr="008819AF">
              <w:rPr>
                <w:rFonts w:eastAsia="Arial"/>
                <w:lang w:bidi="cs-CZ"/>
              </w:rPr>
              <w:lastRenderedPageBreak/>
              <w:t>NZ</w:t>
            </w:r>
          </w:p>
          <w:p w14:paraId="15131CA3" w14:textId="77777777" w:rsidR="007170C3" w:rsidRPr="008819AF" w:rsidRDefault="007170C3" w:rsidP="0021052F">
            <w:pPr>
              <w:jc w:val="center"/>
              <w:rPr>
                <w:rFonts w:eastAsia="Arial"/>
                <w:lang w:bidi="cs-CZ"/>
              </w:rPr>
            </w:pPr>
          </w:p>
          <w:p w14:paraId="15131CA4" w14:textId="77777777" w:rsidR="007170C3" w:rsidRPr="008819AF" w:rsidRDefault="007170C3" w:rsidP="0021052F">
            <w:pPr>
              <w:jc w:val="center"/>
              <w:rPr>
                <w:rFonts w:eastAsia="Arial"/>
                <w:lang w:bidi="cs-CZ"/>
              </w:rPr>
            </w:pPr>
          </w:p>
          <w:p w14:paraId="15131CA5" w14:textId="77777777" w:rsidR="007170C3" w:rsidRPr="008819AF" w:rsidRDefault="007170C3" w:rsidP="0021052F">
            <w:pPr>
              <w:jc w:val="center"/>
              <w:rPr>
                <w:rFonts w:eastAsia="Arial"/>
                <w:lang w:bidi="cs-CZ"/>
              </w:rPr>
            </w:pPr>
          </w:p>
          <w:p w14:paraId="15131CA6" w14:textId="77777777" w:rsidR="007170C3" w:rsidRPr="008819AF" w:rsidRDefault="007170C3" w:rsidP="0021052F">
            <w:pPr>
              <w:jc w:val="center"/>
              <w:rPr>
                <w:rFonts w:eastAsia="Arial"/>
                <w:lang w:bidi="cs-CZ"/>
              </w:rPr>
            </w:pPr>
          </w:p>
          <w:p w14:paraId="15131CA7" w14:textId="77777777" w:rsidR="007170C3" w:rsidRPr="008819AF" w:rsidRDefault="006F0418" w:rsidP="0021052F">
            <w:pPr>
              <w:jc w:val="center"/>
              <w:rPr>
                <w:rFonts w:eastAsia="Arial"/>
                <w:lang w:bidi="cs-CZ"/>
              </w:rPr>
            </w:pPr>
            <w:r w:rsidRPr="008819AF">
              <w:rPr>
                <w:rFonts w:eastAsia="Arial"/>
                <w:lang w:bidi="cs-CZ"/>
              </w:rPr>
              <w:lastRenderedPageBreak/>
              <w:t>NV2</w:t>
            </w:r>
          </w:p>
          <w:p w14:paraId="15131CA8" w14:textId="77777777" w:rsidR="0083332E" w:rsidRPr="008819AF" w:rsidRDefault="0083332E" w:rsidP="0021052F">
            <w:pPr>
              <w:jc w:val="center"/>
              <w:rPr>
                <w:rFonts w:eastAsia="Arial"/>
                <w:lang w:bidi="cs-CZ"/>
              </w:rPr>
            </w:pPr>
          </w:p>
          <w:p w14:paraId="15131CA9" w14:textId="77777777" w:rsidR="0083332E" w:rsidRPr="008819AF" w:rsidRDefault="0083332E" w:rsidP="0021052F">
            <w:pPr>
              <w:jc w:val="center"/>
              <w:rPr>
                <w:rFonts w:eastAsia="Arial"/>
                <w:lang w:bidi="cs-CZ"/>
              </w:rPr>
            </w:pPr>
          </w:p>
          <w:p w14:paraId="15131CAA" w14:textId="77777777" w:rsidR="0083332E" w:rsidRPr="008819AF" w:rsidRDefault="0083332E" w:rsidP="0021052F">
            <w:pPr>
              <w:jc w:val="center"/>
              <w:rPr>
                <w:rFonts w:eastAsia="Arial"/>
                <w:lang w:bidi="cs-CZ"/>
              </w:rPr>
            </w:pPr>
          </w:p>
          <w:p w14:paraId="15131CAB" w14:textId="77777777" w:rsidR="0083332E" w:rsidRPr="008819AF" w:rsidRDefault="0083332E" w:rsidP="0021052F">
            <w:pPr>
              <w:jc w:val="center"/>
              <w:rPr>
                <w:rFonts w:eastAsia="Arial"/>
                <w:lang w:bidi="cs-CZ"/>
              </w:rPr>
            </w:pPr>
          </w:p>
          <w:p w14:paraId="15131CAC" w14:textId="77777777" w:rsidR="0083332E" w:rsidRPr="008819AF" w:rsidRDefault="0083332E" w:rsidP="0021052F">
            <w:pPr>
              <w:jc w:val="center"/>
              <w:rPr>
                <w:rFonts w:eastAsia="Arial"/>
                <w:lang w:bidi="cs-CZ"/>
              </w:rPr>
            </w:pPr>
            <w:r w:rsidRPr="008819AF">
              <w:rPr>
                <w:rFonts w:eastAsia="Arial"/>
                <w:lang w:bidi="cs-CZ"/>
              </w:rPr>
              <w:t>NV2</w:t>
            </w:r>
          </w:p>
          <w:p w14:paraId="15131CAD" w14:textId="77777777" w:rsidR="0083332E" w:rsidRPr="008819AF" w:rsidRDefault="0083332E"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CAE" w14:textId="77777777" w:rsidR="007170C3" w:rsidRPr="008819AF" w:rsidRDefault="007B7E03"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lastRenderedPageBreak/>
              <w:t>§ 21</w:t>
            </w:r>
          </w:p>
          <w:p w14:paraId="15131CAF"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 2</w:t>
            </w:r>
          </w:p>
          <w:p w14:paraId="15131CB0"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 e)</w:t>
            </w:r>
          </w:p>
          <w:p w14:paraId="15131CB1"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CB2" w14:textId="77777777" w:rsidR="00F95525" w:rsidRPr="008819AF" w:rsidRDefault="00F95525" w:rsidP="0021052F">
            <w:pPr>
              <w:pStyle w:val="BodyText21"/>
              <w:spacing w:before="0" w:line="240" w:lineRule="auto"/>
              <w:ind w:left="0" w:right="-70" w:firstLine="0"/>
              <w:jc w:val="center"/>
              <w:rPr>
                <w:rFonts w:ascii="Times New Roman" w:hAnsi="Times New Roman" w:cs="Times New Roman"/>
              </w:rPr>
            </w:pPr>
          </w:p>
          <w:p w14:paraId="15131CB3" w14:textId="77777777" w:rsidR="00F95525" w:rsidRPr="008819AF" w:rsidRDefault="00F95525"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lastRenderedPageBreak/>
              <w:t>§9</w:t>
            </w:r>
          </w:p>
          <w:p w14:paraId="15131CB4" w14:textId="77777777" w:rsidR="00F95525" w:rsidRPr="008819AF" w:rsidRDefault="00F95525"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O1</w:t>
            </w:r>
          </w:p>
          <w:p w14:paraId="15131CB5" w14:textId="77777777" w:rsidR="00F95525" w:rsidRPr="008819AF" w:rsidRDefault="00F95525" w:rsidP="0021052F">
            <w:pPr>
              <w:pStyle w:val="BodyText21"/>
              <w:spacing w:before="0" w:line="240" w:lineRule="auto"/>
              <w:ind w:left="0" w:right="-70" w:firstLine="0"/>
              <w:jc w:val="center"/>
              <w:rPr>
                <w:rFonts w:ascii="Times New Roman" w:hAnsi="Times New Roman" w:cs="Times New Roman"/>
              </w:rPr>
            </w:pPr>
          </w:p>
          <w:p w14:paraId="15131CB6" w14:textId="77777777" w:rsidR="00F95525" w:rsidRPr="008819AF" w:rsidRDefault="00F95525" w:rsidP="0021052F">
            <w:pPr>
              <w:pStyle w:val="BodyText21"/>
              <w:spacing w:before="0" w:line="240" w:lineRule="auto"/>
              <w:ind w:left="0" w:right="-70" w:firstLine="0"/>
              <w:jc w:val="center"/>
              <w:rPr>
                <w:rFonts w:ascii="Times New Roman" w:hAnsi="Times New Roman" w:cs="Times New Roman"/>
              </w:rPr>
            </w:pPr>
          </w:p>
          <w:p w14:paraId="15131CB7" w14:textId="77777777" w:rsidR="00F95525" w:rsidRPr="008819AF" w:rsidRDefault="00F95525" w:rsidP="0021052F">
            <w:pPr>
              <w:pStyle w:val="BodyText21"/>
              <w:spacing w:before="0" w:line="240" w:lineRule="auto"/>
              <w:ind w:left="0" w:right="-70" w:firstLine="0"/>
              <w:jc w:val="center"/>
              <w:rPr>
                <w:rFonts w:ascii="Times New Roman" w:hAnsi="Times New Roman" w:cs="Times New Roman"/>
              </w:rPr>
            </w:pPr>
          </w:p>
          <w:p w14:paraId="15131CB8" w14:textId="77777777" w:rsidR="00F95525" w:rsidRPr="008819AF" w:rsidRDefault="00F95525"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§11</w:t>
            </w:r>
          </w:p>
          <w:p w14:paraId="15131CB9" w14:textId="77777777" w:rsidR="00F95525" w:rsidRPr="008819AF" w:rsidRDefault="00F95525"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O2</w:t>
            </w:r>
          </w:p>
          <w:p w14:paraId="15131CBA"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CBB" w14:textId="77777777" w:rsidR="00353DF4" w:rsidRPr="008819AF" w:rsidRDefault="00353DF4" w:rsidP="00353DF4">
            <w:pPr>
              <w:ind w:left="24"/>
              <w:rPr>
                <w:rFonts w:eastAsia="Arial"/>
                <w:lang w:bidi="cs-CZ"/>
              </w:rPr>
            </w:pPr>
            <w:r w:rsidRPr="008819AF">
              <w:rPr>
                <w:rFonts w:eastAsia="Arial"/>
                <w:lang w:bidi="cs-CZ"/>
              </w:rPr>
              <w:lastRenderedPageBreak/>
              <w:t>Emisný limit je najvyššia prípustná miera vypúšťania znečisťujúcej látky alebo skupiny znečisťujúcich látok do ovzdušia zo zariadenia stacionárneho zdroja vyjadrená ako</w:t>
            </w:r>
          </w:p>
          <w:p w14:paraId="15131CBC" w14:textId="77777777" w:rsidR="007170C3" w:rsidRPr="008819AF" w:rsidRDefault="006F0418" w:rsidP="0021052F">
            <w:pPr>
              <w:ind w:left="215" w:hanging="215"/>
              <w:rPr>
                <w:rFonts w:eastAsia="Arial"/>
                <w:lang w:bidi="cs-CZ"/>
              </w:rPr>
            </w:pPr>
            <w:r w:rsidRPr="008819AF">
              <w:rPr>
                <w:rFonts w:eastAsia="Arial"/>
                <w:lang w:bidi="cs-CZ"/>
              </w:rPr>
              <w:t>e)</w:t>
            </w:r>
            <w:r w:rsidRPr="008819AF">
              <w:rPr>
                <w:rFonts w:eastAsia="Arial"/>
                <w:lang w:bidi="cs-CZ"/>
              </w:rPr>
              <w:tab/>
              <w:t>stupeň odsírenia,</w:t>
            </w:r>
          </w:p>
          <w:p w14:paraId="15131CBD" w14:textId="77777777" w:rsidR="007170C3" w:rsidRPr="008819AF" w:rsidRDefault="007170C3" w:rsidP="00F95525">
            <w:pPr>
              <w:ind w:left="24"/>
              <w:rPr>
                <w:rFonts w:eastAsia="Arial"/>
                <w:lang w:bidi="cs-CZ"/>
              </w:rPr>
            </w:pPr>
          </w:p>
          <w:p w14:paraId="15131CBE" w14:textId="77777777" w:rsidR="00F95525" w:rsidRPr="008819AF" w:rsidRDefault="00F95525" w:rsidP="00F95525">
            <w:pPr>
              <w:ind w:left="24"/>
              <w:rPr>
                <w:rFonts w:eastAsia="Arial"/>
                <w:lang w:bidi="cs-CZ"/>
              </w:rPr>
            </w:pPr>
            <w:r w:rsidRPr="008819AF">
              <w:rPr>
                <w:rFonts w:eastAsia="Arial"/>
                <w:lang w:bidi="cs-CZ"/>
              </w:rPr>
              <w:lastRenderedPageBreak/>
              <w:t xml:space="preserve">(1) Emisné limity vyjadrené ako koncentrácia, hmotnostný tok alebo stupeň odsírenia sa vzťahujú na emisie z každého spoločného komína vo vzťahu k celkovému menovitému tepelnému príkonu spaľovacieho zariadenia. </w:t>
            </w:r>
          </w:p>
          <w:p w14:paraId="15131CBF" w14:textId="77777777" w:rsidR="00F95525" w:rsidRPr="008819AF" w:rsidRDefault="00F95525" w:rsidP="00F95525">
            <w:pPr>
              <w:ind w:left="24"/>
              <w:rPr>
                <w:rFonts w:eastAsia="Arial"/>
                <w:lang w:bidi="cs-CZ"/>
              </w:rPr>
            </w:pPr>
          </w:p>
          <w:p w14:paraId="15131CC0" w14:textId="77777777" w:rsidR="007170C3" w:rsidRPr="008819AF" w:rsidRDefault="00F95525" w:rsidP="0083332E">
            <w:pPr>
              <w:ind w:left="24"/>
              <w:rPr>
                <w:rFonts w:eastAsia="Arial"/>
                <w:lang w:bidi="cs-CZ"/>
              </w:rPr>
            </w:pPr>
            <w:r w:rsidRPr="008819AF">
              <w:rPr>
                <w:rFonts w:eastAsia="Arial"/>
                <w:lang w:bidi="cs-CZ"/>
              </w:rPr>
              <w:t xml:space="preserve">Ak sa na časť zariadenia, z ktorej sú vypúšťané odpadové plyny jedným alebo viacerými oddelenými spalinovodmi v spoločnom komíne, uplatňuje obmedzený prevádzkový režim, na túto časť sa vzťahujú emisné limity pre obmedzený prevádzkový režim vo vzťahu k celkovému príkonu spaľovacieho zariadenia a emisie z tejto časti sa monitorujú oddelene. </w:t>
            </w:r>
          </w:p>
        </w:tc>
        <w:tc>
          <w:tcPr>
            <w:tcW w:w="429" w:type="dxa"/>
            <w:tcBorders>
              <w:top w:val="single" w:sz="4" w:space="0" w:color="000000"/>
              <w:left w:val="single" w:sz="6" w:space="0" w:color="000000"/>
              <w:bottom w:val="single" w:sz="4" w:space="0" w:color="000000"/>
              <w:right w:val="single" w:sz="6" w:space="0" w:color="000000"/>
            </w:tcBorders>
          </w:tcPr>
          <w:p w14:paraId="15131CC1"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CC2" w14:textId="77777777" w:rsidR="007170C3" w:rsidRPr="008819AF" w:rsidRDefault="007170C3" w:rsidP="0021052F">
            <w:pPr>
              <w:ind w:left="215" w:hanging="215"/>
              <w:rPr>
                <w:rFonts w:eastAsia="Arial"/>
                <w:lang w:bidi="cs-CZ"/>
              </w:rPr>
            </w:pPr>
          </w:p>
        </w:tc>
      </w:tr>
      <w:tr w:rsidR="00F80158" w:rsidRPr="008819AF" w14:paraId="15131D12"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CC4"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CC5" w14:textId="77777777" w:rsidR="007170C3" w:rsidRPr="008819AF" w:rsidRDefault="006F0418" w:rsidP="0021052F">
            <w:pPr>
              <w:ind w:left="215" w:hanging="215"/>
              <w:rPr>
                <w:rFonts w:eastAsia="Arial"/>
              </w:rPr>
            </w:pPr>
            <w:r w:rsidRPr="008819AF">
              <w:rPr>
                <w:rFonts w:eastAsia="Arial"/>
              </w:rPr>
              <w:t>5. Príslušný orgán môže najviac na šesť mesiacov udeliť výnimku z povinnosti dodržiavať emisné limity uloženú v odsekoch 2 a 3 pre oxid siričitý v prípade spaľovacieho zariadenia, ktoré na tento účel normálne používa palivo s nízkym obsahom síry, v prípadoch, keď prevádzkovateľ nemôže dodržiavať tieto limitné hodnoty kvôli prerušeniu dodávky paliva s nízkym obsahom síry vyplývajúcemu z vážneho nedostatku.</w:t>
            </w:r>
          </w:p>
          <w:p w14:paraId="15131CC6" w14:textId="77777777" w:rsidR="007170C3" w:rsidRPr="008819AF" w:rsidRDefault="007170C3" w:rsidP="005608F0">
            <w:pPr>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CC7"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1CC8" w14:textId="77777777" w:rsidR="007170C3" w:rsidRPr="008819AF" w:rsidRDefault="007170C3" w:rsidP="0021052F">
            <w:pPr>
              <w:ind w:left="-70" w:right="-68" w:hanging="6"/>
              <w:jc w:val="center"/>
              <w:rPr>
                <w:rFonts w:eastAsia="Arial"/>
                <w:lang w:bidi="cs-CZ"/>
              </w:rPr>
            </w:pPr>
          </w:p>
          <w:p w14:paraId="15131CC9" w14:textId="77777777" w:rsidR="007170C3" w:rsidRPr="008819AF" w:rsidRDefault="007170C3" w:rsidP="0021052F">
            <w:pPr>
              <w:ind w:left="-70" w:right="-68" w:hanging="6"/>
              <w:jc w:val="center"/>
              <w:rPr>
                <w:rFonts w:eastAsia="Arial"/>
                <w:lang w:bidi="cs-CZ"/>
              </w:rPr>
            </w:pPr>
          </w:p>
          <w:p w14:paraId="15131CCA" w14:textId="77777777" w:rsidR="007170C3" w:rsidRPr="008819AF" w:rsidRDefault="007170C3" w:rsidP="0021052F">
            <w:pPr>
              <w:ind w:left="-70" w:right="-68" w:hanging="6"/>
              <w:jc w:val="center"/>
              <w:rPr>
                <w:rFonts w:eastAsia="Arial"/>
                <w:lang w:bidi="cs-CZ"/>
              </w:rPr>
            </w:pPr>
          </w:p>
          <w:p w14:paraId="15131CCB" w14:textId="77777777" w:rsidR="007170C3" w:rsidRPr="008819AF" w:rsidRDefault="007170C3" w:rsidP="0021052F">
            <w:pPr>
              <w:ind w:left="-70" w:right="-68" w:hanging="6"/>
              <w:jc w:val="center"/>
              <w:rPr>
                <w:rFonts w:eastAsia="Arial"/>
                <w:lang w:bidi="cs-CZ"/>
              </w:rPr>
            </w:pPr>
          </w:p>
          <w:p w14:paraId="15131CCC" w14:textId="77777777" w:rsidR="007170C3" w:rsidRPr="008819AF" w:rsidRDefault="007170C3" w:rsidP="0021052F">
            <w:pPr>
              <w:ind w:left="-70" w:right="-68" w:hanging="6"/>
              <w:jc w:val="center"/>
              <w:rPr>
                <w:rFonts w:eastAsia="Arial"/>
                <w:lang w:bidi="cs-CZ"/>
              </w:rPr>
            </w:pPr>
          </w:p>
          <w:p w14:paraId="15131CCD" w14:textId="77777777" w:rsidR="007170C3" w:rsidRPr="008819AF" w:rsidRDefault="007170C3" w:rsidP="0021052F">
            <w:pPr>
              <w:ind w:left="-70" w:right="-68" w:hanging="6"/>
              <w:jc w:val="center"/>
              <w:rPr>
                <w:rFonts w:eastAsia="Arial"/>
                <w:lang w:bidi="cs-CZ"/>
              </w:rPr>
            </w:pPr>
          </w:p>
          <w:p w14:paraId="15131CCE" w14:textId="77777777" w:rsidR="007170C3" w:rsidRPr="008819AF" w:rsidRDefault="007170C3" w:rsidP="0021052F">
            <w:pPr>
              <w:ind w:left="-70" w:right="-68" w:hanging="6"/>
              <w:jc w:val="center"/>
              <w:rPr>
                <w:rFonts w:eastAsia="Arial"/>
                <w:lang w:bidi="cs-CZ"/>
              </w:rPr>
            </w:pPr>
          </w:p>
          <w:p w14:paraId="15131CCF" w14:textId="77777777" w:rsidR="007170C3" w:rsidRPr="008819AF" w:rsidRDefault="007170C3" w:rsidP="0021052F">
            <w:pPr>
              <w:ind w:left="-70" w:right="-68" w:hanging="6"/>
              <w:jc w:val="center"/>
              <w:rPr>
                <w:rFonts w:eastAsia="Arial"/>
                <w:lang w:bidi="cs-CZ"/>
              </w:rPr>
            </w:pPr>
          </w:p>
          <w:p w14:paraId="15131CD0" w14:textId="77777777" w:rsidR="007170C3" w:rsidRPr="008819AF" w:rsidRDefault="007170C3" w:rsidP="0021052F">
            <w:pPr>
              <w:ind w:left="-70" w:right="-68" w:hanging="6"/>
              <w:jc w:val="center"/>
              <w:rPr>
                <w:rFonts w:eastAsia="Arial"/>
                <w:lang w:bidi="cs-CZ"/>
              </w:rPr>
            </w:pPr>
          </w:p>
          <w:p w14:paraId="15131CD1" w14:textId="77777777" w:rsidR="007170C3" w:rsidRPr="008819AF" w:rsidRDefault="007170C3" w:rsidP="0021052F">
            <w:pPr>
              <w:ind w:left="-70" w:right="-68" w:hanging="6"/>
              <w:jc w:val="center"/>
              <w:rPr>
                <w:rFonts w:eastAsia="Arial"/>
                <w:lang w:bidi="cs-CZ"/>
              </w:rPr>
            </w:pPr>
          </w:p>
          <w:p w14:paraId="15131CD2" w14:textId="77777777" w:rsidR="007170C3" w:rsidRPr="008819AF" w:rsidRDefault="007170C3" w:rsidP="0021052F">
            <w:pPr>
              <w:ind w:left="-70" w:right="-68" w:hanging="6"/>
              <w:jc w:val="center"/>
              <w:rPr>
                <w:rFonts w:eastAsia="Arial"/>
                <w:lang w:bidi="cs-CZ"/>
              </w:rPr>
            </w:pPr>
          </w:p>
          <w:p w14:paraId="15131CD3" w14:textId="77777777" w:rsidR="007170C3" w:rsidRPr="008819AF" w:rsidRDefault="007170C3" w:rsidP="0021052F">
            <w:pPr>
              <w:ind w:left="-70" w:right="-68" w:hanging="6"/>
              <w:jc w:val="center"/>
              <w:rPr>
                <w:rFonts w:eastAsia="Arial"/>
                <w:lang w:bidi="cs-CZ"/>
              </w:rPr>
            </w:pPr>
          </w:p>
          <w:p w14:paraId="15131CD4" w14:textId="77777777" w:rsidR="007170C3" w:rsidRPr="008819AF" w:rsidRDefault="007170C3" w:rsidP="0021052F">
            <w:pPr>
              <w:ind w:left="-70" w:right="-68" w:hanging="6"/>
              <w:jc w:val="center"/>
              <w:rPr>
                <w:rFonts w:eastAsia="Arial"/>
                <w:lang w:bidi="cs-CZ"/>
              </w:rPr>
            </w:pPr>
          </w:p>
          <w:p w14:paraId="15131CD5" w14:textId="77777777" w:rsidR="007170C3" w:rsidRPr="008819AF" w:rsidRDefault="007170C3" w:rsidP="0021052F">
            <w:pPr>
              <w:ind w:left="-70" w:right="-68" w:hanging="6"/>
              <w:jc w:val="center"/>
              <w:rPr>
                <w:rFonts w:eastAsia="Arial"/>
                <w:lang w:bidi="cs-CZ"/>
              </w:rPr>
            </w:pPr>
          </w:p>
          <w:p w14:paraId="15131CD6" w14:textId="77777777" w:rsidR="007170C3" w:rsidRPr="008819AF" w:rsidRDefault="007170C3" w:rsidP="005608F0">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CD7" w14:textId="77777777" w:rsidR="007170C3" w:rsidRPr="008819AF" w:rsidRDefault="00A32C9B" w:rsidP="0021052F">
            <w:pPr>
              <w:jc w:val="center"/>
              <w:rPr>
                <w:rFonts w:eastAsia="Arial"/>
                <w:lang w:bidi="cs-CZ"/>
              </w:rPr>
            </w:pPr>
            <w:r w:rsidRPr="008819AF">
              <w:rPr>
                <w:rFonts w:eastAsia="Arial"/>
                <w:lang w:bidi="cs-CZ"/>
              </w:rPr>
              <w:t>NZ</w:t>
            </w:r>
          </w:p>
          <w:p w14:paraId="15131CD8" w14:textId="77777777" w:rsidR="007170C3" w:rsidRPr="008819AF" w:rsidRDefault="007170C3" w:rsidP="0021052F">
            <w:pPr>
              <w:jc w:val="center"/>
              <w:rPr>
                <w:rFonts w:eastAsia="Arial"/>
                <w:lang w:bidi="cs-CZ"/>
              </w:rPr>
            </w:pPr>
          </w:p>
          <w:p w14:paraId="15131CD9" w14:textId="77777777" w:rsidR="007170C3" w:rsidRPr="008819AF" w:rsidRDefault="007170C3" w:rsidP="0021052F">
            <w:pPr>
              <w:jc w:val="center"/>
              <w:rPr>
                <w:rFonts w:eastAsia="Arial"/>
                <w:lang w:bidi="cs-CZ"/>
              </w:rPr>
            </w:pPr>
          </w:p>
          <w:p w14:paraId="15131CDA" w14:textId="77777777" w:rsidR="007170C3" w:rsidRPr="008819AF" w:rsidRDefault="007170C3" w:rsidP="0021052F">
            <w:pPr>
              <w:jc w:val="center"/>
              <w:rPr>
                <w:rFonts w:eastAsia="Arial"/>
                <w:lang w:bidi="cs-CZ"/>
              </w:rPr>
            </w:pPr>
          </w:p>
          <w:p w14:paraId="15131CDB" w14:textId="77777777" w:rsidR="007170C3" w:rsidRPr="008819AF" w:rsidRDefault="007170C3" w:rsidP="0021052F">
            <w:pPr>
              <w:jc w:val="center"/>
              <w:rPr>
                <w:rFonts w:eastAsia="Arial"/>
                <w:lang w:bidi="cs-CZ"/>
              </w:rPr>
            </w:pPr>
          </w:p>
          <w:p w14:paraId="15131CDC" w14:textId="77777777" w:rsidR="007170C3" w:rsidRPr="008819AF" w:rsidRDefault="007170C3" w:rsidP="0021052F">
            <w:pPr>
              <w:jc w:val="center"/>
              <w:rPr>
                <w:rFonts w:eastAsia="Arial"/>
                <w:lang w:bidi="cs-CZ"/>
              </w:rPr>
            </w:pPr>
          </w:p>
          <w:p w14:paraId="15131CDD" w14:textId="77777777" w:rsidR="007170C3" w:rsidRPr="008819AF" w:rsidRDefault="007170C3" w:rsidP="0021052F">
            <w:pPr>
              <w:jc w:val="center"/>
              <w:rPr>
                <w:rFonts w:eastAsia="Arial"/>
                <w:lang w:bidi="cs-CZ"/>
              </w:rPr>
            </w:pPr>
          </w:p>
          <w:p w14:paraId="15131CDE" w14:textId="77777777" w:rsidR="007170C3" w:rsidRPr="008819AF" w:rsidRDefault="00A32C9B" w:rsidP="0021052F">
            <w:pPr>
              <w:jc w:val="center"/>
              <w:rPr>
                <w:rFonts w:eastAsia="Arial"/>
                <w:lang w:bidi="cs-CZ"/>
              </w:rPr>
            </w:pPr>
            <w:r w:rsidRPr="008819AF">
              <w:rPr>
                <w:rFonts w:eastAsia="Arial"/>
                <w:lang w:bidi="cs-CZ"/>
              </w:rPr>
              <w:t>NZ</w:t>
            </w:r>
          </w:p>
          <w:p w14:paraId="15131CDF" w14:textId="77777777" w:rsidR="007170C3" w:rsidRPr="008819AF" w:rsidRDefault="007170C3" w:rsidP="0021052F">
            <w:pPr>
              <w:jc w:val="center"/>
              <w:rPr>
                <w:rFonts w:eastAsia="Arial"/>
                <w:lang w:bidi="cs-CZ"/>
              </w:rPr>
            </w:pPr>
          </w:p>
          <w:p w14:paraId="15131CE0" w14:textId="77777777" w:rsidR="007170C3" w:rsidRPr="008819AF" w:rsidRDefault="007170C3" w:rsidP="0021052F">
            <w:pPr>
              <w:jc w:val="center"/>
              <w:rPr>
                <w:rFonts w:eastAsia="Arial"/>
                <w:lang w:bidi="cs-CZ"/>
              </w:rPr>
            </w:pPr>
          </w:p>
          <w:p w14:paraId="15131CE1" w14:textId="77777777" w:rsidR="007170C3" w:rsidRPr="008819AF" w:rsidRDefault="007170C3" w:rsidP="0021052F">
            <w:pPr>
              <w:jc w:val="center"/>
              <w:rPr>
                <w:rFonts w:eastAsia="Arial"/>
                <w:lang w:bidi="cs-CZ"/>
              </w:rPr>
            </w:pPr>
          </w:p>
          <w:p w14:paraId="15131CE2" w14:textId="77777777" w:rsidR="007170C3" w:rsidRPr="008819AF" w:rsidRDefault="007170C3" w:rsidP="0021052F">
            <w:pPr>
              <w:jc w:val="center"/>
              <w:rPr>
                <w:rFonts w:eastAsia="Arial"/>
                <w:lang w:bidi="cs-CZ"/>
              </w:rPr>
            </w:pPr>
          </w:p>
          <w:p w14:paraId="15131CE3" w14:textId="77777777" w:rsidR="007170C3" w:rsidRPr="008819AF" w:rsidRDefault="007170C3" w:rsidP="0021052F">
            <w:pPr>
              <w:jc w:val="center"/>
              <w:rPr>
                <w:rFonts w:eastAsia="Arial"/>
                <w:lang w:bidi="cs-CZ"/>
              </w:rPr>
            </w:pPr>
          </w:p>
          <w:p w14:paraId="15131CE4" w14:textId="77777777" w:rsidR="004A3270" w:rsidRPr="008819AF" w:rsidRDefault="004A3270" w:rsidP="0021052F">
            <w:pPr>
              <w:jc w:val="center"/>
              <w:rPr>
                <w:rFonts w:eastAsia="Arial"/>
                <w:lang w:bidi="cs-CZ"/>
              </w:rPr>
            </w:pPr>
          </w:p>
          <w:p w14:paraId="15131CE5" w14:textId="77777777" w:rsidR="00203347" w:rsidRPr="008819AF" w:rsidRDefault="00203347" w:rsidP="0021052F">
            <w:pPr>
              <w:jc w:val="center"/>
              <w:rPr>
                <w:rFonts w:eastAsia="Arial"/>
                <w:lang w:bidi="cs-CZ"/>
              </w:rPr>
            </w:pPr>
          </w:p>
          <w:p w14:paraId="15131CE6" w14:textId="77777777" w:rsidR="007170C3" w:rsidRPr="008819AF" w:rsidRDefault="00A32C9B" w:rsidP="0021052F">
            <w:pPr>
              <w:jc w:val="center"/>
              <w:rPr>
                <w:rFonts w:eastAsia="Arial"/>
                <w:lang w:bidi="cs-CZ"/>
              </w:rPr>
            </w:pPr>
            <w:r w:rsidRPr="008819AF">
              <w:rPr>
                <w:rFonts w:eastAsia="Arial"/>
                <w:lang w:bidi="cs-CZ"/>
              </w:rPr>
              <w:t>N</w:t>
            </w:r>
            <w:r w:rsidR="00543690" w:rsidRPr="008819AF">
              <w:rPr>
                <w:rFonts w:eastAsia="Arial"/>
                <w:lang w:bidi="cs-CZ"/>
              </w:rPr>
              <w:t>V2</w:t>
            </w:r>
          </w:p>
          <w:p w14:paraId="15131CE7" w14:textId="77777777" w:rsidR="007170C3" w:rsidRPr="008819AF" w:rsidRDefault="007170C3" w:rsidP="005608F0">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CE8" w14:textId="77777777" w:rsidR="007170C3" w:rsidRPr="008819AF" w:rsidRDefault="006F0418" w:rsidP="0021052F">
            <w:pPr>
              <w:pStyle w:val="Bdet2"/>
              <w:spacing w:before="0" w:line="240" w:lineRule="auto"/>
              <w:ind w:left="0" w:right="-70" w:firstLine="0"/>
              <w:jc w:val="center"/>
              <w:rPr>
                <w:rFonts w:ascii="Times New Roman" w:eastAsia="Arial" w:hAnsi="Times New Roman" w:cs="Times New Roman"/>
                <w:lang w:bidi="cs-CZ"/>
              </w:rPr>
            </w:pPr>
            <w:r w:rsidRPr="008819AF">
              <w:rPr>
                <w:rFonts w:ascii="Times New Roman" w:eastAsia="Arial" w:hAnsi="Times New Roman" w:cs="Times New Roman"/>
                <w:lang w:bidi="cs-CZ"/>
              </w:rPr>
              <w:t>§ 31</w:t>
            </w:r>
          </w:p>
          <w:p w14:paraId="15131CE9" w14:textId="77777777" w:rsidR="007170C3" w:rsidRPr="008819AF" w:rsidRDefault="006F0418" w:rsidP="0021052F">
            <w:pPr>
              <w:pStyle w:val="Bdet2"/>
              <w:spacing w:before="0" w:line="240" w:lineRule="auto"/>
              <w:ind w:left="0" w:right="-70" w:firstLine="0"/>
              <w:jc w:val="center"/>
              <w:rPr>
                <w:rFonts w:ascii="Times New Roman" w:eastAsia="Arial" w:hAnsi="Times New Roman" w:cs="Times New Roman"/>
                <w:lang w:bidi="cs-CZ"/>
              </w:rPr>
            </w:pPr>
            <w:r w:rsidRPr="008819AF">
              <w:rPr>
                <w:rFonts w:ascii="Times New Roman" w:eastAsia="Arial" w:hAnsi="Times New Roman" w:cs="Times New Roman"/>
                <w:lang w:bidi="cs-CZ"/>
              </w:rPr>
              <w:t>O 7</w:t>
            </w:r>
          </w:p>
          <w:p w14:paraId="15131CEA" w14:textId="77777777" w:rsidR="007170C3" w:rsidRPr="008819AF" w:rsidRDefault="007170C3" w:rsidP="0021052F">
            <w:pPr>
              <w:pStyle w:val="Bdet2"/>
              <w:spacing w:before="0" w:line="240" w:lineRule="auto"/>
              <w:ind w:left="0" w:right="-70" w:firstLine="0"/>
              <w:jc w:val="center"/>
              <w:rPr>
                <w:rFonts w:ascii="Times New Roman" w:eastAsia="Arial" w:hAnsi="Times New Roman" w:cs="Times New Roman"/>
                <w:lang w:bidi="cs-CZ"/>
              </w:rPr>
            </w:pPr>
          </w:p>
          <w:p w14:paraId="15131CEB" w14:textId="77777777" w:rsidR="007170C3" w:rsidRPr="008819AF" w:rsidRDefault="007170C3" w:rsidP="0021052F">
            <w:pPr>
              <w:pStyle w:val="Bdet2"/>
              <w:spacing w:before="0" w:line="240" w:lineRule="auto"/>
              <w:ind w:left="0" w:right="-70" w:firstLine="0"/>
              <w:jc w:val="center"/>
              <w:rPr>
                <w:rFonts w:ascii="Times New Roman" w:eastAsia="Arial" w:hAnsi="Times New Roman" w:cs="Times New Roman"/>
                <w:lang w:bidi="cs-CZ"/>
              </w:rPr>
            </w:pPr>
          </w:p>
          <w:p w14:paraId="15131CEC" w14:textId="77777777" w:rsidR="007170C3" w:rsidRPr="008819AF" w:rsidRDefault="007170C3" w:rsidP="0021052F">
            <w:pPr>
              <w:pStyle w:val="Bdet2"/>
              <w:spacing w:before="0" w:line="240" w:lineRule="auto"/>
              <w:ind w:left="0" w:right="-70" w:firstLine="0"/>
              <w:jc w:val="center"/>
              <w:rPr>
                <w:rFonts w:ascii="Times New Roman" w:eastAsia="Arial" w:hAnsi="Times New Roman" w:cs="Times New Roman"/>
                <w:lang w:bidi="cs-CZ"/>
              </w:rPr>
            </w:pPr>
          </w:p>
          <w:p w14:paraId="15131CED" w14:textId="77777777" w:rsidR="007170C3" w:rsidRPr="008819AF" w:rsidRDefault="007170C3" w:rsidP="0021052F">
            <w:pPr>
              <w:pStyle w:val="Bdet2"/>
              <w:spacing w:before="0" w:line="240" w:lineRule="auto"/>
              <w:ind w:left="0" w:right="-70" w:firstLine="0"/>
              <w:jc w:val="center"/>
              <w:rPr>
                <w:rFonts w:ascii="Times New Roman" w:eastAsia="Arial" w:hAnsi="Times New Roman" w:cs="Times New Roman"/>
                <w:lang w:bidi="cs-CZ"/>
              </w:rPr>
            </w:pPr>
          </w:p>
          <w:p w14:paraId="15131CEE" w14:textId="77777777" w:rsidR="007170C3" w:rsidRPr="008819AF" w:rsidRDefault="007170C3" w:rsidP="0021052F">
            <w:pPr>
              <w:pStyle w:val="Bdet2"/>
              <w:spacing w:before="0" w:line="240" w:lineRule="auto"/>
              <w:ind w:left="0" w:right="-70" w:firstLine="0"/>
              <w:jc w:val="center"/>
              <w:rPr>
                <w:rFonts w:ascii="Times New Roman" w:eastAsia="Arial" w:hAnsi="Times New Roman" w:cs="Times New Roman"/>
                <w:lang w:bidi="cs-CZ"/>
              </w:rPr>
            </w:pPr>
          </w:p>
          <w:p w14:paraId="15131CEF" w14:textId="77777777" w:rsidR="007170C3" w:rsidRPr="008819AF" w:rsidRDefault="006F0418" w:rsidP="0021052F">
            <w:pPr>
              <w:pStyle w:val="Bdet2"/>
              <w:spacing w:before="0" w:line="240" w:lineRule="auto"/>
              <w:ind w:left="0" w:right="-70" w:firstLine="0"/>
              <w:jc w:val="center"/>
              <w:rPr>
                <w:rFonts w:ascii="Times New Roman" w:eastAsia="Arial" w:hAnsi="Times New Roman" w:cs="Times New Roman"/>
                <w:lang w:bidi="cs-CZ"/>
              </w:rPr>
            </w:pPr>
            <w:r w:rsidRPr="008819AF">
              <w:rPr>
                <w:rFonts w:ascii="Times New Roman" w:eastAsia="Arial" w:hAnsi="Times New Roman" w:cs="Times New Roman"/>
                <w:lang w:bidi="cs-CZ"/>
              </w:rPr>
              <w:t>§ 34</w:t>
            </w:r>
          </w:p>
          <w:p w14:paraId="15131CF0" w14:textId="77777777" w:rsidR="007170C3" w:rsidRPr="008819AF" w:rsidRDefault="006F0418" w:rsidP="0021052F">
            <w:pPr>
              <w:pStyle w:val="Bdet2"/>
              <w:spacing w:before="0" w:line="240" w:lineRule="auto"/>
              <w:ind w:left="0" w:right="-70" w:firstLine="0"/>
              <w:jc w:val="center"/>
              <w:rPr>
                <w:rFonts w:ascii="Times New Roman" w:eastAsia="Arial" w:hAnsi="Times New Roman" w:cs="Times New Roman"/>
                <w:lang w:bidi="cs-CZ"/>
              </w:rPr>
            </w:pPr>
            <w:r w:rsidRPr="008819AF">
              <w:rPr>
                <w:rFonts w:ascii="Times New Roman" w:eastAsia="Arial" w:hAnsi="Times New Roman" w:cs="Times New Roman"/>
                <w:lang w:bidi="cs-CZ"/>
              </w:rPr>
              <w:t>O 8</w:t>
            </w:r>
          </w:p>
          <w:p w14:paraId="15131CF1" w14:textId="77777777" w:rsidR="007170C3" w:rsidRPr="008819AF" w:rsidRDefault="00742E16" w:rsidP="0021052F">
            <w:pPr>
              <w:pStyle w:val="Bdet2"/>
              <w:spacing w:before="0" w:line="240" w:lineRule="auto"/>
              <w:ind w:left="0" w:right="-70" w:firstLine="0"/>
              <w:jc w:val="center"/>
              <w:rPr>
                <w:rFonts w:ascii="Times New Roman" w:eastAsia="Arial" w:hAnsi="Times New Roman" w:cs="Times New Roman"/>
                <w:lang w:bidi="cs-CZ"/>
              </w:rPr>
            </w:pPr>
            <w:r w:rsidRPr="008819AF">
              <w:rPr>
                <w:rFonts w:ascii="Times New Roman" w:eastAsia="Arial" w:hAnsi="Times New Roman" w:cs="Times New Roman"/>
                <w:lang w:bidi="cs-CZ"/>
              </w:rPr>
              <w:t>P c</w:t>
            </w:r>
            <w:r w:rsidR="006F0418" w:rsidRPr="008819AF">
              <w:rPr>
                <w:rFonts w:ascii="Times New Roman" w:eastAsia="Arial" w:hAnsi="Times New Roman" w:cs="Times New Roman"/>
                <w:lang w:bidi="cs-CZ"/>
              </w:rPr>
              <w:t>)</w:t>
            </w:r>
          </w:p>
          <w:p w14:paraId="15131CF2" w14:textId="77777777" w:rsidR="007170C3" w:rsidRPr="008819AF" w:rsidRDefault="007170C3" w:rsidP="0021052F">
            <w:pPr>
              <w:pStyle w:val="Bdet2"/>
              <w:spacing w:before="0" w:line="240" w:lineRule="auto"/>
              <w:ind w:left="0" w:right="-70" w:firstLine="0"/>
              <w:jc w:val="center"/>
              <w:rPr>
                <w:rFonts w:ascii="Times New Roman" w:eastAsia="Arial" w:hAnsi="Times New Roman" w:cs="Times New Roman"/>
                <w:lang w:bidi="cs-CZ"/>
              </w:rPr>
            </w:pPr>
          </w:p>
          <w:p w14:paraId="15131CF3" w14:textId="77777777" w:rsidR="007170C3" w:rsidRPr="008819AF" w:rsidRDefault="007170C3" w:rsidP="0021052F">
            <w:pPr>
              <w:pStyle w:val="Bdet2"/>
              <w:spacing w:before="0" w:line="240" w:lineRule="auto"/>
              <w:ind w:left="0" w:right="-70" w:firstLine="0"/>
              <w:jc w:val="center"/>
              <w:rPr>
                <w:rFonts w:ascii="Times New Roman" w:eastAsia="Arial" w:hAnsi="Times New Roman" w:cs="Times New Roman"/>
                <w:lang w:bidi="cs-CZ"/>
              </w:rPr>
            </w:pPr>
          </w:p>
          <w:p w14:paraId="15131CF4" w14:textId="77777777" w:rsidR="004A3270" w:rsidRPr="008819AF" w:rsidRDefault="004A3270" w:rsidP="0021052F">
            <w:pPr>
              <w:pStyle w:val="Bdet2"/>
              <w:spacing w:before="0" w:line="240" w:lineRule="auto"/>
              <w:ind w:left="0" w:right="-70" w:firstLine="0"/>
              <w:jc w:val="center"/>
              <w:rPr>
                <w:rFonts w:ascii="Times New Roman" w:eastAsia="Arial" w:hAnsi="Times New Roman" w:cs="Times New Roman"/>
                <w:lang w:bidi="cs-CZ"/>
              </w:rPr>
            </w:pPr>
          </w:p>
          <w:p w14:paraId="15131CF5" w14:textId="77777777" w:rsidR="007170C3" w:rsidRPr="008819AF" w:rsidRDefault="007170C3" w:rsidP="0021052F">
            <w:pPr>
              <w:pStyle w:val="Bdet2"/>
              <w:spacing w:before="0" w:line="240" w:lineRule="auto"/>
              <w:ind w:left="0" w:right="-70" w:firstLine="0"/>
              <w:jc w:val="center"/>
              <w:rPr>
                <w:rFonts w:ascii="Times New Roman" w:eastAsia="Arial" w:hAnsi="Times New Roman" w:cs="Times New Roman"/>
                <w:lang w:bidi="cs-CZ"/>
              </w:rPr>
            </w:pPr>
          </w:p>
          <w:p w14:paraId="15131CF6" w14:textId="77777777" w:rsidR="00203347" w:rsidRPr="008819AF" w:rsidRDefault="00203347" w:rsidP="0021052F">
            <w:pPr>
              <w:pStyle w:val="Bdet2"/>
              <w:spacing w:before="0" w:line="240" w:lineRule="auto"/>
              <w:ind w:left="0" w:right="-70" w:firstLine="0"/>
              <w:jc w:val="center"/>
              <w:rPr>
                <w:rFonts w:ascii="Times New Roman" w:eastAsia="Arial" w:hAnsi="Times New Roman" w:cs="Times New Roman"/>
                <w:lang w:bidi="cs-CZ"/>
              </w:rPr>
            </w:pPr>
          </w:p>
          <w:p w14:paraId="15131CF7" w14:textId="77777777" w:rsidR="007170C3" w:rsidRPr="008819AF" w:rsidRDefault="00543690"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§15</w:t>
            </w:r>
          </w:p>
          <w:p w14:paraId="15131CF8" w14:textId="77777777" w:rsidR="00543690" w:rsidRPr="008819AF" w:rsidRDefault="00543690"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O1</w:t>
            </w:r>
          </w:p>
          <w:p w14:paraId="15131CF9" w14:textId="77777777" w:rsidR="007170C3" w:rsidRPr="008819AF" w:rsidRDefault="007170C3" w:rsidP="005608F0">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CFA" w14:textId="77777777" w:rsidR="00B16CFC" w:rsidRPr="008819AF" w:rsidRDefault="00353DF4" w:rsidP="00B16CFC">
            <w:pPr>
              <w:pStyle w:val="Nra"/>
              <w:ind w:left="72"/>
              <w:rPr>
                <w:rFonts w:ascii="Times New Roman" w:eastAsia="Arial" w:hAnsi="Times New Roman" w:cs="Times New Roman"/>
                <w:lang w:bidi="cs-CZ"/>
              </w:rPr>
            </w:pPr>
            <w:r w:rsidRPr="008819AF">
              <w:t xml:space="preserve">V osobitných prípadoch pri prerušení dodávky povoleného paliva pre predmetné spaľovacie zariadenie môže povoľujúci orgán na základe žiadosti prevádzkovateľa </w:t>
            </w:r>
            <w:r w:rsidR="00CE05AC" w:rsidRPr="008819AF">
              <w:t xml:space="preserve">podľa § 34 ods. 8 písm. c) a d) </w:t>
            </w:r>
            <w:r w:rsidRPr="008819AF">
              <w:t>rozhodnúť o dočasnej výnimke z emisných limitov v súlade s požiadavkami vykonávacieho predpisu podľa § 62 písm. f). Osobitné podmienky k</w:t>
            </w:r>
            <w:r w:rsidR="00CE05AC" w:rsidRPr="008819AF">
              <w:t>onania sú upravené v § 60 ods. 8</w:t>
            </w:r>
            <w:r w:rsidRPr="008819AF">
              <w:t>.</w:t>
            </w:r>
          </w:p>
          <w:p w14:paraId="15131CFB" w14:textId="77777777" w:rsidR="00B16CFC" w:rsidRPr="008819AF" w:rsidRDefault="00B16CFC" w:rsidP="00B16CFC">
            <w:pPr>
              <w:pStyle w:val="Nra"/>
              <w:ind w:left="72"/>
              <w:rPr>
                <w:rFonts w:ascii="Times New Roman" w:eastAsia="Arial" w:hAnsi="Times New Roman" w:cs="Times New Roman"/>
                <w:lang w:bidi="cs-CZ"/>
              </w:rPr>
            </w:pPr>
          </w:p>
          <w:p w14:paraId="15131CFC" w14:textId="77777777" w:rsidR="00B16CFC" w:rsidRPr="008819AF" w:rsidRDefault="00353DF4" w:rsidP="00B16CFC">
            <w:pPr>
              <w:pStyle w:val="Nra"/>
              <w:ind w:left="72"/>
              <w:rPr>
                <w:rFonts w:ascii="Times New Roman" w:eastAsia="Arial" w:hAnsi="Times New Roman" w:cs="Times New Roman"/>
                <w:lang w:bidi="cs-CZ"/>
              </w:rPr>
            </w:pPr>
            <w:r w:rsidRPr="008819AF">
              <w:rPr>
                <w:rFonts w:ascii="Times New Roman" w:eastAsia="Arial" w:hAnsi="Times New Roman" w:cs="Times New Roman"/>
                <w:lang w:bidi="cs-CZ"/>
              </w:rPr>
              <w:t xml:space="preserve">Prevádzkovateľ veľkého spaľovacieho zariadenia je pri uvedených neštandardných prevádzkových stavoch a poruchách okrem povinností podľa odseku 7, povinný </w:t>
            </w:r>
          </w:p>
          <w:p w14:paraId="15131CFD" w14:textId="77777777" w:rsidR="007170C3" w:rsidRPr="008819AF" w:rsidRDefault="00353DF4" w:rsidP="00B16CFC">
            <w:pPr>
              <w:pStyle w:val="Nra"/>
              <w:ind w:left="72"/>
              <w:rPr>
                <w:rFonts w:ascii="Times New Roman" w:eastAsia="Arial" w:hAnsi="Times New Roman" w:cs="Times New Roman"/>
                <w:lang w:bidi="cs-CZ"/>
              </w:rPr>
            </w:pPr>
            <w:r w:rsidRPr="008819AF">
              <w:rPr>
                <w:rFonts w:ascii="Times New Roman" w:eastAsia="Arial" w:hAnsi="Times New Roman" w:cs="Times New Roman"/>
                <w:lang w:bidi="cs-CZ"/>
              </w:rPr>
              <w:t>c) oznámiť bezodkladne povoľujúcemu orgánu prerušenie dodávky nízkosírneho paliva a požiadať o udelenie výnimky na použitie iného paliva,</w:t>
            </w:r>
          </w:p>
          <w:p w14:paraId="15131CFE" w14:textId="77777777" w:rsidR="00353DF4" w:rsidRPr="008819AF" w:rsidRDefault="00353DF4" w:rsidP="008E5CE5">
            <w:pPr>
              <w:pStyle w:val="Nra"/>
              <w:ind w:left="72" w:hanging="1"/>
              <w:rPr>
                <w:rFonts w:ascii="Times New Roman" w:eastAsia="Arial" w:hAnsi="Times New Roman" w:cs="Times New Roman"/>
                <w:lang w:bidi="cs-CZ"/>
              </w:rPr>
            </w:pPr>
          </w:p>
          <w:p w14:paraId="15131CFF" w14:textId="77777777" w:rsidR="007170C3" w:rsidRPr="008819AF" w:rsidRDefault="008E5CE5" w:rsidP="005608F0">
            <w:pPr>
              <w:pStyle w:val="Nra"/>
              <w:ind w:left="72" w:hanging="1"/>
              <w:rPr>
                <w:lang w:bidi="cs-CZ"/>
              </w:rPr>
            </w:pPr>
            <w:r w:rsidRPr="008819AF">
              <w:rPr>
                <w:rFonts w:ascii="Times New Roman" w:eastAsia="Arial" w:hAnsi="Times New Roman" w:cs="Times New Roman"/>
                <w:lang w:bidi="cs-CZ"/>
              </w:rPr>
              <w:t>Z dôvodu prerušenia dodávky nízkosírneho paliva pre jeho vážny nedostatok, možno pre spaľovacie zariadenie, ktoré spaľuje palivo s nízkym obsahom síry, povoliť na obmedzený čas, najviac však na šesť mesiacov, vyššie emisie SO</w:t>
            </w:r>
            <w:r w:rsidRPr="008819AF">
              <w:rPr>
                <w:rFonts w:ascii="Times New Roman" w:eastAsia="Arial" w:hAnsi="Times New Roman" w:cs="Times New Roman"/>
                <w:vertAlign w:val="subscript"/>
                <w:lang w:bidi="cs-CZ"/>
              </w:rPr>
              <w:t>2</w:t>
            </w:r>
            <w:r w:rsidRPr="008819AF">
              <w:rPr>
                <w:rFonts w:ascii="Times New Roman" w:eastAsia="Arial" w:hAnsi="Times New Roman" w:cs="Times New Roman"/>
                <w:lang w:bidi="cs-CZ"/>
              </w:rPr>
              <w:t>, ako sú ustanovené emisné limity.</w:t>
            </w:r>
          </w:p>
        </w:tc>
        <w:tc>
          <w:tcPr>
            <w:tcW w:w="429" w:type="dxa"/>
            <w:tcBorders>
              <w:top w:val="single" w:sz="4" w:space="0" w:color="000000"/>
              <w:left w:val="single" w:sz="6" w:space="0" w:color="000000"/>
              <w:bottom w:val="single" w:sz="4" w:space="0" w:color="000000"/>
              <w:right w:val="single" w:sz="6" w:space="0" w:color="000000"/>
            </w:tcBorders>
          </w:tcPr>
          <w:p w14:paraId="15131D00" w14:textId="77777777" w:rsidR="00166B76" w:rsidRPr="008819AF" w:rsidRDefault="00166B76" w:rsidP="00166B76">
            <w:pPr>
              <w:ind w:left="215" w:hanging="215"/>
              <w:rPr>
                <w:rFonts w:eastAsia="Arial"/>
                <w:lang w:bidi="cs-CZ"/>
              </w:rPr>
            </w:pPr>
            <w:r w:rsidRPr="008819AF">
              <w:rPr>
                <w:rFonts w:eastAsia="Arial"/>
                <w:lang w:bidi="cs-CZ"/>
              </w:rPr>
              <w:t>Ú</w:t>
            </w:r>
          </w:p>
          <w:p w14:paraId="15131D01" w14:textId="77777777" w:rsidR="007170C3" w:rsidRPr="008819AF" w:rsidRDefault="007170C3" w:rsidP="0021052F">
            <w:pPr>
              <w:ind w:left="215" w:hanging="215"/>
              <w:rPr>
                <w:rFonts w:eastAsia="Arial"/>
                <w:lang w:bidi="cs-CZ"/>
              </w:rPr>
            </w:pPr>
          </w:p>
          <w:p w14:paraId="15131D02" w14:textId="77777777" w:rsidR="00166B76" w:rsidRPr="008819AF" w:rsidRDefault="00166B76" w:rsidP="0021052F">
            <w:pPr>
              <w:ind w:left="215" w:hanging="215"/>
              <w:rPr>
                <w:rFonts w:eastAsia="Arial"/>
                <w:lang w:bidi="cs-CZ"/>
              </w:rPr>
            </w:pPr>
          </w:p>
          <w:p w14:paraId="15131D03" w14:textId="77777777" w:rsidR="00166B76" w:rsidRPr="008819AF" w:rsidRDefault="00166B76" w:rsidP="0021052F">
            <w:pPr>
              <w:ind w:left="215" w:hanging="215"/>
              <w:rPr>
                <w:rFonts w:eastAsia="Arial"/>
                <w:lang w:bidi="cs-CZ"/>
              </w:rPr>
            </w:pPr>
          </w:p>
          <w:p w14:paraId="15131D04" w14:textId="77777777" w:rsidR="00166B76" w:rsidRPr="008819AF" w:rsidRDefault="00166B76" w:rsidP="0021052F">
            <w:pPr>
              <w:ind w:left="215" w:hanging="215"/>
              <w:rPr>
                <w:rFonts w:eastAsia="Arial"/>
                <w:lang w:bidi="cs-CZ"/>
              </w:rPr>
            </w:pPr>
          </w:p>
          <w:p w14:paraId="15131D05" w14:textId="77777777" w:rsidR="00166B76" w:rsidRPr="008819AF" w:rsidRDefault="00166B76" w:rsidP="0021052F">
            <w:pPr>
              <w:ind w:left="215" w:hanging="215"/>
              <w:rPr>
                <w:rFonts w:eastAsia="Arial"/>
                <w:lang w:bidi="cs-CZ"/>
              </w:rPr>
            </w:pPr>
          </w:p>
          <w:p w14:paraId="15131D06" w14:textId="77777777" w:rsidR="00166B76" w:rsidRPr="008819AF" w:rsidRDefault="00166B76" w:rsidP="0021052F">
            <w:pPr>
              <w:ind w:left="215" w:hanging="215"/>
              <w:rPr>
                <w:rFonts w:eastAsia="Arial"/>
                <w:lang w:bidi="cs-CZ"/>
              </w:rPr>
            </w:pPr>
          </w:p>
          <w:p w14:paraId="15131D07" w14:textId="77777777" w:rsidR="00166B76" w:rsidRPr="008819AF" w:rsidRDefault="00166B76" w:rsidP="00166B76">
            <w:pPr>
              <w:ind w:left="215" w:hanging="215"/>
              <w:rPr>
                <w:rFonts w:eastAsia="Arial"/>
                <w:lang w:bidi="cs-CZ"/>
              </w:rPr>
            </w:pPr>
            <w:r w:rsidRPr="008819AF">
              <w:rPr>
                <w:rFonts w:eastAsia="Arial"/>
                <w:lang w:bidi="cs-CZ"/>
              </w:rPr>
              <w:t>Ú</w:t>
            </w:r>
          </w:p>
          <w:p w14:paraId="15131D08" w14:textId="77777777" w:rsidR="00166B76" w:rsidRPr="008819AF" w:rsidRDefault="00166B76" w:rsidP="0021052F">
            <w:pPr>
              <w:ind w:left="215" w:hanging="215"/>
              <w:rPr>
                <w:rFonts w:eastAsia="Arial"/>
                <w:lang w:bidi="cs-CZ"/>
              </w:rPr>
            </w:pPr>
          </w:p>
          <w:p w14:paraId="15131D09" w14:textId="77777777" w:rsidR="00166B76" w:rsidRPr="008819AF" w:rsidRDefault="00166B76" w:rsidP="0021052F">
            <w:pPr>
              <w:ind w:left="215" w:hanging="215"/>
              <w:rPr>
                <w:rFonts w:eastAsia="Arial"/>
                <w:lang w:bidi="cs-CZ"/>
              </w:rPr>
            </w:pPr>
          </w:p>
          <w:p w14:paraId="15131D0A" w14:textId="77777777" w:rsidR="00166B76" w:rsidRPr="008819AF" w:rsidRDefault="00166B76" w:rsidP="0021052F">
            <w:pPr>
              <w:ind w:left="215" w:hanging="215"/>
              <w:rPr>
                <w:rFonts w:eastAsia="Arial"/>
                <w:lang w:bidi="cs-CZ"/>
              </w:rPr>
            </w:pPr>
          </w:p>
          <w:p w14:paraId="15131D0B" w14:textId="77777777" w:rsidR="00166B76" w:rsidRPr="008819AF" w:rsidRDefault="00166B76" w:rsidP="0021052F">
            <w:pPr>
              <w:ind w:left="215" w:hanging="215"/>
              <w:rPr>
                <w:rFonts w:eastAsia="Arial"/>
                <w:lang w:bidi="cs-CZ"/>
              </w:rPr>
            </w:pPr>
          </w:p>
          <w:p w14:paraId="15131D0C" w14:textId="77777777" w:rsidR="00166B76" w:rsidRPr="008819AF" w:rsidRDefault="00166B76" w:rsidP="0021052F">
            <w:pPr>
              <w:ind w:left="215" w:hanging="215"/>
              <w:rPr>
                <w:rFonts w:eastAsia="Arial"/>
                <w:lang w:bidi="cs-CZ"/>
              </w:rPr>
            </w:pPr>
          </w:p>
          <w:p w14:paraId="15131D0D" w14:textId="77777777" w:rsidR="00166B76" w:rsidRPr="008819AF" w:rsidRDefault="00166B76" w:rsidP="0021052F">
            <w:pPr>
              <w:ind w:left="215" w:hanging="215"/>
              <w:rPr>
                <w:rFonts w:eastAsia="Arial"/>
                <w:lang w:bidi="cs-CZ"/>
              </w:rPr>
            </w:pPr>
          </w:p>
          <w:p w14:paraId="15131D0E" w14:textId="77777777" w:rsidR="00166B76" w:rsidRPr="008819AF" w:rsidRDefault="00166B76" w:rsidP="00166B76">
            <w:pPr>
              <w:ind w:left="215" w:hanging="215"/>
              <w:rPr>
                <w:rFonts w:eastAsia="Arial"/>
                <w:lang w:bidi="cs-CZ"/>
              </w:rPr>
            </w:pPr>
            <w:r w:rsidRPr="008819AF">
              <w:rPr>
                <w:rFonts w:eastAsia="Arial"/>
                <w:lang w:bidi="cs-CZ"/>
              </w:rPr>
              <w:t>Ú</w:t>
            </w:r>
          </w:p>
          <w:p w14:paraId="15131D0F" w14:textId="77777777" w:rsidR="00166B76" w:rsidRPr="008819AF" w:rsidRDefault="00166B76" w:rsidP="00166B76">
            <w:pPr>
              <w:rPr>
                <w:rFonts w:eastAsia="Arial"/>
                <w:lang w:bidi="cs-CZ"/>
              </w:rPr>
            </w:pPr>
          </w:p>
          <w:p w14:paraId="15131D10" w14:textId="77777777" w:rsidR="00166B76" w:rsidRPr="008819AF" w:rsidRDefault="00166B76" w:rsidP="005608F0">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D11" w14:textId="77777777" w:rsidR="007170C3" w:rsidRPr="008819AF" w:rsidRDefault="007170C3" w:rsidP="0021052F">
            <w:pPr>
              <w:ind w:left="215" w:hanging="215"/>
              <w:rPr>
                <w:rFonts w:eastAsia="Arial"/>
                <w:lang w:bidi="cs-CZ"/>
              </w:rPr>
            </w:pPr>
          </w:p>
        </w:tc>
      </w:tr>
      <w:tr w:rsidR="005608F0" w:rsidRPr="008819AF" w14:paraId="15131D3F"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D13" w14:textId="77777777" w:rsidR="005608F0" w:rsidRPr="008819AF" w:rsidRDefault="005608F0"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D14" w14:textId="77777777" w:rsidR="005608F0" w:rsidRPr="008819AF" w:rsidRDefault="005608F0" w:rsidP="00543690">
            <w:pPr>
              <w:rPr>
                <w:rFonts w:eastAsia="Arial"/>
              </w:rPr>
            </w:pPr>
            <w:r w:rsidRPr="008819AF">
              <w:rPr>
                <w:rFonts w:eastAsia="Arial"/>
              </w:rPr>
              <w:t>Členské štáty okamžite informujú Komisiu o akejkoľvek výnimke udelenej na základe prvého pododseku.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D15" w14:textId="77777777" w:rsidR="005608F0" w:rsidRPr="008819AF" w:rsidRDefault="005608F0" w:rsidP="005608F0">
            <w:pPr>
              <w:ind w:left="-70" w:right="-68" w:hanging="6"/>
              <w:jc w:val="center"/>
              <w:rPr>
                <w:rFonts w:eastAsia="Arial"/>
                <w:lang w:bidi="cs-CZ"/>
              </w:rPr>
            </w:pPr>
            <w:r w:rsidRPr="008819AF">
              <w:rPr>
                <w:rFonts w:eastAsia="Arial"/>
                <w:lang w:bidi="cs-CZ"/>
              </w:rPr>
              <w:t>N</w:t>
            </w:r>
          </w:p>
          <w:p w14:paraId="15131D16" w14:textId="77777777" w:rsidR="005608F0" w:rsidRPr="008819AF" w:rsidRDefault="005608F0" w:rsidP="005608F0">
            <w:pPr>
              <w:ind w:left="-70" w:right="-68" w:hanging="6"/>
              <w:jc w:val="center"/>
              <w:rPr>
                <w:rFonts w:eastAsia="Arial"/>
                <w:lang w:bidi="cs-CZ"/>
              </w:rPr>
            </w:pPr>
          </w:p>
          <w:p w14:paraId="15131D17" w14:textId="77777777" w:rsidR="005608F0" w:rsidRPr="008819AF" w:rsidRDefault="005608F0" w:rsidP="005608F0">
            <w:pPr>
              <w:ind w:left="-70" w:right="-68" w:hanging="6"/>
              <w:jc w:val="center"/>
              <w:rPr>
                <w:rFonts w:eastAsia="Arial"/>
                <w:lang w:bidi="cs-CZ"/>
              </w:rPr>
            </w:pPr>
          </w:p>
          <w:p w14:paraId="15131D18" w14:textId="77777777" w:rsidR="005608F0" w:rsidRPr="008819AF" w:rsidRDefault="005608F0" w:rsidP="005608F0">
            <w:pPr>
              <w:ind w:left="-70" w:right="-68" w:hanging="6"/>
              <w:jc w:val="center"/>
              <w:rPr>
                <w:rFonts w:eastAsia="Arial"/>
                <w:lang w:bidi="cs-CZ"/>
              </w:rPr>
            </w:pPr>
          </w:p>
          <w:p w14:paraId="15131D19" w14:textId="77777777" w:rsidR="005608F0" w:rsidRPr="008819AF" w:rsidRDefault="005608F0" w:rsidP="005608F0">
            <w:pPr>
              <w:ind w:left="-70" w:right="-68" w:hanging="6"/>
              <w:jc w:val="center"/>
              <w:rPr>
                <w:rFonts w:eastAsia="Arial"/>
                <w:lang w:bidi="cs-CZ"/>
              </w:rPr>
            </w:pPr>
          </w:p>
          <w:p w14:paraId="15131D1A" w14:textId="77777777" w:rsidR="005608F0" w:rsidRPr="008819AF" w:rsidRDefault="005608F0" w:rsidP="005608F0">
            <w:pPr>
              <w:ind w:left="-70" w:right="-68" w:hanging="6"/>
              <w:jc w:val="center"/>
              <w:rPr>
                <w:rFonts w:eastAsia="Arial"/>
                <w:lang w:bidi="cs-CZ"/>
              </w:rPr>
            </w:pPr>
          </w:p>
          <w:p w14:paraId="15131D1B" w14:textId="77777777" w:rsidR="005608F0" w:rsidRPr="008819AF" w:rsidRDefault="005608F0" w:rsidP="005608F0">
            <w:pPr>
              <w:ind w:left="-70" w:right="-68" w:hanging="6"/>
              <w:jc w:val="center"/>
              <w:rPr>
                <w:rFonts w:eastAsia="Arial"/>
                <w:lang w:bidi="cs-CZ"/>
              </w:rPr>
            </w:pPr>
            <w:r w:rsidRPr="008819AF">
              <w:rPr>
                <w:rFonts w:eastAsia="Arial"/>
                <w:lang w:bidi="cs-CZ"/>
              </w:rPr>
              <w:t>N</w:t>
            </w:r>
          </w:p>
          <w:p w14:paraId="15131D1C" w14:textId="77777777" w:rsidR="005608F0" w:rsidRPr="008819AF" w:rsidRDefault="005608F0"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D1D" w14:textId="77777777" w:rsidR="005608F0" w:rsidRPr="008819AF" w:rsidRDefault="005608F0" w:rsidP="005608F0">
            <w:pPr>
              <w:jc w:val="center"/>
              <w:rPr>
                <w:rFonts w:eastAsia="Arial"/>
                <w:lang w:bidi="cs-CZ"/>
              </w:rPr>
            </w:pPr>
            <w:r w:rsidRPr="008819AF">
              <w:rPr>
                <w:rFonts w:eastAsia="Arial"/>
                <w:lang w:bidi="cs-CZ"/>
              </w:rPr>
              <w:t>NZ</w:t>
            </w:r>
          </w:p>
          <w:p w14:paraId="15131D1E" w14:textId="77777777" w:rsidR="005608F0" w:rsidRPr="008819AF" w:rsidRDefault="005608F0" w:rsidP="005608F0">
            <w:pPr>
              <w:jc w:val="center"/>
              <w:rPr>
                <w:rFonts w:eastAsia="Arial"/>
                <w:lang w:bidi="cs-CZ"/>
              </w:rPr>
            </w:pPr>
          </w:p>
          <w:p w14:paraId="15131D1F" w14:textId="77777777" w:rsidR="005608F0" w:rsidRPr="008819AF" w:rsidRDefault="005608F0" w:rsidP="005608F0">
            <w:pPr>
              <w:jc w:val="center"/>
              <w:rPr>
                <w:rFonts w:eastAsia="Arial"/>
                <w:lang w:bidi="cs-CZ"/>
              </w:rPr>
            </w:pPr>
          </w:p>
          <w:p w14:paraId="15131D20" w14:textId="77777777" w:rsidR="005608F0" w:rsidRPr="008819AF" w:rsidRDefault="005608F0" w:rsidP="005608F0">
            <w:pPr>
              <w:jc w:val="center"/>
              <w:rPr>
                <w:rFonts w:eastAsia="Arial"/>
                <w:lang w:bidi="cs-CZ"/>
              </w:rPr>
            </w:pPr>
          </w:p>
          <w:p w14:paraId="15131D21" w14:textId="77777777" w:rsidR="005608F0" w:rsidRPr="008819AF" w:rsidRDefault="005608F0" w:rsidP="005608F0">
            <w:pPr>
              <w:jc w:val="center"/>
              <w:rPr>
                <w:rFonts w:eastAsia="Arial"/>
                <w:lang w:bidi="cs-CZ"/>
              </w:rPr>
            </w:pPr>
          </w:p>
          <w:p w14:paraId="15131D22" w14:textId="77777777" w:rsidR="005608F0" w:rsidRPr="008819AF" w:rsidRDefault="005608F0" w:rsidP="005608F0">
            <w:pPr>
              <w:jc w:val="center"/>
              <w:rPr>
                <w:rFonts w:eastAsia="Arial"/>
                <w:lang w:bidi="cs-CZ"/>
              </w:rPr>
            </w:pPr>
          </w:p>
          <w:p w14:paraId="15131D23" w14:textId="77777777" w:rsidR="005608F0" w:rsidRPr="008819AF" w:rsidRDefault="005608F0" w:rsidP="005608F0">
            <w:pPr>
              <w:jc w:val="center"/>
              <w:rPr>
                <w:rFonts w:eastAsia="Arial"/>
                <w:lang w:bidi="cs-CZ"/>
              </w:rPr>
            </w:pPr>
            <w:r w:rsidRPr="008819AF">
              <w:rPr>
                <w:rFonts w:eastAsia="Arial"/>
                <w:lang w:bidi="cs-CZ"/>
              </w:rPr>
              <w:t>NV4</w:t>
            </w:r>
          </w:p>
          <w:p w14:paraId="15131D24" w14:textId="77777777" w:rsidR="005608F0" w:rsidRPr="008819AF" w:rsidRDefault="005608F0" w:rsidP="00A363DD">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D25" w14:textId="77777777" w:rsidR="005608F0" w:rsidRPr="008819AF" w:rsidRDefault="00F64BBF" w:rsidP="005608F0">
            <w:pPr>
              <w:ind w:right="-70"/>
              <w:jc w:val="center"/>
              <w:rPr>
                <w:rFonts w:eastAsia="Arial"/>
                <w:lang w:bidi="cs-CZ"/>
              </w:rPr>
            </w:pPr>
            <w:r w:rsidRPr="008819AF">
              <w:rPr>
                <w:rFonts w:eastAsia="Arial"/>
                <w:lang w:bidi="cs-CZ"/>
              </w:rPr>
              <w:t xml:space="preserve">§ 40  </w:t>
            </w:r>
          </w:p>
          <w:p w14:paraId="15131D26" w14:textId="77777777" w:rsidR="005608F0" w:rsidRPr="008819AF" w:rsidRDefault="005608F0" w:rsidP="005608F0">
            <w:pPr>
              <w:ind w:right="-70"/>
              <w:jc w:val="center"/>
              <w:rPr>
                <w:rFonts w:eastAsia="Arial"/>
                <w:lang w:bidi="cs-CZ"/>
              </w:rPr>
            </w:pPr>
            <w:r w:rsidRPr="008819AF">
              <w:rPr>
                <w:rFonts w:eastAsia="Arial"/>
                <w:lang w:bidi="cs-CZ"/>
              </w:rPr>
              <w:t>P d)</w:t>
            </w:r>
          </w:p>
          <w:p w14:paraId="15131D27" w14:textId="77777777" w:rsidR="005608F0" w:rsidRPr="008819AF" w:rsidRDefault="005608F0" w:rsidP="005608F0">
            <w:pPr>
              <w:pStyle w:val="BodyText21"/>
              <w:spacing w:before="0" w:line="240" w:lineRule="auto"/>
              <w:ind w:left="0" w:right="-70" w:firstLine="0"/>
              <w:jc w:val="center"/>
              <w:rPr>
                <w:rFonts w:ascii="Times New Roman" w:hAnsi="Times New Roman" w:cs="Times New Roman"/>
              </w:rPr>
            </w:pPr>
          </w:p>
          <w:p w14:paraId="15131D28" w14:textId="77777777" w:rsidR="005608F0" w:rsidRPr="008819AF" w:rsidRDefault="005608F0" w:rsidP="005608F0">
            <w:pPr>
              <w:pStyle w:val="BodyText21"/>
              <w:spacing w:before="0" w:line="240" w:lineRule="auto"/>
              <w:ind w:left="0" w:right="-70" w:firstLine="0"/>
              <w:jc w:val="center"/>
              <w:rPr>
                <w:rFonts w:ascii="Times New Roman" w:hAnsi="Times New Roman" w:cs="Times New Roman"/>
              </w:rPr>
            </w:pPr>
          </w:p>
          <w:p w14:paraId="15131D29" w14:textId="77777777" w:rsidR="005608F0" w:rsidRPr="008819AF" w:rsidRDefault="005608F0" w:rsidP="005608F0">
            <w:pPr>
              <w:pStyle w:val="BodyText21"/>
              <w:spacing w:before="0" w:line="240" w:lineRule="auto"/>
              <w:ind w:left="0" w:right="-70" w:firstLine="0"/>
              <w:jc w:val="center"/>
              <w:rPr>
                <w:rFonts w:ascii="Times New Roman" w:hAnsi="Times New Roman" w:cs="Times New Roman"/>
              </w:rPr>
            </w:pPr>
          </w:p>
          <w:p w14:paraId="15131D2A" w14:textId="77777777" w:rsidR="00F64BBF" w:rsidRPr="008819AF" w:rsidRDefault="00F64BBF" w:rsidP="005608F0">
            <w:pPr>
              <w:pStyle w:val="BodyText21"/>
              <w:spacing w:before="0" w:line="240" w:lineRule="auto"/>
              <w:ind w:left="0" w:right="-70" w:firstLine="0"/>
              <w:jc w:val="center"/>
              <w:rPr>
                <w:rFonts w:ascii="Times New Roman" w:hAnsi="Times New Roman" w:cs="Times New Roman"/>
              </w:rPr>
            </w:pPr>
          </w:p>
          <w:p w14:paraId="15131D2B" w14:textId="77777777" w:rsidR="005608F0" w:rsidRPr="008819AF" w:rsidRDefault="005608F0" w:rsidP="005608F0">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Pr.1</w:t>
            </w:r>
          </w:p>
          <w:p w14:paraId="15131D2C" w14:textId="77777777" w:rsidR="005608F0" w:rsidRPr="008819AF" w:rsidRDefault="005608F0" w:rsidP="005608F0">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 3</w:t>
            </w:r>
          </w:p>
          <w:p w14:paraId="15131D2D" w14:textId="77777777" w:rsidR="005608F0" w:rsidRPr="008819AF" w:rsidRDefault="005608F0" w:rsidP="005608F0">
            <w:pPr>
              <w:pStyle w:val="Bdet2"/>
              <w:spacing w:before="0" w:line="240" w:lineRule="auto"/>
              <w:ind w:left="0" w:right="-70" w:firstLine="0"/>
              <w:jc w:val="center"/>
              <w:rPr>
                <w:rFonts w:ascii="Times New Roman" w:eastAsia="Arial" w:hAnsi="Times New Roman" w:cs="Times New Roman"/>
                <w:lang w:bidi="cs-CZ"/>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D2E" w14:textId="77777777" w:rsidR="005608F0" w:rsidRPr="008819AF" w:rsidRDefault="005608F0" w:rsidP="005608F0">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8819AF">
              <w:rPr>
                <w:rFonts w:ascii="Times New Roman" w:eastAsia="Arial" w:hAnsi="Times New Roman" w:cs="Times New Roman"/>
                <w:sz w:val="20"/>
                <w:szCs w:val="20"/>
                <w:lang w:bidi="cs-CZ"/>
              </w:rPr>
              <w:t>Ministerstvo</w:t>
            </w:r>
          </w:p>
          <w:p w14:paraId="15131D2F" w14:textId="77777777" w:rsidR="005608F0" w:rsidRPr="008819AF" w:rsidRDefault="005608F0" w:rsidP="005608F0">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8819AF">
              <w:rPr>
                <w:rFonts w:ascii="Times New Roman" w:eastAsia="Arial" w:hAnsi="Times New Roman" w:cs="Times New Roman"/>
                <w:sz w:val="20"/>
                <w:szCs w:val="20"/>
                <w:lang w:bidi="cs-CZ"/>
              </w:rPr>
              <w:t xml:space="preserve">d) </w:t>
            </w:r>
            <w:r w:rsidRPr="008819AF">
              <w:rPr>
                <w:rFonts w:ascii="Times New Roman" w:eastAsia="Arial" w:hAnsi="Times New Roman" w:cs="Times New Roman"/>
                <w:sz w:val="20"/>
                <w:szCs w:val="20"/>
                <w:lang w:bidi="cs-CZ"/>
              </w:rPr>
              <w:tab/>
              <w:t>je vo vzťahu ku Komisii notifikačným orgánom, sprístupňuje a podáva Komisii ustanovené informácie a správy vo veciach ochrany ovzdušia a v ustanovených lehotách a rozsahu ustanovenom vykonávacím predpisom podľa § 62 písm. n),</w:t>
            </w:r>
          </w:p>
          <w:p w14:paraId="15131D30" w14:textId="77777777" w:rsidR="005608F0" w:rsidRPr="008819AF" w:rsidRDefault="005608F0" w:rsidP="005608F0">
            <w:pPr>
              <w:pStyle w:val="Odsekzoznamu"/>
              <w:ind w:left="40"/>
              <w:rPr>
                <w:rFonts w:eastAsia="Arial"/>
                <w:sz w:val="20"/>
                <w:szCs w:val="20"/>
                <w:lang w:bidi="cs-CZ"/>
              </w:rPr>
            </w:pPr>
          </w:p>
          <w:p w14:paraId="15131D31" w14:textId="77777777" w:rsidR="00DD5B5A" w:rsidRPr="008819AF" w:rsidRDefault="00DD5B5A" w:rsidP="00DD5B5A">
            <w:pPr>
              <w:pStyle w:val="Odsekzoznamu"/>
              <w:ind w:left="40"/>
              <w:rPr>
                <w:rFonts w:eastAsia="Arial"/>
                <w:sz w:val="20"/>
                <w:szCs w:val="20"/>
                <w:lang w:bidi="cs-CZ"/>
              </w:rPr>
            </w:pPr>
            <w:r w:rsidRPr="008819AF">
              <w:rPr>
                <w:rFonts w:eastAsia="Arial"/>
                <w:sz w:val="20"/>
                <w:szCs w:val="20"/>
                <w:lang w:bidi="cs-CZ"/>
              </w:rPr>
              <w:t>3. VEĽKÉ SPAĽOVACIE ZARIADENIA</w:t>
            </w:r>
          </w:p>
          <w:p w14:paraId="15131D32" w14:textId="77777777" w:rsidR="00DD5B5A" w:rsidRPr="008819AF" w:rsidRDefault="00DD5B5A" w:rsidP="00DD5B5A">
            <w:pPr>
              <w:pStyle w:val="Odsekzoznamu"/>
              <w:ind w:left="40"/>
              <w:rPr>
                <w:rFonts w:eastAsia="Arial"/>
                <w:sz w:val="20"/>
                <w:szCs w:val="20"/>
                <w:lang w:bidi="cs-CZ"/>
              </w:rPr>
            </w:pPr>
            <w:r w:rsidRPr="008819AF">
              <w:rPr>
                <w:rFonts w:eastAsia="Arial"/>
                <w:sz w:val="20"/>
                <w:szCs w:val="20"/>
                <w:lang w:bidi="cs-CZ"/>
              </w:rPr>
              <w:t>podľa § 20  ods. 7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44"/>
              <w:gridCol w:w="2574"/>
              <w:gridCol w:w="1216"/>
            </w:tblGrid>
            <w:tr w:rsidR="00DD5B5A" w:rsidRPr="008819AF" w14:paraId="15131D36" w14:textId="77777777" w:rsidTr="00DD5B5A">
              <w:trPr>
                <w:jc w:val="center"/>
              </w:trPr>
              <w:tc>
                <w:tcPr>
                  <w:tcW w:w="1729" w:type="dxa"/>
                  <w:vMerge w:val="restar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D33" w14:textId="77777777" w:rsidR="00DD5B5A" w:rsidRPr="008819AF" w:rsidRDefault="00DD5B5A" w:rsidP="00DD5B5A">
                  <w:pPr>
                    <w:ind w:right="-12"/>
                    <w:rPr>
                      <w:rFonts w:eastAsia="Trebuchet MS"/>
                    </w:rPr>
                  </w:pPr>
                  <w:r w:rsidRPr="008819AF">
                    <w:rPr>
                      <w:rFonts w:eastAsia="Trebuchet MS"/>
                      <w:lang w:eastAsia="zh-CN"/>
                    </w:rPr>
                    <w:t xml:space="preserve">Oznámenie o uplatnení </w:t>
                  </w:r>
                  <w:r w:rsidRPr="008819AF">
                    <w:rPr>
                      <w:rFonts w:eastAsia="Trebuchet MS"/>
                      <w:lang w:eastAsia="zh-CN"/>
                    </w:rPr>
                    <w:lastRenderedPageBreak/>
                    <w:t>výnimky z emisných limitov</w:t>
                  </w:r>
                </w:p>
              </w:tc>
              <w:tc>
                <w:tcPr>
                  <w:tcW w:w="255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D34" w14:textId="77777777" w:rsidR="00DD5B5A" w:rsidRPr="008819AF" w:rsidRDefault="00DD5B5A" w:rsidP="00DD5B5A">
                  <w:pPr>
                    <w:ind w:right="-12"/>
                    <w:rPr>
                      <w:rFonts w:eastAsia="Trebuchet MS"/>
                    </w:rPr>
                  </w:pPr>
                  <w:r w:rsidRPr="008819AF">
                    <w:rPr>
                      <w:rFonts w:eastAsia="Trebuchet MS"/>
                      <w:lang w:eastAsia="zh-CN"/>
                    </w:rPr>
                    <w:lastRenderedPageBreak/>
                    <w:t>Pre nedostatok nízkosírneho paliva.</w:t>
                  </w:r>
                </w:p>
              </w:tc>
              <w:tc>
                <w:tcPr>
                  <w:tcW w:w="120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D35" w14:textId="77777777" w:rsidR="00DD5B5A" w:rsidRPr="008819AF" w:rsidRDefault="00DD5B5A" w:rsidP="00DD5B5A">
                  <w:pPr>
                    <w:ind w:right="-12"/>
                    <w:rPr>
                      <w:rFonts w:eastAsia="Trebuchet MS"/>
                    </w:rPr>
                  </w:pPr>
                  <w:r w:rsidRPr="008819AF">
                    <w:rPr>
                      <w:rFonts w:eastAsia="Trebuchet MS"/>
                      <w:lang w:eastAsia="zh-CN"/>
                    </w:rPr>
                    <w:t>Bezodkladne</w:t>
                  </w:r>
                </w:p>
              </w:tc>
            </w:tr>
            <w:tr w:rsidR="00DD5B5A" w:rsidRPr="008819AF" w14:paraId="15131D3A" w14:textId="77777777" w:rsidTr="00DD5B5A">
              <w:trPr>
                <w:jc w:val="center"/>
              </w:trPr>
              <w:tc>
                <w:tcPr>
                  <w:tcW w:w="1729" w:type="dxa"/>
                  <w:vMerge/>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D37" w14:textId="77777777" w:rsidR="00DD5B5A" w:rsidRPr="008819AF" w:rsidRDefault="00DD5B5A" w:rsidP="00DD5B5A">
                  <w:pPr>
                    <w:ind w:right="-12"/>
                    <w:rPr>
                      <w:rFonts w:eastAsia="Trebuchet MS"/>
                    </w:rPr>
                  </w:pPr>
                </w:p>
              </w:tc>
              <w:tc>
                <w:tcPr>
                  <w:tcW w:w="255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D38" w14:textId="77777777" w:rsidR="00DD5B5A" w:rsidRPr="008819AF" w:rsidRDefault="00DD5B5A" w:rsidP="00DD5B5A">
                  <w:pPr>
                    <w:ind w:right="-12"/>
                    <w:rPr>
                      <w:rFonts w:eastAsia="Trebuchet MS"/>
                    </w:rPr>
                  </w:pPr>
                  <w:r w:rsidRPr="008819AF">
                    <w:rPr>
                      <w:rFonts w:eastAsia="Trebuchet MS"/>
                      <w:lang w:eastAsia="zh-CN"/>
                    </w:rPr>
                    <w:t>Pri prerušení dodávky plynu, ak ide o zariadenie, ktoré používa v riadnej prevádzke len plynné palivá.</w:t>
                  </w:r>
                </w:p>
              </w:tc>
              <w:tc>
                <w:tcPr>
                  <w:tcW w:w="120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D39" w14:textId="77777777" w:rsidR="00DD5B5A" w:rsidRPr="008819AF" w:rsidRDefault="00DD5B5A" w:rsidP="00DD5B5A">
                  <w:pPr>
                    <w:ind w:right="-12"/>
                    <w:rPr>
                      <w:rFonts w:eastAsia="Trebuchet MS"/>
                    </w:rPr>
                  </w:pPr>
                  <w:r w:rsidRPr="008819AF">
                    <w:rPr>
                      <w:rFonts w:eastAsia="Trebuchet MS"/>
                      <w:lang w:eastAsia="zh-CN"/>
                    </w:rPr>
                    <w:t>Bezodkladne</w:t>
                  </w:r>
                </w:p>
              </w:tc>
            </w:tr>
          </w:tbl>
          <w:p w14:paraId="15131D3B" w14:textId="77777777" w:rsidR="005608F0" w:rsidRPr="008819AF" w:rsidRDefault="00DD5B5A" w:rsidP="005608F0">
            <w:pPr>
              <w:pStyle w:val="Nra"/>
              <w:ind w:left="72"/>
            </w:pPr>
            <w:r w:rsidRPr="008819AF">
              <w:t xml:space="preserve"> </w:t>
            </w:r>
          </w:p>
        </w:tc>
        <w:tc>
          <w:tcPr>
            <w:tcW w:w="429" w:type="dxa"/>
            <w:tcBorders>
              <w:top w:val="single" w:sz="4" w:space="0" w:color="000000"/>
              <w:left w:val="single" w:sz="6" w:space="0" w:color="000000"/>
              <w:bottom w:val="single" w:sz="4" w:space="0" w:color="000000"/>
              <w:right w:val="single" w:sz="6" w:space="0" w:color="000000"/>
            </w:tcBorders>
          </w:tcPr>
          <w:p w14:paraId="15131D3C" w14:textId="77777777" w:rsidR="005608F0" w:rsidRPr="008819AF" w:rsidRDefault="005608F0" w:rsidP="005608F0">
            <w:pPr>
              <w:ind w:left="215" w:hanging="215"/>
              <w:rPr>
                <w:rFonts w:eastAsia="Arial"/>
                <w:lang w:bidi="cs-CZ"/>
              </w:rPr>
            </w:pPr>
            <w:r w:rsidRPr="008819AF">
              <w:rPr>
                <w:rFonts w:eastAsia="Arial"/>
                <w:lang w:bidi="cs-CZ"/>
              </w:rPr>
              <w:lastRenderedPageBreak/>
              <w:t>Ú</w:t>
            </w:r>
          </w:p>
          <w:p w14:paraId="15131D3D" w14:textId="77777777" w:rsidR="005608F0" w:rsidRPr="008819AF" w:rsidRDefault="005608F0" w:rsidP="00166B76">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D3E" w14:textId="77777777" w:rsidR="005608F0" w:rsidRPr="008819AF" w:rsidRDefault="005608F0" w:rsidP="0021052F">
            <w:pPr>
              <w:ind w:left="215" w:hanging="215"/>
              <w:rPr>
                <w:rFonts w:eastAsia="Arial"/>
                <w:lang w:bidi="cs-CZ"/>
              </w:rPr>
            </w:pPr>
          </w:p>
        </w:tc>
      </w:tr>
      <w:tr w:rsidR="00543690" w:rsidRPr="008819AF" w14:paraId="15131D7A"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D40" w14:textId="77777777" w:rsidR="00543690" w:rsidRPr="008819AF" w:rsidRDefault="00543690"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D41" w14:textId="77777777" w:rsidR="00543690" w:rsidRPr="008819AF" w:rsidRDefault="00543690" w:rsidP="00543690">
            <w:pPr>
              <w:rPr>
                <w:rFonts w:eastAsia="Arial"/>
              </w:rPr>
            </w:pPr>
            <w:r w:rsidRPr="008819AF">
              <w:rPr>
                <w:rFonts w:eastAsia="Arial"/>
              </w:rPr>
              <w:t>6. Príslušný orgán môže udeliť výnimku z povinnosti dodržiavať emisné limity uvedené v odsekoch 2 a 3 v prípadoch, keď sa spaľovacie zariadenie, ktoré používa len plynné palivo, musí výnimočne uchýliť k používaniu iných palív z dôvodu náhleho prerušenia dodávky plynu a z tohto dôvodu musí byť vybavené zariadením na čistenie odpadových plynov. Obdobie, na ktoré sa udelí takáto výnimka, neprekročí 10 dní okrem prípadov prevažujúcej potreby udržiavať dodávky energie. Prevádzkovateľ okamžite informuje príslušný orgán o výskyte každého konkrétneho prípadu uvedeného v prvom pododseku.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D42" w14:textId="77777777" w:rsidR="00543690" w:rsidRPr="008819AF" w:rsidRDefault="00A92E52" w:rsidP="0021052F">
            <w:pPr>
              <w:ind w:left="-70" w:right="-68" w:hanging="6"/>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1D43" w14:textId="77777777" w:rsidR="005608F0" w:rsidRPr="008819AF" w:rsidRDefault="005608F0" w:rsidP="00A363DD">
            <w:pPr>
              <w:jc w:val="center"/>
              <w:rPr>
                <w:rFonts w:eastAsia="Arial"/>
                <w:lang w:bidi="cs-CZ"/>
              </w:rPr>
            </w:pPr>
            <w:r w:rsidRPr="008819AF">
              <w:rPr>
                <w:rFonts w:eastAsia="Arial"/>
                <w:lang w:bidi="cs-CZ"/>
              </w:rPr>
              <w:t>NZ</w:t>
            </w:r>
          </w:p>
          <w:p w14:paraId="15131D44" w14:textId="77777777" w:rsidR="005608F0" w:rsidRPr="008819AF" w:rsidRDefault="005608F0" w:rsidP="00A363DD">
            <w:pPr>
              <w:jc w:val="center"/>
              <w:rPr>
                <w:rFonts w:eastAsia="Arial"/>
                <w:lang w:bidi="cs-CZ"/>
              </w:rPr>
            </w:pPr>
          </w:p>
          <w:p w14:paraId="15131D45" w14:textId="77777777" w:rsidR="005608F0" w:rsidRPr="008819AF" w:rsidRDefault="005608F0" w:rsidP="00A363DD">
            <w:pPr>
              <w:jc w:val="center"/>
              <w:rPr>
                <w:rFonts w:eastAsia="Arial"/>
                <w:lang w:bidi="cs-CZ"/>
              </w:rPr>
            </w:pPr>
          </w:p>
          <w:p w14:paraId="15131D46" w14:textId="77777777" w:rsidR="005608F0" w:rsidRPr="008819AF" w:rsidRDefault="005608F0" w:rsidP="00A363DD">
            <w:pPr>
              <w:jc w:val="center"/>
              <w:rPr>
                <w:rFonts w:eastAsia="Arial"/>
                <w:lang w:bidi="cs-CZ"/>
              </w:rPr>
            </w:pPr>
          </w:p>
          <w:p w14:paraId="15131D47" w14:textId="77777777" w:rsidR="005608F0" w:rsidRPr="008819AF" w:rsidRDefault="005608F0" w:rsidP="00A363DD">
            <w:pPr>
              <w:jc w:val="center"/>
              <w:rPr>
                <w:rFonts w:eastAsia="Arial"/>
                <w:lang w:bidi="cs-CZ"/>
              </w:rPr>
            </w:pPr>
          </w:p>
          <w:p w14:paraId="15131D48" w14:textId="77777777" w:rsidR="005608F0" w:rsidRPr="008819AF" w:rsidRDefault="005608F0" w:rsidP="00A363DD">
            <w:pPr>
              <w:jc w:val="center"/>
              <w:rPr>
                <w:rFonts w:eastAsia="Arial"/>
                <w:lang w:bidi="cs-CZ"/>
              </w:rPr>
            </w:pPr>
          </w:p>
          <w:p w14:paraId="15131D49" w14:textId="77777777" w:rsidR="005608F0" w:rsidRPr="008819AF" w:rsidRDefault="005608F0" w:rsidP="00A363DD">
            <w:pPr>
              <w:jc w:val="center"/>
              <w:rPr>
                <w:rFonts w:eastAsia="Arial"/>
                <w:lang w:bidi="cs-CZ"/>
              </w:rPr>
            </w:pPr>
          </w:p>
          <w:p w14:paraId="15131D4A" w14:textId="77777777" w:rsidR="005608F0" w:rsidRPr="008819AF" w:rsidRDefault="005608F0" w:rsidP="00A363DD">
            <w:pPr>
              <w:jc w:val="center"/>
              <w:rPr>
                <w:rFonts w:eastAsia="Arial"/>
                <w:lang w:bidi="cs-CZ"/>
              </w:rPr>
            </w:pPr>
            <w:r w:rsidRPr="008819AF">
              <w:rPr>
                <w:rFonts w:eastAsia="Arial"/>
                <w:lang w:bidi="cs-CZ"/>
              </w:rPr>
              <w:t>NZ</w:t>
            </w:r>
          </w:p>
          <w:p w14:paraId="15131D4B" w14:textId="77777777" w:rsidR="005608F0" w:rsidRPr="008819AF" w:rsidRDefault="005608F0" w:rsidP="00A363DD">
            <w:pPr>
              <w:jc w:val="center"/>
              <w:rPr>
                <w:rFonts w:eastAsia="Arial"/>
                <w:lang w:bidi="cs-CZ"/>
              </w:rPr>
            </w:pPr>
          </w:p>
          <w:p w14:paraId="15131D4C" w14:textId="77777777" w:rsidR="005608F0" w:rsidRPr="008819AF" w:rsidRDefault="005608F0" w:rsidP="00A363DD">
            <w:pPr>
              <w:jc w:val="center"/>
              <w:rPr>
                <w:rFonts w:eastAsia="Arial"/>
                <w:lang w:bidi="cs-CZ"/>
              </w:rPr>
            </w:pPr>
          </w:p>
          <w:p w14:paraId="15131D4D" w14:textId="77777777" w:rsidR="005608F0" w:rsidRPr="008819AF" w:rsidRDefault="005608F0" w:rsidP="00A363DD">
            <w:pPr>
              <w:jc w:val="center"/>
              <w:rPr>
                <w:rFonts w:eastAsia="Arial"/>
                <w:lang w:bidi="cs-CZ"/>
              </w:rPr>
            </w:pPr>
          </w:p>
          <w:p w14:paraId="15131D4E" w14:textId="77777777" w:rsidR="005608F0" w:rsidRPr="008819AF" w:rsidRDefault="005608F0" w:rsidP="00A363DD">
            <w:pPr>
              <w:jc w:val="center"/>
              <w:rPr>
                <w:rFonts w:eastAsia="Arial"/>
                <w:lang w:bidi="cs-CZ"/>
              </w:rPr>
            </w:pPr>
          </w:p>
          <w:p w14:paraId="15131D4F" w14:textId="77777777" w:rsidR="005608F0" w:rsidRPr="008819AF" w:rsidRDefault="005608F0" w:rsidP="00A363DD">
            <w:pPr>
              <w:jc w:val="center"/>
              <w:rPr>
                <w:rFonts w:eastAsia="Arial"/>
                <w:lang w:bidi="cs-CZ"/>
              </w:rPr>
            </w:pPr>
          </w:p>
          <w:p w14:paraId="15131D50" w14:textId="77777777" w:rsidR="005608F0" w:rsidRPr="008819AF" w:rsidRDefault="005608F0" w:rsidP="00A363DD">
            <w:pPr>
              <w:jc w:val="center"/>
              <w:rPr>
                <w:rFonts w:eastAsia="Arial"/>
                <w:lang w:bidi="cs-CZ"/>
              </w:rPr>
            </w:pPr>
          </w:p>
          <w:p w14:paraId="15131D51" w14:textId="77777777" w:rsidR="00543690" w:rsidRPr="008819AF" w:rsidRDefault="00A92E52" w:rsidP="00A363DD">
            <w:pPr>
              <w:jc w:val="center"/>
              <w:rPr>
                <w:rFonts w:eastAsia="Arial"/>
                <w:lang w:bidi="cs-CZ"/>
              </w:rPr>
            </w:pPr>
            <w:r w:rsidRPr="008819AF">
              <w:rPr>
                <w:rFonts w:eastAsia="Arial"/>
                <w:lang w:bidi="cs-CZ"/>
              </w:rPr>
              <w:t>N</w:t>
            </w:r>
            <w:r w:rsidR="00A363DD" w:rsidRPr="008819AF">
              <w:rPr>
                <w:rFonts w:eastAsia="Arial"/>
                <w:lang w:bidi="cs-CZ"/>
              </w:rPr>
              <w:t>V</w:t>
            </w:r>
            <w:r w:rsidR="005608F0" w:rsidRPr="008819AF">
              <w:rPr>
                <w:rFonts w:eastAsia="Arial"/>
                <w:lang w:bidi="cs-CZ"/>
              </w:rPr>
              <w:t>2</w:t>
            </w:r>
          </w:p>
        </w:tc>
        <w:tc>
          <w:tcPr>
            <w:tcW w:w="543" w:type="dxa"/>
            <w:tcBorders>
              <w:top w:val="single" w:sz="4" w:space="0" w:color="000000"/>
              <w:left w:val="single" w:sz="6" w:space="0" w:color="000000"/>
              <w:bottom w:val="single" w:sz="4" w:space="0" w:color="000000"/>
              <w:right w:val="single" w:sz="6" w:space="0" w:color="000000"/>
            </w:tcBorders>
          </w:tcPr>
          <w:p w14:paraId="15131D52" w14:textId="77777777" w:rsidR="005608F0" w:rsidRPr="008819AF" w:rsidRDefault="005608F0" w:rsidP="005608F0">
            <w:pPr>
              <w:pStyle w:val="Bdet2"/>
              <w:spacing w:before="0" w:line="240" w:lineRule="auto"/>
              <w:ind w:left="0" w:right="-70" w:firstLine="0"/>
              <w:jc w:val="center"/>
              <w:rPr>
                <w:rFonts w:ascii="Times New Roman" w:eastAsia="Arial" w:hAnsi="Times New Roman" w:cs="Times New Roman"/>
                <w:lang w:bidi="cs-CZ"/>
              </w:rPr>
            </w:pPr>
            <w:r w:rsidRPr="008819AF">
              <w:rPr>
                <w:rFonts w:ascii="Times New Roman" w:eastAsia="Arial" w:hAnsi="Times New Roman" w:cs="Times New Roman"/>
                <w:lang w:bidi="cs-CZ"/>
              </w:rPr>
              <w:t>§ 31</w:t>
            </w:r>
          </w:p>
          <w:p w14:paraId="15131D53" w14:textId="77777777" w:rsidR="005608F0" w:rsidRPr="008819AF" w:rsidRDefault="005608F0" w:rsidP="005608F0">
            <w:pPr>
              <w:pStyle w:val="Bdet2"/>
              <w:spacing w:before="0" w:line="240" w:lineRule="auto"/>
              <w:ind w:left="0" w:right="-70" w:firstLine="0"/>
              <w:jc w:val="center"/>
              <w:rPr>
                <w:rFonts w:ascii="Times New Roman" w:eastAsia="Arial" w:hAnsi="Times New Roman" w:cs="Times New Roman"/>
                <w:lang w:bidi="cs-CZ"/>
              </w:rPr>
            </w:pPr>
            <w:r w:rsidRPr="008819AF">
              <w:rPr>
                <w:rFonts w:ascii="Times New Roman" w:eastAsia="Arial" w:hAnsi="Times New Roman" w:cs="Times New Roman"/>
                <w:lang w:bidi="cs-CZ"/>
              </w:rPr>
              <w:t>O 7</w:t>
            </w:r>
          </w:p>
          <w:p w14:paraId="15131D54" w14:textId="77777777" w:rsidR="005608F0" w:rsidRPr="008819AF" w:rsidRDefault="005608F0" w:rsidP="0021052F">
            <w:pPr>
              <w:pStyle w:val="BodyText21"/>
              <w:spacing w:before="0" w:line="240" w:lineRule="auto"/>
              <w:ind w:left="0" w:right="-70" w:firstLine="0"/>
              <w:jc w:val="center"/>
              <w:rPr>
                <w:rFonts w:ascii="Times New Roman" w:hAnsi="Times New Roman" w:cs="Times New Roman"/>
              </w:rPr>
            </w:pPr>
          </w:p>
          <w:p w14:paraId="15131D55" w14:textId="77777777" w:rsidR="005608F0" w:rsidRPr="008819AF" w:rsidRDefault="005608F0" w:rsidP="0021052F">
            <w:pPr>
              <w:pStyle w:val="BodyText21"/>
              <w:spacing w:before="0" w:line="240" w:lineRule="auto"/>
              <w:ind w:left="0" w:right="-70" w:firstLine="0"/>
              <w:jc w:val="center"/>
              <w:rPr>
                <w:rFonts w:ascii="Times New Roman" w:hAnsi="Times New Roman" w:cs="Times New Roman"/>
              </w:rPr>
            </w:pPr>
          </w:p>
          <w:p w14:paraId="15131D56" w14:textId="77777777" w:rsidR="005608F0" w:rsidRPr="008819AF" w:rsidRDefault="005608F0" w:rsidP="0021052F">
            <w:pPr>
              <w:pStyle w:val="BodyText21"/>
              <w:spacing w:before="0" w:line="240" w:lineRule="auto"/>
              <w:ind w:left="0" w:right="-70" w:firstLine="0"/>
              <w:jc w:val="center"/>
              <w:rPr>
                <w:rFonts w:ascii="Times New Roman" w:hAnsi="Times New Roman" w:cs="Times New Roman"/>
              </w:rPr>
            </w:pPr>
          </w:p>
          <w:p w14:paraId="15131D57" w14:textId="77777777" w:rsidR="005608F0" w:rsidRPr="008819AF" w:rsidRDefault="005608F0" w:rsidP="0021052F">
            <w:pPr>
              <w:pStyle w:val="BodyText21"/>
              <w:spacing w:before="0" w:line="240" w:lineRule="auto"/>
              <w:ind w:left="0" w:right="-70" w:firstLine="0"/>
              <w:jc w:val="center"/>
              <w:rPr>
                <w:rFonts w:ascii="Times New Roman" w:hAnsi="Times New Roman" w:cs="Times New Roman"/>
              </w:rPr>
            </w:pPr>
          </w:p>
          <w:p w14:paraId="15131D58" w14:textId="77777777" w:rsidR="005608F0" w:rsidRPr="008819AF" w:rsidRDefault="005608F0" w:rsidP="0021052F">
            <w:pPr>
              <w:pStyle w:val="BodyText21"/>
              <w:spacing w:before="0" w:line="240" w:lineRule="auto"/>
              <w:ind w:left="0" w:right="-70" w:firstLine="0"/>
              <w:jc w:val="center"/>
              <w:rPr>
                <w:rFonts w:ascii="Times New Roman" w:hAnsi="Times New Roman" w:cs="Times New Roman"/>
              </w:rPr>
            </w:pPr>
          </w:p>
          <w:p w14:paraId="15131D59" w14:textId="77777777" w:rsidR="005608F0" w:rsidRPr="008819AF" w:rsidRDefault="005608F0" w:rsidP="005608F0">
            <w:pPr>
              <w:pStyle w:val="Bdet2"/>
              <w:spacing w:before="0" w:line="240" w:lineRule="auto"/>
              <w:ind w:left="0" w:right="-70" w:firstLine="0"/>
              <w:jc w:val="center"/>
              <w:rPr>
                <w:rFonts w:ascii="Times New Roman" w:eastAsia="Arial" w:hAnsi="Times New Roman" w:cs="Times New Roman"/>
                <w:lang w:bidi="cs-CZ"/>
              </w:rPr>
            </w:pPr>
            <w:r w:rsidRPr="008819AF">
              <w:rPr>
                <w:rFonts w:ascii="Times New Roman" w:eastAsia="Arial" w:hAnsi="Times New Roman" w:cs="Times New Roman"/>
                <w:lang w:bidi="cs-CZ"/>
              </w:rPr>
              <w:t>§ 34</w:t>
            </w:r>
          </w:p>
          <w:p w14:paraId="15131D5A" w14:textId="77777777" w:rsidR="005608F0" w:rsidRPr="008819AF" w:rsidRDefault="005608F0" w:rsidP="005608F0">
            <w:pPr>
              <w:pStyle w:val="Bdet2"/>
              <w:spacing w:before="0" w:line="240" w:lineRule="auto"/>
              <w:ind w:left="0" w:right="-70" w:firstLine="0"/>
              <w:jc w:val="center"/>
              <w:rPr>
                <w:rFonts w:ascii="Times New Roman" w:eastAsia="Arial" w:hAnsi="Times New Roman" w:cs="Times New Roman"/>
                <w:lang w:bidi="cs-CZ"/>
              </w:rPr>
            </w:pPr>
            <w:r w:rsidRPr="008819AF">
              <w:rPr>
                <w:rFonts w:ascii="Times New Roman" w:eastAsia="Arial" w:hAnsi="Times New Roman" w:cs="Times New Roman"/>
                <w:lang w:bidi="cs-CZ"/>
              </w:rPr>
              <w:t>O 8</w:t>
            </w:r>
          </w:p>
          <w:p w14:paraId="15131D5B" w14:textId="77777777" w:rsidR="005608F0" w:rsidRPr="008819AF" w:rsidRDefault="005608F0" w:rsidP="005608F0">
            <w:pPr>
              <w:pStyle w:val="Bdet2"/>
              <w:spacing w:before="0" w:line="240" w:lineRule="auto"/>
              <w:ind w:left="0" w:right="-70" w:firstLine="0"/>
              <w:jc w:val="center"/>
              <w:rPr>
                <w:rFonts w:ascii="Times New Roman" w:eastAsia="Arial" w:hAnsi="Times New Roman" w:cs="Times New Roman"/>
                <w:lang w:bidi="cs-CZ"/>
              </w:rPr>
            </w:pPr>
            <w:r w:rsidRPr="008819AF">
              <w:rPr>
                <w:rFonts w:ascii="Times New Roman" w:eastAsia="Arial" w:hAnsi="Times New Roman" w:cs="Times New Roman"/>
                <w:lang w:bidi="cs-CZ"/>
              </w:rPr>
              <w:t>P d)</w:t>
            </w:r>
          </w:p>
          <w:p w14:paraId="15131D5C" w14:textId="77777777" w:rsidR="005608F0" w:rsidRPr="008819AF" w:rsidRDefault="005608F0" w:rsidP="0021052F">
            <w:pPr>
              <w:pStyle w:val="BodyText21"/>
              <w:spacing w:before="0" w:line="240" w:lineRule="auto"/>
              <w:ind w:left="0" w:right="-70" w:firstLine="0"/>
              <w:jc w:val="center"/>
              <w:rPr>
                <w:rFonts w:ascii="Times New Roman" w:hAnsi="Times New Roman" w:cs="Times New Roman"/>
              </w:rPr>
            </w:pPr>
          </w:p>
          <w:p w14:paraId="15131D5D" w14:textId="77777777" w:rsidR="005608F0" w:rsidRPr="008819AF" w:rsidRDefault="005608F0" w:rsidP="0021052F">
            <w:pPr>
              <w:pStyle w:val="BodyText21"/>
              <w:spacing w:before="0" w:line="240" w:lineRule="auto"/>
              <w:ind w:left="0" w:right="-70" w:firstLine="0"/>
              <w:jc w:val="center"/>
              <w:rPr>
                <w:rFonts w:ascii="Times New Roman" w:hAnsi="Times New Roman" w:cs="Times New Roman"/>
              </w:rPr>
            </w:pPr>
          </w:p>
          <w:p w14:paraId="15131D5E" w14:textId="77777777" w:rsidR="005608F0" w:rsidRPr="008819AF" w:rsidRDefault="005608F0" w:rsidP="0021052F">
            <w:pPr>
              <w:pStyle w:val="BodyText21"/>
              <w:spacing w:before="0" w:line="240" w:lineRule="auto"/>
              <w:ind w:left="0" w:right="-70" w:firstLine="0"/>
              <w:jc w:val="center"/>
              <w:rPr>
                <w:rFonts w:ascii="Times New Roman" w:hAnsi="Times New Roman" w:cs="Times New Roman"/>
              </w:rPr>
            </w:pPr>
          </w:p>
          <w:p w14:paraId="15131D5F" w14:textId="77777777" w:rsidR="005608F0" w:rsidRPr="008819AF" w:rsidRDefault="005608F0" w:rsidP="0021052F">
            <w:pPr>
              <w:pStyle w:val="BodyText21"/>
              <w:spacing w:before="0" w:line="240" w:lineRule="auto"/>
              <w:ind w:left="0" w:right="-70" w:firstLine="0"/>
              <w:jc w:val="center"/>
              <w:rPr>
                <w:rFonts w:ascii="Times New Roman" w:hAnsi="Times New Roman" w:cs="Times New Roman"/>
              </w:rPr>
            </w:pPr>
          </w:p>
          <w:p w14:paraId="15131D60" w14:textId="77777777" w:rsidR="00543690" w:rsidRPr="008819AF" w:rsidRDefault="0013138B"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§15</w:t>
            </w:r>
          </w:p>
          <w:p w14:paraId="15131D61" w14:textId="77777777" w:rsidR="0013138B" w:rsidRPr="008819AF" w:rsidRDefault="0013138B"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O2</w:t>
            </w:r>
          </w:p>
        </w:tc>
        <w:tc>
          <w:tcPr>
            <w:tcW w:w="5664" w:type="dxa"/>
            <w:gridSpan w:val="5"/>
            <w:tcBorders>
              <w:top w:val="single" w:sz="4" w:space="0" w:color="000000"/>
              <w:left w:val="single" w:sz="6" w:space="0" w:color="000000"/>
              <w:bottom w:val="single" w:sz="4" w:space="0" w:color="000000"/>
              <w:right w:val="single" w:sz="6" w:space="0" w:color="000000"/>
            </w:tcBorders>
          </w:tcPr>
          <w:p w14:paraId="15131D62" w14:textId="77777777" w:rsidR="00B16CFC" w:rsidRPr="008819AF" w:rsidRDefault="00B16CFC" w:rsidP="00B16CFC">
            <w:pPr>
              <w:pStyle w:val="Nra"/>
              <w:ind w:left="72"/>
              <w:rPr>
                <w:rFonts w:ascii="Times New Roman" w:eastAsia="Arial" w:hAnsi="Times New Roman" w:cs="Times New Roman"/>
                <w:lang w:bidi="cs-CZ"/>
              </w:rPr>
            </w:pPr>
            <w:r w:rsidRPr="008819AF">
              <w:t>V osobitných prípadoch pri prerušení dodávky povoleného paliva pre predmetné spaľovacie zariadenie môže povoľujúci orgán na základe žiadosti prevádzkovateľa podľa § 34 ods. 8 písm. c) a d) rozhodnúť o dočasnej výnimke z emisných limitov v súlade s požiadavkami vykonávacieho predpisu podľa § 62 písm. f). Osobitné podmienky konania sú upravené v § 60 ods. 8.</w:t>
            </w:r>
          </w:p>
          <w:p w14:paraId="15131D63" w14:textId="77777777" w:rsidR="005608F0" w:rsidRPr="008819AF" w:rsidRDefault="00B16CFC" w:rsidP="00B16CFC">
            <w:pPr>
              <w:pStyle w:val="pseo"/>
              <w:numPr>
                <w:ilvl w:val="0"/>
                <w:numId w:val="0"/>
              </w:numPr>
              <w:tabs>
                <w:tab w:val="clear" w:pos="643"/>
              </w:tabs>
              <w:spacing w:before="0"/>
              <w:ind w:left="72"/>
              <w:jc w:val="left"/>
              <w:rPr>
                <w:rFonts w:ascii="Times New Roman" w:hAnsi="Times New Roman" w:cs="Times New Roman"/>
                <w:sz w:val="20"/>
                <w:szCs w:val="20"/>
              </w:rPr>
            </w:pPr>
            <w:r w:rsidRPr="008819AF">
              <w:rPr>
                <w:rFonts w:ascii="Times New Roman" w:hAnsi="Times New Roman" w:cs="Times New Roman"/>
                <w:sz w:val="20"/>
                <w:szCs w:val="20"/>
              </w:rPr>
              <w:t xml:space="preserve"> </w:t>
            </w:r>
          </w:p>
          <w:p w14:paraId="15131D64" w14:textId="77777777" w:rsidR="00B16CFC" w:rsidRPr="008819AF" w:rsidRDefault="00B16CFC" w:rsidP="00B16CFC">
            <w:pPr>
              <w:pStyle w:val="Nra"/>
              <w:ind w:left="72"/>
              <w:rPr>
                <w:rFonts w:ascii="Times New Roman" w:eastAsia="Arial" w:hAnsi="Times New Roman" w:cs="Times New Roman"/>
                <w:lang w:bidi="cs-CZ"/>
              </w:rPr>
            </w:pPr>
            <w:r w:rsidRPr="008819AF">
              <w:rPr>
                <w:rFonts w:ascii="Times New Roman" w:eastAsia="Arial" w:hAnsi="Times New Roman" w:cs="Times New Roman"/>
                <w:lang w:bidi="cs-CZ"/>
              </w:rPr>
              <w:t xml:space="preserve">Prevádzkovateľ veľkého spaľovacieho zariadenia je pri uvedených neštandardných prevádzkových stavoch a poruchách okrem povinností podľa odseku 7, povinný </w:t>
            </w:r>
          </w:p>
          <w:p w14:paraId="15131D65" w14:textId="77777777" w:rsidR="005608F0" w:rsidRPr="008819AF" w:rsidRDefault="00B16CFC" w:rsidP="00B16CFC">
            <w:pPr>
              <w:pStyle w:val="Nra"/>
              <w:ind w:left="72"/>
              <w:rPr>
                <w:rFonts w:ascii="Times New Roman" w:eastAsia="Arial" w:hAnsi="Times New Roman" w:cs="Times New Roman"/>
                <w:lang w:bidi="cs-CZ"/>
              </w:rPr>
            </w:pPr>
            <w:r w:rsidRPr="008819AF">
              <w:rPr>
                <w:rFonts w:ascii="Times New Roman" w:eastAsia="Arial" w:hAnsi="Times New Roman" w:cs="Times New Roman"/>
                <w:lang w:bidi="cs-CZ"/>
              </w:rPr>
              <w:t xml:space="preserve"> </w:t>
            </w:r>
            <w:r w:rsidR="005608F0" w:rsidRPr="008819AF">
              <w:rPr>
                <w:rFonts w:ascii="Times New Roman" w:eastAsia="Arial" w:hAnsi="Times New Roman" w:cs="Times New Roman"/>
                <w:lang w:bidi="cs-CZ"/>
              </w:rPr>
              <w:t xml:space="preserve">d) oznámiť bezodkladne povoľujúcemu orgánu prerušenie dodávky zemného plynu a požiadať o udelenie výnimky na použitie iného paliva, </w:t>
            </w:r>
          </w:p>
          <w:p w14:paraId="15131D66" w14:textId="77777777" w:rsidR="005608F0" w:rsidRPr="008819AF" w:rsidRDefault="005608F0" w:rsidP="0013138B">
            <w:pPr>
              <w:pStyle w:val="pseo"/>
              <w:numPr>
                <w:ilvl w:val="0"/>
                <w:numId w:val="0"/>
              </w:numPr>
              <w:tabs>
                <w:tab w:val="clear" w:pos="643"/>
              </w:tabs>
              <w:spacing w:before="0"/>
              <w:ind w:left="72"/>
              <w:jc w:val="left"/>
              <w:rPr>
                <w:rFonts w:ascii="Times New Roman" w:hAnsi="Times New Roman" w:cs="Times New Roman"/>
                <w:sz w:val="20"/>
                <w:szCs w:val="20"/>
              </w:rPr>
            </w:pPr>
          </w:p>
          <w:p w14:paraId="15131D67" w14:textId="77777777" w:rsidR="0013138B" w:rsidRPr="008819AF" w:rsidRDefault="0013138B" w:rsidP="0013138B">
            <w:pPr>
              <w:pStyle w:val="pseo"/>
              <w:numPr>
                <w:ilvl w:val="0"/>
                <w:numId w:val="0"/>
              </w:numPr>
              <w:tabs>
                <w:tab w:val="clear" w:pos="643"/>
              </w:tabs>
              <w:spacing w:before="0"/>
              <w:ind w:left="72"/>
              <w:jc w:val="left"/>
              <w:rPr>
                <w:rFonts w:ascii="Times New Roman" w:eastAsia="Calibri" w:hAnsi="Times New Roman" w:cs="Times New Roman"/>
                <w:noProof/>
                <w:sz w:val="24"/>
                <w:szCs w:val="24"/>
              </w:rPr>
            </w:pPr>
            <w:r w:rsidRPr="008819AF">
              <w:rPr>
                <w:rFonts w:ascii="Times New Roman" w:hAnsi="Times New Roman" w:cs="Times New Roman"/>
                <w:sz w:val="20"/>
                <w:szCs w:val="20"/>
              </w:rPr>
              <w:t>(2) Z dôvodu náhleho výpadku dodávky plynu a stavu núdze podľa osobitného predpisu</w:t>
            </w:r>
            <w:r w:rsidRPr="008819AF">
              <w:rPr>
                <w:rFonts w:ascii="Times New Roman" w:hAnsi="Times New Roman" w:cs="Times New Roman"/>
                <w:sz w:val="20"/>
                <w:szCs w:val="20"/>
                <w:vertAlign w:val="superscript"/>
              </w:rPr>
              <w:t>7</w:t>
            </w:r>
            <w:r w:rsidRPr="008819AF">
              <w:rPr>
                <w:rFonts w:ascii="Times New Roman" w:hAnsi="Times New Roman" w:cs="Times New Roman"/>
                <w:sz w:val="20"/>
                <w:szCs w:val="20"/>
              </w:rPr>
              <w:t>) možno pre spaľovacie zariadenie, ktoré spaľuje len plynné palivo, povoliť na obmedzený čas používanie iných palív, ktoré vyžadujú odlučovanie, a povoliť vyššie emisie znečisťujúcich látok ako ustanovené emisné limity, najviac však na desať dní. Tento čas môže byť prekročený, ak z dôvodu potreby prednostnej dodávky energie je nutné spaľovať iné palivo, ktoré si na dodržanie emisných limitov vyžaduje odlučovanie.</w:t>
            </w:r>
          </w:p>
          <w:p w14:paraId="15131D68" w14:textId="77777777" w:rsidR="00543690" w:rsidRPr="008819AF" w:rsidRDefault="0013138B" w:rsidP="0070733E">
            <w:pPr>
              <w:pStyle w:val="pseo"/>
              <w:numPr>
                <w:ilvl w:val="0"/>
                <w:numId w:val="0"/>
              </w:numPr>
              <w:tabs>
                <w:tab w:val="clear" w:pos="643"/>
              </w:tabs>
              <w:spacing w:before="0"/>
              <w:ind w:left="72"/>
              <w:jc w:val="left"/>
              <w:rPr>
                <w:rFonts w:ascii="Times New Roman" w:hAnsi="Times New Roman" w:cs="Times New Roman"/>
                <w:sz w:val="20"/>
                <w:szCs w:val="20"/>
              </w:rPr>
            </w:pPr>
            <w:r w:rsidRPr="008819AF">
              <w:rPr>
                <w:rFonts w:ascii="Times New Roman" w:hAnsi="Times New Roman" w:cs="Times New Roman"/>
                <w:sz w:val="20"/>
                <w:szCs w:val="20"/>
                <w:vertAlign w:val="superscript"/>
              </w:rPr>
              <w:t>7</w:t>
            </w:r>
            <w:r w:rsidRPr="008819AF">
              <w:rPr>
                <w:rFonts w:ascii="Times New Roman" w:hAnsi="Times New Roman" w:cs="Times New Roman"/>
                <w:sz w:val="20"/>
                <w:szCs w:val="20"/>
              </w:rPr>
              <w:t xml:space="preserve">) </w:t>
            </w:r>
            <w:r w:rsidRPr="008819AF">
              <w:t>§ 21 zákona č. 251/2012 Z. z. o energetike a o zmene a doplnení niektorých zákonov</w:t>
            </w:r>
          </w:p>
        </w:tc>
        <w:tc>
          <w:tcPr>
            <w:tcW w:w="429" w:type="dxa"/>
            <w:tcBorders>
              <w:top w:val="single" w:sz="4" w:space="0" w:color="000000"/>
              <w:left w:val="single" w:sz="6" w:space="0" w:color="000000"/>
              <w:bottom w:val="single" w:sz="4" w:space="0" w:color="000000"/>
              <w:right w:val="single" w:sz="6" w:space="0" w:color="000000"/>
            </w:tcBorders>
          </w:tcPr>
          <w:p w14:paraId="15131D69" w14:textId="77777777" w:rsidR="00953EC7" w:rsidRPr="008819AF" w:rsidRDefault="00953EC7" w:rsidP="00953EC7">
            <w:pPr>
              <w:ind w:left="215" w:hanging="215"/>
              <w:rPr>
                <w:rFonts w:eastAsia="Arial"/>
                <w:lang w:bidi="cs-CZ"/>
              </w:rPr>
            </w:pPr>
            <w:r w:rsidRPr="008819AF">
              <w:rPr>
                <w:rFonts w:eastAsia="Arial"/>
                <w:lang w:bidi="cs-CZ"/>
              </w:rPr>
              <w:t>Ú</w:t>
            </w:r>
          </w:p>
          <w:p w14:paraId="15131D6A" w14:textId="77777777" w:rsidR="00543690" w:rsidRPr="008819AF" w:rsidRDefault="00543690" w:rsidP="00166B76">
            <w:pPr>
              <w:ind w:left="215" w:hanging="215"/>
              <w:rPr>
                <w:rFonts w:eastAsia="Arial"/>
                <w:lang w:bidi="cs-CZ"/>
              </w:rPr>
            </w:pPr>
          </w:p>
          <w:p w14:paraId="15131D6B" w14:textId="77777777" w:rsidR="00953EC7" w:rsidRPr="008819AF" w:rsidRDefault="00953EC7" w:rsidP="00166B76">
            <w:pPr>
              <w:ind w:left="215" w:hanging="215"/>
              <w:rPr>
                <w:rFonts w:eastAsia="Arial"/>
                <w:lang w:bidi="cs-CZ"/>
              </w:rPr>
            </w:pPr>
          </w:p>
          <w:p w14:paraId="15131D6C" w14:textId="77777777" w:rsidR="00953EC7" w:rsidRPr="008819AF" w:rsidRDefault="00953EC7" w:rsidP="00166B76">
            <w:pPr>
              <w:ind w:left="215" w:hanging="215"/>
              <w:rPr>
                <w:rFonts w:eastAsia="Arial"/>
                <w:lang w:bidi="cs-CZ"/>
              </w:rPr>
            </w:pPr>
          </w:p>
          <w:p w14:paraId="15131D6D" w14:textId="77777777" w:rsidR="00953EC7" w:rsidRPr="008819AF" w:rsidRDefault="00953EC7" w:rsidP="00166B76">
            <w:pPr>
              <w:ind w:left="215" w:hanging="215"/>
              <w:rPr>
                <w:rFonts w:eastAsia="Arial"/>
                <w:lang w:bidi="cs-CZ"/>
              </w:rPr>
            </w:pPr>
          </w:p>
          <w:p w14:paraId="15131D6E" w14:textId="77777777" w:rsidR="00953EC7" w:rsidRPr="008819AF" w:rsidRDefault="00953EC7" w:rsidP="00166B76">
            <w:pPr>
              <w:ind w:left="215" w:hanging="215"/>
              <w:rPr>
                <w:rFonts w:eastAsia="Arial"/>
                <w:lang w:bidi="cs-CZ"/>
              </w:rPr>
            </w:pPr>
          </w:p>
          <w:p w14:paraId="15131D6F" w14:textId="77777777" w:rsidR="00953EC7" w:rsidRPr="008819AF" w:rsidRDefault="00953EC7" w:rsidP="00166B76">
            <w:pPr>
              <w:ind w:left="215" w:hanging="215"/>
              <w:rPr>
                <w:rFonts w:eastAsia="Arial"/>
                <w:lang w:bidi="cs-CZ"/>
              </w:rPr>
            </w:pPr>
          </w:p>
          <w:p w14:paraId="15131D70" w14:textId="77777777" w:rsidR="00953EC7" w:rsidRPr="008819AF" w:rsidRDefault="00953EC7" w:rsidP="00953EC7">
            <w:pPr>
              <w:ind w:left="215" w:hanging="215"/>
              <w:rPr>
                <w:rFonts w:eastAsia="Arial"/>
                <w:lang w:bidi="cs-CZ"/>
              </w:rPr>
            </w:pPr>
            <w:r w:rsidRPr="008819AF">
              <w:rPr>
                <w:rFonts w:eastAsia="Arial"/>
                <w:lang w:bidi="cs-CZ"/>
              </w:rPr>
              <w:t>Ú</w:t>
            </w:r>
          </w:p>
          <w:p w14:paraId="15131D71" w14:textId="77777777" w:rsidR="00953EC7" w:rsidRPr="008819AF" w:rsidRDefault="00953EC7" w:rsidP="00166B76">
            <w:pPr>
              <w:ind w:left="215" w:hanging="215"/>
              <w:rPr>
                <w:rFonts w:eastAsia="Arial"/>
                <w:lang w:bidi="cs-CZ"/>
              </w:rPr>
            </w:pPr>
          </w:p>
          <w:p w14:paraId="15131D72" w14:textId="77777777" w:rsidR="00953EC7" w:rsidRPr="008819AF" w:rsidRDefault="00953EC7" w:rsidP="00166B76">
            <w:pPr>
              <w:ind w:left="215" w:hanging="215"/>
              <w:rPr>
                <w:rFonts w:eastAsia="Arial"/>
                <w:lang w:bidi="cs-CZ"/>
              </w:rPr>
            </w:pPr>
          </w:p>
          <w:p w14:paraId="15131D73" w14:textId="77777777" w:rsidR="00953EC7" w:rsidRPr="008819AF" w:rsidRDefault="00953EC7" w:rsidP="00166B76">
            <w:pPr>
              <w:ind w:left="215" w:hanging="215"/>
              <w:rPr>
                <w:rFonts w:eastAsia="Arial"/>
                <w:lang w:bidi="cs-CZ"/>
              </w:rPr>
            </w:pPr>
          </w:p>
          <w:p w14:paraId="15131D74" w14:textId="77777777" w:rsidR="00953EC7" w:rsidRPr="008819AF" w:rsidRDefault="00953EC7" w:rsidP="00166B76">
            <w:pPr>
              <w:ind w:left="215" w:hanging="215"/>
              <w:rPr>
                <w:rFonts w:eastAsia="Arial"/>
                <w:lang w:bidi="cs-CZ"/>
              </w:rPr>
            </w:pPr>
          </w:p>
          <w:p w14:paraId="15131D75" w14:textId="77777777" w:rsidR="00953EC7" w:rsidRPr="008819AF" w:rsidRDefault="00953EC7" w:rsidP="00166B76">
            <w:pPr>
              <w:ind w:left="215" w:hanging="215"/>
              <w:rPr>
                <w:rFonts w:eastAsia="Arial"/>
                <w:lang w:bidi="cs-CZ"/>
              </w:rPr>
            </w:pPr>
          </w:p>
          <w:p w14:paraId="15131D76" w14:textId="77777777" w:rsidR="00953EC7" w:rsidRPr="008819AF" w:rsidRDefault="00953EC7" w:rsidP="00166B76">
            <w:pPr>
              <w:ind w:left="215" w:hanging="215"/>
              <w:rPr>
                <w:rFonts w:eastAsia="Arial"/>
                <w:lang w:bidi="cs-CZ"/>
              </w:rPr>
            </w:pPr>
          </w:p>
          <w:p w14:paraId="15131D77" w14:textId="77777777" w:rsidR="00953EC7" w:rsidRPr="008819AF" w:rsidRDefault="00953EC7" w:rsidP="00953EC7">
            <w:pPr>
              <w:ind w:left="215" w:hanging="215"/>
              <w:rPr>
                <w:rFonts w:eastAsia="Arial"/>
                <w:lang w:bidi="cs-CZ"/>
              </w:rPr>
            </w:pPr>
            <w:r w:rsidRPr="008819AF">
              <w:rPr>
                <w:rFonts w:eastAsia="Arial"/>
                <w:lang w:bidi="cs-CZ"/>
              </w:rPr>
              <w:t>Ú</w:t>
            </w:r>
          </w:p>
          <w:p w14:paraId="15131D78" w14:textId="77777777" w:rsidR="00953EC7" w:rsidRPr="008819AF" w:rsidRDefault="00953EC7" w:rsidP="00166B76">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D79" w14:textId="77777777" w:rsidR="00543690" w:rsidRPr="008819AF" w:rsidRDefault="00543690" w:rsidP="0021052F">
            <w:pPr>
              <w:ind w:left="215" w:hanging="215"/>
              <w:rPr>
                <w:rFonts w:eastAsia="Arial"/>
                <w:lang w:bidi="cs-CZ"/>
              </w:rPr>
            </w:pPr>
          </w:p>
        </w:tc>
      </w:tr>
      <w:tr w:rsidR="00F80158" w:rsidRPr="008819AF" w14:paraId="15131D9F"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D7B"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D7C" w14:textId="77777777" w:rsidR="007170C3" w:rsidRPr="008819AF" w:rsidRDefault="006F0418" w:rsidP="0021052F">
            <w:pPr>
              <w:rPr>
                <w:rFonts w:eastAsia="Arial"/>
              </w:rPr>
            </w:pPr>
            <w:r w:rsidRPr="008819AF">
              <w:rPr>
                <w:rFonts w:eastAsia="Arial"/>
              </w:rPr>
              <w:t>Členské štáty okamžite informujú Komisiu o akejkoľvek výnimke udelenej na základe prvého pododseku.</w:t>
            </w:r>
          </w:p>
          <w:p w14:paraId="15131D7D" w14:textId="77777777" w:rsidR="007170C3" w:rsidRPr="008819AF" w:rsidRDefault="007170C3" w:rsidP="0021052F">
            <w:pPr>
              <w:ind w:left="215" w:hanging="21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D7E" w14:textId="77777777" w:rsidR="007170C3" w:rsidRPr="008819AF" w:rsidRDefault="006F0418" w:rsidP="0021052F">
            <w:pPr>
              <w:ind w:left="-70" w:right="-68" w:hanging="6"/>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1D7F" w14:textId="77777777" w:rsidR="007170C3" w:rsidRPr="008819AF" w:rsidRDefault="00A32C9B" w:rsidP="0021052F">
            <w:pPr>
              <w:jc w:val="center"/>
              <w:rPr>
                <w:rFonts w:eastAsia="Arial"/>
                <w:lang w:bidi="cs-CZ"/>
              </w:rPr>
            </w:pPr>
            <w:r w:rsidRPr="008819AF">
              <w:rPr>
                <w:rFonts w:eastAsia="Arial"/>
                <w:lang w:bidi="cs-CZ"/>
              </w:rPr>
              <w:t>NZ</w:t>
            </w:r>
          </w:p>
          <w:p w14:paraId="15131D80" w14:textId="77777777" w:rsidR="007170C3" w:rsidRPr="008819AF" w:rsidRDefault="007170C3" w:rsidP="0021052F">
            <w:pPr>
              <w:jc w:val="center"/>
              <w:rPr>
                <w:rFonts w:eastAsia="Arial"/>
                <w:lang w:bidi="cs-CZ"/>
              </w:rPr>
            </w:pPr>
          </w:p>
          <w:p w14:paraId="15131D81" w14:textId="77777777" w:rsidR="001D733A" w:rsidRPr="008819AF" w:rsidRDefault="001D733A" w:rsidP="0021052F">
            <w:pPr>
              <w:jc w:val="center"/>
              <w:rPr>
                <w:rFonts w:eastAsia="Arial"/>
                <w:lang w:bidi="cs-CZ"/>
              </w:rPr>
            </w:pPr>
          </w:p>
          <w:p w14:paraId="15131D82" w14:textId="77777777" w:rsidR="001D733A" w:rsidRPr="008819AF" w:rsidRDefault="001D733A" w:rsidP="0021052F">
            <w:pPr>
              <w:jc w:val="center"/>
              <w:rPr>
                <w:rFonts w:eastAsia="Arial"/>
                <w:lang w:bidi="cs-CZ"/>
              </w:rPr>
            </w:pPr>
          </w:p>
          <w:p w14:paraId="15131D83" w14:textId="77777777" w:rsidR="001D733A" w:rsidRPr="008819AF" w:rsidRDefault="001D733A" w:rsidP="0021052F">
            <w:pPr>
              <w:jc w:val="center"/>
              <w:rPr>
                <w:rFonts w:eastAsia="Arial"/>
                <w:lang w:bidi="cs-CZ"/>
              </w:rPr>
            </w:pPr>
          </w:p>
          <w:p w14:paraId="15131D84" w14:textId="77777777" w:rsidR="00B16CFC" w:rsidRPr="008819AF" w:rsidRDefault="00B16CFC" w:rsidP="0021052F">
            <w:pPr>
              <w:jc w:val="center"/>
              <w:rPr>
                <w:rFonts w:eastAsia="Arial"/>
                <w:lang w:bidi="cs-CZ"/>
              </w:rPr>
            </w:pPr>
          </w:p>
          <w:p w14:paraId="15131D85" w14:textId="77777777" w:rsidR="001D733A" w:rsidRPr="008819AF" w:rsidRDefault="001D733A" w:rsidP="0021052F">
            <w:pPr>
              <w:jc w:val="center"/>
              <w:rPr>
                <w:rFonts w:eastAsia="Arial"/>
                <w:lang w:bidi="cs-CZ"/>
              </w:rPr>
            </w:pPr>
            <w:r w:rsidRPr="008819AF">
              <w:rPr>
                <w:rFonts w:eastAsia="Arial"/>
                <w:lang w:bidi="cs-CZ"/>
              </w:rPr>
              <w:t>NV4</w:t>
            </w:r>
          </w:p>
        </w:tc>
        <w:tc>
          <w:tcPr>
            <w:tcW w:w="543" w:type="dxa"/>
            <w:tcBorders>
              <w:top w:val="single" w:sz="4" w:space="0" w:color="000000"/>
              <w:left w:val="single" w:sz="6" w:space="0" w:color="000000"/>
              <w:bottom w:val="single" w:sz="4" w:space="0" w:color="000000"/>
              <w:right w:val="single" w:sz="6" w:space="0" w:color="000000"/>
            </w:tcBorders>
          </w:tcPr>
          <w:p w14:paraId="15131D86"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40</w:t>
            </w:r>
            <w:r w:rsidR="00F64BBF" w:rsidRPr="008819AF">
              <w:rPr>
                <w:rFonts w:ascii="Times New Roman" w:hAnsi="Times New Roman" w:cs="Times New Roman"/>
              </w:rPr>
              <w:t xml:space="preserve">   </w:t>
            </w:r>
          </w:p>
          <w:p w14:paraId="15131D87"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 d)</w:t>
            </w:r>
          </w:p>
          <w:p w14:paraId="15131D88" w14:textId="77777777" w:rsidR="001D733A" w:rsidRPr="008819AF" w:rsidRDefault="001D733A" w:rsidP="0021052F">
            <w:pPr>
              <w:pStyle w:val="BodyText21"/>
              <w:spacing w:before="0" w:line="240" w:lineRule="auto"/>
              <w:ind w:left="0" w:right="-70" w:firstLine="0"/>
              <w:jc w:val="center"/>
              <w:rPr>
                <w:rFonts w:ascii="Times New Roman" w:hAnsi="Times New Roman" w:cs="Times New Roman"/>
              </w:rPr>
            </w:pPr>
          </w:p>
          <w:p w14:paraId="15131D89" w14:textId="77777777" w:rsidR="001D733A" w:rsidRPr="008819AF" w:rsidRDefault="001D733A" w:rsidP="0021052F">
            <w:pPr>
              <w:pStyle w:val="BodyText21"/>
              <w:spacing w:before="0" w:line="240" w:lineRule="auto"/>
              <w:ind w:left="0" w:right="-70" w:firstLine="0"/>
              <w:jc w:val="center"/>
              <w:rPr>
                <w:rFonts w:ascii="Times New Roman" w:hAnsi="Times New Roman" w:cs="Times New Roman"/>
              </w:rPr>
            </w:pPr>
          </w:p>
          <w:p w14:paraId="15131D8A" w14:textId="77777777" w:rsidR="00B16CFC" w:rsidRPr="008819AF" w:rsidRDefault="00B16CFC" w:rsidP="0021052F">
            <w:pPr>
              <w:pStyle w:val="BodyText21"/>
              <w:spacing w:before="0" w:line="240" w:lineRule="auto"/>
              <w:ind w:left="0" w:right="-70" w:firstLine="0"/>
              <w:jc w:val="center"/>
              <w:rPr>
                <w:rFonts w:ascii="Times New Roman" w:hAnsi="Times New Roman" w:cs="Times New Roman"/>
              </w:rPr>
            </w:pPr>
          </w:p>
          <w:p w14:paraId="15131D8B" w14:textId="77777777" w:rsidR="00887A90" w:rsidRPr="008819AF" w:rsidRDefault="00887A90" w:rsidP="0021052F">
            <w:pPr>
              <w:pStyle w:val="BodyText21"/>
              <w:spacing w:before="0" w:line="240" w:lineRule="auto"/>
              <w:ind w:left="0" w:right="-70" w:firstLine="0"/>
              <w:jc w:val="center"/>
              <w:rPr>
                <w:rFonts w:ascii="Times New Roman" w:hAnsi="Times New Roman" w:cs="Times New Roman"/>
              </w:rPr>
            </w:pPr>
          </w:p>
          <w:p w14:paraId="15131D8C" w14:textId="77777777" w:rsidR="001D733A" w:rsidRPr="008819AF" w:rsidRDefault="001D733A"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Pr. č. 1</w:t>
            </w:r>
          </w:p>
          <w:p w14:paraId="15131D8D" w14:textId="77777777" w:rsidR="001D733A" w:rsidRPr="008819AF" w:rsidRDefault="0004699C"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 3</w:t>
            </w:r>
          </w:p>
        </w:tc>
        <w:tc>
          <w:tcPr>
            <w:tcW w:w="5664" w:type="dxa"/>
            <w:gridSpan w:val="5"/>
            <w:tcBorders>
              <w:top w:val="single" w:sz="4" w:space="0" w:color="000000"/>
              <w:left w:val="single" w:sz="6" w:space="0" w:color="000000"/>
              <w:bottom w:val="single" w:sz="4" w:space="0" w:color="000000"/>
              <w:right w:val="single" w:sz="6" w:space="0" w:color="000000"/>
            </w:tcBorders>
          </w:tcPr>
          <w:p w14:paraId="15131D8E" w14:textId="77777777" w:rsidR="00953EC7" w:rsidRPr="008819AF" w:rsidRDefault="00953EC7" w:rsidP="00953EC7">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8819AF">
              <w:rPr>
                <w:rFonts w:ascii="Times New Roman" w:eastAsia="Arial" w:hAnsi="Times New Roman" w:cs="Times New Roman"/>
                <w:sz w:val="20"/>
                <w:szCs w:val="20"/>
                <w:lang w:bidi="cs-CZ"/>
              </w:rPr>
              <w:t>Ministerstvo</w:t>
            </w:r>
          </w:p>
          <w:p w14:paraId="15131D8F" w14:textId="77777777" w:rsidR="00953EC7" w:rsidRPr="008819AF" w:rsidRDefault="00953EC7" w:rsidP="00953EC7">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8819AF">
              <w:rPr>
                <w:rFonts w:ascii="Times New Roman" w:eastAsia="Arial" w:hAnsi="Times New Roman" w:cs="Times New Roman"/>
                <w:sz w:val="20"/>
                <w:szCs w:val="20"/>
                <w:lang w:bidi="cs-CZ"/>
              </w:rPr>
              <w:t xml:space="preserve">d) </w:t>
            </w:r>
            <w:r w:rsidRPr="008819AF">
              <w:rPr>
                <w:rFonts w:ascii="Times New Roman" w:eastAsia="Arial" w:hAnsi="Times New Roman" w:cs="Times New Roman"/>
                <w:sz w:val="20"/>
                <w:szCs w:val="20"/>
                <w:lang w:bidi="cs-CZ"/>
              </w:rPr>
              <w:tab/>
              <w:t>je vo vzťahu ku Komisii notifikačným orgánom, sprístupňuje a podáva Komisii ustanovené informácie a správy vo veciach ochrany ovzdušia a v ustanovených lehotách a rozsahu ustanovenom vykonávacím predpisom podľa § 62 písm. n),</w:t>
            </w:r>
          </w:p>
          <w:p w14:paraId="15131D90" w14:textId="77777777" w:rsidR="00B16CFC" w:rsidRPr="008819AF" w:rsidRDefault="00B16CFC" w:rsidP="00953EC7">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p>
          <w:p w14:paraId="15131D91" w14:textId="77777777" w:rsidR="00953EC7" w:rsidRPr="008819AF" w:rsidRDefault="00953EC7" w:rsidP="00953EC7">
            <w:pPr>
              <w:pStyle w:val="Odsekzoznamu"/>
              <w:ind w:left="40"/>
              <w:rPr>
                <w:rFonts w:eastAsia="Arial"/>
                <w:sz w:val="20"/>
                <w:szCs w:val="20"/>
                <w:lang w:bidi="cs-CZ"/>
              </w:rPr>
            </w:pPr>
            <w:r w:rsidRPr="008819AF">
              <w:rPr>
                <w:rFonts w:eastAsia="Arial"/>
                <w:sz w:val="20"/>
                <w:szCs w:val="20"/>
                <w:lang w:bidi="cs-CZ"/>
              </w:rPr>
              <w:t>3. VEĽKÉ SPAĽOVACIE ZARIADENIA</w:t>
            </w:r>
          </w:p>
          <w:p w14:paraId="15131D92" w14:textId="77777777" w:rsidR="00953EC7" w:rsidRPr="008819AF" w:rsidRDefault="00DD5B5A" w:rsidP="00953EC7">
            <w:pPr>
              <w:pStyle w:val="Odsekzoznamu"/>
              <w:ind w:left="40"/>
              <w:rPr>
                <w:rFonts w:eastAsia="Arial"/>
                <w:sz w:val="20"/>
                <w:szCs w:val="20"/>
                <w:lang w:bidi="cs-CZ"/>
              </w:rPr>
            </w:pPr>
            <w:r w:rsidRPr="008819AF">
              <w:rPr>
                <w:rFonts w:eastAsia="Arial"/>
                <w:sz w:val="20"/>
                <w:szCs w:val="20"/>
                <w:lang w:bidi="cs-CZ"/>
              </w:rPr>
              <w:t>podľa § 20  ods. 7</w:t>
            </w:r>
            <w:r w:rsidR="00953EC7" w:rsidRPr="008819AF">
              <w:rPr>
                <w:rFonts w:eastAsia="Arial"/>
                <w:sz w:val="20"/>
                <w:szCs w:val="20"/>
                <w:lang w:bidi="cs-CZ"/>
              </w:rPr>
              <w:t xml:space="preserve">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44"/>
              <w:gridCol w:w="2574"/>
              <w:gridCol w:w="1216"/>
            </w:tblGrid>
            <w:tr w:rsidR="00DD5B5A" w:rsidRPr="008819AF" w14:paraId="15131D96" w14:textId="77777777" w:rsidTr="00DD5B5A">
              <w:trPr>
                <w:jc w:val="center"/>
              </w:trPr>
              <w:tc>
                <w:tcPr>
                  <w:tcW w:w="1729" w:type="dxa"/>
                  <w:vMerge w:val="restar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D93" w14:textId="77777777" w:rsidR="00DD5B5A" w:rsidRPr="008819AF" w:rsidRDefault="00DD5B5A" w:rsidP="00DD5B5A">
                  <w:pPr>
                    <w:ind w:right="-12"/>
                    <w:rPr>
                      <w:rFonts w:eastAsia="Trebuchet MS"/>
                    </w:rPr>
                  </w:pPr>
                  <w:r w:rsidRPr="008819AF">
                    <w:rPr>
                      <w:rFonts w:eastAsia="Trebuchet MS"/>
                      <w:lang w:eastAsia="zh-CN"/>
                    </w:rPr>
                    <w:t xml:space="preserve">Oznámenie </w:t>
                  </w:r>
                  <w:r w:rsidRPr="008819AF">
                    <w:rPr>
                      <w:rFonts w:eastAsia="Trebuchet MS"/>
                      <w:lang w:eastAsia="zh-CN"/>
                    </w:rPr>
                    <w:lastRenderedPageBreak/>
                    <w:t>o uplatnení výnimky z emisných limitov</w:t>
                  </w:r>
                </w:p>
              </w:tc>
              <w:tc>
                <w:tcPr>
                  <w:tcW w:w="255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D94" w14:textId="77777777" w:rsidR="00DD5B5A" w:rsidRPr="008819AF" w:rsidRDefault="00DD5B5A" w:rsidP="00DD5B5A">
                  <w:pPr>
                    <w:ind w:right="-12"/>
                    <w:rPr>
                      <w:rFonts w:eastAsia="Trebuchet MS"/>
                    </w:rPr>
                  </w:pPr>
                  <w:r w:rsidRPr="008819AF">
                    <w:rPr>
                      <w:rFonts w:eastAsia="Trebuchet MS"/>
                      <w:lang w:eastAsia="zh-CN"/>
                    </w:rPr>
                    <w:lastRenderedPageBreak/>
                    <w:t xml:space="preserve">Pre nedostatok nízkosírneho </w:t>
                  </w:r>
                  <w:r w:rsidRPr="008819AF">
                    <w:rPr>
                      <w:rFonts w:eastAsia="Trebuchet MS"/>
                      <w:lang w:eastAsia="zh-CN"/>
                    </w:rPr>
                    <w:lastRenderedPageBreak/>
                    <w:t>paliva.</w:t>
                  </w:r>
                </w:p>
              </w:tc>
              <w:tc>
                <w:tcPr>
                  <w:tcW w:w="120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D95" w14:textId="77777777" w:rsidR="00DD5B5A" w:rsidRPr="008819AF" w:rsidRDefault="00DD5B5A" w:rsidP="00DD5B5A">
                  <w:pPr>
                    <w:ind w:right="-12"/>
                    <w:rPr>
                      <w:rFonts w:eastAsia="Trebuchet MS"/>
                    </w:rPr>
                  </w:pPr>
                  <w:r w:rsidRPr="008819AF">
                    <w:rPr>
                      <w:rFonts w:eastAsia="Trebuchet MS"/>
                      <w:lang w:eastAsia="zh-CN"/>
                    </w:rPr>
                    <w:lastRenderedPageBreak/>
                    <w:t>Bezodkladne</w:t>
                  </w:r>
                </w:p>
              </w:tc>
            </w:tr>
            <w:tr w:rsidR="00DD5B5A" w:rsidRPr="008819AF" w14:paraId="15131D9A" w14:textId="77777777" w:rsidTr="00DD5B5A">
              <w:trPr>
                <w:jc w:val="center"/>
              </w:trPr>
              <w:tc>
                <w:tcPr>
                  <w:tcW w:w="1729" w:type="dxa"/>
                  <w:vMerge/>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D97" w14:textId="77777777" w:rsidR="00DD5B5A" w:rsidRPr="008819AF" w:rsidRDefault="00DD5B5A" w:rsidP="00DD5B5A">
                  <w:pPr>
                    <w:ind w:right="-12"/>
                    <w:rPr>
                      <w:rFonts w:eastAsia="Trebuchet MS"/>
                    </w:rPr>
                  </w:pPr>
                </w:p>
              </w:tc>
              <w:tc>
                <w:tcPr>
                  <w:tcW w:w="255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D98" w14:textId="77777777" w:rsidR="00DD5B5A" w:rsidRPr="008819AF" w:rsidRDefault="00DD5B5A" w:rsidP="00DD5B5A">
                  <w:pPr>
                    <w:ind w:right="-12"/>
                    <w:rPr>
                      <w:rFonts w:eastAsia="Trebuchet MS"/>
                    </w:rPr>
                  </w:pPr>
                  <w:r w:rsidRPr="008819AF">
                    <w:rPr>
                      <w:rFonts w:eastAsia="Trebuchet MS"/>
                      <w:lang w:eastAsia="zh-CN"/>
                    </w:rPr>
                    <w:t>Pri prerušení dodávky plynu, ak ide o zariadenie, ktoré používa v riadnej prevádzke len plynné palivá.</w:t>
                  </w:r>
                </w:p>
              </w:tc>
              <w:tc>
                <w:tcPr>
                  <w:tcW w:w="120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D99" w14:textId="77777777" w:rsidR="00DD5B5A" w:rsidRPr="008819AF" w:rsidRDefault="00DD5B5A" w:rsidP="00DD5B5A">
                  <w:pPr>
                    <w:ind w:right="-12"/>
                    <w:rPr>
                      <w:rFonts w:eastAsia="Trebuchet MS"/>
                    </w:rPr>
                  </w:pPr>
                  <w:r w:rsidRPr="008819AF">
                    <w:rPr>
                      <w:rFonts w:eastAsia="Trebuchet MS"/>
                      <w:lang w:eastAsia="zh-CN"/>
                    </w:rPr>
                    <w:t>Bezodkladne</w:t>
                  </w:r>
                </w:p>
              </w:tc>
            </w:tr>
          </w:tbl>
          <w:p w14:paraId="15131D9B" w14:textId="77777777" w:rsidR="00953EC7" w:rsidRPr="008819AF" w:rsidRDefault="00953EC7" w:rsidP="00DD5B5A">
            <w:pPr>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D9C" w14:textId="77777777" w:rsidR="00166B76" w:rsidRPr="008819AF" w:rsidRDefault="00166B76" w:rsidP="00166B76">
            <w:pPr>
              <w:ind w:left="215" w:hanging="215"/>
              <w:rPr>
                <w:rFonts w:eastAsia="Arial"/>
                <w:lang w:bidi="cs-CZ"/>
              </w:rPr>
            </w:pPr>
            <w:r w:rsidRPr="008819AF">
              <w:rPr>
                <w:rFonts w:eastAsia="Arial"/>
                <w:lang w:bidi="cs-CZ"/>
              </w:rPr>
              <w:lastRenderedPageBreak/>
              <w:t>Ú</w:t>
            </w:r>
          </w:p>
          <w:p w14:paraId="15131D9D"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D9E" w14:textId="77777777" w:rsidR="007170C3" w:rsidRPr="008819AF" w:rsidRDefault="007170C3" w:rsidP="0021052F">
            <w:pPr>
              <w:ind w:left="215" w:hanging="215"/>
              <w:rPr>
                <w:rFonts w:eastAsia="Arial"/>
                <w:lang w:bidi="cs-CZ"/>
              </w:rPr>
            </w:pPr>
          </w:p>
        </w:tc>
      </w:tr>
      <w:tr w:rsidR="00F80158" w:rsidRPr="008819AF" w14:paraId="15131DB8"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DA0"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DA1" w14:textId="77777777" w:rsidR="007170C3" w:rsidRPr="008819AF" w:rsidRDefault="006F0418" w:rsidP="0021052F">
            <w:pPr>
              <w:ind w:left="215" w:hanging="215"/>
              <w:rPr>
                <w:rFonts w:eastAsia="Arial"/>
              </w:rPr>
            </w:pPr>
            <w:r w:rsidRPr="008819AF">
              <w:rPr>
                <w:rFonts w:eastAsia="Arial"/>
              </w:rPr>
              <w:t>7. Ak sa spaľovacie zariadenie rozšíri, na rozšírenú časť zariadenia, ktorej sa zmena týka, sa budú vzťahovať emisné limity stanovené v prílohe V časť 2 a budú stanovené vo vzťahu k celkovému menovitému tepelnému príkonu celého spaľovacieho zariadenia.</w:t>
            </w:r>
          </w:p>
          <w:p w14:paraId="15131DA2" w14:textId="77777777" w:rsidR="00953EC7" w:rsidRPr="008819AF" w:rsidRDefault="00953EC7" w:rsidP="0021052F">
            <w:pPr>
              <w:ind w:left="215" w:hanging="215"/>
              <w:rPr>
                <w:rFonts w:eastAsia="Arial"/>
              </w:rPr>
            </w:pPr>
          </w:p>
          <w:p w14:paraId="15131DA3" w14:textId="77777777" w:rsidR="007170C3" w:rsidRPr="008819AF" w:rsidRDefault="00953EC7" w:rsidP="00953EC7">
            <w:pPr>
              <w:ind w:left="215" w:hanging="215"/>
              <w:rPr>
                <w:rFonts w:eastAsia="Arial"/>
              </w:rPr>
            </w:pPr>
            <w:r w:rsidRPr="008819AF">
              <w:rPr>
                <w:rFonts w:eastAsia="Arial"/>
              </w:rPr>
              <w:t xml:space="preserve">     </w:t>
            </w:r>
            <w:r w:rsidR="006F0418" w:rsidRPr="008819AF">
              <w:rPr>
                <w:rFonts w:eastAsia="Arial"/>
              </w:rPr>
              <w:t>V prípade zmeny spaľovacieho zariadenia, ktorá môže mať dôsledky na životné prostredie a ovplyvniť časť zariadenia s menovitým tepelným príkonom 50 MW alebo viac, sa na časť zariadenia, ktorá sa zmenila vo vzťahu k celkovému menovitému tepelnému príkonu celého spaľovacieho zariadenia, uplatňujú emisné limity stanovené v prílohe V časť 2.</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DA4" w14:textId="77777777" w:rsidR="007170C3" w:rsidRPr="008819AF" w:rsidRDefault="00953EC7" w:rsidP="0021052F">
            <w:pPr>
              <w:ind w:left="-70" w:right="-68" w:hanging="6"/>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1DA5" w14:textId="77777777" w:rsidR="007170C3" w:rsidRPr="008819AF" w:rsidRDefault="006F0418" w:rsidP="0021052F">
            <w:pPr>
              <w:jc w:val="center"/>
              <w:rPr>
                <w:rFonts w:eastAsia="Arial"/>
                <w:lang w:bidi="cs-CZ"/>
              </w:rPr>
            </w:pPr>
            <w:r w:rsidRPr="008819AF">
              <w:rPr>
                <w:rFonts w:eastAsia="Arial"/>
                <w:lang w:bidi="cs-CZ"/>
              </w:rPr>
              <w:t>NV2</w:t>
            </w:r>
          </w:p>
          <w:p w14:paraId="15131DA6" w14:textId="77777777" w:rsidR="007170C3" w:rsidRPr="008819AF" w:rsidRDefault="007170C3" w:rsidP="0021052F">
            <w:pPr>
              <w:jc w:val="center"/>
              <w:rPr>
                <w:rFonts w:eastAsia="Arial"/>
                <w:lang w:bidi="cs-CZ"/>
              </w:rPr>
            </w:pPr>
          </w:p>
          <w:p w14:paraId="15131DA7" w14:textId="77777777" w:rsidR="007170C3" w:rsidRPr="008819AF" w:rsidRDefault="007170C3" w:rsidP="0021052F">
            <w:pPr>
              <w:jc w:val="center"/>
              <w:rPr>
                <w:rFonts w:eastAsia="Arial"/>
                <w:lang w:bidi="cs-CZ"/>
              </w:rPr>
            </w:pPr>
          </w:p>
          <w:p w14:paraId="15131DA8" w14:textId="77777777" w:rsidR="007170C3" w:rsidRPr="008819AF" w:rsidRDefault="007170C3" w:rsidP="0021052F">
            <w:pPr>
              <w:jc w:val="center"/>
              <w:rPr>
                <w:rFonts w:eastAsia="Arial"/>
                <w:lang w:bidi="cs-CZ"/>
              </w:rPr>
            </w:pPr>
          </w:p>
          <w:p w14:paraId="15131DA9" w14:textId="77777777" w:rsidR="007170C3" w:rsidRPr="008819AF" w:rsidRDefault="007170C3" w:rsidP="0021052F">
            <w:pPr>
              <w:jc w:val="center"/>
              <w:rPr>
                <w:rFonts w:eastAsia="Arial"/>
                <w:lang w:bidi="cs-CZ"/>
              </w:rPr>
            </w:pPr>
          </w:p>
          <w:p w14:paraId="15131DAA"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DAB" w14:textId="77777777" w:rsidR="007170C3" w:rsidRPr="008819AF" w:rsidRDefault="00953EC7"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§10</w:t>
            </w:r>
          </w:p>
          <w:p w14:paraId="15131DAC" w14:textId="77777777" w:rsidR="00953EC7" w:rsidRPr="008819AF" w:rsidRDefault="00953EC7"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O6</w:t>
            </w:r>
          </w:p>
          <w:p w14:paraId="15131DAD" w14:textId="77777777" w:rsidR="00953EC7" w:rsidRPr="008819AF" w:rsidRDefault="00953EC7" w:rsidP="0021052F">
            <w:pPr>
              <w:pStyle w:val="BodyText21"/>
              <w:spacing w:before="0" w:line="240" w:lineRule="auto"/>
              <w:ind w:left="0" w:right="-70" w:firstLine="0"/>
              <w:jc w:val="center"/>
              <w:rPr>
                <w:rFonts w:ascii="Times New Roman" w:hAnsi="Times New Roman" w:cs="Times New Roman"/>
              </w:rPr>
            </w:pPr>
          </w:p>
          <w:p w14:paraId="15131DAE" w14:textId="77777777" w:rsidR="00953EC7" w:rsidRPr="008819AF" w:rsidRDefault="00953EC7" w:rsidP="0021052F">
            <w:pPr>
              <w:pStyle w:val="BodyText21"/>
              <w:spacing w:before="0" w:line="240" w:lineRule="auto"/>
              <w:ind w:left="0" w:right="-70" w:firstLine="0"/>
              <w:jc w:val="center"/>
              <w:rPr>
                <w:rFonts w:ascii="Times New Roman" w:hAnsi="Times New Roman" w:cs="Times New Roman"/>
              </w:rPr>
            </w:pPr>
          </w:p>
          <w:p w14:paraId="15131DAF" w14:textId="77777777" w:rsidR="00953EC7" w:rsidRPr="008819AF" w:rsidRDefault="00953EC7" w:rsidP="0021052F">
            <w:pPr>
              <w:pStyle w:val="BodyText21"/>
              <w:spacing w:before="0" w:line="240" w:lineRule="auto"/>
              <w:ind w:left="0" w:right="-70" w:firstLine="0"/>
              <w:jc w:val="center"/>
              <w:rPr>
                <w:rFonts w:ascii="Times New Roman" w:hAnsi="Times New Roman" w:cs="Times New Roman"/>
              </w:rPr>
            </w:pPr>
          </w:p>
          <w:p w14:paraId="15131DB0" w14:textId="77777777" w:rsidR="00953EC7" w:rsidRPr="008819AF" w:rsidRDefault="00953EC7" w:rsidP="0021052F">
            <w:pPr>
              <w:pStyle w:val="BodyText21"/>
              <w:spacing w:before="0" w:line="240" w:lineRule="auto"/>
              <w:ind w:left="0" w:right="-70" w:firstLine="0"/>
              <w:jc w:val="center"/>
              <w:rPr>
                <w:rFonts w:ascii="Times New Roman" w:hAnsi="Times New Roman" w:cs="Times New Roman"/>
              </w:rPr>
            </w:pPr>
          </w:p>
          <w:p w14:paraId="15131DB1" w14:textId="77777777" w:rsidR="00953EC7" w:rsidRPr="008819AF" w:rsidRDefault="00953EC7"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O7</w:t>
            </w:r>
          </w:p>
          <w:p w14:paraId="15131DB2" w14:textId="77777777" w:rsidR="00953EC7" w:rsidRPr="008819AF" w:rsidRDefault="00953EC7"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DB3" w14:textId="77777777" w:rsidR="00953EC7" w:rsidRPr="008819AF" w:rsidRDefault="00953EC7" w:rsidP="00953EC7">
            <w:pPr>
              <w:pStyle w:val="Hlavika"/>
              <w:ind w:left="72" w:hanging="1"/>
              <w:rPr>
                <w:rFonts w:ascii="Times New Roman" w:hAnsi="Times New Roman" w:cs="Times New Roman"/>
              </w:rPr>
            </w:pPr>
            <w:r w:rsidRPr="008819AF">
              <w:rPr>
                <w:rFonts w:ascii="Times New Roman" w:hAnsi="Times New Roman" w:cs="Times New Roman"/>
              </w:rPr>
              <w:t>(6) Pri rozšírení veľkého spaľovacieho zariadenia alebo zariadenia, ktoré sa rozšírením stane veľkým spaľovacím zariadením, platia pre rozšírenú časť zariadenia emisné limity podľa odseku 3 podľa celkového menovitého tepelného príkonu celého spaľovacieho zariadenia.</w:t>
            </w:r>
          </w:p>
          <w:p w14:paraId="15131DB4" w14:textId="77777777" w:rsidR="00953EC7" w:rsidRPr="008819AF" w:rsidRDefault="00953EC7" w:rsidP="00953EC7">
            <w:pPr>
              <w:pStyle w:val="Hlavika"/>
              <w:ind w:left="72" w:hanging="1"/>
              <w:rPr>
                <w:rFonts w:ascii="Times New Roman" w:hAnsi="Times New Roman" w:cs="Times New Roman"/>
              </w:rPr>
            </w:pPr>
          </w:p>
          <w:p w14:paraId="15131DB5" w14:textId="77777777" w:rsidR="007170C3" w:rsidRPr="008819AF" w:rsidRDefault="00953EC7" w:rsidP="00953EC7">
            <w:pPr>
              <w:pStyle w:val="Hlavika"/>
              <w:ind w:left="72" w:hanging="1"/>
              <w:rPr>
                <w:rFonts w:ascii="Times New Roman" w:hAnsi="Times New Roman" w:cs="Times New Roman"/>
              </w:rPr>
            </w:pPr>
            <w:r w:rsidRPr="008819AF">
              <w:rPr>
                <w:rFonts w:ascii="Times New Roman" w:hAnsi="Times New Roman" w:cs="Times New Roman"/>
              </w:rPr>
              <w:t>(7) Ak ide o zmenu veľkého spaľovacieho zariadenia, ktorá môže mať vplyv na životné prostredie a ktorá sa týka časti zariadenia s menovitým tepelným príkonom 50 MW a viac, platia pre zmenenú časť emisné limity podľa odseku 3 podľa celkového menovitého tepelného príkonu celého spaľovacieho zariadenia</w:t>
            </w:r>
          </w:p>
        </w:tc>
        <w:tc>
          <w:tcPr>
            <w:tcW w:w="429" w:type="dxa"/>
            <w:tcBorders>
              <w:top w:val="single" w:sz="4" w:space="0" w:color="000000"/>
              <w:left w:val="single" w:sz="6" w:space="0" w:color="000000"/>
              <w:bottom w:val="single" w:sz="4" w:space="0" w:color="000000"/>
              <w:right w:val="single" w:sz="6" w:space="0" w:color="000000"/>
            </w:tcBorders>
          </w:tcPr>
          <w:p w14:paraId="15131DB6" w14:textId="77777777" w:rsidR="007170C3" w:rsidRPr="008819AF" w:rsidRDefault="00953EC7" w:rsidP="0021052F">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15131DB7" w14:textId="77777777" w:rsidR="007170C3" w:rsidRPr="008819AF" w:rsidRDefault="007170C3" w:rsidP="0021052F">
            <w:pPr>
              <w:ind w:left="215" w:hanging="215"/>
              <w:rPr>
                <w:rFonts w:eastAsia="Arial"/>
                <w:lang w:bidi="cs-CZ"/>
              </w:rPr>
            </w:pPr>
          </w:p>
        </w:tc>
      </w:tr>
      <w:tr w:rsidR="00F80158" w:rsidRPr="008819AF" w14:paraId="15131DC5"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DB9"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DBA" w14:textId="77777777" w:rsidR="007170C3" w:rsidRPr="008819AF" w:rsidRDefault="006F0418" w:rsidP="0021052F">
            <w:pPr>
              <w:ind w:left="215" w:hanging="215"/>
              <w:rPr>
                <w:rFonts w:eastAsia="Arial"/>
              </w:rPr>
            </w:pPr>
            <w:r w:rsidRPr="008819AF">
              <w:rPr>
                <w:rFonts w:eastAsia="Arial"/>
              </w:rPr>
              <w:t>8. Emisné limity stanovené v prílohe V časti 1 a 2 sa neuplatňujú na tieto spaľovacie zariadenia:</w:t>
            </w:r>
          </w:p>
          <w:p w14:paraId="15131DBB" w14:textId="77777777" w:rsidR="007170C3" w:rsidRPr="008819AF" w:rsidRDefault="006F0418" w:rsidP="009C63CF">
            <w:pPr>
              <w:numPr>
                <w:ilvl w:val="0"/>
                <w:numId w:val="21"/>
              </w:numPr>
              <w:tabs>
                <w:tab w:val="left" w:pos="227"/>
              </w:tabs>
              <w:spacing w:after="120"/>
              <w:rPr>
                <w:rFonts w:eastAsia="Arial"/>
              </w:rPr>
            </w:pPr>
            <w:r w:rsidRPr="008819AF">
              <w:rPr>
                <w:rFonts w:eastAsia="Arial"/>
              </w:rPr>
              <w:t>naftové motory;</w:t>
            </w:r>
          </w:p>
          <w:p w14:paraId="15131DBC" w14:textId="77777777" w:rsidR="007170C3" w:rsidRPr="008819AF" w:rsidRDefault="006F0418" w:rsidP="009C63CF">
            <w:pPr>
              <w:numPr>
                <w:ilvl w:val="0"/>
                <w:numId w:val="21"/>
              </w:numPr>
              <w:tabs>
                <w:tab w:val="left" w:pos="227"/>
              </w:tabs>
              <w:ind w:left="497" w:hanging="283"/>
              <w:rPr>
                <w:rFonts w:eastAsia="Arial"/>
              </w:rPr>
            </w:pPr>
            <w:r w:rsidRPr="008819AF">
              <w:rPr>
                <w:rFonts w:eastAsia="Arial"/>
              </w:rPr>
              <w:t>regeneračné kotle na výluh v rámci zariadení na výrobu celulózy.</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DBD" w14:textId="77777777" w:rsidR="007170C3" w:rsidRPr="008819AF" w:rsidRDefault="006F0418" w:rsidP="0021052F">
            <w:pPr>
              <w:ind w:left="-70" w:right="-68" w:hanging="6"/>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4" w:space="0" w:color="000000"/>
              <w:right w:val="single" w:sz="6" w:space="0" w:color="000000"/>
            </w:tcBorders>
          </w:tcPr>
          <w:p w14:paraId="15131DBE"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DBF"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DC2" w14:textId="77777777" w:rsidR="007170C3" w:rsidRPr="008819AF" w:rsidRDefault="007170C3" w:rsidP="00BB4CD9">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DC3"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DC4" w14:textId="77777777" w:rsidR="007170C3" w:rsidRPr="008819AF" w:rsidRDefault="007170C3" w:rsidP="0021052F">
            <w:pPr>
              <w:ind w:left="215" w:hanging="215"/>
              <w:rPr>
                <w:rFonts w:eastAsia="Arial"/>
                <w:lang w:bidi="cs-CZ"/>
              </w:rPr>
            </w:pPr>
          </w:p>
        </w:tc>
      </w:tr>
      <w:tr w:rsidR="00F80158" w:rsidRPr="008819AF" w14:paraId="15131DD3"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DC6"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1DC7" w14:textId="77777777" w:rsidR="007170C3" w:rsidRPr="008819AF" w:rsidRDefault="006F0418" w:rsidP="0021052F">
            <w:pPr>
              <w:spacing w:after="120"/>
              <w:ind w:left="215" w:hanging="215"/>
              <w:rPr>
                <w:rFonts w:eastAsia="Arial"/>
              </w:rPr>
            </w:pPr>
            <w:r w:rsidRPr="008819AF">
              <w:rPr>
                <w:rFonts w:eastAsia="Arial"/>
              </w:rPr>
              <w:t>9. Na základe najlepších dostupných techník Komisia preskúma potrebu zaviesť v celej Únii emisné limity pre tieto spaľovacie zariadenia, ako aj potrebu zmeny emisných limitov uvedených v prílohe V:</w:t>
            </w:r>
          </w:p>
          <w:p w14:paraId="15131DC8" w14:textId="77777777" w:rsidR="007170C3" w:rsidRPr="008819AF" w:rsidRDefault="006F0418" w:rsidP="009C63CF">
            <w:pPr>
              <w:numPr>
                <w:ilvl w:val="0"/>
                <w:numId w:val="22"/>
              </w:numPr>
              <w:spacing w:after="120"/>
              <w:ind w:left="497" w:hanging="283"/>
              <w:rPr>
                <w:rFonts w:eastAsia="Arial"/>
              </w:rPr>
            </w:pPr>
            <w:r w:rsidRPr="008819AF">
              <w:rPr>
                <w:rFonts w:eastAsia="Arial"/>
              </w:rPr>
              <w:t>spaľovacie zariadenia uvedené v odseku 8;</w:t>
            </w:r>
          </w:p>
          <w:p w14:paraId="15131DC9" w14:textId="77777777" w:rsidR="007170C3" w:rsidRPr="008819AF" w:rsidRDefault="006F0418" w:rsidP="009C63CF">
            <w:pPr>
              <w:numPr>
                <w:ilvl w:val="0"/>
                <w:numId w:val="22"/>
              </w:numPr>
              <w:spacing w:after="120"/>
              <w:ind w:left="497" w:hanging="283"/>
              <w:rPr>
                <w:rFonts w:eastAsia="Arial"/>
              </w:rPr>
            </w:pPr>
            <w:r w:rsidRPr="008819AF">
              <w:rPr>
                <w:rFonts w:eastAsia="Arial"/>
              </w:rPr>
              <w:t>spaľovacie zariadenia v rafinériách spaľujúce zvyšky z destilácie a konverzie z rafinácie ropy pre vlastnú spotrebu, samostatne alebo s iným palivom, pri zohľadnení špecifík energetických systémov rafinérií;</w:t>
            </w:r>
          </w:p>
          <w:p w14:paraId="15131DCA" w14:textId="77777777" w:rsidR="007170C3" w:rsidRPr="008819AF" w:rsidRDefault="006F0418" w:rsidP="009C63CF">
            <w:pPr>
              <w:numPr>
                <w:ilvl w:val="0"/>
                <w:numId w:val="22"/>
              </w:numPr>
              <w:spacing w:after="120"/>
              <w:ind w:left="497" w:hanging="283"/>
              <w:rPr>
                <w:rFonts w:eastAsia="Arial"/>
              </w:rPr>
            </w:pPr>
            <w:r w:rsidRPr="008819AF">
              <w:rPr>
                <w:rFonts w:eastAsia="Arial"/>
              </w:rPr>
              <w:t>spaľovacie zariadenia spaľujúce iné plyny ako zemný plyn;</w:t>
            </w:r>
          </w:p>
          <w:p w14:paraId="15131DCB" w14:textId="77777777" w:rsidR="007170C3" w:rsidRPr="008819AF" w:rsidRDefault="006F0418" w:rsidP="009C63CF">
            <w:pPr>
              <w:numPr>
                <w:ilvl w:val="0"/>
                <w:numId w:val="22"/>
              </w:numPr>
              <w:spacing w:after="120"/>
              <w:ind w:left="497" w:hanging="283"/>
              <w:rPr>
                <w:rFonts w:eastAsia="Arial"/>
              </w:rPr>
            </w:pPr>
            <w:r w:rsidRPr="008819AF">
              <w:rPr>
                <w:rFonts w:eastAsia="Arial"/>
              </w:rPr>
              <w:t>spaľovacie zariadenia v chemických zariadeniach, ktoré používajú kvapalné zvyšky z výroby ako nekomerčné palivo pre vlastnú spotrebu.</w:t>
            </w:r>
          </w:p>
          <w:p w14:paraId="15131DCC" w14:textId="77777777" w:rsidR="007170C3" w:rsidRPr="008819AF" w:rsidRDefault="006F0418" w:rsidP="0021052F">
            <w:pPr>
              <w:ind w:left="215" w:hanging="215"/>
              <w:rPr>
                <w:rFonts w:eastAsia="Arial"/>
              </w:rPr>
            </w:pPr>
            <w:r w:rsidRPr="008819AF">
              <w:rPr>
                <w:rFonts w:eastAsia="Arial"/>
              </w:rPr>
              <w:t>Komisia podá do 31. decembra 2013 Európskemu parlamentu a Rade správu o výsledkoch tohto preskúmania a v prípade potreby k nej priloží legislatívny návrh.</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DCD" w14:textId="77777777" w:rsidR="007170C3" w:rsidRPr="008819AF" w:rsidRDefault="006F0418" w:rsidP="0021052F">
            <w:pPr>
              <w:ind w:left="-70" w:right="-68" w:hanging="6"/>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4" w:space="0" w:color="000000"/>
              <w:right w:val="single" w:sz="6" w:space="0" w:color="000000"/>
            </w:tcBorders>
          </w:tcPr>
          <w:p w14:paraId="15131DCE"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DCF"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DD0" w14:textId="77777777" w:rsidR="007170C3" w:rsidRPr="008819AF" w:rsidRDefault="007170C3" w:rsidP="0021052F">
            <w:pPr>
              <w:ind w:left="215"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DD1"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DD2" w14:textId="77777777" w:rsidR="007170C3" w:rsidRPr="008819AF" w:rsidRDefault="007170C3" w:rsidP="0021052F">
            <w:pPr>
              <w:ind w:left="215" w:hanging="215"/>
              <w:rPr>
                <w:rFonts w:eastAsia="Arial"/>
                <w:lang w:bidi="cs-CZ"/>
              </w:rPr>
            </w:pPr>
          </w:p>
        </w:tc>
      </w:tr>
      <w:tr w:rsidR="00F80158" w:rsidRPr="008819AF" w14:paraId="15131E15"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15131DD4" w14:textId="77777777" w:rsidR="007170C3" w:rsidRPr="008819AF" w:rsidRDefault="006F0418" w:rsidP="003E351D">
            <w:pPr>
              <w:ind w:right="-70"/>
              <w:rPr>
                <w:rFonts w:eastAsia="Arial"/>
                <w:lang w:bidi="cs-CZ"/>
              </w:rPr>
            </w:pPr>
            <w:r w:rsidRPr="008819AF">
              <w:rPr>
                <w:rFonts w:eastAsia="Arial"/>
                <w:lang w:bidi="cs-CZ"/>
              </w:rPr>
              <w:lastRenderedPageBreak/>
              <w:t>Č:31</w:t>
            </w:r>
          </w:p>
        </w:tc>
        <w:tc>
          <w:tcPr>
            <w:tcW w:w="6227" w:type="dxa"/>
            <w:gridSpan w:val="2"/>
            <w:tcBorders>
              <w:top w:val="single" w:sz="4" w:space="0" w:color="000000"/>
              <w:left w:val="single" w:sz="6" w:space="0" w:color="000000"/>
              <w:bottom w:val="single" w:sz="4" w:space="0" w:color="000000"/>
              <w:right w:val="single" w:sz="6" w:space="0" w:color="000000"/>
            </w:tcBorders>
          </w:tcPr>
          <w:p w14:paraId="15131DD5" w14:textId="77777777" w:rsidR="007170C3" w:rsidRPr="008819AF" w:rsidRDefault="006F0418" w:rsidP="0021052F">
            <w:pPr>
              <w:ind w:left="215" w:hanging="215"/>
              <w:rPr>
                <w:rFonts w:eastAsia="Arial"/>
              </w:rPr>
            </w:pPr>
            <w:r w:rsidRPr="008819AF">
              <w:rPr>
                <w:rFonts w:eastAsia="Arial"/>
              </w:rPr>
              <w:t>Článok 31</w:t>
            </w:r>
          </w:p>
          <w:p w14:paraId="15131DD6" w14:textId="77777777" w:rsidR="007170C3" w:rsidRPr="008819AF" w:rsidRDefault="006F0418" w:rsidP="0021052F">
            <w:pPr>
              <w:ind w:left="215" w:hanging="215"/>
              <w:rPr>
                <w:rFonts w:eastAsia="Arial"/>
              </w:rPr>
            </w:pPr>
            <w:r w:rsidRPr="008819AF">
              <w:rPr>
                <w:rFonts w:eastAsia="Arial"/>
              </w:rPr>
              <w:t>Stupeň odsírenia</w:t>
            </w:r>
          </w:p>
          <w:p w14:paraId="15131DD7" w14:textId="77777777" w:rsidR="007170C3" w:rsidRPr="008819AF" w:rsidRDefault="006F0418" w:rsidP="0021052F">
            <w:pPr>
              <w:ind w:left="215" w:hanging="215"/>
              <w:rPr>
                <w:rFonts w:eastAsia="Arial"/>
              </w:rPr>
            </w:pPr>
            <w:r w:rsidRPr="008819AF">
              <w:rPr>
                <w:rFonts w:eastAsia="Arial"/>
              </w:rPr>
              <w:t>1. Na spaľovacie zariadenia spaľujúce domáce tuhé palivá, ktoré vzhľadom na povahu tohto paliva nie sú schopné dodržať emisné limity pre oxid siričitý uvedené v článku 30 ods. 2 a 3, môžu členské štáty namiesto toho uplatniť minimálne stupne odsírenia uvedené v prílohe V časť 5 v súlade s pravidlami dodržiavania uvedenými v časti 6 uvedenej prílohy a po predchádzajúcom schválení technickej správy uvedenej v článku 72 ods. 4 písm. a) príslušným orgánom.</w:t>
            </w:r>
          </w:p>
          <w:p w14:paraId="15131DD8" w14:textId="77777777" w:rsidR="009346B5" w:rsidRPr="008819AF" w:rsidRDefault="009346B5" w:rsidP="0021052F">
            <w:pPr>
              <w:ind w:left="215" w:hanging="215"/>
              <w:rPr>
                <w:rFonts w:eastAsia="Arial"/>
              </w:rPr>
            </w:pPr>
          </w:p>
          <w:p w14:paraId="15131DD9" w14:textId="77777777" w:rsidR="007170C3" w:rsidRPr="008819AF" w:rsidRDefault="006F0418" w:rsidP="0021052F">
            <w:pPr>
              <w:ind w:left="215" w:hanging="215"/>
              <w:rPr>
                <w:rFonts w:eastAsia="Arial"/>
              </w:rPr>
            </w:pPr>
            <w:r w:rsidRPr="008819AF">
              <w:rPr>
                <w:rFonts w:eastAsia="Arial"/>
              </w:rPr>
              <w:t>2. Na spaľovacie zariadenia spaľujúce domáce tuhé palivá, ktoré spoluspaľujú odpad a ktoré nie sú schopné spĺňať hodnoty Cproc pre oxid siričitý ustanovené v prílohe VI časť 4 body 3.1 alebo 3.2 z dôvodu charakteristík domáceho tuhého paliva, môžu členské štáty namiesto toho uplatňovať minimálne stupne odsírenia stanovené v prílohe V časť 5 v súlade s pravidlami dodržiavania stanovenými v časti 6 uvedenej prílohy. Ak sa členské štáty rozhodnú uplatňovať tento odsek, Codpad uvedený v prílohe VI časť 4 bod 1 sa rovná 0 mg/Nm³.</w:t>
            </w:r>
          </w:p>
          <w:p w14:paraId="15131DDA" w14:textId="77777777" w:rsidR="007170C3" w:rsidRPr="008819AF" w:rsidRDefault="006F0418" w:rsidP="0021052F">
            <w:pPr>
              <w:ind w:left="215" w:hanging="215"/>
              <w:rPr>
                <w:rFonts w:eastAsia="Arial"/>
              </w:rPr>
            </w:pPr>
            <w:r w:rsidRPr="008819AF">
              <w:rPr>
                <w:rFonts w:eastAsia="Arial"/>
              </w:rPr>
              <w:t>3. Komisia do 31. decembra 2019 preskúma možnosť uplatňovania minimálnych stupňov odsírenia stanovených v prílohe V časť 5, pričom zohľadní najmä najlepšie dostupné techniky a prínosy vyplývajúce zo zníženia emisií oxidu siričitého.</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DDB" w14:textId="77777777" w:rsidR="00C04DF6" w:rsidRPr="008819AF" w:rsidRDefault="00C04DF6" w:rsidP="0021052F">
            <w:pPr>
              <w:ind w:left="-70" w:right="-68" w:hanging="6"/>
              <w:jc w:val="center"/>
              <w:rPr>
                <w:rFonts w:eastAsia="Arial"/>
                <w:lang w:bidi="cs-CZ"/>
              </w:rPr>
            </w:pPr>
          </w:p>
          <w:p w14:paraId="15131DDC" w14:textId="77777777" w:rsidR="007170C3" w:rsidRPr="008819AF" w:rsidRDefault="00C04DF6" w:rsidP="0021052F">
            <w:pPr>
              <w:ind w:left="-70" w:right="-68" w:hanging="6"/>
              <w:jc w:val="center"/>
              <w:rPr>
                <w:rFonts w:eastAsia="Arial"/>
                <w:lang w:bidi="cs-CZ"/>
              </w:rPr>
            </w:pPr>
            <w:r w:rsidRPr="008819AF">
              <w:rPr>
                <w:rFonts w:eastAsia="Arial"/>
                <w:lang w:bidi="cs-CZ"/>
              </w:rPr>
              <w:t>N</w:t>
            </w:r>
          </w:p>
          <w:p w14:paraId="15131DDD" w14:textId="6E1E744D" w:rsidR="007170C3" w:rsidRPr="008819AF" w:rsidRDefault="007170C3" w:rsidP="0021052F">
            <w:pPr>
              <w:ind w:left="-70" w:right="-68" w:hanging="6"/>
              <w:jc w:val="center"/>
              <w:rPr>
                <w:rFonts w:eastAsia="Arial"/>
                <w:lang w:bidi="cs-CZ"/>
              </w:rPr>
            </w:pPr>
          </w:p>
          <w:p w14:paraId="15131DDE" w14:textId="77777777" w:rsidR="007170C3" w:rsidRPr="008819AF" w:rsidRDefault="007170C3" w:rsidP="0021052F">
            <w:pPr>
              <w:ind w:left="-70" w:right="-68" w:hanging="6"/>
              <w:jc w:val="center"/>
              <w:rPr>
                <w:rFonts w:eastAsia="Arial"/>
                <w:lang w:bidi="cs-CZ"/>
              </w:rPr>
            </w:pPr>
          </w:p>
          <w:p w14:paraId="15131DDF" w14:textId="77777777" w:rsidR="007170C3" w:rsidRPr="008819AF" w:rsidRDefault="007170C3" w:rsidP="0021052F">
            <w:pPr>
              <w:ind w:left="-70" w:right="-68" w:hanging="6"/>
              <w:jc w:val="center"/>
              <w:rPr>
                <w:rFonts w:eastAsia="Arial"/>
                <w:lang w:bidi="cs-CZ"/>
              </w:rPr>
            </w:pPr>
          </w:p>
          <w:p w14:paraId="15131DE0" w14:textId="77777777" w:rsidR="007170C3" w:rsidRPr="008819AF" w:rsidRDefault="007170C3" w:rsidP="0021052F">
            <w:pPr>
              <w:ind w:left="-70" w:right="-68" w:hanging="6"/>
              <w:jc w:val="center"/>
              <w:rPr>
                <w:rFonts w:eastAsia="Arial"/>
                <w:lang w:bidi="cs-CZ"/>
              </w:rPr>
            </w:pPr>
          </w:p>
          <w:p w14:paraId="15131DE1" w14:textId="77777777" w:rsidR="007170C3" w:rsidRPr="008819AF" w:rsidRDefault="007170C3" w:rsidP="0021052F">
            <w:pPr>
              <w:ind w:left="-70" w:right="-68" w:hanging="6"/>
              <w:jc w:val="center"/>
              <w:rPr>
                <w:rFonts w:eastAsia="Arial"/>
                <w:lang w:bidi="cs-CZ"/>
              </w:rPr>
            </w:pPr>
          </w:p>
          <w:p w14:paraId="15131DE2" w14:textId="77777777" w:rsidR="007170C3" w:rsidRPr="008819AF" w:rsidRDefault="007170C3" w:rsidP="0021052F">
            <w:pPr>
              <w:ind w:left="-70" w:right="-68" w:hanging="6"/>
              <w:jc w:val="center"/>
              <w:rPr>
                <w:rFonts w:eastAsia="Arial"/>
                <w:lang w:bidi="cs-CZ"/>
              </w:rPr>
            </w:pPr>
          </w:p>
          <w:p w14:paraId="15131DE3" w14:textId="77777777" w:rsidR="007170C3" w:rsidRPr="008819AF" w:rsidRDefault="007170C3" w:rsidP="0021052F">
            <w:pPr>
              <w:ind w:left="-70" w:right="-68" w:hanging="6"/>
              <w:jc w:val="center"/>
              <w:rPr>
                <w:rFonts w:eastAsia="Arial"/>
                <w:lang w:bidi="cs-CZ"/>
              </w:rPr>
            </w:pPr>
          </w:p>
          <w:p w14:paraId="15131DE4" w14:textId="77777777" w:rsidR="009346B5" w:rsidRPr="008819AF" w:rsidRDefault="009346B5" w:rsidP="0021052F">
            <w:pPr>
              <w:ind w:left="-70" w:right="-68" w:hanging="6"/>
              <w:jc w:val="center"/>
              <w:rPr>
                <w:rFonts w:eastAsia="Arial"/>
                <w:lang w:bidi="cs-CZ"/>
              </w:rPr>
            </w:pPr>
          </w:p>
          <w:p w14:paraId="15131DE5" w14:textId="0419E442" w:rsidR="009346B5" w:rsidRPr="008819AF" w:rsidRDefault="009346B5" w:rsidP="009346B5">
            <w:pPr>
              <w:ind w:left="-70" w:right="-68" w:hanging="6"/>
              <w:jc w:val="center"/>
              <w:rPr>
                <w:rFonts w:eastAsia="Arial"/>
                <w:lang w:bidi="cs-CZ"/>
              </w:rPr>
            </w:pPr>
          </w:p>
          <w:p w14:paraId="15131DE6" w14:textId="77777777" w:rsidR="007170C3" w:rsidRPr="008819AF" w:rsidRDefault="007170C3" w:rsidP="0021052F">
            <w:pPr>
              <w:ind w:left="-70" w:right="-68" w:hanging="6"/>
              <w:jc w:val="center"/>
              <w:rPr>
                <w:rFonts w:eastAsia="Arial"/>
                <w:lang w:bidi="cs-CZ"/>
              </w:rPr>
            </w:pPr>
          </w:p>
          <w:p w14:paraId="15131DE7" w14:textId="77777777" w:rsidR="007170C3" w:rsidRPr="008819AF" w:rsidRDefault="007170C3" w:rsidP="0021052F">
            <w:pPr>
              <w:ind w:left="-70" w:right="-68" w:hanging="6"/>
              <w:jc w:val="center"/>
              <w:rPr>
                <w:rFonts w:eastAsia="Arial"/>
                <w:lang w:bidi="cs-CZ"/>
              </w:rPr>
            </w:pPr>
          </w:p>
          <w:p w14:paraId="15131DE8" w14:textId="77777777" w:rsidR="007170C3" w:rsidRPr="008819AF" w:rsidRDefault="007170C3" w:rsidP="0021052F">
            <w:pPr>
              <w:ind w:left="-70" w:right="-68" w:hanging="6"/>
              <w:jc w:val="center"/>
              <w:rPr>
                <w:rFonts w:eastAsia="Arial"/>
                <w:lang w:bidi="cs-CZ"/>
              </w:rPr>
            </w:pPr>
          </w:p>
          <w:p w14:paraId="15131DE9" w14:textId="77777777" w:rsidR="007170C3" w:rsidRPr="008819AF" w:rsidRDefault="007170C3" w:rsidP="0021052F">
            <w:pPr>
              <w:ind w:left="-70" w:right="-68" w:hanging="6"/>
              <w:jc w:val="center"/>
              <w:rPr>
                <w:rFonts w:eastAsia="Arial"/>
                <w:lang w:bidi="cs-CZ"/>
              </w:rPr>
            </w:pPr>
          </w:p>
          <w:p w14:paraId="15131DEA" w14:textId="77777777" w:rsidR="009346B5" w:rsidRPr="008819AF" w:rsidRDefault="009346B5" w:rsidP="0021052F">
            <w:pPr>
              <w:ind w:left="-70" w:right="-68" w:hanging="6"/>
              <w:jc w:val="center"/>
              <w:rPr>
                <w:rFonts w:eastAsia="Arial"/>
                <w:lang w:bidi="cs-CZ"/>
              </w:rPr>
            </w:pPr>
          </w:p>
          <w:p w14:paraId="15131DEB" w14:textId="77777777" w:rsidR="009346B5" w:rsidRPr="008819AF" w:rsidRDefault="009346B5" w:rsidP="0021052F">
            <w:pPr>
              <w:ind w:left="-70" w:right="-68" w:hanging="6"/>
              <w:jc w:val="center"/>
              <w:rPr>
                <w:rFonts w:eastAsia="Arial"/>
                <w:lang w:bidi="cs-CZ"/>
              </w:rPr>
            </w:pPr>
          </w:p>
          <w:p w14:paraId="15131DEC" w14:textId="77777777" w:rsidR="009346B5" w:rsidRPr="008819AF" w:rsidRDefault="009346B5" w:rsidP="0021052F">
            <w:pPr>
              <w:ind w:left="-70" w:right="-68" w:hanging="6"/>
              <w:jc w:val="center"/>
              <w:rPr>
                <w:rFonts w:eastAsia="Arial"/>
                <w:lang w:bidi="cs-CZ"/>
              </w:rPr>
            </w:pPr>
          </w:p>
          <w:p w14:paraId="15131DED" w14:textId="77777777" w:rsidR="009346B5" w:rsidRPr="008819AF" w:rsidRDefault="009346B5" w:rsidP="0021052F">
            <w:pPr>
              <w:ind w:left="-70" w:right="-68" w:hanging="6"/>
              <w:jc w:val="center"/>
              <w:rPr>
                <w:rFonts w:eastAsia="Arial"/>
                <w:lang w:bidi="cs-CZ"/>
              </w:rPr>
            </w:pPr>
          </w:p>
          <w:p w14:paraId="15131DEE" w14:textId="77777777" w:rsidR="007170C3" w:rsidRPr="008819AF" w:rsidRDefault="006F0418" w:rsidP="0021052F">
            <w:pPr>
              <w:ind w:left="-70" w:right="-68" w:hanging="6"/>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4" w:space="0" w:color="000000"/>
              <w:right w:val="single" w:sz="6" w:space="0" w:color="000000"/>
            </w:tcBorders>
          </w:tcPr>
          <w:p w14:paraId="15131DEF" w14:textId="77777777" w:rsidR="00C04DF6" w:rsidRPr="008819AF" w:rsidRDefault="00C04DF6" w:rsidP="0021052F">
            <w:pPr>
              <w:jc w:val="center"/>
              <w:rPr>
                <w:rFonts w:eastAsia="Arial"/>
                <w:lang w:bidi="cs-CZ"/>
              </w:rPr>
            </w:pPr>
          </w:p>
          <w:p w14:paraId="15131DF0" w14:textId="77777777" w:rsidR="007170C3" w:rsidRPr="008819AF" w:rsidRDefault="006F0418" w:rsidP="0021052F">
            <w:pPr>
              <w:jc w:val="center"/>
              <w:rPr>
                <w:rFonts w:eastAsia="Arial"/>
                <w:lang w:bidi="cs-CZ"/>
              </w:rPr>
            </w:pPr>
            <w:r w:rsidRPr="008819AF">
              <w:rPr>
                <w:rFonts w:eastAsia="Arial"/>
                <w:lang w:bidi="cs-CZ"/>
              </w:rPr>
              <w:t>NV2</w:t>
            </w:r>
          </w:p>
          <w:p w14:paraId="15131DF1" w14:textId="77777777" w:rsidR="007170C3" w:rsidRPr="008819AF" w:rsidRDefault="007170C3" w:rsidP="0021052F">
            <w:pPr>
              <w:jc w:val="center"/>
              <w:rPr>
                <w:rFonts w:eastAsia="Arial"/>
                <w:lang w:bidi="cs-CZ"/>
              </w:rPr>
            </w:pPr>
          </w:p>
          <w:p w14:paraId="15131DF2" w14:textId="77777777" w:rsidR="007170C3" w:rsidRPr="008819AF" w:rsidRDefault="007170C3" w:rsidP="0021052F">
            <w:pPr>
              <w:jc w:val="center"/>
              <w:rPr>
                <w:rFonts w:eastAsia="Arial"/>
                <w:lang w:bidi="cs-CZ"/>
              </w:rPr>
            </w:pPr>
          </w:p>
          <w:p w14:paraId="15131DF3" w14:textId="77777777" w:rsidR="007170C3" w:rsidRPr="008819AF" w:rsidRDefault="007170C3" w:rsidP="0021052F">
            <w:pPr>
              <w:jc w:val="center"/>
              <w:rPr>
                <w:rFonts w:eastAsia="Arial"/>
                <w:lang w:bidi="cs-CZ"/>
              </w:rPr>
            </w:pPr>
          </w:p>
          <w:p w14:paraId="15131DF4" w14:textId="77777777" w:rsidR="007170C3" w:rsidRPr="008819AF" w:rsidRDefault="007170C3" w:rsidP="0021052F">
            <w:pPr>
              <w:jc w:val="center"/>
              <w:rPr>
                <w:rFonts w:eastAsia="Arial"/>
                <w:lang w:bidi="cs-CZ"/>
              </w:rPr>
            </w:pPr>
          </w:p>
          <w:p w14:paraId="15131DF5" w14:textId="77777777" w:rsidR="007170C3" w:rsidRPr="008819AF" w:rsidRDefault="007170C3" w:rsidP="0021052F">
            <w:pPr>
              <w:jc w:val="center"/>
              <w:rPr>
                <w:rFonts w:eastAsia="Arial"/>
                <w:lang w:bidi="cs-CZ"/>
              </w:rPr>
            </w:pPr>
          </w:p>
          <w:p w14:paraId="15131DF6" w14:textId="77777777" w:rsidR="007170C3" w:rsidRPr="008819AF" w:rsidRDefault="007170C3" w:rsidP="0021052F">
            <w:pPr>
              <w:jc w:val="center"/>
              <w:rPr>
                <w:rFonts w:eastAsia="Arial"/>
                <w:lang w:bidi="cs-CZ"/>
              </w:rPr>
            </w:pPr>
          </w:p>
          <w:p w14:paraId="15131DF7" w14:textId="77777777" w:rsidR="007170C3" w:rsidRPr="008819AF" w:rsidRDefault="007170C3" w:rsidP="0021052F">
            <w:pPr>
              <w:jc w:val="center"/>
              <w:rPr>
                <w:rFonts w:eastAsia="Arial"/>
                <w:lang w:bidi="cs-CZ"/>
              </w:rPr>
            </w:pPr>
          </w:p>
          <w:p w14:paraId="15131DF8" w14:textId="77777777" w:rsidR="009346B5" w:rsidRPr="008819AF" w:rsidRDefault="009346B5" w:rsidP="0021052F">
            <w:pPr>
              <w:jc w:val="center"/>
              <w:rPr>
                <w:rFonts w:eastAsia="Arial"/>
                <w:lang w:bidi="cs-CZ"/>
              </w:rPr>
            </w:pPr>
          </w:p>
          <w:p w14:paraId="15131DF9" w14:textId="77777777" w:rsidR="007170C3" w:rsidRPr="008819AF" w:rsidRDefault="009346B5" w:rsidP="0021052F">
            <w:pPr>
              <w:jc w:val="center"/>
              <w:rPr>
                <w:rFonts w:eastAsia="Arial"/>
                <w:lang w:bidi="cs-CZ"/>
              </w:rPr>
            </w:pPr>
            <w:r w:rsidRPr="008819AF">
              <w:rPr>
                <w:rFonts w:eastAsia="Arial"/>
                <w:lang w:bidi="cs-CZ"/>
              </w:rPr>
              <w:t>NV2</w:t>
            </w:r>
          </w:p>
          <w:p w14:paraId="15131DFA"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DFB" w14:textId="77777777" w:rsidR="00C04DF6" w:rsidRPr="008819AF" w:rsidRDefault="00C04DF6" w:rsidP="0021052F">
            <w:pPr>
              <w:pStyle w:val="BodyText21"/>
              <w:spacing w:before="0" w:line="240" w:lineRule="auto"/>
              <w:ind w:left="0" w:right="-70" w:firstLine="0"/>
              <w:jc w:val="center"/>
              <w:rPr>
                <w:rFonts w:ascii="Times New Roman" w:hAnsi="Times New Roman" w:cs="Times New Roman"/>
              </w:rPr>
            </w:pPr>
          </w:p>
          <w:p w14:paraId="15131DFC" w14:textId="77777777" w:rsidR="007170C3" w:rsidRPr="008819AF" w:rsidRDefault="00C04DF6"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§10</w:t>
            </w:r>
          </w:p>
          <w:p w14:paraId="15131DFD" w14:textId="77777777" w:rsidR="00C04DF6" w:rsidRPr="008819AF" w:rsidRDefault="00C04DF6"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O4</w:t>
            </w:r>
          </w:p>
          <w:p w14:paraId="15131DFE"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DFF"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E00"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E01"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E02" w14:textId="77777777" w:rsidR="009346B5" w:rsidRPr="008819AF" w:rsidRDefault="009346B5" w:rsidP="0021052F">
            <w:pPr>
              <w:pStyle w:val="BodyText21"/>
              <w:spacing w:before="0" w:line="240" w:lineRule="auto"/>
              <w:ind w:left="0" w:right="-70" w:firstLine="0"/>
              <w:jc w:val="center"/>
              <w:rPr>
                <w:rFonts w:ascii="Times New Roman" w:hAnsi="Times New Roman" w:cs="Times New Roman"/>
              </w:rPr>
            </w:pPr>
          </w:p>
          <w:p w14:paraId="15131E03" w14:textId="77777777" w:rsidR="009346B5" w:rsidRPr="008819AF" w:rsidRDefault="009346B5" w:rsidP="0021052F">
            <w:pPr>
              <w:pStyle w:val="BodyText21"/>
              <w:spacing w:before="0" w:line="240" w:lineRule="auto"/>
              <w:ind w:left="0" w:right="-70" w:firstLine="0"/>
              <w:jc w:val="center"/>
              <w:rPr>
                <w:rFonts w:ascii="Times New Roman" w:hAnsi="Times New Roman" w:cs="Times New Roman"/>
              </w:rPr>
            </w:pPr>
          </w:p>
          <w:p w14:paraId="15131E04" w14:textId="77777777" w:rsidR="009346B5" w:rsidRPr="008819AF" w:rsidRDefault="009346B5" w:rsidP="0021052F">
            <w:pPr>
              <w:pStyle w:val="BodyText21"/>
              <w:spacing w:before="0" w:line="240" w:lineRule="auto"/>
              <w:ind w:left="0" w:right="-70" w:firstLine="0"/>
              <w:jc w:val="center"/>
              <w:rPr>
                <w:rFonts w:ascii="Times New Roman" w:hAnsi="Times New Roman" w:cs="Times New Roman"/>
              </w:rPr>
            </w:pPr>
          </w:p>
          <w:p w14:paraId="15131E05" w14:textId="77777777" w:rsidR="009346B5" w:rsidRPr="008819AF" w:rsidRDefault="009346B5"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Pr.5</w:t>
            </w:r>
          </w:p>
          <w:p w14:paraId="15131E06" w14:textId="77777777" w:rsidR="009346B5" w:rsidRPr="008819AF" w:rsidRDefault="009346B5"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Časť IV</w:t>
            </w:r>
          </w:p>
          <w:p w14:paraId="15131E07" w14:textId="77777777" w:rsidR="009346B5" w:rsidRPr="008819AF" w:rsidRDefault="009346B5" w:rsidP="009346B5">
            <w:pPr>
              <w:pStyle w:val="BodyText21"/>
              <w:spacing w:before="0" w:line="240" w:lineRule="auto"/>
              <w:ind w:left="0" w:right="-70" w:firstLine="0"/>
              <w:rPr>
                <w:rFonts w:ascii="Times New Roman" w:hAnsi="Times New Roman" w:cs="Times New Roman"/>
              </w:rPr>
            </w:pPr>
            <w:r w:rsidRPr="008819AF">
              <w:rPr>
                <w:rFonts w:ascii="Times New Roman" w:hAnsi="Times New Roman" w:cs="Times New Roman"/>
              </w:rPr>
              <w:t>3.2.1</w:t>
            </w:r>
          </w:p>
          <w:p w14:paraId="15131E08"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E09" w14:textId="77777777" w:rsidR="007170C3" w:rsidRPr="008819AF" w:rsidRDefault="007170C3" w:rsidP="00C04DF6">
            <w:pPr>
              <w:pStyle w:val="Hlavika"/>
              <w:ind w:left="72" w:hanging="1"/>
              <w:rPr>
                <w:rFonts w:ascii="Times New Roman" w:hAnsi="Times New Roman" w:cs="Times New Roman"/>
              </w:rPr>
            </w:pPr>
          </w:p>
          <w:p w14:paraId="15131E0A" w14:textId="77777777" w:rsidR="00C04DF6" w:rsidRPr="008819AF" w:rsidRDefault="00C04DF6" w:rsidP="00C04DF6">
            <w:pPr>
              <w:pStyle w:val="Hlavika"/>
              <w:ind w:left="72" w:hanging="1"/>
              <w:rPr>
                <w:rFonts w:ascii="Times New Roman" w:hAnsi="Times New Roman" w:cs="Times New Roman"/>
              </w:rPr>
            </w:pPr>
            <w:r w:rsidRPr="008819AF">
              <w:rPr>
                <w:rFonts w:ascii="Times New Roman" w:hAnsi="Times New Roman" w:cs="Times New Roman"/>
              </w:rPr>
              <w:t>(4) Ak ide o spaľovanie domáceho paliva a ak vzhľadom na vysoký obsah síry v palive spaľovacie zariadenie nie je schopné plniť emisný limit pre oxid siričitý vyjadrený ako hmotnostná koncentrácia, možno naň uplatniť emisný limit vyjadrený ako stupeň odsírenia po predložení technickej správy, ktorou sa preukáže, že zariadenie vzhľadom na povahu paliva nie je schopné plniť emisný limit pre oxid siričitý vyjadrený ako hmotnostná koncentrácia.</w:t>
            </w:r>
          </w:p>
          <w:p w14:paraId="15131E0B" w14:textId="77777777" w:rsidR="00C04DF6" w:rsidRPr="008819AF" w:rsidRDefault="00C04DF6" w:rsidP="0021052F">
            <w:pPr>
              <w:pStyle w:val="Hlavika"/>
              <w:ind w:left="72" w:hanging="1"/>
              <w:rPr>
                <w:rFonts w:ascii="Times New Roman" w:hAnsi="Times New Roman" w:cs="Times New Roman"/>
              </w:rPr>
            </w:pPr>
          </w:p>
          <w:p w14:paraId="15131E0C" w14:textId="77777777" w:rsidR="007170C3" w:rsidRPr="008819AF" w:rsidRDefault="009346B5" w:rsidP="0021052F">
            <w:pPr>
              <w:pStyle w:val="Hlavika"/>
              <w:ind w:left="72" w:hanging="1"/>
              <w:rPr>
                <w:rFonts w:ascii="Times New Roman" w:hAnsi="Times New Roman" w:cs="Times New Roman"/>
                <w:lang w:bidi="cs-CZ"/>
              </w:rPr>
            </w:pPr>
            <w:r w:rsidRPr="008819AF">
              <w:rPr>
                <w:rFonts w:ascii="Times New Roman" w:hAnsi="Times New Roman" w:cs="Times New Roman"/>
              </w:rPr>
              <w:t>Zariadenia na spoluspaľovanie odpadov, ktoré spaľujú domáce tuhé palivo a nie sú schopné plniť emisný limit pre SO</w:t>
            </w:r>
            <w:r w:rsidRPr="008819AF">
              <w:rPr>
                <w:rFonts w:ascii="Times New Roman" w:hAnsi="Times New Roman" w:cs="Times New Roman"/>
                <w:vertAlign w:val="subscript"/>
              </w:rPr>
              <w:t>2,</w:t>
            </w:r>
            <w:r w:rsidRPr="008819AF">
              <w:rPr>
                <w:rFonts w:ascii="Times New Roman" w:hAnsi="Times New Roman" w:cs="Times New Roman"/>
              </w:rPr>
              <w:t xml:space="preserve"> môžu uplatňovať stupeň odsírenia podľa prílohy č. 4 tretej časti bodu 2 a štvrtej časti bodu 1. V takom prípade C</w:t>
            </w:r>
            <w:r w:rsidRPr="008819AF">
              <w:rPr>
                <w:rFonts w:ascii="Times New Roman" w:hAnsi="Times New Roman" w:cs="Times New Roman"/>
                <w:vertAlign w:val="subscript"/>
              </w:rPr>
              <w:t>odpad</w:t>
            </w:r>
            <w:r w:rsidRPr="008819AF">
              <w:rPr>
                <w:rFonts w:ascii="Times New Roman" w:hAnsi="Times New Roman" w:cs="Times New Roman"/>
              </w:rPr>
              <w:t>= 0 mg/m</w:t>
            </w:r>
            <w:r w:rsidRPr="008819AF">
              <w:rPr>
                <w:rFonts w:ascii="Times New Roman" w:hAnsi="Times New Roman" w:cs="Times New Roman"/>
                <w:vertAlign w:val="superscript"/>
              </w:rPr>
              <w:t>3</w:t>
            </w:r>
            <w:r w:rsidRPr="008819AF">
              <w:rPr>
                <w:rFonts w:ascii="Times New Roman" w:hAnsi="Times New Roman" w:cs="Times New Roman"/>
              </w:rPr>
              <w:t>.</w:t>
            </w:r>
          </w:p>
          <w:p w14:paraId="15131E0D" w14:textId="77777777" w:rsidR="007170C3" w:rsidRPr="008819AF" w:rsidRDefault="007170C3" w:rsidP="0021052F">
            <w:pPr>
              <w:ind w:hanging="215"/>
              <w:rPr>
                <w:rFonts w:eastAsia="Arial"/>
                <w:lang w:bidi="cs-CZ"/>
              </w:rPr>
            </w:pPr>
          </w:p>
          <w:p w14:paraId="15131E0E" w14:textId="77777777" w:rsidR="007170C3" w:rsidRPr="008819AF" w:rsidRDefault="007170C3" w:rsidP="0021052F">
            <w:pPr>
              <w:ind w:hanging="215"/>
              <w:rPr>
                <w:rFonts w:eastAsia="Arial"/>
                <w:lang w:bidi="cs-CZ"/>
              </w:rPr>
            </w:pPr>
          </w:p>
          <w:p w14:paraId="15131E0F" w14:textId="77777777" w:rsidR="007170C3" w:rsidRPr="008819AF" w:rsidRDefault="007170C3" w:rsidP="0021052F">
            <w:pPr>
              <w:ind w:hanging="215"/>
              <w:rPr>
                <w:rFonts w:eastAsia="Arial"/>
                <w:lang w:bidi="cs-CZ"/>
              </w:rPr>
            </w:pPr>
          </w:p>
          <w:p w14:paraId="15131E10" w14:textId="77777777" w:rsidR="007170C3" w:rsidRPr="008819AF" w:rsidRDefault="007170C3" w:rsidP="0021052F">
            <w:pPr>
              <w:ind w:hanging="215"/>
              <w:rPr>
                <w:rFonts w:eastAsia="Arial"/>
                <w:lang w:bidi="cs-CZ"/>
              </w:rPr>
            </w:pPr>
          </w:p>
          <w:p w14:paraId="15131E11" w14:textId="77777777" w:rsidR="007170C3" w:rsidRPr="008819AF" w:rsidRDefault="007170C3" w:rsidP="0021052F">
            <w:pPr>
              <w:ind w:hanging="215"/>
              <w:rPr>
                <w:rFonts w:eastAsia="Arial"/>
                <w:lang w:bidi="cs-CZ"/>
              </w:rPr>
            </w:pPr>
          </w:p>
          <w:p w14:paraId="15131E12" w14:textId="77777777" w:rsidR="007170C3" w:rsidRPr="008819AF" w:rsidRDefault="007170C3" w:rsidP="0021052F">
            <w:pPr>
              <w:ind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1E13"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E14" w14:textId="77777777" w:rsidR="007170C3" w:rsidRPr="008819AF" w:rsidRDefault="007170C3" w:rsidP="0021052F">
            <w:pPr>
              <w:ind w:left="215" w:hanging="215"/>
              <w:rPr>
                <w:rFonts w:eastAsia="Arial"/>
                <w:lang w:bidi="cs-CZ"/>
              </w:rPr>
            </w:pPr>
          </w:p>
        </w:tc>
      </w:tr>
      <w:tr w:rsidR="00F80158" w:rsidRPr="008819AF" w14:paraId="15131E66" w14:textId="77777777" w:rsidTr="003E351D">
        <w:trPr>
          <w:trHeight w:val="1248"/>
          <w:jc w:val="center"/>
        </w:trPr>
        <w:tc>
          <w:tcPr>
            <w:tcW w:w="483" w:type="dxa"/>
            <w:tcBorders>
              <w:top w:val="single" w:sz="4" w:space="0" w:color="000000"/>
              <w:left w:val="single" w:sz="6" w:space="0" w:color="000000"/>
              <w:bottom w:val="single" w:sz="4" w:space="0" w:color="000000"/>
              <w:right w:val="single" w:sz="6" w:space="0" w:color="000000"/>
            </w:tcBorders>
          </w:tcPr>
          <w:p w14:paraId="15131E16" w14:textId="77777777" w:rsidR="007170C3" w:rsidRPr="008819AF" w:rsidRDefault="006F0418" w:rsidP="003E351D">
            <w:pPr>
              <w:ind w:right="-70"/>
              <w:rPr>
                <w:rFonts w:eastAsia="Arial"/>
                <w:lang w:bidi="cs-CZ"/>
              </w:rPr>
            </w:pPr>
            <w:r w:rsidRPr="008819AF">
              <w:rPr>
                <w:rFonts w:eastAsia="Arial"/>
                <w:lang w:bidi="cs-CZ"/>
              </w:rPr>
              <w:t>Č:32</w:t>
            </w:r>
          </w:p>
        </w:tc>
        <w:tc>
          <w:tcPr>
            <w:tcW w:w="6227" w:type="dxa"/>
            <w:gridSpan w:val="2"/>
            <w:tcBorders>
              <w:top w:val="single" w:sz="4" w:space="0" w:color="000000"/>
              <w:left w:val="single" w:sz="6" w:space="0" w:color="000000"/>
              <w:bottom w:val="single" w:sz="4" w:space="0" w:color="000000"/>
              <w:right w:val="single" w:sz="6" w:space="0" w:color="000000"/>
            </w:tcBorders>
          </w:tcPr>
          <w:p w14:paraId="15131E17" w14:textId="77777777" w:rsidR="007170C3" w:rsidRPr="008819AF" w:rsidRDefault="006F0418" w:rsidP="0021052F">
            <w:pPr>
              <w:ind w:left="215" w:hanging="215"/>
              <w:rPr>
                <w:rFonts w:eastAsia="Arial"/>
              </w:rPr>
            </w:pPr>
            <w:r w:rsidRPr="008819AF">
              <w:rPr>
                <w:rFonts w:eastAsia="Arial"/>
              </w:rPr>
              <w:t>Článok 32</w:t>
            </w:r>
          </w:p>
          <w:p w14:paraId="15131E18" w14:textId="77777777" w:rsidR="007170C3" w:rsidRPr="008819AF" w:rsidRDefault="006F0418" w:rsidP="0021052F">
            <w:pPr>
              <w:ind w:left="215" w:hanging="215"/>
              <w:rPr>
                <w:rFonts w:eastAsia="Arial"/>
              </w:rPr>
            </w:pPr>
            <w:r w:rsidRPr="008819AF">
              <w:rPr>
                <w:rFonts w:eastAsia="Arial"/>
              </w:rPr>
              <w:t>Prechodné národné programy</w:t>
            </w:r>
          </w:p>
          <w:p w14:paraId="15131E19" w14:textId="77777777" w:rsidR="007170C3" w:rsidRPr="008819AF" w:rsidRDefault="006F0418" w:rsidP="0021052F">
            <w:pPr>
              <w:ind w:left="215" w:hanging="215"/>
              <w:rPr>
                <w:rFonts w:eastAsia="Arial"/>
              </w:rPr>
            </w:pPr>
            <w:r w:rsidRPr="008819AF">
              <w:rPr>
                <w:rFonts w:eastAsia="Arial"/>
              </w:rPr>
              <w:t>1. Členské štáty môžu od 1. januára 2016 do 30. júna 2020 vypracovať a zaviesť prechodný národný program zahŕňajúci spaľovacie zariadenia, pre ktoré bolo udelené prvé povolenie pred27. novembrom 2002, alebo ktorého prevádzkovatelia podali úplnú žiadosť o povolenie pred týmto dátumom, za predpokladu, že zariadenie sa uviedlo do prevádzkovaní najneskôr 27. novembra 2003. Program sa v prípade všetkých spaľovacích zariadení do neho zahrnutých týka emisií jednej alebo viacerých z týchto znečisťujúcich látok: oxidy dusíka, oxid siričitý a prach. V prípade plynových turbín sa do programu zahrnú iba emisie oxidov dusíka.</w:t>
            </w:r>
          </w:p>
          <w:p w14:paraId="15131E1A" w14:textId="77777777" w:rsidR="007170C3" w:rsidRPr="008819AF" w:rsidRDefault="006F0418" w:rsidP="00003DE9">
            <w:pPr>
              <w:spacing w:before="120"/>
              <w:ind w:left="215" w:hanging="1"/>
              <w:rPr>
                <w:rFonts w:eastAsia="Arial"/>
              </w:rPr>
            </w:pPr>
            <w:r w:rsidRPr="008819AF">
              <w:rPr>
                <w:rFonts w:eastAsia="Arial"/>
              </w:rPr>
              <w:t>Prechodný národný program nezahŕňa žiadne z nasledovných spaľovacích zariadení:</w:t>
            </w:r>
          </w:p>
          <w:p w14:paraId="15131E1B" w14:textId="77777777" w:rsidR="007170C3" w:rsidRPr="008819AF" w:rsidRDefault="006F0418" w:rsidP="009C63CF">
            <w:pPr>
              <w:numPr>
                <w:ilvl w:val="0"/>
                <w:numId w:val="23"/>
              </w:numPr>
              <w:spacing w:before="120"/>
              <w:ind w:left="497" w:hanging="283"/>
              <w:rPr>
                <w:rFonts w:eastAsia="Arial"/>
              </w:rPr>
            </w:pPr>
            <w:r w:rsidRPr="008819AF">
              <w:rPr>
                <w:rFonts w:eastAsia="Arial"/>
              </w:rPr>
              <w:t>zariadenia ktoré sa uplatňuje článok 33 ods. 1;</w:t>
            </w:r>
          </w:p>
          <w:p w14:paraId="15131E1C" w14:textId="77777777" w:rsidR="007170C3" w:rsidRPr="008819AF" w:rsidRDefault="006F0418" w:rsidP="009C63CF">
            <w:pPr>
              <w:numPr>
                <w:ilvl w:val="0"/>
                <w:numId w:val="23"/>
              </w:numPr>
              <w:spacing w:before="120"/>
              <w:ind w:left="497" w:hanging="283"/>
              <w:rPr>
                <w:rFonts w:eastAsia="Arial"/>
              </w:rPr>
            </w:pPr>
            <w:r w:rsidRPr="008819AF">
              <w:rPr>
                <w:rFonts w:eastAsia="Arial"/>
              </w:rPr>
              <w:t xml:space="preserve">zariadenia v rafinériách spaľujúcich nízkovýhrevné plyny zo splyňovania rafinérskych zvyškov alebo zvyšky z destilácie a </w:t>
            </w:r>
            <w:r w:rsidRPr="008819AF">
              <w:rPr>
                <w:rFonts w:eastAsia="Arial"/>
              </w:rPr>
              <w:lastRenderedPageBreak/>
              <w:t>konverzie z rafinácie ropy pre vlastnú spotrebu samostatne alebo s iným palivom;</w:t>
            </w:r>
          </w:p>
          <w:p w14:paraId="15131E1D" w14:textId="77777777" w:rsidR="007170C3" w:rsidRPr="008819AF" w:rsidRDefault="006F0418" w:rsidP="009C63CF">
            <w:pPr>
              <w:numPr>
                <w:ilvl w:val="0"/>
                <w:numId w:val="23"/>
              </w:numPr>
              <w:spacing w:before="120"/>
              <w:ind w:left="497" w:hanging="283"/>
              <w:rPr>
                <w:rFonts w:eastAsia="Arial"/>
              </w:rPr>
            </w:pPr>
            <w:r w:rsidRPr="008819AF">
              <w:rPr>
                <w:rFonts w:eastAsia="Arial"/>
              </w:rPr>
              <w:t>zariadenia, na ktoré, na</w:t>
            </w:r>
          </w:p>
          <w:p w14:paraId="15131E1E" w14:textId="77777777" w:rsidR="007170C3" w:rsidRPr="008819AF" w:rsidRDefault="006F0418" w:rsidP="009C63CF">
            <w:pPr>
              <w:numPr>
                <w:ilvl w:val="0"/>
                <w:numId w:val="23"/>
              </w:numPr>
              <w:spacing w:before="120"/>
              <w:ind w:left="497" w:hanging="283"/>
              <w:rPr>
                <w:rFonts w:eastAsia="Arial"/>
              </w:rPr>
            </w:pPr>
            <w:r w:rsidRPr="008819AF">
              <w:rPr>
                <w:rFonts w:eastAsia="Arial"/>
              </w:rPr>
              <w:t>sa uplatňuje článok 35;</w:t>
            </w:r>
          </w:p>
          <w:p w14:paraId="15131E1F" w14:textId="77777777" w:rsidR="007170C3" w:rsidRPr="008819AF" w:rsidRDefault="006F0418" w:rsidP="009C63CF">
            <w:pPr>
              <w:numPr>
                <w:ilvl w:val="0"/>
                <w:numId w:val="23"/>
              </w:numPr>
              <w:spacing w:before="120"/>
              <w:ind w:left="497" w:hanging="283"/>
              <w:rPr>
                <w:rFonts w:eastAsia="Arial"/>
              </w:rPr>
            </w:pPr>
            <w:r w:rsidRPr="008819AF">
              <w:rPr>
                <w:rFonts w:eastAsia="Arial"/>
              </w:rPr>
              <w:t>zariadenia, ktorým bola udelená výnimka podľa článku 4 ods. 4 smernice 2001/80/ES.</w:t>
            </w:r>
          </w:p>
          <w:p w14:paraId="15131E20" w14:textId="77777777" w:rsidR="007170C3" w:rsidRPr="008819AF" w:rsidRDefault="006F0418" w:rsidP="00003DE9">
            <w:pPr>
              <w:spacing w:before="120"/>
              <w:ind w:left="215" w:hanging="215"/>
              <w:rPr>
                <w:rFonts w:eastAsia="Arial"/>
              </w:rPr>
            </w:pPr>
            <w:r w:rsidRPr="008819AF">
              <w:rPr>
                <w:rFonts w:eastAsia="Arial"/>
              </w:rPr>
              <w:t>2. Spaľovacie zariadenia zahrnuté do programu môžu byť vyňaté z povinnosti dodržiavať emisné limity uvedené v článku 30 ods. 2 v prípade znečisťujúcich látok zahrnutých do programu alebo prípadne z povinnosti dodržiavať stupne odsírenia uvedené v článku 31.</w:t>
            </w:r>
          </w:p>
          <w:p w14:paraId="15131E21" w14:textId="77777777" w:rsidR="007170C3" w:rsidRPr="008819AF" w:rsidRDefault="006F0418" w:rsidP="00003DE9">
            <w:pPr>
              <w:spacing w:before="120"/>
              <w:ind w:left="215" w:hanging="1"/>
              <w:rPr>
                <w:rFonts w:eastAsia="Arial"/>
              </w:rPr>
            </w:pPr>
            <w:r w:rsidRPr="008819AF">
              <w:rPr>
                <w:rFonts w:eastAsia="Arial"/>
              </w:rPr>
              <w:t>Minimálne sa dodržiavajú emisné limity oxidu siričitého, oxidov dusíka a prachu stanovené v povolení spaľovacieho zariadenia platnom k 31. decembru 2015 v súlade najmä s požiadavkami smerníc 2001/80/ES a 2008/1/ES.</w:t>
            </w:r>
          </w:p>
          <w:p w14:paraId="15131E22" w14:textId="77777777" w:rsidR="007170C3" w:rsidRPr="008819AF" w:rsidRDefault="006F0418" w:rsidP="00003DE9">
            <w:pPr>
              <w:spacing w:before="120"/>
              <w:ind w:left="215" w:hanging="1"/>
              <w:rPr>
                <w:rFonts w:eastAsia="Arial"/>
              </w:rPr>
            </w:pPr>
            <w:r w:rsidRPr="008819AF">
              <w:rPr>
                <w:rFonts w:eastAsia="Arial"/>
              </w:rPr>
              <w:t>Spaľovacie zariadenia s celkovým menovitým tepelným príkonom viac ako 500 MW spaľujúce tuhé palivá, ktorým sa prvé povolenie udelilo po 1. júli 1987, dodržiavajú emisné limity pre oxidy dusíka stanovené v prílohe V časť 1.</w:t>
            </w:r>
          </w:p>
          <w:p w14:paraId="15131E23" w14:textId="77777777" w:rsidR="007170C3" w:rsidRPr="008819AF" w:rsidRDefault="006F0418" w:rsidP="00003DE9">
            <w:pPr>
              <w:spacing w:before="120"/>
              <w:ind w:left="215" w:hanging="215"/>
              <w:rPr>
                <w:rFonts w:eastAsia="Arial"/>
              </w:rPr>
            </w:pPr>
            <w:r w:rsidRPr="008819AF">
              <w:rPr>
                <w:rFonts w:eastAsia="Arial"/>
              </w:rPr>
              <w:t>3. Pre každú zo znečisťujúcich látok, ktoré prechodný národný program zahŕňa, program stanoví strop stanovujúci maximálne celkové ročné emisie pre všetky zariadenia zahrnuté do programu na základe celkového menovitého tepelného príkonu každého zariadenia k 31. decembru 2010, jeho skutočných ročných prevádzkových hodín a používaného paliva, a to podľa priemeru za posledných desať rokov prevádzkovaní do roku 2010 vrátane.</w:t>
            </w:r>
          </w:p>
          <w:p w14:paraId="15131E24" w14:textId="77777777" w:rsidR="007170C3" w:rsidRPr="008819AF" w:rsidRDefault="006F0418" w:rsidP="00003DE9">
            <w:pPr>
              <w:spacing w:before="120"/>
              <w:ind w:left="215" w:hanging="1"/>
              <w:rPr>
                <w:rFonts w:eastAsia="Arial"/>
              </w:rPr>
            </w:pPr>
            <w:r w:rsidRPr="008819AF">
              <w:rPr>
                <w:rFonts w:eastAsia="Arial"/>
              </w:rPr>
              <w:t>Strop na rok 2016 sa vypočíta na základe relevantných emisných limitov stanovených v prílohách III až VII k smernici 2001/80/ES alebo prípadne na základe stupňov odsírenia stanovených v prílohe III k smernici 2001/80/ES. V prípade plynových turbín sa použijú emisné limity pre oxidy dusíka stanovené pre takéto zariadenia v časti B prílohy VI k smernici 2001/80/ES. Stropy na roky 2019 a 2020 sa vypočítajú na základe relevantných emisných limitov stanovených v časti 1 prílohy V k tejto smernici alebo prípadne na základe relevantných stupňov odsírenia stanovených v časti 5 prílohy V k tejto smernici. Stropy na roky 2017 a 2018 sa stanovia tak, že sa lineárne znížia stropy medzi rokmi 2016 a 2019.</w:t>
            </w:r>
          </w:p>
          <w:p w14:paraId="15131E25" w14:textId="77777777" w:rsidR="007170C3" w:rsidRPr="008819AF" w:rsidRDefault="006F0418" w:rsidP="00003DE9">
            <w:pPr>
              <w:spacing w:before="120"/>
              <w:ind w:left="215" w:hanging="1"/>
              <w:rPr>
                <w:rFonts w:eastAsia="Arial"/>
              </w:rPr>
            </w:pPr>
            <w:r w:rsidRPr="008819AF">
              <w:rPr>
                <w:rFonts w:eastAsia="Arial"/>
              </w:rPr>
              <w:lastRenderedPageBreak/>
              <w:t>Zatvorenie zariadenia zahrnutého do prechodného národného programu alebo skutočnosť, že už nespadá do rozsahu pôsobnosti kapitoly III, nesmie mať za následok zvýšenie celkových ročných emisií zo zvyšných zariadení zahrnutých do programu.</w:t>
            </w:r>
          </w:p>
          <w:p w14:paraId="15131E26" w14:textId="77777777" w:rsidR="007170C3" w:rsidRPr="008819AF" w:rsidRDefault="006F0418" w:rsidP="00003DE9">
            <w:pPr>
              <w:spacing w:before="120"/>
              <w:ind w:left="215" w:hanging="215"/>
              <w:rPr>
                <w:rFonts w:eastAsia="Arial"/>
              </w:rPr>
            </w:pPr>
            <w:r w:rsidRPr="008819AF">
              <w:rPr>
                <w:rFonts w:eastAsia="Arial"/>
              </w:rPr>
              <w:t>4. Prechodný národný program obsahuje aj ustanovenia o monitorovaní a podávaní správ, ktoré sú v súlade s vykonávacími pravidlami stanovenými v súlade s článkom 41 písm. b), ako aj opatrenia plánované pre každé zariadenie v záujme včasného dodržania emisných limitov, ktoré sa majú uplatňovať od1. júla 2020.</w:t>
            </w:r>
          </w:p>
          <w:p w14:paraId="15131E27" w14:textId="77777777" w:rsidR="007170C3" w:rsidRPr="008819AF" w:rsidRDefault="006F0418" w:rsidP="00003DE9">
            <w:pPr>
              <w:spacing w:before="120"/>
              <w:ind w:left="215" w:hanging="215"/>
              <w:rPr>
                <w:rFonts w:eastAsia="Arial"/>
              </w:rPr>
            </w:pPr>
            <w:r w:rsidRPr="008819AF">
              <w:rPr>
                <w:rFonts w:eastAsia="Arial"/>
              </w:rPr>
              <w:t>5. Členské štáty oznámia Komisii najneskôr 1. januára 2013 svoje prechodné národné programy.</w:t>
            </w:r>
          </w:p>
          <w:p w14:paraId="15131E28" w14:textId="77777777" w:rsidR="007170C3" w:rsidRPr="008819AF" w:rsidRDefault="006F0418" w:rsidP="00003DE9">
            <w:pPr>
              <w:spacing w:before="120"/>
              <w:ind w:left="215" w:hanging="1"/>
              <w:rPr>
                <w:rFonts w:eastAsia="Arial"/>
              </w:rPr>
            </w:pPr>
            <w:r w:rsidRPr="008819AF">
              <w:rPr>
                <w:rFonts w:eastAsia="Arial"/>
              </w:rPr>
              <w:t>Komisia programy posúdi a ak Komisia do 12 mesiacov od doručenia programu nevznesie námietku, dotknutý členský štát považuje svoj program za prijatý.</w:t>
            </w:r>
          </w:p>
          <w:p w14:paraId="15131E29" w14:textId="77777777" w:rsidR="007170C3" w:rsidRPr="008819AF" w:rsidRDefault="006F0418" w:rsidP="00FA4AE4">
            <w:pPr>
              <w:spacing w:before="120"/>
              <w:ind w:left="215" w:hanging="1"/>
              <w:rPr>
                <w:rFonts w:eastAsia="Arial"/>
              </w:rPr>
            </w:pPr>
            <w:r w:rsidRPr="008819AF">
              <w:rPr>
                <w:rFonts w:eastAsia="Arial"/>
              </w:rPr>
              <w:t>Ak sa Komisia domnieva, že program nie je v súlade s vykonávacími pravidlami stanovenými v súlade s článkom 41 písm. b), informuje dotknutý členský štát, že jeho program nemožno prijať. Lehota uvedená v druhom pododseku vo vzťahu k hodnoteniu novej verzie programu, ktorý členský štát oznámi Komisii, je šesť mesiacov.</w:t>
            </w:r>
          </w:p>
          <w:p w14:paraId="15131E2A" w14:textId="77777777" w:rsidR="007170C3" w:rsidRPr="008819AF" w:rsidRDefault="006F0418" w:rsidP="00FA4AE4">
            <w:pPr>
              <w:spacing w:before="120"/>
              <w:ind w:left="215" w:hanging="215"/>
              <w:rPr>
                <w:rFonts w:eastAsia="Arial"/>
              </w:rPr>
            </w:pPr>
            <w:r w:rsidRPr="008819AF">
              <w:rPr>
                <w:rFonts w:eastAsia="Arial"/>
              </w:rPr>
              <w:t>6. Členské štáty informujú Komisiu o akýchkoľvek neskorších zmenách v programe.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E2B" w14:textId="77777777" w:rsidR="007170C3" w:rsidRPr="008819AF" w:rsidRDefault="007170C3" w:rsidP="0021052F">
            <w:pPr>
              <w:ind w:left="-70" w:right="-68" w:hanging="6"/>
              <w:jc w:val="center"/>
              <w:rPr>
                <w:rFonts w:eastAsia="Arial"/>
                <w:lang w:bidi="cs-CZ"/>
              </w:rPr>
            </w:pPr>
          </w:p>
          <w:p w14:paraId="73F8FDE4" w14:textId="77777777" w:rsidR="00BB4CD9" w:rsidRPr="008819AF" w:rsidRDefault="00BB4CD9" w:rsidP="00BB4CD9">
            <w:pPr>
              <w:ind w:left="-70" w:right="-68" w:hanging="6"/>
              <w:jc w:val="center"/>
              <w:rPr>
                <w:rFonts w:eastAsia="Arial"/>
                <w:lang w:bidi="cs-CZ"/>
              </w:rPr>
            </w:pPr>
          </w:p>
          <w:p w14:paraId="15131E2C" w14:textId="323114A2" w:rsidR="007170C3" w:rsidRPr="008819AF" w:rsidRDefault="00BB4CD9" w:rsidP="00BB4CD9">
            <w:pPr>
              <w:ind w:left="-70" w:right="-68" w:hanging="6"/>
              <w:jc w:val="center"/>
              <w:rPr>
                <w:rFonts w:eastAsia="Arial"/>
                <w:lang w:bidi="cs-CZ"/>
              </w:rPr>
            </w:pPr>
            <w:r w:rsidRPr="008819AF">
              <w:rPr>
                <w:rFonts w:eastAsia="Arial"/>
                <w:lang w:bidi="cs-CZ"/>
              </w:rPr>
              <w:t>n.a.</w:t>
            </w:r>
          </w:p>
          <w:p w14:paraId="15131E2D" w14:textId="77777777" w:rsidR="007170C3" w:rsidRPr="008819AF" w:rsidRDefault="007170C3" w:rsidP="0021052F">
            <w:pPr>
              <w:ind w:left="-70" w:right="-68" w:hanging="6"/>
              <w:jc w:val="center"/>
              <w:rPr>
                <w:rFonts w:eastAsia="Arial"/>
                <w:lang w:bidi="cs-CZ"/>
              </w:rPr>
            </w:pPr>
          </w:p>
          <w:p w14:paraId="15131E2E" w14:textId="77777777" w:rsidR="007170C3" w:rsidRPr="008819AF" w:rsidRDefault="007170C3" w:rsidP="0021052F">
            <w:pPr>
              <w:ind w:left="-70" w:right="-68" w:hanging="6"/>
              <w:jc w:val="center"/>
              <w:rPr>
                <w:rFonts w:eastAsia="Arial"/>
                <w:lang w:bidi="cs-CZ"/>
              </w:rPr>
            </w:pPr>
          </w:p>
          <w:p w14:paraId="15131E2F" w14:textId="77777777" w:rsidR="007170C3" w:rsidRPr="008819AF" w:rsidRDefault="007170C3" w:rsidP="0021052F">
            <w:pPr>
              <w:ind w:left="-70" w:right="-68" w:hanging="6"/>
              <w:jc w:val="center"/>
              <w:rPr>
                <w:rFonts w:eastAsia="Arial"/>
                <w:lang w:bidi="cs-CZ"/>
              </w:rPr>
            </w:pPr>
          </w:p>
          <w:p w14:paraId="15131E30" w14:textId="77777777" w:rsidR="007170C3" w:rsidRPr="008819AF" w:rsidRDefault="007170C3" w:rsidP="0021052F">
            <w:pPr>
              <w:ind w:left="-70" w:right="-68" w:hanging="6"/>
              <w:jc w:val="center"/>
              <w:rPr>
                <w:rFonts w:eastAsia="Arial"/>
                <w:lang w:bidi="cs-CZ"/>
              </w:rPr>
            </w:pPr>
          </w:p>
          <w:p w14:paraId="15131E31" w14:textId="77777777" w:rsidR="007170C3" w:rsidRPr="008819AF" w:rsidRDefault="007170C3" w:rsidP="0021052F">
            <w:pPr>
              <w:ind w:left="-70" w:right="-68" w:hanging="6"/>
              <w:jc w:val="center"/>
              <w:rPr>
                <w:rFonts w:eastAsia="Arial"/>
                <w:lang w:bidi="cs-CZ"/>
              </w:rPr>
            </w:pPr>
          </w:p>
          <w:p w14:paraId="15131E32" w14:textId="77777777" w:rsidR="007170C3" w:rsidRPr="008819AF" w:rsidRDefault="007170C3" w:rsidP="0021052F">
            <w:pPr>
              <w:ind w:left="-70" w:right="-68" w:hanging="6"/>
              <w:jc w:val="center"/>
              <w:rPr>
                <w:rFonts w:eastAsia="Arial"/>
                <w:lang w:bidi="cs-CZ"/>
              </w:rPr>
            </w:pPr>
          </w:p>
          <w:p w14:paraId="15131E33" w14:textId="77777777" w:rsidR="007170C3" w:rsidRPr="008819AF" w:rsidRDefault="007170C3" w:rsidP="0021052F">
            <w:pPr>
              <w:ind w:left="-70" w:right="-68" w:hanging="6"/>
              <w:jc w:val="center"/>
              <w:rPr>
                <w:rFonts w:eastAsia="Arial"/>
                <w:lang w:bidi="cs-CZ"/>
              </w:rPr>
            </w:pPr>
          </w:p>
          <w:p w14:paraId="15131E34" w14:textId="77777777" w:rsidR="007170C3" w:rsidRPr="008819AF" w:rsidRDefault="007170C3" w:rsidP="0021052F">
            <w:pPr>
              <w:ind w:left="-70" w:right="-68" w:hanging="6"/>
              <w:jc w:val="center"/>
              <w:rPr>
                <w:rFonts w:eastAsia="Arial"/>
                <w:lang w:bidi="cs-CZ"/>
              </w:rPr>
            </w:pPr>
          </w:p>
          <w:p w14:paraId="15131E35" w14:textId="77777777" w:rsidR="007170C3" w:rsidRPr="008819AF" w:rsidRDefault="007170C3" w:rsidP="0021052F">
            <w:pPr>
              <w:ind w:left="-70" w:right="-68" w:hanging="6"/>
              <w:jc w:val="center"/>
              <w:rPr>
                <w:rFonts w:eastAsia="Arial"/>
                <w:lang w:bidi="cs-CZ"/>
              </w:rPr>
            </w:pPr>
          </w:p>
          <w:p w14:paraId="15131E36" w14:textId="77777777" w:rsidR="007170C3" w:rsidRPr="008819AF" w:rsidRDefault="007170C3" w:rsidP="0021052F">
            <w:pPr>
              <w:ind w:left="-70" w:right="-68" w:hanging="6"/>
              <w:jc w:val="center"/>
              <w:rPr>
                <w:rFonts w:eastAsia="Arial"/>
                <w:lang w:bidi="cs-CZ"/>
              </w:rPr>
            </w:pPr>
          </w:p>
          <w:p w14:paraId="15131E37" w14:textId="77777777" w:rsidR="007170C3" w:rsidRPr="008819AF" w:rsidRDefault="007170C3" w:rsidP="0021052F">
            <w:pPr>
              <w:ind w:left="-70" w:right="-68" w:hanging="6"/>
              <w:jc w:val="center"/>
              <w:rPr>
                <w:rFonts w:eastAsia="Arial"/>
                <w:lang w:bidi="cs-CZ"/>
              </w:rPr>
            </w:pPr>
          </w:p>
          <w:p w14:paraId="15131E38" w14:textId="77777777" w:rsidR="007170C3" w:rsidRPr="008819AF" w:rsidRDefault="007170C3" w:rsidP="0021052F">
            <w:pPr>
              <w:ind w:left="-70" w:right="-68" w:hanging="6"/>
              <w:jc w:val="center"/>
              <w:rPr>
                <w:rFonts w:eastAsia="Arial"/>
                <w:lang w:bidi="cs-CZ"/>
              </w:rPr>
            </w:pPr>
          </w:p>
          <w:p w14:paraId="15131E39" w14:textId="77777777" w:rsidR="007170C3" w:rsidRPr="008819AF" w:rsidRDefault="007170C3" w:rsidP="0021052F">
            <w:pPr>
              <w:ind w:left="-70" w:right="-68" w:hanging="6"/>
              <w:jc w:val="center"/>
              <w:rPr>
                <w:rFonts w:eastAsia="Arial"/>
                <w:lang w:bidi="cs-CZ"/>
              </w:rPr>
            </w:pPr>
          </w:p>
          <w:p w14:paraId="15131E3A" w14:textId="77777777" w:rsidR="007170C3" w:rsidRPr="008819AF" w:rsidRDefault="007170C3" w:rsidP="0021052F">
            <w:pPr>
              <w:ind w:left="-70" w:right="-68" w:hanging="6"/>
              <w:jc w:val="center"/>
              <w:rPr>
                <w:rFonts w:eastAsia="Arial"/>
                <w:lang w:bidi="cs-CZ"/>
              </w:rPr>
            </w:pPr>
          </w:p>
          <w:p w14:paraId="15131E3B" w14:textId="77777777" w:rsidR="007170C3" w:rsidRPr="008819AF" w:rsidRDefault="007170C3" w:rsidP="0021052F">
            <w:pPr>
              <w:ind w:left="-70" w:right="-68" w:hanging="6"/>
              <w:jc w:val="center"/>
              <w:rPr>
                <w:rFonts w:eastAsia="Arial"/>
                <w:lang w:bidi="cs-CZ"/>
              </w:rPr>
            </w:pPr>
          </w:p>
          <w:p w14:paraId="15131E3C" w14:textId="77777777" w:rsidR="007170C3" w:rsidRPr="008819AF" w:rsidRDefault="007170C3" w:rsidP="0021052F">
            <w:pPr>
              <w:ind w:left="-70" w:right="-68" w:hanging="6"/>
              <w:jc w:val="center"/>
              <w:rPr>
                <w:rFonts w:eastAsia="Arial"/>
                <w:lang w:bidi="cs-CZ"/>
              </w:rPr>
            </w:pPr>
          </w:p>
          <w:p w14:paraId="15131E3D" w14:textId="77777777" w:rsidR="007170C3" w:rsidRPr="008819AF" w:rsidRDefault="007170C3" w:rsidP="0021052F">
            <w:pPr>
              <w:ind w:left="-70" w:right="-68" w:hanging="6"/>
              <w:jc w:val="center"/>
              <w:rPr>
                <w:rFonts w:eastAsia="Arial"/>
                <w:lang w:bidi="cs-CZ"/>
              </w:rPr>
            </w:pPr>
          </w:p>
          <w:p w14:paraId="15131E3E" w14:textId="77777777" w:rsidR="007170C3" w:rsidRPr="008819AF" w:rsidRDefault="007170C3" w:rsidP="0021052F">
            <w:pPr>
              <w:ind w:left="-70" w:right="-68" w:hanging="6"/>
              <w:jc w:val="center"/>
              <w:rPr>
                <w:rFonts w:eastAsia="Arial"/>
                <w:lang w:bidi="cs-CZ"/>
              </w:rPr>
            </w:pPr>
          </w:p>
          <w:p w14:paraId="15131E3F" w14:textId="77777777" w:rsidR="007170C3" w:rsidRPr="008819AF" w:rsidRDefault="007170C3" w:rsidP="0021052F">
            <w:pPr>
              <w:ind w:left="-70" w:right="-68" w:hanging="6"/>
              <w:jc w:val="center"/>
              <w:rPr>
                <w:rFonts w:eastAsia="Arial"/>
                <w:lang w:bidi="cs-CZ"/>
              </w:rPr>
            </w:pPr>
          </w:p>
          <w:p w14:paraId="15131E40" w14:textId="77777777" w:rsidR="007170C3" w:rsidRPr="008819AF" w:rsidRDefault="007170C3" w:rsidP="0021052F">
            <w:pPr>
              <w:ind w:left="-70" w:right="-68" w:hanging="6"/>
              <w:jc w:val="center"/>
              <w:rPr>
                <w:rFonts w:eastAsia="Arial"/>
                <w:lang w:bidi="cs-CZ"/>
              </w:rPr>
            </w:pPr>
          </w:p>
          <w:p w14:paraId="15131E41" w14:textId="77777777" w:rsidR="007170C3" w:rsidRPr="008819AF" w:rsidRDefault="007170C3" w:rsidP="0021052F">
            <w:pPr>
              <w:ind w:left="-70" w:right="-68" w:hanging="6"/>
              <w:jc w:val="center"/>
              <w:rPr>
                <w:rFonts w:eastAsia="Arial"/>
                <w:lang w:bidi="cs-CZ"/>
              </w:rPr>
            </w:pPr>
          </w:p>
          <w:p w14:paraId="15131E42" w14:textId="77777777" w:rsidR="007170C3" w:rsidRPr="008819AF" w:rsidRDefault="007170C3" w:rsidP="0021052F">
            <w:pPr>
              <w:ind w:left="-70" w:right="-68" w:hanging="6"/>
              <w:jc w:val="center"/>
              <w:rPr>
                <w:rFonts w:eastAsia="Arial"/>
                <w:lang w:bidi="cs-CZ"/>
              </w:rPr>
            </w:pPr>
          </w:p>
          <w:p w14:paraId="15131E43" w14:textId="77777777" w:rsidR="007170C3" w:rsidRPr="008819AF" w:rsidRDefault="007170C3" w:rsidP="0021052F">
            <w:pPr>
              <w:ind w:left="-70" w:right="-68" w:hanging="6"/>
              <w:jc w:val="center"/>
              <w:rPr>
                <w:rFonts w:eastAsia="Arial"/>
                <w:lang w:bidi="cs-CZ"/>
              </w:rPr>
            </w:pPr>
          </w:p>
          <w:p w14:paraId="15131E44" w14:textId="77777777" w:rsidR="007170C3" w:rsidRPr="008819AF" w:rsidRDefault="007170C3" w:rsidP="0021052F">
            <w:pPr>
              <w:ind w:left="-70" w:right="-68" w:hanging="6"/>
              <w:jc w:val="center"/>
              <w:rPr>
                <w:rFonts w:eastAsia="Arial"/>
                <w:lang w:bidi="cs-CZ"/>
              </w:rPr>
            </w:pPr>
          </w:p>
          <w:p w14:paraId="15131E45" w14:textId="77777777" w:rsidR="007170C3" w:rsidRPr="008819AF" w:rsidRDefault="007170C3" w:rsidP="0021052F">
            <w:pPr>
              <w:ind w:left="-70" w:right="-68" w:hanging="6"/>
              <w:jc w:val="center"/>
              <w:rPr>
                <w:rFonts w:eastAsia="Arial"/>
                <w:lang w:bidi="cs-CZ"/>
              </w:rPr>
            </w:pPr>
          </w:p>
          <w:p w14:paraId="15131E46" w14:textId="77777777" w:rsidR="007170C3" w:rsidRPr="008819AF" w:rsidRDefault="007170C3" w:rsidP="0021052F">
            <w:pPr>
              <w:ind w:left="-70" w:right="-68" w:hanging="6"/>
              <w:jc w:val="center"/>
              <w:rPr>
                <w:rFonts w:eastAsia="Arial"/>
                <w:lang w:bidi="cs-CZ"/>
              </w:rPr>
            </w:pPr>
          </w:p>
          <w:p w14:paraId="15131E47" w14:textId="77777777" w:rsidR="007170C3" w:rsidRPr="008819AF" w:rsidRDefault="007170C3" w:rsidP="0021052F">
            <w:pPr>
              <w:ind w:left="-70" w:right="-68" w:hanging="6"/>
              <w:jc w:val="center"/>
              <w:rPr>
                <w:rFonts w:eastAsia="Arial"/>
                <w:lang w:bidi="cs-CZ"/>
              </w:rPr>
            </w:pPr>
          </w:p>
          <w:p w14:paraId="15131E48" w14:textId="77777777" w:rsidR="007170C3" w:rsidRPr="008819AF" w:rsidRDefault="007170C3" w:rsidP="0021052F">
            <w:pPr>
              <w:ind w:left="-70" w:right="-68" w:hanging="6"/>
              <w:jc w:val="center"/>
              <w:rPr>
                <w:rFonts w:eastAsia="Arial"/>
                <w:lang w:bidi="cs-CZ"/>
              </w:rPr>
            </w:pPr>
          </w:p>
          <w:p w14:paraId="15131E49" w14:textId="77777777" w:rsidR="007170C3" w:rsidRPr="008819AF" w:rsidRDefault="007170C3" w:rsidP="0021052F">
            <w:pPr>
              <w:ind w:left="-70" w:right="-68" w:hanging="6"/>
              <w:jc w:val="center"/>
              <w:rPr>
                <w:rFonts w:eastAsia="Arial"/>
                <w:lang w:bidi="cs-CZ"/>
              </w:rPr>
            </w:pPr>
          </w:p>
          <w:p w14:paraId="15131E4A" w14:textId="77777777" w:rsidR="007170C3" w:rsidRPr="008819AF" w:rsidRDefault="007170C3" w:rsidP="0021052F">
            <w:pPr>
              <w:ind w:left="-70" w:right="-68" w:hanging="6"/>
              <w:jc w:val="center"/>
              <w:rPr>
                <w:rFonts w:eastAsia="Arial"/>
                <w:lang w:bidi="cs-CZ"/>
              </w:rPr>
            </w:pPr>
          </w:p>
          <w:p w14:paraId="15131E4B" w14:textId="77777777" w:rsidR="007170C3" w:rsidRPr="008819AF" w:rsidRDefault="007170C3" w:rsidP="0021052F">
            <w:pPr>
              <w:ind w:left="-70" w:right="-68" w:hanging="6"/>
              <w:jc w:val="center"/>
              <w:rPr>
                <w:rFonts w:eastAsia="Arial"/>
                <w:lang w:bidi="cs-CZ"/>
              </w:rPr>
            </w:pPr>
          </w:p>
          <w:p w14:paraId="15131E4C" w14:textId="77777777" w:rsidR="007170C3" w:rsidRPr="008819AF" w:rsidRDefault="007170C3" w:rsidP="0021052F">
            <w:pPr>
              <w:ind w:left="-70" w:right="-68" w:hanging="6"/>
              <w:jc w:val="center"/>
              <w:rPr>
                <w:rFonts w:eastAsia="Arial"/>
                <w:lang w:bidi="cs-CZ"/>
              </w:rPr>
            </w:pPr>
          </w:p>
          <w:p w14:paraId="15131E4D" w14:textId="77777777" w:rsidR="007170C3" w:rsidRPr="008819AF" w:rsidRDefault="007170C3" w:rsidP="0021052F">
            <w:pPr>
              <w:ind w:left="-70" w:right="-68" w:hanging="6"/>
              <w:jc w:val="center"/>
              <w:rPr>
                <w:rFonts w:eastAsia="Arial"/>
                <w:lang w:bidi="cs-CZ"/>
              </w:rPr>
            </w:pPr>
          </w:p>
          <w:p w14:paraId="15131E4E" w14:textId="77777777" w:rsidR="007170C3" w:rsidRPr="008819AF" w:rsidRDefault="007170C3" w:rsidP="0021052F">
            <w:pPr>
              <w:ind w:left="-70" w:right="-68" w:hanging="6"/>
              <w:jc w:val="center"/>
              <w:rPr>
                <w:rFonts w:eastAsia="Arial"/>
                <w:lang w:bidi="cs-CZ"/>
              </w:rPr>
            </w:pPr>
          </w:p>
          <w:p w14:paraId="15131E4F"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E50" w14:textId="77777777" w:rsidR="007170C3" w:rsidRPr="008819AF" w:rsidRDefault="007170C3" w:rsidP="0021052F">
            <w:pPr>
              <w:jc w:val="center"/>
              <w:rPr>
                <w:rFonts w:eastAsia="Arial"/>
                <w:lang w:bidi="cs-CZ"/>
              </w:rPr>
            </w:pPr>
          </w:p>
          <w:p w14:paraId="15131E51" w14:textId="77777777" w:rsidR="007170C3" w:rsidRPr="008819AF" w:rsidRDefault="007170C3" w:rsidP="0021052F">
            <w:pPr>
              <w:jc w:val="center"/>
              <w:rPr>
                <w:rFonts w:eastAsia="Arial"/>
                <w:lang w:bidi="cs-CZ"/>
              </w:rPr>
            </w:pPr>
          </w:p>
          <w:p w14:paraId="15131E52" w14:textId="77777777" w:rsidR="007170C3" w:rsidRPr="008819AF" w:rsidRDefault="007170C3" w:rsidP="0021052F">
            <w:pPr>
              <w:jc w:val="center"/>
              <w:rPr>
                <w:rFonts w:eastAsia="Arial"/>
                <w:lang w:bidi="cs-CZ"/>
              </w:rPr>
            </w:pPr>
          </w:p>
          <w:p w14:paraId="15131E53" w14:textId="77777777" w:rsidR="007170C3" w:rsidRPr="008819AF" w:rsidRDefault="007170C3" w:rsidP="0021052F">
            <w:pPr>
              <w:jc w:val="center"/>
              <w:rPr>
                <w:rFonts w:eastAsia="Arial"/>
                <w:lang w:bidi="cs-CZ"/>
              </w:rPr>
            </w:pPr>
          </w:p>
          <w:p w14:paraId="15131E54" w14:textId="77777777" w:rsidR="007170C3" w:rsidRPr="008819AF" w:rsidRDefault="007170C3" w:rsidP="0021052F">
            <w:pPr>
              <w:jc w:val="center"/>
              <w:rPr>
                <w:rFonts w:eastAsia="Arial"/>
                <w:lang w:bidi="cs-CZ"/>
              </w:rPr>
            </w:pPr>
          </w:p>
          <w:p w14:paraId="15131E55" w14:textId="77777777" w:rsidR="007170C3" w:rsidRPr="008819AF" w:rsidRDefault="007170C3" w:rsidP="0021052F">
            <w:pPr>
              <w:jc w:val="center"/>
              <w:rPr>
                <w:rFonts w:eastAsia="Arial"/>
                <w:lang w:bidi="cs-CZ"/>
              </w:rPr>
            </w:pPr>
          </w:p>
          <w:p w14:paraId="15131E56" w14:textId="77777777" w:rsidR="007170C3" w:rsidRPr="008819AF" w:rsidRDefault="007170C3" w:rsidP="0021052F">
            <w:pPr>
              <w:jc w:val="center"/>
              <w:rPr>
                <w:rFonts w:eastAsia="Arial"/>
                <w:lang w:bidi="cs-CZ"/>
              </w:rPr>
            </w:pPr>
          </w:p>
          <w:p w14:paraId="15131E57"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E58"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E5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E5A"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E5B"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E5C"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E5D"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E5E"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1E5F"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E63" w14:textId="7C5260B8" w:rsidR="009346B5" w:rsidRPr="008819AF" w:rsidRDefault="009346B5" w:rsidP="0021052F">
            <w:pPr>
              <w:ind w:left="72"/>
            </w:pPr>
          </w:p>
        </w:tc>
        <w:tc>
          <w:tcPr>
            <w:tcW w:w="429" w:type="dxa"/>
            <w:tcBorders>
              <w:top w:val="single" w:sz="4" w:space="0" w:color="000000"/>
              <w:left w:val="single" w:sz="6" w:space="0" w:color="000000"/>
              <w:bottom w:val="single" w:sz="4" w:space="0" w:color="000000"/>
              <w:right w:val="single" w:sz="6" w:space="0" w:color="000000"/>
            </w:tcBorders>
          </w:tcPr>
          <w:p w14:paraId="15131E64"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E65" w14:textId="77777777" w:rsidR="007170C3" w:rsidRPr="008819AF" w:rsidRDefault="007170C3" w:rsidP="0021052F">
            <w:pPr>
              <w:ind w:left="215" w:hanging="215"/>
              <w:rPr>
                <w:rFonts w:eastAsia="Arial"/>
                <w:lang w:bidi="cs-CZ"/>
              </w:rPr>
            </w:pPr>
          </w:p>
        </w:tc>
      </w:tr>
      <w:tr w:rsidR="00F80158" w:rsidRPr="008819AF" w14:paraId="15131FE5"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1E67" w14:textId="77777777" w:rsidR="007170C3" w:rsidRPr="008819AF" w:rsidRDefault="006F0418" w:rsidP="003E351D">
            <w:pPr>
              <w:ind w:right="-70"/>
              <w:rPr>
                <w:rFonts w:eastAsia="Arial"/>
                <w:lang w:bidi="cs-CZ"/>
              </w:rPr>
            </w:pPr>
            <w:r w:rsidRPr="008819AF">
              <w:rPr>
                <w:rFonts w:eastAsia="Arial"/>
                <w:lang w:bidi="cs-CZ"/>
              </w:rPr>
              <w:lastRenderedPageBreak/>
              <w:t>Č:33</w:t>
            </w:r>
          </w:p>
        </w:tc>
        <w:tc>
          <w:tcPr>
            <w:tcW w:w="6227" w:type="dxa"/>
            <w:gridSpan w:val="2"/>
            <w:tcBorders>
              <w:top w:val="single" w:sz="4" w:space="0" w:color="000000"/>
              <w:left w:val="single" w:sz="6" w:space="0" w:color="000000"/>
              <w:bottom w:val="single" w:sz="4" w:space="0" w:color="000000"/>
              <w:right w:val="single" w:sz="6" w:space="0" w:color="000000"/>
            </w:tcBorders>
          </w:tcPr>
          <w:p w14:paraId="15131E68" w14:textId="77777777" w:rsidR="007170C3" w:rsidRPr="008819AF" w:rsidRDefault="006F0418" w:rsidP="0021052F">
            <w:pPr>
              <w:ind w:left="215" w:hanging="215"/>
              <w:rPr>
                <w:rFonts w:eastAsia="Arial"/>
              </w:rPr>
            </w:pPr>
            <w:r w:rsidRPr="008819AF">
              <w:rPr>
                <w:rFonts w:eastAsia="Arial"/>
              </w:rPr>
              <w:t>Článok 33</w:t>
            </w:r>
          </w:p>
          <w:p w14:paraId="15131E69" w14:textId="77777777" w:rsidR="007170C3" w:rsidRPr="008819AF" w:rsidRDefault="006F0418" w:rsidP="0021052F">
            <w:pPr>
              <w:ind w:left="215" w:hanging="215"/>
              <w:rPr>
                <w:rFonts w:eastAsia="Arial"/>
              </w:rPr>
            </w:pPr>
            <w:r w:rsidRPr="008819AF">
              <w:rPr>
                <w:rFonts w:eastAsia="Arial"/>
              </w:rPr>
              <w:t>Výnimka pre obmedzenú životnosť</w:t>
            </w:r>
          </w:p>
          <w:p w14:paraId="15131E6A" w14:textId="77777777" w:rsidR="007170C3" w:rsidRPr="008819AF" w:rsidRDefault="006F0418" w:rsidP="0021052F">
            <w:pPr>
              <w:ind w:left="214" w:hanging="214"/>
              <w:rPr>
                <w:rFonts w:eastAsia="Arial"/>
              </w:rPr>
            </w:pPr>
            <w:r w:rsidRPr="008819AF">
              <w:rPr>
                <w:rFonts w:eastAsia="Arial"/>
              </w:rPr>
              <w:t>1. Spaľovacie zariadenia môžu byť od 1. januára 2016 do 31. decembra 2023 oslobodené od povinnosti dodržiavať emisné limity uvedené v článku 30 ods. 2 a prípadne stupne odsírenia uvedené v článku 31, ako aj od povinnosti byť zahrnuté do prechodného národného programu uvedeného v článku 32 za predpokladu, že sú splnené tieto podmienky:</w:t>
            </w:r>
          </w:p>
          <w:p w14:paraId="15131E6B" w14:textId="77777777" w:rsidR="007170C3" w:rsidRPr="008819AF" w:rsidRDefault="006F0418" w:rsidP="009C63CF">
            <w:pPr>
              <w:numPr>
                <w:ilvl w:val="0"/>
                <w:numId w:val="24"/>
              </w:numPr>
              <w:spacing w:after="120"/>
              <w:ind w:left="497" w:hanging="283"/>
              <w:rPr>
                <w:rFonts w:eastAsia="Arial"/>
              </w:rPr>
            </w:pPr>
            <w:r w:rsidRPr="008819AF">
              <w:rPr>
                <w:rFonts w:eastAsia="Arial"/>
              </w:rPr>
              <w:t>prevádzkovateľ spaľovacieho zariadenia sa písomným vyhlásením predloženým príslušnému orgánu najneskôr do 1. januára 2014 zaviaže, že nebude prevádzkovať zariadenie viac ako 17 500 prevádzkových hodín počnúc 1. januárom 2016 a končiac najneskôr 31. decembrom 2023;</w:t>
            </w:r>
          </w:p>
          <w:p w14:paraId="15131E6C" w14:textId="77777777" w:rsidR="006C7655" w:rsidRPr="008819AF" w:rsidRDefault="006C7655" w:rsidP="006C7655">
            <w:pPr>
              <w:rPr>
                <w:rFonts w:eastAsia="Arial"/>
              </w:rPr>
            </w:pPr>
          </w:p>
          <w:p w14:paraId="15131E6D" w14:textId="77777777" w:rsidR="006C7655" w:rsidRPr="008819AF" w:rsidRDefault="006C7655" w:rsidP="006C7655">
            <w:pPr>
              <w:rPr>
                <w:rFonts w:eastAsia="Arial"/>
              </w:rPr>
            </w:pPr>
          </w:p>
          <w:p w14:paraId="15131E6E" w14:textId="77777777" w:rsidR="006C7655" w:rsidRPr="008819AF" w:rsidRDefault="006C7655" w:rsidP="006C7655">
            <w:pPr>
              <w:rPr>
                <w:rFonts w:eastAsia="Arial"/>
              </w:rPr>
            </w:pPr>
          </w:p>
          <w:p w14:paraId="15131E6F" w14:textId="77777777" w:rsidR="006C7655" w:rsidRPr="008819AF" w:rsidRDefault="006C7655" w:rsidP="006C7655">
            <w:pPr>
              <w:rPr>
                <w:rFonts w:eastAsia="Arial"/>
              </w:rPr>
            </w:pPr>
          </w:p>
          <w:p w14:paraId="15131E70" w14:textId="77777777" w:rsidR="006C7655" w:rsidRPr="008819AF" w:rsidRDefault="006C7655" w:rsidP="006C7655">
            <w:pPr>
              <w:rPr>
                <w:rFonts w:eastAsia="Arial"/>
              </w:rPr>
            </w:pPr>
          </w:p>
          <w:p w14:paraId="15131E71" w14:textId="77777777" w:rsidR="006C7655" w:rsidRPr="008819AF" w:rsidRDefault="006C7655" w:rsidP="006C7655">
            <w:pPr>
              <w:rPr>
                <w:rFonts w:eastAsia="Arial"/>
              </w:rPr>
            </w:pPr>
          </w:p>
          <w:p w14:paraId="15131E72" w14:textId="77777777" w:rsidR="006C7655" w:rsidRPr="008819AF" w:rsidRDefault="006C7655" w:rsidP="006C7655">
            <w:pPr>
              <w:rPr>
                <w:rFonts w:eastAsia="Arial"/>
              </w:rPr>
            </w:pPr>
          </w:p>
          <w:p w14:paraId="15131E73" w14:textId="77777777" w:rsidR="006C7655" w:rsidRPr="008819AF" w:rsidRDefault="006C7655" w:rsidP="006C7655">
            <w:pPr>
              <w:rPr>
                <w:rFonts w:eastAsia="Arial"/>
              </w:rPr>
            </w:pPr>
          </w:p>
          <w:p w14:paraId="15131E74" w14:textId="77777777" w:rsidR="006C7655" w:rsidRPr="008819AF" w:rsidRDefault="006C7655" w:rsidP="006C7655">
            <w:pPr>
              <w:rPr>
                <w:rFonts w:eastAsia="Arial"/>
              </w:rPr>
            </w:pPr>
          </w:p>
          <w:p w14:paraId="15131E75" w14:textId="77777777" w:rsidR="006C7655" w:rsidRPr="008819AF" w:rsidRDefault="006C7655" w:rsidP="006C7655">
            <w:pPr>
              <w:rPr>
                <w:rFonts w:eastAsia="Arial"/>
              </w:rPr>
            </w:pPr>
          </w:p>
          <w:p w14:paraId="15131E76" w14:textId="77777777" w:rsidR="006C7655" w:rsidRPr="008819AF" w:rsidRDefault="006C7655" w:rsidP="006C7655">
            <w:pPr>
              <w:rPr>
                <w:rFonts w:eastAsia="Arial"/>
              </w:rPr>
            </w:pPr>
          </w:p>
          <w:p w14:paraId="15131E77" w14:textId="77777777" w:rsidR="007170C3" w:rsidRPr="008819AF" w:rsidRDefault="006F0418" w:rsidP="009C63CF">
            <w:pPr>
              <w:numPr>
                <w:ilvl w:val="0"/>
                <w:numId w:val="24"/>
              </w:numPr>
              <w:ind w:left="497" w:hanging="283"/>
              <w:rPr>
                <w:rFonts w:eastAsia="Arial"/>
              </w:rPr>
            </w:pPr>
            <w:r w:rsidRPr="008819AF">
              <w:rPr>
                <w:rFonts w:eastAsia="Arial"/>
              </w:rPr>
              <w:t>od prevádzkovateľa sa žiada, aby počnúc 1. januárom 2016 každoročne príslušnému orgánu predkladal výkaz s počtom prevádzkových hodín;</w:t>
            </w:r>
          </w:p>
          <w:p w14:paraId="15131E78" w14:textId="77777777" w:rsidR="007170C3" w:rsidRPr="008819AF" w:rsidRDefault="007170C3" w:rsidP="0021052F">
            <w:pPr>
              <w:spacing w:after="120"/>
              <w:rPr>
                <w:rFonts w:eastAsia="Arial"/>
              </w:rPr>
            </w:pPr>
          </w:p>
          <w:p w14:paraId="15131E79" w14:textId="77777777" w:rsidR="006C7655" w:rsidRPr="008819AF" w:rsidRDefault="006C7655" w:rsidP="0021052F">
            <w:pPr>
              <w:spacing w:after="120"/>
              <w:rPr>
                <w:rFonts w:eastAsia="Arial"/>
              </w:rPr>
            </w:pPr>
          </w:p>
          <w:p w14:paraId="15131E7A" w14:textId="77777777" w:rsidR="006C7655" w:rsidRPr="008819AF" w:rsidRDefault="006C7655" w:rsidP="0021052F">
            <w:pPr>
              <w:spacing w:after="120"/>
              <w:rPr>
                <w:rFonts w:eastAsia="Arial"/>
              </w:rPr>
            </w:pPr>
          </w:p>
          <w:p w14:paraId="15131E7B" w14:textId="77777777" w:rsidR="00ED17A9" w:rsidRPr="008819AF" w:rsidRDefault="00ED17A9" w:rsidP="0021052F">
            <w:pPr>
              <w:spacing w:after="120"/>
              <w:rPr>
                <w:rFonts w:eastAsia="Arial"/>
              </w:rPr>
            </w:pPr>
          </w:p>
          <w:p w14:paraId="15131E7C" w14:textId="77777777" w:rsidR="00ED17A9" w:rsidRPr="008819AF" w:rsidRDefault="00ED17A9" w:rsidP="0021052F">
            <w:pPr>
              <w:spacing w:after="120"/>
              <w:rPr>
                <w:rFonts w:eastAsia="Arial"/>
              </w:rPr>
            </w:pPr>
          </w:p>
          <w:p w14:paraId="15131E7D" w14:textId="77777777" w:rsidR="00ED17A9" w:rsidRPr="008819AF" w:rsidRDefault="00ED17A9" w:rsidP="0021052F">
            <w:pPr>
              <w:spacing w:after="120"/>
              <w:rPr>
                <w:rFonts w:eastAsia="Arial"/>
              </w:rPr>
            </w:pPr>
          </w:p>
          <w:p w14:paraId="15131E7E" w14:textId="77777777" w:rsidR="00ED17A9" w:rsidRPr="008819AF" w:rsidRDefault="00ED17A9" w:rsidP="0021052F">
            <w:pPr>
              <w:spacing w:after="120"/>
              <w:rPr>
                <w:rFonts w:eastAsia="Arial"/>
              </w:rPr>
            </w:pPr>
          </w:p>
          <w:p w14:paraId="15131E7F" w14:textId="77777777" w:rsidR="00ED17A9" w:rsidRPr="008819AF" w:rsidRDefault="00ED17A9" w:rsidP="0021052F">
            <w:pPr>
              <w:spacing w:after="120"/>
              <w:rPr>
                <w:rFonts w:eastAsia="Arial"/>
              </w:rPr>
            </w:pPr>
          </w:p>
          <w:p w14:paraId="15131E80" w14:textId="77777777" w:rsidR="00ED17A9" w:rsidRPr="008819AF" w:rsidRDefault="00ED17A9" w:rsidP="0021052F">
            <w:pPr>
              <w:spacing w:after="120"/>
              <w:rPr>
                <w:rFonts w:eastAsia="Arial"/>
              </w:rPr>
            </w:pPr>
          </w:p>
          <w:p w14:paraId="15131E81" w14:textId="1EA81EAB" w:rsidR="00ED17A9" w:rsidRPr="008819AF" w:rsidRDefault="00ED17A9" w:rsidP="0021052F">
            <w:pPr>
              <w:spacing w:after="120"/>
              <w:rPr>
                <w:rFonts w:eastAsia="Arial"/>
              </w:rPr>
            </w:pPr>
          </w:p>
          <w:p w14:paraId="32AD4643" w14:textId="7DF2957D" w:rsidR="00305952" w:rsidRPr="008819AF" w:rsidRDefault="00305952" w:rsidP="0021052F">
            <w:pPr>
              <w:spacing w:after="120"/>
              <w:rPr>
                <w:rFonts w:eastAsia="Arial"/>
              </w:rPr>
            </w:pPr>
          </w:p>
          <w:p w14:paraId="5E5DD904" w14:textId="77777777" w:rsidR="00305952" w:rsidRPr="008819AF" w:rsidRDefault="00305952" w:rsidP="0021052F">
            <w:pPr>
              <w:spacing w:after="120"/>
              <w:rPr>
                <w:rFonts w:eastAsia="Arial"/>
              </w:rPr>
            </w:pPr>
          </w:p>
          <w:p w14:paraId="15131E82" w14:textId="77777777" w:rsidR="00ED17A9" w:rsidRPr="008819AF" w:rsidRDefault="00ED17A9" w:rsidP="0021052F">
            <w:pPr>
              <w:spacing w:after="120"/>
              <w:rPr>
                <w:rFonts w:eastAsia="Arial"/>
              </w:rPr>
            </w:pPr>
          </w:p>
          <w:p w14:paraId="15131E83" w14:textId="77777777" w:rsidR="00ED17A9" w:rsidRPr="008819AF" w:rsidRDefault="00ED17A9" w:rsidP="0021052F">
            <w:pPr>
              <w:spacing w:after="120"/>
              <w:rPr>
                <w:rFonts w:eastAsia="Arial"/>
              </w:rPr>
            </w:pPr>
          </w:p>
          <w:p w14:paraId="15131E84" w14:textId="77777777" w:rsidR="007170C3" w:rsidRPr="008819AF" w:rsidRDefault="006F0418" w:rsidP="009C63CF">
            <w:pPr>
              <w:numPr>
                <w:ilvl w:val="0"/>
                <w:numId w:val="24"/>
              </w:numPr>
              <w:spacing w:after="120"/>
              <w:ind w:left="497" w:hanging="283"/>
              <w:rPr>
                <w:rFonts w:eastAsia="Arial"/>
              </w:rPr>
            </w:pPr>
            <w:r w:rsidRPr="008819AF">
              <w:rPr>
                <w:rFonts w:eastAsia="Arial"/>
              </w:rPr>
              <w:t>minimálne počas zvyšného prevádzkového času spaľovacieho zariadenia sa dodržiavajú emisné limity oxidu siričitého, oxidov dusíka a prachu stanovené v povolení spaľovacieho zariadenia uplatniteľné k 31. decembru 2015 v súlade najmä s požiadavkami smerníc 2001/80/ES a 2008/1/ES. Spaľovacie zariadenia s celkovým menovitým tepelným príkonom viac ako 500 MW spaľujúce tuhé palivá, ktorým sa prvé povolenie udelilo po 1. júli 1987, dodržiavajú emisné limity pre oxidy dusíka stanovené v prílohe V časť 1; a</w:t>
            </w:r>
          </w:p>
          <w:p w14:paraId="15131E85" w14:textId="77777777" w:rsidR="007170C3" w:rsidRPr="008819AF" w:rsidRDefault="006F0418" w:rsidP="009C63CF">
            <w:pPr>
              <w:numPr>
                <w:ilvl w:val="0"/>
                <w:numId w:val="24"/>
              </w:numPr>
              <w:ind w:left="497" w:hanging="283"/>
              <w:rPr>
                <w:rFonts w:eastAsia="Arial"/>
              </w:rPr>
            </w:pPr>
            <w:r w:rsidRPr="008819AF">
              <w:rPr>
                <w:rFonts w:eastAsia="Arial"/>
              </w:rPr>
              <w:t xml:space="preserve">spaľovaciemu zariadeniu nebola udelená výnimka uvedená v článku 4 </w:t>
            </w:r>
            <w:r w:rsidRPr="008819AF">
              <w:rPr>
                <w:rFonts w:eastAsia="Arial"/>
              </w:rPr>
              <w:lastRenderedPageBreak/>
              <w:t>ods. 4 smernice 2001/80/ES</w:t>
            </w:r>
          </w:p>
          <w:p w14:paraId="15131E86" w14:textId="77777777" w:rsidR="0070689F" w:rsidRPr="008819AF" w:rsidRDefault="0070689F" w:rsidP="0021052F">
            <w:pPr>
              <w:ind w:left="497"/>
              <w:rPr>
                <w:rFonts w:eastAsia="Arial"/>
              </w:rPr>
            </w:pPr>
          </w:p>
          <w:p w14:paraId="15131E87" w14:textId="77777777" w:rsidR="007170C3" w:rsidRPr="008819AF" w:rsidRDefault="006F0418" w:rsidP="0021052F">
            <w:pPr>
              <w:ind w:left="215" w:hanging="215"/>
              <w:rPr>
                <w:rFonts w:eastAsia="Arial"/>
              </w:rPr>
            </w:pPr>
            <w:r w:rsidRPr="008819AF">
              <w:rPr>
                <w:rFonts w:eastAsia="Arial"/>
              </w:rPr>
              <w:t>2. Každý členský štát najneskôr 1. januára 2016 oznámi Komisii zoznam všetkých spaľovacích zariadení, na ktoré sa vzťahuje odsek 1 vrátane ich celkového menovitého tepelného príkonu, druhov používaného paliva a uplatniteľných emisných limitov pre oxid siričitý, oxidy dusíka a prach. Členské štáty Komisii počnúc 1. januárom 2016 každoročne predložia výkaz s počtom prevádzkových hodín zariadení, ktoré podliehajú ustanoveniam odseku 1.</w:t>
            </w:r>
          </w:p>
          <w:p w14:paraId="15131E88" w14:textId="77777777" w:rsidR="002019F6" w:rsidRPr="008819AF" w:rsidRDefault="002019F6" w:rsidP="0021052F">
            <w:pPr>
              <w:ind w:left="215" w:hanging="215"/>
              <w:rPr>
                <w:rFonts w:eastAsia="Arial"/>
              </w:rPr>
            </w:pPr>
          </w:p>
          <w:p w14:paraId="15131E89" w14:textId="77777777" w:rsidR="002019F6" w:rsidRPr="008819AF" w:rsidRDefault="002019F6" w:rsidP="0021052F">
            <w:pPr>
              <w:ind w:left="215" w:hanging="215"/>
              <w:rPr>
                <w:rFonts w:eastAsia="Arial"/>
              </w:rPr>
            </w:pPr>
          </w:p>
          <w:p w14:paraId="15131E8A" w14:textId="77777777" w:rsidR="00ED17A9" w:rsidRPr="008819AF" w:rsidRDefault="00ED17A9" w:rsidP="0021052F">
            <w:pPr>
              <w:ind w:left="215" w:hanging="215"/>
              <w:rPr>
                <w:rFonts w:eastAsia="Arial"/>
              </w:rPr>
            </w:pPr>
          </w:p>
          <w:p w14:paraId="15131E8B" w14:textId="77777777" w:rsidR="00ED17A9" w:rsidRPr="008819AF" w:rsidRDefault="00ED17A9" w:rsidP="0021052F">
            <w:pPr>
              <w:ind w:left="215" w:hanging="215"/>
              <w:rPr>
                <w:rFonts w:eastAsia="Arial"/>
              </w:rPr>
            </w:pPr>
          </w:p>
          <w:p w14:paraId="15131E8C" w14:textId="77777777" w:rsidR="00ED17A9" w:rsidRPr="008819AF" w:rsidRDefault="00ED17A9" w:rsidP="0021052F">
            <w:pPr>
              <w:ind w:left="215" w:hanging="215"/>
              <w:rPr>
                <w:rFonts w:eastAsia="Arial"/>
              </w:rPr>
            </w:pPr>
          </w:p>
          <w:p w14:paraId="15131E8D" w14:textId="77777777" w:rsidR="00ED17A9" w:rsidRPr="008819AF" w:rsidRDefault="00ED17A9" w:rsidP="0021052F">
            <w:pPr>
              <w:ind w:left="215" w:hanging="215"/>
              <w:rPr>
                <w:rFonts w:eastAsia="Arial"/>
              </w:rPr>
            </w:pPr>
          </w:p>
          <w:p w14:paraId="15131E8E" w14:textId="77777777" w:rsidR="00ED17A9" w:rsidRPr="008819AF" w:rsidRDefault="00ED17A9" w:rsidP="0021052F">
            <w:pPr>
              <w:ind w:left="215" w:hanging="215"/>
              <w:rPr>
                <w:rFonts w:eastAsia="Arial"/>
              </w:rPr>
            </w:pPr>
          </w:p>
          <w:p w14:paraId="15131E8F" w14:textId="77777777" w:rsidR="0070689F" w:rsidRPr="008819AF" w:rsidRDefault="0070689F" w:rsidP="0021052F">
            <w:pPr>
              <w:ind w:left="215" w:hanging="215"/>
              <w:rPr>
                <w:rFonts w:eastAsia="Arial"/>
              </w:rPr>
            </w:pPr>
          </w:p>
          <w:p w14:paraId="15131E90" w14:textId="77777777" w:rsidR="007170C3" w:rsidRPr="008819AF" w:rsidRDefault="006F0418" w:rsidP="0021052F">
            <w:pPr>
              <w:ind w:left="215" w:hanging="215"/>
              <w:rPr>
                <w:rFonts w:eastAsia="Arial"/>
              </w:rPr>
            </w:pPr>
            <w:r w:rsidRPr="008819AF">
              <w:rPr>
                <w:rFonts w:eastAsia="Arial"/>
              </w:rPr>
              <w:t>3. Ak je spaľovacie zariadenie k 6. januáru 2011 súčasťou malej izolovanej sústavy a k danému dátumu zabezpečuje aspoň 35 % dodávok elektriny v rámci tejto sústavy, ktoré z dôvodu svojich technických charakteristík nemôže splniť emisné limity uvedené v článku 30 ods. 2, počet prevádzkových hodín uvedený v odseku 1 písm. a) tohto článku od 1. januára 2020 najneskôr do 31. decembra 2023 je 18 000 a dátumom uvedeným v odseku 1 písm. b) a odseku 2 tohto článku je 1. január 2020.</w:t>
            </w:r>
          </w:p>
          <w:p w14:paraId="15131E91" w14:textId="77777777" w:rsidR="002019F6" w:rsidRPr="008819AF" w:rsidRDefault="002019F6" w:rsidP="0021052F">
            <w:pPr>
              <w:ind w:left="215" w:hanging="215"/>
              <w:rPr>
                <w:rFonts w:eastAsia="Arial"/>
              </w:rPr>
            </w:pPr>
          </w:p>
          <w:p w14:paraId="15131E92" w14:textId="77777777" w:rsidR="007170C3" w:rsidRPr="008819AF" w:rsidRDefault="006F0418" w:rsidP="0021052F">
            <w:pPr>
              <w:ind w:left="215" w:hanging="215"/>
              <w:rPr>
                <w:rFonts w:eastAsia="Arial"/>
              </w:rPr>
            </w:pPr>
            <w:r w:rsidRPr="008819AF">
              <w:rPr>
                <w:rFonts w:eastAsia="Arial"/>
              </w:rPr>
              <w:t>4. V prípade spaľovacieho zariadenia s celkovým menovitým tepelným príkonom vyšším ako 1 500 MW, ktorého prevádzkovanie sa začala pred 31. decembrom 1986 a ktoré spaľuje domáce tuhé palivo s čistou výhrevnosťou nižšou ako 5 800 kJ/kg, obsahom vlhkosti vyšším ako 45 % hmotnosti, kombinovaným obsahom vlhkosti a popola vyšším ako 60 % hmotnosti a obsahom oxidu vápenatého v popole vyšším ako 10 %, je počet prevádzkových hodín uvedený v odseku 1 písm. a) 32 000.</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E93" w14:textId="77777777" w:rsidR="007170C3" w:rsidRPr="008819AF" w:rsidRDefault="007170C3" w:rsidP="0021052F">
            <w:pPr>
              <w:ind w:left="-70" w:right="-68" w:hanging="6"/>
              <w:jc w:val="center"/>
              <w:rPr>
                <w:rFonts w:eastAsia="Arial"/>
                <w:lang w:bidi="cs-CZ"/>
              </w:rPr>
            </w:pPr>
          </w:p>
          <w:p w14:paraId="15131E94"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1E95" w14:textId="77777777" w:rsidR="007170C3" w:rsidRPr="008819AF" w:rsidRDefault="007170C3" w:rsidP="0021052F">
            <w:pPr>
              <w:ind w:left="-70" w:right="-68" w:hanging="6"/>
              <w:jc w:val="center"/>
              <w:rPr>
                <w:rFonts w:eastAsia="Arial"/>
                <w:lang w:bidi="cs-CZ"/>
              </w:rPr>
            </w:pPr>
          </w:p>
          <w:p w14:paraId="15131E96" w14:textId="77777777" w:rsidR="007170C3" w:rsidRPr="008819AF" w:rsidRDefault="007170C3" w:rsidP="0021052F">
            <w:pPr>
              <w:ind w:left="-70" w:right="-68" w:hanging="6"/>
              <w:jc w:val="center"/>
              <w:rPr>
                <w:rFonts w:eastAsia="Arial"/>
                <w:lang w:bidi="cs-CZ"/>
              </w:rPr>
            </w:pPr>
          </w:p>
          <w:p w14:paraId="15131E97" w14:textId="77777777" w:rsidR="007170C3" w:rsidRPr="008819AF" w:rsidRDefault="007170C3" w:rsidP="0021052F">
            <w:pPr>
              <w:ind w:left="-70" w:right="-68" w:hanging="6"/>
              <w:jc w:val="center"/>
              <w:rPr>
                <w:rFonts w:eastAsia="Arial"/>
                <w:lang w:bidi="cs-CZ"/>
              </w:rPr>
            </w:pPr>
          </w:p>
          <w:p w14:paraId="15131E98" w14:textId="77777777" w:rsidR="007170C3" w:rsidRPr="008819AF" w:rsidRDefault="007170C3" w:rsidP="0021052F">
            <w:pPr>
              <w:ind w:left="-70" w:right="-68" w:hanging="6"/>
              <w:jc w:val="center"/>
              <w:rPr>
                <w:rFonts w:eastAsia="Arial"/>
                <w:lang w:bidi="cs-CZ"/>
              </w:rPr>
            </w:pPr>
          </w:p>
          <w:p w14:paraId="15131E99" w14:textId="77777777" w:rsidR="007170C3" w:rsidRPr="008819AF" w:rsidRDefault="007170C3" w:rsidP="0021052F">
            <w:pPr>
              <w:ind w:left="-70" w:right="-68" w:hanging="6"/>
              <w:jc w:val="center"/>
              <w:rPr>
                <w:rFonts w:eastAsia="Arial"/>
                <w:lang w:bidi="cs-CZ"/>
              </w:rPr>
            </w:pPr>
          </w:p>
          <w:p w14:paraId="15131E9A" w14:textId="77777777" w:rsidR="007170C3" w:rsidRPr="008819AF" w:rsidRDefault="007245BB" w:rsidP="0021052F">
            <w:pPr>
              <w:ind w:left="-70" w:right="-68" w:hanging="6"/>
              <w:jc w:val="center"/>
              <w:rPr>
                <w:rFonts w:eastAsia="Arial"/>
                <w:lang w:bidi="cs-CZ"/>
              </w:rPr>
            </w:pPr>
            <w:r w:rsidRPr="008819AF">
              <w:rPr>
                <w:rFonts w:eastAsia="Arial"/>
                <w:lang w:bidi="cs-CZ"/>
              </w:rPr>
              <w:t>N</w:t>
            </w:r>
          </w:p>
          <w:p w14:paraId="15131E9B" w14:textId="77777777" w:rsidR="007170C3" w:rsidRPr="008819AF" w:rsidRDefault="007170C3" w:rsidP="0021052F">
            <w:pPr>
              <w:ind w:left="-70" w:right="-68" w:hanging="6"/>
              <w:jc w:val="center"/>
              <w:rPr>
                <w:rFonts w:eastAsia="Arial"/>
                <w:lang w:bidi="cs-CZ"/>
              </w:rPr>
            </w:pPr>
          </w:p>
          <w:p w14:paraId="15131E9C" w14:textId="77777777" w:rsidR="007170C3" w:rsidRPr="008819AF" w:rsidRDefault="007170C3" w:rsidP="0021052F">
            <w:pPr>
              <w:ind w:left="-70" w:right="-68" w:hanging="6"/>
              <w:jc w:val="center"/>
              <w:rPr>
                <w:rFonts w:eastAsia="Arial"/>
                <w:lang w:bidi="cs-CZ"/>
              </w:rPr>
            </w:pPr>
          </w:p>
          <w:p w14:paraId="15131E9D" w14:textId="77777777" w:rsidR="007170C3" w:rsidRPr="008819AF" w:rsidRDefault="007170C3" w:rsidP="0021052F">
            <w:pPr>
              <w:ind w:left="-70" w:right="-68" w:hanging="6"/>
              <w:jc w:val="center"/>
              <w:rPr>
                <w:rFonts w:eastAsia="Arial"/>
                <w:lang w:bidi="cs-CZ"/>
              </w:rPr>
            </w:pPr>
          </w:p>
          <w:p w14:paraId="15131E9E" w14:textId="77777777" w:rsidR="007170C3" w:rsidRPr="008819AF" w:rsidRDefault="007170C3" w:rsidP="0021052F">
            <w:pPr>
              <w:ind w:left="-70" w:right="-68" w:hanging="6"/>
              <w:jc w:val="center"/>
              <w:rPr>
                <w:rFonts w:eastAsia="Arial"/>
                <w:lang w:bidi="cs-CZ"/>
              </w:rPr>
            </w:pPr>
          </w:p>
          <w:p w14:paraId="15131E9F" w14:textId="77777777" w:rsidR="007170C3" w:rsidRPr="008819AF" w:rsidRDefault="007170C3" w:rsidP="0021052F">
            <w:pPr>
              <w:ind w:left="-70" w:right="-68" w:hanging="6"/>
              <w:jc w:val="center"/>
              <w:rPr>
                <w:rFonts w:eastAsia="Arial"/>
                <w:lang w:bidi="cs-CZ"/>
              </w:rPr>
            </w:pPr>
          </w:p>
          <w:p w14:paraId="15131EA0" w14:textId="77777777" w:rsidR="007170C3" w:rsidRPr="008819AF" w:rsidRDefault="007170C3" w:rsidP="0021052F">
            <w:pPr>
              <w:ind w:left="-70" w:right="-68" w:hanging="6"/>
              <w:jc w:val="center"/>
              <w:rPr>
                <w:rFonts w:eastAsia="Arial"/>
                <w:lang w:bidi="cs-CZ"/>
              </w:rPr>
            </w:pPr>
          </w:p>
          <w:p w14:paraId="15131EA1" w14:textId="77777777" w:rsidR="007170C3" w:rsidRPr="008819AF" w:rsidRDefault="007170C3" w:rsidP="0021052F">
            <w:pPr>
              <w:ind w:left="-70" w:right="-68" w:hanging="6"/>
              <w:jc w:val="center"/>
              <w:rPr>
                <w:rFonts w:eastAsia="Arial"/>
                <w:lang w:bidi="cs-CZ"/>
              </w:rPr>
            </w:pPr>
          </w:p>
          <w:p w14:paraId="15131EA2" w14:textId="77777777" w:rsidR="007170C3" w:rsidRPr="008819AF" w:rsidRDefault="007170C3" w:rsidP="0021052F">
            <w:pPr>
              <w:ind w:left="-70" w:right="-68" w:hanging="6"/>
              <w:jc w:val="center"/>
              <w:rPr>
                <w:rFonts w:eastAsia="Arial"/>
                <w:lang w:bidi="cs-CZ"/>
              </w:rPr>
            </w:pPr>
          </w:p>
          <w:p w14:paraId="15131EA3" w14:textId="77777777" w:rsidR="00ED17A9" w:rsidRPr="008819AF" w:rsidRDefault="00ED17A9" w:rsidP="0021052F">
            <w:pPr>
              <w:ind w:left="-70" w:right="-68" w:hanging="6"/>
              <w:jc w:val="center"/>
              <w:rPr>
                <w:rFonts w:eastAsia="Arial"/>
                <w:lang w:bidi="cs-CZ"/>
              </w:rPr>
            </w:pPr>
          </w:p>
          <w:p w14:paraId="15131EA4" w14:textId="77777777" w:rsidR="00ED17A9" w:rsidRPr="008819AF" w:rsidRDefault="00ED17A9" w:rsidP="0021052F">
            <w:pPr>
              <w:ind w:left="-70" w:right="-68" w:hanging="6"/>
              <w:jc w:val="center"/>
              <w:rPr>
                <w:rFonts w:eastAsia="Arial"/>
                <w:lang w:bidi="cs-CZ"/>
              </w:rPr>
            </w:pPr>
          </w:p>
          <w:p w14:paraId="15131EA5" w14:textId="77777777" w:rsidR="00ED17A9" w:rsidRPr="008819AF" w:rsidRDefault="00ED17A9" w:rsidP="0021052F">
            <w:pPr>
              <w:ind w:left="-70" w:right="-68" w:hanging="6"/>
              <w:jc w:val="center"/>
              <w:rPr>
                <w:rFonts w:eastAsia="Arial"/>
                <w:lang w:bidi="cs-CZ"/>
              </w:rPr>
            </w:pPr>
          </w:p>
          <w:p w14:paraId="15131EA6" w14:textId="77777777" w:rsidR="00ED17A9" w:rsidRPr="008819AF" w:rsidRDefault="00ED17A9" w:rsidP="0021052F">
            <w:pPr>
              <w:ind w:left="-70" w:right="-68" w:hanging="6"/>
              <w:jc w:val="center"/>
              <w:rPr>
                <w:rFonts w:eastAsia="Arial"/>
                <w:lang w:bidi="cs-CZ"/>
              </w:rPr>
            </w:pPr>
          </w:p>
          <w:p w14:paraId="15131EA7" w14:textId="77777777" w:rsidR="00ED17A9" w:rsidRPr="008819AF" w:rsidRDefault="00ED17A9" w:rsidP="0021052F">
            <w:pPr>
              <w:ind w:left="-70" w:right="-68" w:hanging="6"/>
              <w:jc w:val="center"/>
              <w:rPr>
                <w:rFonts w:eastAsia="Arial"/>
                <w:lang w:bidi="cs-CZ"/>
              </w:rPr>
            </w:pPr>
          </w:p>
          <w:p w14:paraId="15131EA8" w14:textId="77777777" w:rsidR="00ED17A9" w:rsidRPr="008819AF" w:rsidRDefault="00ED17A9" w:rsidP="0021052F">
            <w:pPr>
              <w:ind w:left="-70" w:right="-68" w:hanging="6"/>
              <w:jc w:val="center"/>
              <w:rPr>
                <w:rFonts w:eastAsia="Arial"/>
                <w:lang w:bidi="cs-CZ"/>
              </w:rPr>
            </w:pPr>
          </w:p>
          <w:p w14:paraId="15131EA9" w14:textId="77777777" w:rsidR="00ED17A9" w:rsidRPr="008819AF" w:rsidRDefault="00ED17A9" w:rsidP="0021052F">
            <w:pPr>
              <w:ind w:left="-70" w:right="-68" w:hanging="6"/>
              <w:jc w:val="center"/>
              <w:rPr>
                <w:rFonts w:eastAsia="Arial"/>
                <w:lang w:bidi="cs-CZ"/>
              </w:rPr>
            </w:pPr>
          </w:p>
          <w:p w14:paraId="15131EAA" w14:textId="77777777" w:rsidR="007170C3" w:rsidRPr="008819AF" w:rsidRDefault="006C7655" w:rsidP="0021052F">
            <w:pPr>
              <w:ind w:left="-70" w:right="-68" w:hanging="6"/>
              <w:jc w:val="center"/>
              <w:rPr>
                <w:rFonts w:eastAsia="Arial"/>
                <w:lang w:bidi="cs-CZ"/>
              </w:rPr>
            </w:pPr>
            <w:r w:rsidRPr="008819AF">
              <w:rPr>
                <w:rFonts w:eastAsia="Arial"/>
                <w:lang w:bidi="cs-CZ"/>
              </w:rPr>
              <w:t>N</w:t>
            </w:r>
          </w:p>
          <w:p w14:paraId="15131EAB" w14:textId="77777777" w:rsidR="007170C3" w:rsidRPr="008819AF" w:rsidRDefault="007170C3" w:rsidP="0021052F">
            <w:pPr>
              <w:ind w:left="-70" w:right="-68" w:hanging="6"/>
              <w:jc w:val="center"/>
              <w:rPr>
                <w:rFonts w:eastAsia="Arial"/>
                <w:lang w:bidi="cs-CZ"/>
              </w:rPr>
            </w:pPr>
          </w:p>
          <w:p w14:paraId="15131EAC" w14:textId="77777777" w:rsidR="007170C3" w:rsidRPr="008819AF" w:rsidRDefault="007170C3" w:rsidP="0021052F">
            <w:pPr>
              <w:ind w:left="-70" w:right="-68" w:hanging="6"/>
              <w:jc w:val="center"/>
              <w:rPr>
                <w:rFonts w:eastAsia="Arial"/>
                <w:lang w:bidi="cs-CZ"/>
              </w:rPr>
            </w:pPr>
          </w:p>
          <w:p w14:paraId="15131EAD" w14:textId="77777777" w:rsidR="007170C3" w:rsidRPr="008819AF" w:rsidRDefault="007170C3" w:rsidP="0021052F">
            <w:pPr>
              <w:ind w:left="-70" w:right="-68" w:hanging="6"/>
              <w:jc w:val="center"/>
              <w:rPr>
                <w:rFonts w:eastAsia="Arial"/>
                <w:lang w:bidi="cs-CZ"/>
              </w:rPr>
            </w:pPr>
          </w:p>
          <w:p w14:paraId="15131EAE" w14:textId="77777777" w:rsidR="007170C3" w:rsidRPr="008819AF" w:rsidRDefault="007170C3" w:rsidP="0021052F">
            <w:pPr>
              <w:ind w:left="-70" w:right="-68" w:hanging="6"/>
              <w:jc w:val="center"/>
              <w:rPr>
                <w:rFonts w:eastAsia="Arial"/>
                <w:lang w:bidi="cs-CZ"/>
              </w:rPr>
            </w:pPr>
          </w:p>
          <w:p w14:paraId="15131EAF" w14:textId="77777777" w:rsidR="007170C3" w:rsidRPr="008819AF" w:rsidRDefault="007170C3" w:rsidP="0021052F">
            <w:pPr>
              <w:ind w:left="-70" w:right="-68" w:hanging="6"/>
              <w:jc w:val="center"/>
              <w:rPr>
                <w:rFonts w:eastAsia="Arial"/>
                <w:lang w:bidi="cs-CZ"/>
              </w:rPr>
            </w:pPr>
          </w:p>
          <w:p w14:paraId="15131EB0" w14:textId="77777777" w:rsidR="007170C3" w:rsidRPr="008819AF" w:rsidRDefault="007170C3" w:rsidP="0021052F">
            <w:pPr>
              <w:ind w:left="-70" w:right="-68" w:hanging="6"/>
              <w:jc w:val="center"/>
              <w:rPr>
                <w:rFonts w:eastAsia="Arial"/>
                <w:lang w:bidi="cs-CZ"/>
              </w:rPr>
            </w:pPr>
          </w:p>
          <w:p w14:paraId="15131EB1" w14:textId="77777777" w:rsidR="00ED17A9" w:rsidRPr="008819AF" w:rsidRDefault="00ED17A9" w:rsidP="0021052F">
            <w:pPr>
              <w:ind w:left="-70" w:right="-68" w:hanging="6"/>
              <w:jc w:val="center"/>
              <w:rPr>
                <w:rFonts w:eastAsia="Arial"/>
                <w:lang w:bidi="cs-CZ"/>
              </w:rPr>
            </w:pPr>
          </w:p>
          <w:p w14:paraId="15131EB2" w14:textId="77777777" w:rsidR="00ED17A9" w:rsidRPr="008819AF" w:rsidRDefault="00ED17A9" w:rsidP="0021052F">
            <w:pPr>
              <w:ind w:left="-70" w:right="-68" w:hanging="6"/>
              <w:jc w:val="center"/>
              <w:rPr>
                <w:rFonts w:eastAsia="Arial"/>
                <w:lang w:bidi="cs-CZ"/>
              </w:rPr>
            </w:pPr>
          </w:p>
          <w:p w14:paraId="15131EB3" w14:textId="77777777" w:rsidR="00ED17A9" w:rsidRPr="008819AF" w:rsidRDefault="00ED17A9" w:rsidP="0021052F">
            <w:pPr>
              <w:ind w:left="-70" w:right="-68" w:hanging="6"/>
              <w:jc w:val="center"/>
              <w:rPr>
                <w:rFonts w:eastAsia="Arial"/>
                <w:lang w:bidi="cs-CZ"/>
              </w:rPr>
            </w:pPr>
          </w:p>
          <w:p w14:paraId="15131EB4" w14:textId="77777777" w:rsidR="00ED17A9" w:rsidRPr="008819AF" w:rsidRDefault="00ED17A9" w:rsidP="0021052F">
            <w:pPr>
              <w:ind w:left="-70" w:right="-68" w:hanging="6"/>
              <w:jc w:val="center"/>
              <w:rPr>
                <w:rFonts w:eastAsia="Arial"/>
                <w:lang w:bidi="cs-CZ"/>
              </w:rPr>
            </w:pPr>
          </w:p>
          <w:p w14:paraId="15131EB5" w14:textId="77777777" w:rsidR="00ED17A9" w:rsidRPr="008819AF" w:rsidRDefault="00ED17A9" w:rsidP="0021052F">
            <w:pPr>
              <w:ind w:left="-70" w:right="-68" w:hanging="6"/>
              <w:jc w:val="center"/>
              <w:rPr>
                <w:rFonts w:eastAsia="Arial"/>
                <w:lang w:bidi="cs-CZ"/>
              </w:rPr>
            </w:pPr>
          </w:p>
          <w:p w14:paraId="15131EB6" w14:textId="77777777" w:rsidR="00ED17A9" w:rsidRPr="008819AF" w:rsidRDefault="00ED17A9" w:rsidP="0021052F">
            <w:pPr>
              <w:ind w:left="-70" w:right="-68" w:hanging="6"/>
              <w:jc w:val="center"/>
              <w:rPr>
                <w:rFonts w:eastAsia="Arial"/>
                <w:lang w:bidi="cs-CZ"/>
              </w:rPr>
            </w:pPr>
          </w:p>
          <w:p w14:paraId="15131EB7" w14:textId="77777777" w:rsidR="00ED17A9" w:rsidRPr="008819AF" w:rsidRDefault="00ED17A9" w:rsidP="0021052F">
            <w:pPr>
              <w:ind w:left="-70" w:right="-68" w:hanging="6"/>
              <w:jc w:val="center"/>
              <w:rPr>
                <w:rFonts w:eastAsia="Arial"/>
                <w:lang w:bidi="cs-CZ"/>
              </w:rPr>
            </w:pPr>
          </w:p>
          <w:p w14:paraId="15131EB8" w14:textId="77777777" w:rsidR="00ED17A9" w:rsidRPr="008819AF" w:rsidRDefault="00ED17A9" w:rsidP="0021052F">
            <w:pPr>
              <w:ind w:left="-70" w:right="-68" w:hanging="6"/>
              <w:jc w:val="center"/>
              <w:rPr>
                <w:rFonts w:eastAsia="Arial"/>
                <w:lang w:bidi="cs-CZ"/>
              </w:rPr>
            </w:pPr>
          </w:p>
          <w:p w14:paraId="15131EB9" w14:textId="77777777" w:rsidR="00ED17A9" w:rsidRPr="008819AF" w:rsidRDefault="00ED17A9" w:rsidP="0021052F">
            <w:pPr>
              <w:ind w:left="-70" w:right="-68" w:hanging="6"/>
              <w:jc w:val="center"/>
              <w:rPr>
                <w:rFonts w:eastAsia="Arial"/>
                <w:lang w:bidi="cs-CZ"/>
              </w:rPr>
            </w:pPr>
          </w:p>
          <w:p w14:paraId="15131EBA" w14:textId="77777777" w:rsidR="00ED17A9" w:rsidRPr="008819AF" w:rsidRDefault="00ED17A9" w:rsidP="0021052F">
            <w:pPr>
              <w:ind w:left="-70" w:right="-68" w:hanging="6"/>
              <w:jc w:val="center"/>
              <w:rPr>
                <w:rFonts w:eastAsia="Arial"/>
                <w:lang w:bidi="cs-CZ"/>
              </w:rPr>
            </w:pPr>
          </w:p>
          <w:p w14:paraId="15131EBB" w14:textId="77777777" w:rsidR="00ED17A9" w:rsidRPr="008819AF" w:rsidRDefault="00ED17A9" w:rsidP="0021052F">
            <w:pPr>
              <w:ind w:left="-70" w:right="-68" w:hanging="6"/>
              <w:jc w:val="center"/>
              <w:rPr>
                <w:rFonts w:eastAsia="Arial"/>
                <w:lang w:bidi="cs-CZ"/>
              </w:rPr>
            </w:pPr>
          </w:p>
          <w:p w14:paraId="15131EBC" w14:textId="77777777" w:rsidR="00ED17A9" w:rsidRPr="008819AF" w:rsidRDefault="00ED17A9" w:rsidP="0021052F">
            <w:pPr>
              <w:ind w:left="-70" w:right="-68" w:hanging="6"/>
              <w:jc w:val="center"/>
              <w:rPr>
                <w:rFonts w:eastAsia="Arial"/>
                <w:lang w:bidi="cs-CZ"/>
              </w:rPr>
            </w:pPr>
          </w:p>
          <w:p w14:paraId="15131EBF" w14:textId="6F0304E2" w:rsidR="00ED17A9" w:rsidRPr="008819AF" w:rsidRDefault="00ED17A9" w:rsidP="0021052F">
            <w:pPr>
              <w:ind w:left="-70" w:right="-68" w:hanging="6"/>
              <w:jc w:val="center"/>
              <w:rPr>
                <w:rFonts w:eastAsia="Arial"/>
                <w:lang w:bidi="cs-CZ"/>
              </w:rPr>
            </w:pPr>
          </w:p>
          <w:p w14:paraId="15131EC0" w14:textId="77777777" w:rsidR="00DD5B5A" w:rsidRPr="008819AF" w:rsidRDefault="00DD5B5A" w:rsidP="0021052F">
            <w:pPr>
              <w:ind w:left="-70" w:right="-68" w:hanging="6"/>
              <w:jc w:val="center"/>
              <w:rPr>
                <w:rFonts w:eastAsia="Arial"/>
                <w:lang w:bidi="cs-CZ"/>
              </w:rPr>
            </w:pPr>
          </w:p>
          <w:p w14:paraId="04F48126" w14:textId="1AAC8C50" w:rsidR="00305952" w:rsidRPr="008819AF" w:rsidRDefault="00305952" w:rsidP="0021052F">
            <w:pPr>
              <w:ind w:left="-70" w:right="-68" w:hanging="6"/>
              <w:jc w:val="center"/>
              <w:rPr>
                <w:rFonts w:eastAsia="Arial"/>
                <w:lang w:bidi="cs-CZ"/>
              </w:rPr>
            </w:pPr>
            <w:r w:rsidRPr="008819AF">
              <w:rPr>
                <w:rFonts w:eastAsia="Arial"/>
                <w:lang w:bidi="cs-CZ"/>
              </w:rPr>
              <w:t>N</w:t>
            </w:r>
          </w:p>
          <w:p w14:paraId="22C4095A" w14:textId="77777777" w:rsidR="00305952" w:rsidRPr="008819AF" w:rsidRDefault="00305952" w:rsidP="0021052F">
            <w:pPr>
              <w:ind w:left="-70" w:right="-68" w:hanging="6"/>
              <w:jc w:val="center"/>
              <w:rPr>
                <w:rFonts w:eastAsia="Arial"/>
                <w:lang w:bidi="cs-CZ"/>
              </w:rPr>
            </w:pPr>
          </w:p>
          <w:p w14:paraId="237FE3B0" w14:textId="77777777" w:rsidR="00305952" w:rsidRPr="008819AF" w:rsidRDefault="00305952" w:rsidP="0021052F">
            <w:pPr>
              <w:ind w:left="-70" w:right="-68" w:hanging="6"/>
              <w:jc w:val="center"/>
              <w:rPr>
                <w:rFonts w:eastAsia="Arial"/>
                <w:lang w:bidi="cs-CZ"/>
              </w:rPr>
            </w:pPr>
          </w:p>
          <w:p w14:paraId="15131EC1" w14:textId="7556F19C" w:rsidR="007170C3" w:rsidRPr="008819AF" w:rsidRDefault="006C7655" w:rsidP="0021052F">
            <w:pPr>
              <w:ind w:left="-70" w:right="-68" w:hanging="6"/>
              <w:jc w:val="center"/>
              <w:rPr>
                <w:rFonts w:eastAsia="Arial"/>
                <w:lang w:bidi="cs-CZ"/>
              </w:rPr>
            </w:pPr>
            <w:r w:rsidRPr="008819AF">
              <w:rPr>
                <w:rFonts w:eastAsia="Arial"/>
                <w:lang w:bidi="cs-CZ"/>
              </w:rPr>
              <w:t>N</w:t>
            </w:r>
          </w:p>
          <w:p w14:paraId="15131EC2" w14:textId="77777777" w:rsidR="007170C3" w:rsidRPr="008819AF" w:rsidRDefault="007170C3" w:rsidP="0021052F">
            <w:pPr>
              <w:ind w:left="-70" w:right="-68" w:hanging="6"/>
              <w:jc w:val="center"/>
              <w:rPr>
                <w:rFonts w:eastAsia="Arial"/>
                <w:lang w:bidi="cs-CZ"/>
              </w:rPr>
            </w:pPr>
          </w:p>
          <w:p w14:paraId="15131EC3" w14:textId="77777777" w:rsidR="007170C3" w:rsidRPr="008819AF" w:rsidRDefault="007170C3" w:rsidP="0021052F">
            <w:pPr>
              <w:ind w:left="-70" w:right="-68" w:hanging="6"/>
              <w:jc w:val="center"/>
              <w:rPr>
                <w:rFonts w:eastAsia="Arial"/>
                <w:lang w:bidi="cs-CZ"/>
              </w:rPr>
            </w:pPr>
          </w:p>
          <w:p w14:paraId="15131EC4" w14:textId="77777777" w:rsidR="007170C3" w:rsidRPr="008819AF" w:rsidRDefault="007170C3" w:rsidP="0021052F">
            <w:pPr>
              <w:ind w:left="-70" w:right="-68" w:hanging="6"/>
              <w:jc w:val="center"/>
              <w:rPr>
                <w:rFonts w:eastAsia="Arial"/>
                <w:lang w:bidi="cs-CZ"/>
              </w:rPr>
            </w:pPr>
          </w:p>
          <w:p w14:paraId="15131EC5" w14:textId="77777777" w:rsidR="007170C3" w:rsidRPr="008819AF" w:rsidRDefault="007170C3" w:rsidP="0021052F">
            <w:pPr>
              <w:ind w:left="-70" w:right="-68" w:hanging="6"/>
              <w:jc w:val="center"/>
              <w:rPr>
                <w:rFonts w:eastAsia="Arial"/>
                <w:lang w:bidi="cs-CZ"/>
              </w:rPr>
            </w:pPr>
          </w:p>
          <w:p w14:paraId="15131EC6" w14:textId="77777777" w:rsidR="007170C3" w:rsidRPr="008819AF" w:rsidRDefault="007170C3" w:rsidP="0021052F">
            <w:pPr>
              <w:ind w:left="-70" w:right="-68" w:hanging="6"/>
              <w:jc w:val="center"/>
              <w:rPr>
                <w:rFonts w:eastAsia="Arial"/>
                <w:lang w:bidi="cs-CZ"/>
              </w:rPr>
            </w:pPr>
          </w:p>
          <w:p w14:paraId="15131EC7" w14:textId="77777777" w:rsidR="007170C3" w:rsidRPr="008819AF" w:rsidRDefault="007170C3" w:rsidP="0021052F">
            <w:pPr>
              <w:ind w:left="-70" w:right="-68" w:hanging="6"/>
              <w:jc w:val="center"/>
              <w:rPr>
                <w:rFonts w:eastAsia="Arial"/>
                <w:lang w:bidi="cs-CZ"/>
              </w:rPr>
            </w:pPr>
          </w:p>
          <w:p w14:paraId="15131EC8" w14:textId="77777777" w:rsidR="007170C3" w:rsidRPr="008819AF" w:rsidRDefault="007170C3" w:rsidP="0021052F">
            <w:pPr>
              <w:ind w:left="-70" w:right="-68" w:hanging="6"/>
              <w:jc w:val="center"/>
              <w:rPr>
                <w:rFonts w:eastAsia="Arial"/>
                <w:lang w:bidi="cs-CZ"/>
              </w:rPr>
            </w:pPr>
          </w:p>
          <w:p w14:paraId="15131EC9" w14:textId="77777777" w:rsidR="007170C3" w:rsidRPr="008819AF" w:rsidRDefault="007170C3" w:rsidP="0021052F">
            <w:pPr>
              <w:ind w:left="-70" w:right="-68" w:hanging="6"/>
              <w:jc w:val="center"/>
              <w:rPr>
                <w:rFonts w:eastAsia="Arial"/>
                <w:lang w:bidi="cs-CZ"/>
              </w:rPr>
            </w:pPr>
          </w:p>
          <w:p w14:paraId="15131ECA" w14:textId="77777777" w:rsidR="007170C3" w:rsidRPr="008819AF" w:rsidRDefault="007170C3" w:rsidP="0021052F">
            <w:pPr>
              <w:ind w:left="-70" w:right="-68" w:hanging="6"/>
              <w:jc w:val="center"/>
              <w:rPr>
                <w:rFonts w:eastAsia="Arial"/>
                <w:lang w:bidi="cs-CZ"/>
              </w:rPr>
            </w:pPr>
          </w:p>
          <w:p w14:paraId="15131ECB" w14:textId="77777777" w:rsidR="007170C3" w:rsidRPr="008819AF" w:rsidRDefault="007170C3" w:rsidP="0021052F">
            <w:pPr>
              <w:ind w:left="-70" w:right="-68" w:hanging="6"/>
              <w:jc w:val="center"/>
              <w:rPr>
                <w:rFonts w:eastAsia="Arial"/>
                <w:lang w:bidi="cs-CZ"/>
              </w:rPr>
            </w:pPr>
          </w:p>
          <w:p w14:paraId="15131ECC" w14:textId="30D8A32F" w:rsidR="007170C3" w:rsidRPr="008819AF" w:rsidRDefault="00305952" w:rsidP="0021052F">
            <w:pPr>
              <w:ind w:left="-70" w:right="-68" w:hanging="6"/>
              <w:jc w:val="center"/>
              <w:rPr>
                <w:rFonts w:eastAsia="Arial"/>
                <w:lang w:bidi="cs-CZ"/>
              </w:rPr>
            </w:pPr>
            <w:r w:rsidRPr="008819AF">
              <w:rPr>
                <w:rFonts w:eastAsia="Arial"/>
                <w:lang w:bidi="cs-CZ"/>
              </w:rPr>
              <w:t>N</w:t>
            </w:r>
          </w:p>
          <w:p w14:paraId="15131ECD" w14:textId="77777777" w:rsidR="007170C3" w:rsidRPr="008819AF" w:rsidRDefault="007170C3" w:rsidP="0021052F">
            <w:pPr>
              <w:ind w:left="-70" w:right="-68" w:hanging="6"/>
              <w:jc w:val="center"/>
              <w:rPr>
                <w:rFonts w:eastAsia="Arial"/>
                <w:lang w:bidi="cs-CZ"/>
              </w:rPr>
            </w:pPr>
          </w:p>
          <w:p w14:paraId="15131ECE" w14:textId="77777777" w:rsidR="007170C3" w:rsidRPr="008819AF" w:rsidRDefault="007170C3" w:rsidP="0021052F">
            <w:pPr>
              <w:ind w:left="-70" w:right="-68" w:hanging="6"/>
              <w:jc w:val="center"/>
              <w:rPr>
                <w:rFonts w:eastAsia="Arial"/>
                <w:lang w:bidi="cs-CZ"/>
              </w:rPr>
            </w:pPr>
          </w:p>
          <w:p w14:paraId="15131ECF" w14:textId="77777777" w:rsidR="007170C3" w:rsidRPr="008819AF" w:rsidRDefault="007170C3" w:rsidP="0021052F">
            <w:pPr>
              <w:ind w:left="-70" w:right="-68" w:hanging="6"/>
              <w:jc w:val="center"/>
              <w:rPr>
                <w:rFonts w:eastAsia="Arial"/>
                <w:lang w:bidi="cs-CZ"/>
              </w:rPr>
            </w:pPr>
          </w:p>
          <w:p w14:paraId="15131ED0" w14:textId="77777777" w:rsidR="007170C3" w:rsidRPr="008819AF" w:rsidRDefault="007170C3" w:rsidP="0021052F">
            <w:pPr>
              <w:ind w:left="-70" w:right="-68" w:hanging="6"/>
              <w:jc w:val="center"/>
              <w:rPr>
                <w:rFonts w:eastAsia="Arial"/>
                <w:lang w:bidi="cs-CZ"/>
              </w:rPr>
            </w:pPr>
          </w:p>
          <w:p w14:paraId="15131ED1" w14:textId="77777777" w:rsidR="007170C3" w:rsidRPr="008819AF" w:rsidRDefault="007170C3" w:rsidP="0021052F">
            <w:pPr>
              <w:ind w:left="-70" w:right="-68" w:hanging="6"/>
              <w:jc w:val="center"/>
              <w:rPr>
                <w:rFonts w:eastAsia="Arial"/>
                <w:lang w:bidi="cs-CZ"/>
              </w:rPr>
            </w:pPr>
          </w:p>
          <w:p w14:paraId="15131ED2" w14:textId="77777777" w:rsidR="007170C3" w:rsidRPr="008819AF" w:rsidRDefault="007170C3" w:rsidP="0021052F">
            <w:pPr>
              <w:ind w:left="-70" w:right="-68" w:hanging="6"/>
              <w:jc w:val="center"/>
              <w:rPr>
                <w:rFonts w:eastAsia="Arial"/>
                <w:lang w:bidi="cs-CZ"/>
              </w:rPr>
            </w:pPr>
          </w:p>
          <w:p w14:paraId="15131ED3" w14:textId="77777777" w:rsidR="007170C3" w:rsidRPr="008819AF" w:rsidRDefault="007170C3" w:rsidP="0021052F">
            <w:pPr>
              <w:ind w:left="-70" w:right="-68" w:hanging="6"/>
              <w:jc w:val="center"/>
              <w:rPr>
                <w:rFonts w:eastAsia="Arial"/>
                <w:lang w:bidi="cs-CZ"/>
              </w:rPr>
            </w:pPr>
          </w:p>
          <w:p w14:paraId="15131ED4" w14:textId="77777777" w:rsidR="007170C3" w:rsidRPr="008819AF" w:rsidRDefault="007170C3" w:rsidP="0021052F">
            <w:pPr>
              <w:ind w:left="-70" w:right="-68" w:hanging="6"/>
              <w:jc w:val="center"/>
              <w:rPr>
                <w:rFonts w:eastAsia="Arial"/>
                <w:lang w:bidi="cs-CZ"/>
              </w:rPr>
            </w:pPr>
          </w:p>
          <w:p w14:paraId="15131ED5" w14:textId="77777777" w:rsidR="007170C3" w:rsidRPr="008819AF" w:rsidRDefault="007170C3" w:rsidP="0021052F">
            <w:pPr>
              <w:ind w:left="-70" w:right="-68" w:hanging="6"/>
              <w:jc w:val="center"/>
              <w:rPr>
                <w:rFonts w:eastAsia="Arial"/>
                <w:lang w:bidi="cs-CZ"/>
              </w:rPr>
            </w:pPr>
          </w:p>
          <w:p w14:paraId="15131ED6" w14:textId="77777777" w:rsidR="007170C3" w:rsidRPr="008819AF" w:rsidRDefault="007170C3" w:rsidP="0021052F">
            <w:pPr>
              <w:ind w:left="-70" w:right="-68" w:hanging="6"/>
              <w:jc w:val="center"/>
              <w:rPr>
                <w:rFonts w:eastAsia="Arial"/>
                <w:lang w:bidi="cs-CZ"/>
              </w:rPr>
            </w:pPr>
          </w:p>
          <w:p w14:paraId="15131ED7" w14:textId="77777777" w:rsidR="007170C3" w:rsidRPr="008819AF" w:rsidRDefault="007170C3" w:rsidP="0021052F">
            <w:pPr>
              <w:ind w:left="-70" w:right="-68" w:hanging="6"/>
              <w:jc w:val="center"/>
              <w:rPr>
                <w:rFonts w:eastAsia="Arial"/>
                <w:lang w:bidi="cs-CZ"/>
              </w:rPr>
            </w:pPr>
          </w:p>
          <w:p w14:paraId="15131ED8" w14:textId="77777777" w:rsidR="007170C3" w:rsidRPr="008819AF" w:rsidRDefault="007170C3" w:rsidP="0021052F">
            <w:pPr>
              <w:ind w:left="-70" w:right="-68" w:hanging="6"/>
              <w:jc w:val="center"/>
              <w:rPr>
                <w:rFonts w:eastAsia="Arial"/>
                <w:lang w:bidi="cs-CZ"/>
              </w:rPr>
            </w:pPr>
          </w:p>
          <w:p w14:paraId="15131ED9" w14:textId="77777777" w:rsidR="007170C3" w:rsidRPr="008819AF" w:rsidRDefault="007170C3" w:rsidP="0021052F">
            <w:pPr>
              <w:ind w:left="-70" w:right="-68" w:hanging="6"/>
              <w:jc w:val="center"/>
              <w:rPr>
                <w:rFonts w:eastAsia="Arial"/>
                <w:lang w:bidi="cs-CZ"/>
              </w:rPr>
            </w:pPr>
          </w:p>
          <w:p w14:paraId="15131EDA" w14:textId="77777777" w:rsidR="007170C3" w:rsidRPr="008819AF" w:rsidRDefault="007170C3" w:rsidP="0021052F">
            <w:pPr>
              <w:ind w:left="-70" w:right="-68" w:hanging="6"/>
              <w:jc w:val="center"/>
              <w:rPr>
                <w:rFonts w:eastAsia="Arial"/>
                <w:lang w:bidi="cs-CZ"/>
              </w:rPr>
            </w:pPr>
          </w:p>
          <w:p w14:paraId="15131EDB" w14:textId="77777777" w:rsidR="007170C3" w:rsidRPr="008819AF" w:rsidRDefault="006F0418" w:rsidP="0021052F">
            <w:pPr>
              <w:ind w:left="-70" w:right="-68" w:hanging="6"/>
              <w:jc w:val="center"/>
              <w:rPr>
                <w:rFonts w:eastAsia="Arial"/>
                <w:lang w:bidi="cs-CZ"/>
              </w:rPr>
            </w:pPr>
            <w:r w:rsidRPr="008819AF">
              <w:rPr>
                <w:rFonts w:eastAsia="Arial"/>
                <w:lang w:bidi="cs-CZ"/>
              </w:rPr>
              <w:t>n.a</w:t>
            </w:r>
          </w:p>
          <w:p w14:paraId="15131EDC" w14:textId="77777777" w:rsidR="007170C3" w:rsidRPr="008819AF" w:rsidRDefault="007170C3" w:rsidP="0021052F">
            <w:pPr>
              <w:ind w:left="-70" w:right="-68" w:hanging="6"/>
              <w:jc w:val="center"/>
              <w:rPr>
                <w:rFonts w:eastAsia="Arial"/>
                <w:lang w:bidi="cs-CZ"/>
              </w:rPr>
            </w:pPr>
          </w:p>
          <w:p w14:paraId="15131EDD" w14:textId="77777777" w:rsidR="007170C3" w:rsidRPr="008819AF" w:rsidRDefault="007170C3" w:rsidP="0021052F">
            <w:pPr>
              <w:ind w:left="-70" w:right="-68" w:hanging="6"/>
              <w:jc w:val="center"/>
              <w:rPr>
                <w:rFonts w:eastAsia="Arial"/>
                <w:lang w:bidi="cs-CZ"/>
              </w:rPr>
            </w:pPr>
          </w:p>
          <w:p w14:paraId="15131EDE" w14:textId="77777777" w:rsidR="007245BB" w:rsidRPr="008819AF" w:rsidRDefault="007245BB" w:rsidP="0021052F">
            <w:pPr>
              <w:ind w:left="-70" w:right="-68" w:hanging="6"/>
              <w:jc w:val="center"/>
              <w:rPr>
                <w:rFonts w:eastAsia="Arial"/>
                <w:lang w:bidi="cs-CZ"/>
              </w:rPr>
            </w:pPr>
          </w:p>
          <w:p w14:paraId="15131EDF" w14:textId="77777777" w:rsidR="007245BB" w:rsidRPr="008819AF" w:rsidRDefault="007245BB" w:rsidP="0021052F">
            <w:pPr>
              <w:ind w:left="-70" w:right="-68" w:hanging="6"/>
              <w:jc w:val="center"/>
              <w:rPr>
                <w:rFonts w:eastAsia="Arial"/>
                <w:lang w:bidi="cs-CZ"/>
              </w:rPr>
            </w:pPr>
          </w:p>
          <w:p w14:paraId="15131EE0" w14:textId="77777777" w:rsidR="007245BB" w:rsidRPr="008819AF" w:rsidRDefault="007245BB" w:rsidP="0021052F">
            <w:pPr>
              <w:ind w:left="-70" w:right="-68" w:hanging="6"/>
              <w:jc w:val="center"/>
              <w:rPr>
                <w:rFonts w:eastAsia="Arial"/>
                <w:lang w:bidi="cs-CZ"/>
              </w:rPr>
            </w:pPr>
          </w:p>
          <w:p w14:paraId="15131EE1" w14:textId="77777777" w:rsidR="007245BB" w:rsidRPr="008819AF" w:rsidRDefault="007245BB" w:rsidP="0021052F">
            <w:pPr>
              <w:ind w:left="-70" w:right="-68" w:hanging="6"/>
              <w:jc w:val="center"/>
              <w:rPr>
                <w:rFonts w:eastAsia="Arial"/>
                <w:lang w:bidi="cs-CZ"/>
              </w:rPr>
            </w:pPr>
          </w:p>
          <w:p w14:paraId="15131EE2" w14:textId="77777777" w:rsidR="007245BB" w:rsidRPr="008819AF" w:rsidRDefault="007245BB" w:rsidP="0021052F">
            <w:pPr>
              <w:ind w:left="-70" w:right="-68" w:hanging="6"/>
              <w:jc w:val="center"/>
              <w:rPr>
                <w:rFonts w:eastAsia="Arial"/>
                <w:lang w:bidi="cs-CZ"/>
              </w:rPr>
            </w:pPr>
          </w:p>
          <w:p w14:paraId="15131EE3" w14:textId="77777777" w:rsidR="006060FC" w:rsidRPr="008819AF" w:rsidRDefault="006060FC" w:rsidP="0021052F">
            <w:pPr>
              <w:ind w:left="-70" w:right="-68" w:hanging="6"/>
              <w:jc w:val="center"/>
              <w:rPr>
                <w:rFonts w:eastAsia="Arial"/>
                <w:lang w:bidi="cs-CZ"/>
              </w:rPr>
            </w:pPr>
          </w:p>
          <w:p w14:paraId="15131EE4" w14:textId="77777777" w:rsidR="007245BB" w:rsidRPr="008819AF" w:rsidRDefault="007245BB" w:rsidP="0021052F">
            <w:pPr>
              <w:ind w:left="-70" w:right="-68" w:hanging="6"/>
              <w:jc w:val="center"/>
              <w:rPr>
                <w:rFonts w:eastAsia="Arial"/>
                <w:lang w:bidi="cs-CZ"/>
              </w:rPr>
            </w:pPr>
            <w:r w:rsidRPr="008819AF">
              <w:rPr>
                <w:rFonts w:eastAsia="Arial"/>
                <w:lang w:bidi="cs-CZ"/>
              </w:rPr>
              <w:t>N</w:t>
            </w:r>
          </w:p>
          <w:p w14:paraId="15131EE5"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1EE6" w14:textId="77777777" w:rsidR="007170C3" w:rsidRPr="008819AF" w:rsidRDefault="007170C3" w:rsidP="0021052F">
            <w:pPr>
              <w:jc w:val="center"/>
              <w:rPr>
                <w:rFonts w:eastAsia="Arial"/>
                <w:lang w:bidi="cs-CZ"/>
              </w:rPr>
            </w:pPr>
          </w:p>
          <w:p w14:paraId="15131EE7" w14:textId="77777777" w:rsidR="007170C3" w:rsidRPr="008819AF" w:rsidRDefault="00A32C9B" w:rsidP="0021052F">
            <w:pPr>
              <w:jc w:val="center"/>
              <w:rPr>
                <w:rFonts w:eastAsia="Arial"/>
                <w:lang w:bidi="cs-CZ"/>
              </w:rPr>
            </w:pPr>
            <w:r w:rsidRPr="008819AF">
              <w:rPr>
                <w:rFonts w:eastAsia="Arial"/>
                <w:lang w:bidi="cs-CZ"/>
              </w:rPr>
              <w:t>NZ</w:t>
            </w:r>
          </w:p>
          <w:p w14:paraId="15131EE8" w14:textId="77777777" w:rsidR="007170C3" w:rsidRPr="008819AF" w:rsidRDefault="007170C3" w:rsidP="0021052F">
            <w:pPr>
              <w:jc w:val="center"/>
              <w:rPr>
                <w:rFonts w:eastAsia="Arial"/>
                <w:lang w:bidi="cs-CZ"/>
              </w:rPr>
            </w:pPr>
          </w:p>
          <w:p w14:paraId="15131EE9" w14:textId="77777777" w:rsidR="007170C3" w:rsidRPr="008819AF" w:rsidRDefault="007170C3" w:rsidP="0021052F">
            <w:pPr>
              <w:jc w:val="center"/>
              <w:rPr>
                <w:rFonts w:eastAsia="Arial"/>
                <w:lang w:bidi="cs-CZ"/>
              </w:rPr>
            </w:pPr>
          </w:p>
          <w:p w14:paraId="15131EEA" w14:textId="77777777" w:rsidR="007170C3" w:rsidRPr="008819AF" w:rsidRDefault="007170C3" w:rsidP="0021052F">
            <w:pPr>
              <w:jc w:val="center"/>
              <w:rPr>
                <w:rFonts w:eastAsia="Arial"/>
                <w:lang w:bidi="cs-CZ"/>
              </w:rPr>
            </w:pPr>
          </w:p>
          <w:p w14:paraId="15131EEB" w14:textId="77777777" w:rsidR="007170C3" w:rsidRPr="008819AF" w:rsidRDefault="007170C3" w:rsidP="0021052F">
            <w:pPr>
              <w:jc w:val="center"/>
              <w:rPr>
                <w:rFonts w:eastAsia="Arial"/>
                <w:lang w:bidi="cs-CZ"/>
              </w:rPr>
            </w:pPr>
          </w:p>
          <w:p w14:paraId="15131EEC" w14:textId="77777777" w:rsidR="007170C3" w:rsidRPr="008819AF" w:rsidRDefault="007170C3" w:rsidP="0021052F">
            <w:pPr>
              <w:jc w:val="center"/>
              <w:rPr>
                <w:rFonts w:eastAsia="Arial"/>
                <w:lang w:bidi="cs-CZ"/>
              </w:rPr>
            </w:pPr>
          </w:p>
          <w:p w14:paraId="15131EED" w14:textId="77777777" w:rsidR="007170C3" w:rsidRPr="008819AF" w:rsidRDefault="006F0418" w:rsidP="0021052F">
            <w:pPr>
              <w:jc w:val="center"/>
              <w:rPr>
                <w:rFonts w:eastAsia="Arial"/>
                <w:lang w:bidi="cs-CZ"/>
              </w:rPr>
            </w:pPr>
            <w:r w:rsidRPr="008819AF">
              <w:rPr>
                <w:rFonts w:eastAsia="Arial"/>
                <w:lang w:bidi="cs-CZ"/>
              </w:rPr>
              <w:t>NV2</w:t>
            </w:r>
          </w:p>
          <w:p w14:paraId="15131EEE" w14:textId="77777777" w:rsidR="007170C3" w:rsidRPr="008819AF" w:rsidRDefault="007170C3" w:rsidP="0021052F">
            <w:pPr>
              <w:jc w:val="center"/>
              <w:rPr>
                <w:rFonts w:eastAsia="Arial"/>
                <w:lang w:bidi="cs-CZ"/>
              </w:rPr>
            </w:pPr>
          </w:p>
          <w:p w14:paraId="15131EEF" w14:textId="77777777" w:rsidR="007170C3" w:rsidRPr="008819AF" w:rsidRDefault="007170C3" w:rsidP="0021052F">
            <w:pPr>
              <w:jc w:val="center"/>
              <w:rPr>
                <w:rFonts w:eastAsia="Arial"/>
                <w:lang w:bidi="cs-CZ"/>
              </w:rPr>
            </w:pPr>
          </w:p>
          <w:p w14:paraId="15131EF0" w14:textId="77777777" w:rsidR="007170C3" w:rsidRPr="008819AF" w:rsidRDefault="007170C3" w:rsidP="0021052F">
            <w:pPr>
              <w:jc w:val="center"/>
              <w:rPr>
                <w:rFonts w:eastAsia="Arial"/>
                <w:lang w:bidi="cs-CZ"/>
              </w:rPr>
            </w:pPr>
          </w:p>
          <w:p w14:paraId="15131EF1" w14:textId="77777777" w:rsidR="007170C3" w:rsidRPr="008819AF" w:rsidRDefault="007170C3" w:rsidP="0021052F">
            <w:pPr>
              <w:jc w:val="center"/>
              <w:rPr>
                <w:rFonts w:eastAsia="Arial"/>
                <w:lang w:bidi="cs-CZ"/>
              </w:rPr>
            </w:pPr>
          </w:p>
          <w:p w14:paraId="15131EF2" w14:textId="77777777" w:rsidR="007170C3" w:rsidRPr="008819AF" w:rsidRDefault="007170C3" w:rsidP="0021052F">
            <w:pPr>
              <w:jc w:val="center"/>
              <w:rPr>
                <w:rFonts w:eastAsia="Arial"/>
                <w:lang w:bidi="cs-CZ"/>
              </w:rPr>
            </w:pPr>
          </w:p>
          <w:p w14:paraId="15131EF3" w14:textId="77777777" w:rsidR="007170C3" w:rsidRPr="008819AF" w:rsidRDefault="007170C3" w:rsidP="0021052F">
            <w:pPr>
              <w:jc w:val="center"/>
              <w:rPr>
                <w:rFonts w:eastAsia="Arial"/>
                <w:lang w:bidi="cs-CZ"/>
              </w:rPr>
            </w:pPr>
          </w:p>
          <w:p w14:paraId="15131EF4" w14:textId="77777777" w:rsidR="007170C3" w:rsidRPr="008819AF" w:rsidRDefault="007170C3" w:rsidP="0021052F">
            <w:pPr>
              <w:jc w:val="center"/>
              <w:rPr>
                <w:rFonts w:eastAsia="Arial"/>
                <w:lang w:bidi="cs-CZ"/>
              </w:rPr>
            </w:pPr>
          </w:p>
          <w:p w14:paraId="15131EF5" w14:textId="77777777" w:rsidR="0047589E" w:rsidRPr="008819AF" w:rsidRDefault="0047589E" w:rsidP="0021052F">
            <w:pPr>
              <w:jc w:val="center"/>
              <w:rPr>
                <w:rFonts w:eastAsia="Arial"/>
                <w:lang w:bidi="cs-CZ"/>
              </w:rPr>
            </w:pPr>
          </w:p>
          <w:p w14:paraId="15131EF6" w14:textId="77777777" w:rsidR="00ED17A9" w:rsidRPr="008819AF" w:rsidRDefault="00ED17A9" w:rsidP="0021052F">
            <w:pPr>
              <w:jc w:val="center"/>
              <w:rPr>
                <w:rFonts w:eastAsia="Arial"/>
                <w:lang w:bidi="cs-CZ"/>
              </w:rPr>
            </w:pPr>
          </w:p>
          <w:p w14:paraId="15131EF7" w14:textId="77777777" w:rsidR="00ED17A9" w:rsidRPr="008819AF" w:rsidRDefault="00ED17A9" w:rsidP="0021052F">
            <w:pPr>
              <w:jc w:val="center"/>
              <w:rPr>
                <w:rFonts w:eastAsia="Arial"/>
                <w:lang w:bidi="cs-CZ"/>
              </w:rPr>
            </w:pPr>
          </w:p>
          <w:p w14:paraId="15131EF8" w14:textId="77777777" w:rsidR="00ED17A9" w:rsidRPr="008819AF" w:rsidRDefault="00ED17A9" w:rsidP="0021052F">
            <w:pPr>
              <w:jc w:val="center"/>
              <w:rPr>
                <w:rFonts w:eastAsia="Arial"/>
                <w:lang w:bidi="cs-CZ"/>
              </w:rPr>
            </w:pPr>
          </w:p>
          <w:p w14:paraId="15131EF9" w14:textId="77777777" w:rsidR="00ED17A9" w:rsidRPr="008819AF" w:rsidRDefault="00ED17A9" w:rsidP="0021052F">
            <w:pPr>
              <w:jc w:val="center"/>
              <w:rPr>
                <w:rFonts w:eastAsia="Arial"/>
                <w:lang w:bidi="cs-CZ"/>
              </w:rPr>
            </w:pPr>
          </w:p>
          <w:p w14:paraId="15131EFA" w14:textId="77777777" w:rsidR="00ED17A9" w:rsidRPr="008819AF" w:rsidRDefault="00ED17A9" w:rsidP="0021052F">
            <w:pPr>
              <w:jc w:val="center"/>
              <w:rPr>
                <w:rFonts w:eastAsia="Arial"/>
                <w:lang w:bidi="cs-CZ"/>
              </w:rPr>
            </w:pPr>
          </w:p>
          <w:p w14:paraId="15131EFB" w14:textId="77777777" w:rsidR="00ED17A9" w:rsidRPr="008819AF" w:rsidRDefault="00ED17A9" w:rsidP="0021052F">
            <w:pPr>
              <w:jc w:val="center"/>
              <w:rPr>
                <w:rFonts w:eastAsia="Arial"/>
                <w:lang w:bidi="cs-CZ"/>
              </w:rPr>
            </w:pPr>
          </w:p>
          <w:p w14:paraId="15131EFC" w14:textId="77777777" w:rsidR="00ED17A9" w:rsidRPr="008819AF" w:rsidRDefault="00ED17A9" w:rsidP="0021052F">
            <w:pPr>
              <w:jc w:val="center"/>
              <w:rPr>
                <w:rFonts w:eastAsia="Arial"/>
                <w:lang w:bidi="cs-CZ"/>
              </w:rPr>
            </w:pPr>
          </w:p>
          <w:p w14:paraId="15131EFD" w14:textId="77777777" w:rsidR="007170C3" w:rsidRPr="008819AF" w:rsidRDefault="00A32C9B" w:rsidP="0021052F">
            <w:pPr>
              <w:jc w:val="center"/>
              <w:rPr>
                <w:rFonts w:eastAsia="Arial"/>
              </w:rPr>
            </w:pPr>
            <w:r w:rsidRPr="008819AF">
              <w:rPr>
                <w:rFonts w:eastAsia="Arial"/>
                <w:lang w:bidi="cs-CZ"/>
              </w:rPr>
              <w:t>NZ</w:t>
            </w:r>
          </w:p>
          <w:p w14:paraId="15131EFE" w14:textId="77777777" w:rsidR="007170C3" w:rsidRPr="008819AF" w:rsidRDefault="007170C3" w:rsidP="0021052F">
            <w:pPr>
              <w:jc w:val="center"/>
              <w:rPr>
                <w:rFonts w:eastAsia="Arial"/>
              </w:rPr>
            </w:pPr>
          </w:p>
          <w:p w14:paraId="15131EFF" w14:textId="77777777" w:rsidR="007170C3" w:rsidRPr="008819AF" w:rsidRDefault="007170C3" w:rsidP="0021052F">
            <w:pPr>
              <w:jc w:val="center"/>
              <w:rPr>
                <w:rFonts w:eastAsia="Arial"/>
              </w:rPr>
            </w:pPr>
          </w:p>
          <w:p w14:paraId="15131F00" w14:textId="77777777" w:rsidR="007170C3" w:rsidRPr="008819AF" w:rsidRDefault="007170C3" w:rsidP="0021052F">
            <w:pPr>
              <w:jc w:val="center"/>
              <w:rPr>
                <w:rFonts w:eastAsia="Arial"/>
              </w:rPr>
            </w:pPr>
          </w:p>
          <w:p w14:paraId="15131F01" w14:textId="77777777" w:rsidR="007170C3" w:rsidRPr="008819AF" w:rsidRDefault="007170C3" w:rsidP="0021052F">
            <w:pPr>
              <w:jc w:val="center"/>
              <w:rPr>
                <w:rFonts w:eastAsia="Arial"/>
                <w:lang w:bidi="cs-CZ"/>
              </w:rPr>
            </w:pPr>
          </w:p>
          <w:p w14:paraId="15131F02" w14:textId="77777777" w:rsidR="007170C3" w:rsidRPr="008819AF" w:rsidRDefault="007170C3" w:rsidP="0021052F">
            <w:pPr>
              <w:jc w:val="center"/>
              <w:rPr>
                <w:rFonts w:eastAsia="Arial"/>
                <w:lang w:bidi="cs-CZ"/>
              </w:rPr>
            </w:pPr>
          </w:p>
          <w:p w14:paraId="15131F03" w14:textId="77777777" w:rsidR="007170C3" w:rsidRPr="008819AF" w:rsidRDefault="007170C3" w:rsidP="0021052F">
            <w:pPr>
              <w:jc w:val="center"/>
              <w:rPr>
                <w:rFonts w:eastAsia="Arial"/>
                <w:lang w:bidi="cs-CZ"/>
              </w:rPr>
            </w:pPr>
          </w:p>
          <w:p w14:paraId="15131F04" w14:textId="77777777" w:rsidR="00ED17A9" w:rsidRPr="008819AF" w:rsidRDefault="00ED17A9" w:rsidP="0021052F">
            <w:pPr>
              <w:jc w:val="center"/>
              <w:rPr>
                <w:rFonts w:eastAsia="Arial"/>
                <w:lang w:bidi="cs-CZ"/>
              </w:rPr>
            </w:pPr>
          </w:p>
          <w:p w14:paraId="15131F05" w14:textId="77777777" w:rsidR="00ED17A9" w:rsidRPr="008819AF" w:rsidRDefault="00ED17A9" w:rsidP="0021052F">
            <w:pPr>
              <w:jc w:val="center"/>
              <w:rPr>
                <w:rFonts w:eastAsia="Arial"/>
                <w:lang w:bidi="cs-CZ"/>
              </w:rPr>
            </w:pPr>
          </w:p>
          <w:p w14:paraId="15131F06" w14:textId="77777777" w:rsidR="00ED17A9" w:rsidRPr="008819AF" w:rsidRDefault="00ED17A9" w:rsidP="0021052F">
            <w:pPr>
              <w:jc w:val="center"/>
              <w:rPr>
                <w:rFonts w:eastAsia="Arial"/>
                <w:lang w:bidi="cs-CZ"/>
              </w:rPr>
            </w:pPr>
          </w:p>
          <w:p w14:paraId="15131F07" w14:textId="77777777" w:rsidR="00ED17A9" w:rsidRPr="008819AF" w:rsidRDefault="00ED17A9" w:rsidP="0021052F">
            <w:pPr>
              <w:jc w:val="center"/>
              <w:rPr>
                <w:rFonts w:eastAsia="Arial"/>
                <w:lang w:bidi="cs-CZ"/>
              </w:rPr>
            </w:pPr>
          </w:p>
          <w:p w14:paraId="15131F08" w14:textId="77777777" w:rsidR="00ED17A9" w:rsidRPr="008819AF" w:rsidRDefault="00ED17A9" w:rsidP="0021052F">
            <w:pPr>
              <w:jc w:val="center"/>
              <w:rPr>
                <w:rFonts w:eastAsia="Arial"/>
                <w:lang w:bidi="cs-CZ"/>
              </w:rPr>
            </w:pPr>
          </w:p>
          <w:p w14:paraId="15131F09" w14:textId="77777777" w:rsidR="00ED17A9" w:rsidRPr="008819AF" w:rsidRDefault="00ED17A9" w:rsidP="0021052F">
            <w:pPr>
              <w:jc w:val="center"/>
              <w:rPr>
                <w:rFonts w:eastAsia="Arial"/>
                <w:lang w:bidi="cs-CZ"/>
              </w:rPr>
            </w:pPr>
          </w:p>
          <w:p w14:paraId="15131F0A" w14:textId="77777777" w:rsidR="00ED17A9" w:rsidRPr="008819AF" w:rsidRDefault="00ED17A9" w:rsidP="0021052F">
            <w:pPr>
              <w:jc w:val="center"/>
              <w:rPr>
                <w:rFonts w:eastAsia="Arial"/>
                <w:lang w:bidi="cs-CZ"/>
              </w:rPr>
            </w:pPr>
          </w:p>
          <w:p w14:paraId="15131F0B" w14:textId="77777777" w:rsidR="00ED17A9" w:rsidRPr="008819AF" w:rsidRDefault="00ED17A9" w:rsidP="0021052F">
            <w:pPr>
              <w:jc w:val="center"/>
              <w:rPr>
                <w:rFonts w:eastAsia="Arial"/>
                <w:lang w:bidi="cs-CZ"/>
              </w:rPr>
            </w:pPr>
          </w:p>
          <w:p w14:paraId="15131F0C" w14:textId="77777777" w:rsidR="00ED17A9" w:rsidRPr="008819AF" w:rsidRDefault="00ED17A9" w:rsidP="0021052F">
            <w:pPr>
              <w:jc w:val="center"/>
              <w:rPr>
                <w:rFonts w:eastAsia="Arial"/>
                <w:lang w:bidi="cs-CZ"/>
              </w:rPr>
            </w:pPr>
          </w:p>
          <w:p w14:paraId="15131F0D" w14:textId="77777777" w:rsidR="00ED17A9" w:rsidRPr="008819AF" w:rsidRDefault="00ED17A9" w:rsidP="0021052F">
            <w:pPr>
              <w:jc w:val="center"/>
              <w:rPr>
                <w:rFonts w:eastAsia="Arial"/>
                <w:lang w:bidi="cs-CZ"/>
              </w:rPr>
            </w:pPr>
          </w:p>
          <w:p w14:paraId="15131F0E" w14:textId="77777777" w:rsidR="00ED17A9" w:rsidRPr="008819AF" w:rsidRDefault="00ED17A9" w:rsidP="0021052F">
            <w:pPr>
              <w:jc w:val="center"/>
              <w:rPr>
                <w:rFonts w:eastAsia="Arial"/>
                <w:lang w:bidi="cs-CZ"/>
              </w:rPr>
            </w:pPr>
          </w:p>
          <w:p w14:paraId="15131F0F" w14:textId="77777777" w:rsidR="00ED17A9" w:rsidRPr="008819AF" w:rsidRDefault="00ED17A9" w:rsidP="0021052F">
            <w:pPr>
              <w:jc w:val="center"/>
              <w:rPr>
                <w:rFonts w:eastAsia="Arial"/>
                <w:lang w:bidi="cs-CZ"/>
              </w:rPr>
            </w:pPr>
          </w:p>
          <w:p w14:paraId="15131F10" w14:textId="77777777" w:rsidR="00ED17A9" w:rsidRPr="008819AF" w:rsidRDefault="00ED17A9" w:rsidP="0021052F">
            <w:pPr>
              <w:jc w:val="center"/>
              <w:rPr>
                <w:rFonts w:eastAsia="Arial"/>
                <w:lang w:bidi="cs-CZ"/>
              </w:rPr>
            </w:pPr>
          </w:p>
          <w:p w14:paraId="7D3916B7" w14:textId="6A6F93F4" w:rsidR="00305952" w:rsidRPr="008819AF" w:rsidRDefault="00305952" w:rsidP="0021052F">
            <w:pPr>
              <w:jc w:val="center"/>
              <w:rPr>
                <w:rFonts w:eastAsia="Arial"/>
                <w:lang w:bidi="cs-CZ"/>
              </w:rPr>
            </w:pPr>
          </w:p>
          <w:p w14:paraId="558BD9DF" w14:textId="3EF4F489" w:rsidR="00305952" w:rsidRPr="008819AF" w:rsidRDefault="00305952" w:rsidP="0021052F">
            <w:pPr>
              <w:jc w:val="center"/>
              <w:rPr>
                <w:rFonts w:eastAsia="Arial"/>
                <w:lang w:bidi="cs-CZ"/>
              </w:rPr>
            </w:pPr>
            <w:r w:rsidRPr="008819AF">
              <w:rPr>
                <w:rFonts w:eastAsia="Arial"/>
                <w:lang w:bidi="cs-CZ"/>
              </w:rPr>
              <w:t>NV3</w:t>
            </w:r>
          </w:p>
          <w:p w14:paraId="0E045513" w14:textId="1304336F" w:rsidR="00305952" w:rsidRPr="008819AF" w:rsidRDefault="00305952" w:rsidP="0021052F">
            <w:pPr>
              <w:jc w:val="center"/>
              <w:rPr>
                <w:rFonts w:eastAsia="Arial"/>
                <w:lang w:bidi="cs-CZ"/>
              </w:rPr>
            </w:pPr>
          </w:p>
          <w:p w14:paraId="2335EDE3" w14:textId="77777777" w:rsidR="00305952" w:rsidRPr="008819AF" w:rsidRDefault="00305952" w:rsidP="0021052F">
            <w:pPr>
              <w:jc w:val="center"/>
              <w:rPr>
                <w:rFonts w:eastAsia="Arial"/>
                <w:lang w:bidi="cs-CZ"/>
              </w:rPr>
            </w:pPr>
          </w:p>
          <w:p w14:paraId="15131F14" w14:textId="77777777" w:rsidR="007170C3" w:rsidRPr="008819AF" w:rsidRDefault="006C7655" w:rsidP="0021052F">
            <w:pPr>
              <w:jc w:val="center"/>
              <w:rPr>
                <w:rFonts w:eastAsia="Arial"/>
                <w:lang w:bidi="cs-CZ"/>
              </w:rPr>
            </w:pPr>
            <w:r w:rsidRPr="008819AF">
              <w:rPr>
                <w:rFonts w:eastAsia="Arial"/>
                <w:lang w:bidi="cs-CZ"/>
              </w:rPr>
              <w:t>NV2</w:t>
            </w:r>
          </w:p>
          <w:p w14:paraId="15131F15" w14:textId="77777777" w:rsidR="007170C3" w:rsidRPr="008819AF" w:rsidRDefault="007170C3" w:rsidP="0021052F">
            <w:pPr>
              <w:jc w:val="center"/>
              <w:rPr>
                <w:rFonts w:eastAsia="Arial"/>
                <w:lang w:bidi="cs-CZ"/>
              </w:rPr>
            </w:pPr>
          </w:p>
          <w:p w14:paraId="15131F16" w14:textId="77777777" w:rsidR="007170C3" w:rsidRPr="008819AF" w:rsidRDefault="007170C3" w:rsidP="0021052F">
            <w:pPr>
              <w:jc w:val="center"/>
              <w:rPr>
                <w:rFonts w:eastAsia="Arial"/>
                <w:lang w:bidi="cs-CZ"/>
              </w:rPr>
            </w:pPr>
          </w:p>
          <w:p w14:paraId="15131F17" w14:textId="77777777" w:rsidR="007170C3" w:rsidRPr="008819AF" w:rsidRDefault="007170C3" w:rsidP="0021052F">
            <w:pPr>
              <w:jc w:val="center"/>
              <w:rPr>
                <w:rFonts w:eastAsia="Arial"/>
                <w:lang w:bidi="cs-CZ"/>
              </w:rPr>
            </w:pPr>
          </w:p>
          <w:p w14:paraId="15131F18" w14:textId="77777777" w:rsidR="007170C3" w:rsidRPr="008819AF" w:rsidRDefault="007170C3" w:rsidP="0021052F">
            <w:pPr>
              <w:jc w:val="center"/>
              <w:rPr>
                <w:rFonts w:eastAsia="Arial"/>
                <w:lang w:bidi="cs-CZ"/>
              </w:rPr>
            </w:pPr>
          </w:p>
          <w:p w14:paraId="15131F19" w14:textId="77777777" w:rsidR="007170C3" w:rsidRPr="008819AF" w:rsidRDefault="007170C3" w:rsidP="0021052F">
            <w:pPr>
              <w:jc w:val="center"/>
              <w:rPr>
                <w:rFonts w:eastAsia="Arial"/>
                <w:lang w:bidi="cs-CZ"/>
              </w:rPr>
            </w:pPr>
          </w:p>
          <w:p w14:paraId="15131F1A" w14:textId="77777777" w:rsidR="007170C3" w:rsidRPr="008819AF" w:rsidRDefault="007170C3" w:rsidP="0021052F">
            <w:pPr>
              <w:jc w:val="center"/>
              <w:rPr>
                <w:rFonts w:eastAsia="Arial"/>
                <w:lang w:bidi="cs-CZ"/>
              </w:rPr>
            </w:pPr>
          </w:p>
          <w:p w14:paraId="15131F1B" w14:textId="77777777" w:rsidR="007170C3" w:rsidRPr="008819AF" w:rsidRDefault="007170C3" w:rsidP="0021052F">
            <w:pPr>
              <w:jc w:val="center"/>
              <w:rPr>
                <w:rFonts w:eastAsia="Arial"/>
                <w:lang w:bidi="cs-CZ"/>
              </w:rPr>
            </w:pPr>
          </w:p>
          <w:p w14:paraId="15131F1C" w14:textId="77777777" w:rsidR="00731F8B" w:rsidRPr="008819AF" w:rsidRDefault="00731F8B" w:rsidP="0021052F">
            <w:pPr>
              <w:jc w:val="center"/>
              <w:rPr>
                <w:rFonts w:eastAsia="Arial"/>
                <w:lang w:bidi="cs-CZ"/>
              </w:rPr>
            </w:pPr>
          </w:p>
          <w:p w14:paraId="15131F1D" w14:textId="13226CC4" w:rsidR="002019F6" w:rsidRPr="008819AF" w:rsidRDefault="002019F6" w:rsidP="0021052F">
            <w:pPr>
              <w:jc w:val="center"/>
              <w:rPr>
                <w:rFonts w:eastAsia="Arial"/>
                <w:lang w:bidi="cs-CZ"/>
              </w:rPr>
            </w:pPr>
          </w:p>
          <w:p w14:paraId="2AB36742" w14:textId="30BB4E56" w:rsidR="00305952" w:rsidRPr="008819AF" w:rsidRDefault="00305952" w:rsidP="0021052F">
            <w:pPr>
              <w:jc w:val="center"/>
              <w:rPr>
                <w:rFonts w:eastAsia="Arial"/>
                <w:lang w:bidi="cs-CZ"/>
              </w:rPr>
            </w:pPr>
          </w:p>
          <w:p w14:paraId="15131F1F" w14:textId="77777777" w:rsidR="007170C3" w:rsidRPr="008819AF" w:rsidRDefault="00A32C9B" w:rsidP="0021052F">
            <w:pPr>
              <w:jc w:val="center"/>
              <w:rPr>
                <w:rFonts w:eastAsia="Arial"/>
                <w:lang w:bidi="cs-CZ"/>
              </w:rPr>
            </w:pPr>
            <w:r w:rsidRPr="008819AF">
              <w:rPr>
                <w:rFonts w:eastAsia="Arial"/>
                <w:lang w:bidi="cs-CZ"/>
              </w:rPr>
              <w:t>NZ</w:t>
            </w:r>
          </w:p>
          <w:p w14:paraId="15131F20" w14:textId="77777777" w:rsidR="007170C3" w:rsidRPr="008819AF" w:rsidRDefault="007170C3" w:rsidP="0021052F">
            <w:pPr>
              <w:jc w:val="center"/>
              <w:rPr>
                <w:rFonts w:eastAsia="Arial"/>
                <w:lang w:bidi="cs-CZ"/>
              </w:rPr>
            </w:pPr>
          </w:p>
          <w:p w14:paraId="15131F21" w14:textId="77777777" w:rsidR="002019F6" w:rsidRPr="008819AF" w:rsidRDefault="002019F6" w:rsidP="0021052F">
            <w:pPr>
              <w:jc w:val="center"/>
              <w:rPr>
                <w:rFonts w:eastAsia="Arial"/>
                <w:lang w:bidi="cs-CZ"/>
              </w:rPr>
            </w:pPr>
          </w:p>
          <w:p w14:paraId="15131F22" w14:textId="77777777" w:rsidR="002019F6" w:rsidRPr="008819AF" w:rsidRDefault="002019F6" w:rsidP="0021052F">
            <w:pPr>
              <w:jc w:val="center"/>
              <w:rPr>
                <w:rFonts w:eastAsia="Arial"/>
                <w:lang w:bidi="cs-CZ"/>
              </w:rPr>
            </w:pPr>
          </w:p>
          <w:p w14:paraId="15131F23" w14:textId="77777777" w:rsidR="002019F6" w:rsidRPr="008819AF" w:rsidRDefault="002019F6" w:rsidP="0021052F">
            <w:pPr>
              <w:jc w:val="center"/>
              <w:rPr>
                <w:rFonts w:eastAsia="Arial"/>
                <w:lang w:bidi="cs-CZ"/>
              </w:rPr>
            </w:pPr>
          </w:p>
          <w:p w14:paraId="15131F24" w14:textId="77777777" w:rsidR="002019F6" w:rsidRPr="008819AF" w:rsidRDefault="002019F6" w:rsidP="0021052F">
            <w:pPr>
              <w:jc w:val="center"/>
              <w:rPr>
                <w:rFonts w:eastAsia="Arial"/>
                <w:lang w:bidi="cs-CZ"/>
              </w:rPr>
            </w:pPr>
          </w:p>
          <w:p w14:paraId="15131F25" w14:textId="77777777" w:rsidR="002019F6" w:rsidRPr="008819AF" w:rsidRDefault="002019F6" w:rsidP="0021052F">
            <w:pPr>
              <w:jc w:val="center"/>
              <w:rPr>
                <w:rFonts w:eastAsia="Arial"/>
                <w:lang w:bidi="cs-CZ"/>
              </w:rPr>
            </w:pPr>
            <w:r w:rsidRPr="008819AF">
              <w:rPr>
                <w:rFonts w:eastAsia="Arial"/>
                <w:lang w:bidi="cs-CZ"/>
              </w:rPr>
              <w:t>NV4</w:t>
            </w:r>
          </w:p>
          <w:p w14:paraId="15131F26" w14:textId="77777777" w:rsidR="007245BB" w:rsidRPr="008819AF" w:rsidRDefault="007245BB" w:rsidP="0021052F">
            <w:pPr>
              <w:jc w:val="center"/>
              <w:rPr>
                <w:rFonts w:eastAsia="Arial"/>
                <w:lang w:bidi="cs-CZ"/>
              </w:rPr>
            </w:pPr>
          </w:p>
          <w:p w14:paraId="15131F27" w14:textId="77777777" w:rsidR="007245BB" w:rsidRPr="008819AF" w:rsidRDefault="007245BB" w:rsidP="0021052F">
            <w:pPr>
              <w:jc w:val="center"/>
              <w:rPr>
                <w:rFonts w:eastAsia="Arial"/>
                <w:lang w:bidi="cs-CZ"/>
              </w:rPr>
            </w:pPr>
          </w:p>
          <w:p w14:paraId="15131F28" w14:textId="77777777" w:rsidR="007245BB" w:rsidRPr="008819AF" w:rsidRDefault="007245BB" w:rsidP="0021052F">
            <w:pPr>
              <w:jc w:val="center"/>
              <w:rPr>
                <w:rFonts w:eastAsia="Arial"/>
                <w:lang w:bidi="cs-CZ"/>
              </w:rPr>
            </w:pPr>
          </w:p>
          <w:p w14:paraId="15131F29" w14:textId="77777777" w:rsidR="007245BB" w:rsidRPr="008819AF" w:rsidRDefault="007245BB" w:rsidP="0021052F">
            <w:pPr>
              <w:jc w:val="center"/>
              <w:rPr>
                <w:rFonts w:eastAsia="Arial"/>
                <w:lang w:bidi="cs-CZ"/>
              </w:rPr>
            </w:pPr>
          </w:p>
          <w:p w14:paraId="15131F2A" w14:textId="77777777" w:rsidR="007245BB" w:rsidRPr="008819AF" w:rsidRDefault="007245BB" w:rsidP="0021052F">
            <w:pPr>
              <w:jc w:val="center"/>
              <w:rPr>
                <w:rFonts w:eastAsia="Arial"/>
                <w:lang w:bidi="cs-CZ"/>
              </w:rPr>
            </w:pPr>
          </w:p>
          <w:p w14:paraId="15131F2B" w14:textId="77777777" w:rsidR="007245BB" w:rsidRPr="008819AF" w:rsidRDefault="007245BB" w:rsidP="0021052F">
            <w:pPr>
              <w:jc w:val="center"/>
              <w:rPr>
                <w:rFonts w:eastAsia="Arial"/>
                <w:lang w:bidi="cs-CZ"/>
              </w:rPr>
            </w:pPr>
          </w:p>
          <w:p w14:paraId="15131F2C" w14:textId="77777777" w:rsidR="007245BB" w:rsidRPr="008819AF" w:rsidRDefault="007245BB" w:rsidP="0021052F">
            <w:pPr>
              <w:jc w:val="center"/>
              <w:rPr>
                <w:rFonts w:eastAsia="Arial"/>
                <w:lang w:bidi="cs-CZ"/>
              </w:rPr>
            </w:pPr>
          </w:p>
          <w:p w14:paraId="15131F2D" w14:textId="77777777" w:rsidR="007245BB" w:rsidRPr="008819AF" w:rsidRDefault="007245BB" w:rsidP="0021052F">
            <w:pPr>
              <w:jc w:val="center"/>
              <w:rPr>
                <w:rFonts w:eastAsia="Arial"/>
                <w:lang w:bidi="cs-CZ"/>
              </w:rPr>
            </w:pPr>
          </w:p>
          <w:p w14:paraId="15131F2E" w14:textId="77777777" w:rsidR="007245BB" w:rsidRPr="008819AF" w:rsidRDefault="007245BB" w:rsidP="0021052F">
            <w:pPr>
              <w:jc w:val="center"/>
              <w:rPr>
                <w:rFonts w:eastAsia="Arial"/>
                <w:lang w:bidi="cs-CZ"/>
              </w:rPr>
            </w:pPr>
          </w:p>
          <w:p w14:paraId="15131F2F" w14:textId="77777777" w:rsidR="007245BB" w:rsidRPr="008819AF" w:rsidRDefault="007245BB" w:rsidP="0021052F">
            <w:pPr>
              <w:jc w:val="center"/>
              <w:rPr>
                <w:rFonts w:eastAsia="Arial"/>
                <w:lang w:bidi="cs-CZ"/>
              </w:rPr>
            </w:pPr>
          </w:p>
          <w:p w14:paraId="15131F30" w14:textId="77777777" w:rsidR="007245BB" w:rsidRPr="008819AF" w:rsidRDefault="007245BB" w:rsidP="0021052F">
            <w:pPr>
              <w:jc w:val="center"/>
              <w:rPr>
                <w:rFonts w:eastAsia="Arial"/>
                <w:lang w:bidi="cs-CZ"/>
              </w:rPr>
            </w:pPr>
          </w:p>
          <w:p w14:paraId="15131F31" w14:textId="77777777" w:rsidR="007245BB" w:rsidRPr="008819AF" w:rsidRDefault="007245BB" w:rsidP="0021052F">
            <w:pPr>
              <w:jc w:val="center"/>
              <w:rPr>
                <w:rFonts w:eastAsia="Arial"/>
                <w:lang w:bidi="cs-CZ"/>
              </w:rPr>
            </w:pPr>
          </w:p>
          <w:p w14:paraId="15131F32" w14:textId="77777777" w:rsidR="007245BB" w:rsidRPr="008819AF" w:rsidRDefault="007245BB" w:rsidP="0021052F">
            <w:pPr>
              <w:jc w:val="center"/>
              <w:rPr>
                <w:rFonts w:eastAsia="Arial"/>
                <w:lang w:bidi="cs-CZ"/>
              </w:rPr>
            </w:pPr>
          </w:p>
          <w:p w14:paraId="15131F33" w14:textId="77777777" w:rsidR="007245BB" w:rsidRPr="008819AF" w:rsidRDefault="007245BB" w:rsidP="0021052F">
            <w:pPr>
              <w:jc w:val="center"/>
              <w:rPr>
                <w:rFonts w:eastAsia="Arial"/>
                <w:lang w:bidi="cs-CZ"/>
              </w:rPr>
            </w:pPr>
          </w:p>
          <w:p w14:paraId="15131F34" w14:textId="77777777" w:rsidR="007245BB" w:rsidRPr="008819AF" w:rsidRDefault="007245BB" w:rsidP="0021052F">
            <w:pPr>
              <w:jc w:val="center"/>
              <w:rPr>
                <w:rFonts w:eastAsia="Arial"/>
                <w:lang w:bidi="cs-CZ"/>
              </w:rPr>
            </w:pPr>
          </w:p>
          <w:p w14:paraId="15131F35" w14:textId="77777777" w:rsidR="007245BB" w:rsidRPr="008819AF" w:rsidRDefault="007245BB" w:rsidP="0021052F">
            <w:pPr>
              <w:jc w:val="center"/>
              <w:rPr>
                <w:rFonts w:eastAsia="Arial"/>
                <w:lang w:bidi="cs-CZ"/>
              </w:rPr>
            </w:pPr>
          </w:p>
          <w:p w14:paraId="15131F36" w14:textId="77777777" w:rsidR="00FA4AE4" w:rsidRPr="008819AF" w:rsidRDefault="00FA4AE4" w:rsidP="0021052F">
            <w:pPr>
              <w:jc w:val="center"/>
              <w:rPr>
                <w:rFonts w:eastAsia="Arial"/>
                <w:lang w:bidi="cs-CZ"/>
              </w:rPr>
            </w:pPr>
          </w:p>
          <w:p w14:paraId="15131F37" w14:textId="77777777" w:rsidR="007245BB" w:rsidRPr="008819AF" w:rsidRDefault="007245BB" w:rsidP="0021052F">
            <w:pPr>
              <w:jc w:val="center"/>
              <w:rPr>
                <w:rFonts w:eastAsia="Arial"/>
                <w:lang w:bidi="cs-CZ"/>
              </w:rPr>
            </w:pPr>
            <w:r w:rsidRPr="008819AF">
              <w:rPr>
                <w:rFonts w:eastAsia="Arial"/>
                <w:lang w:bidi="cs-CZ"/>
              </w:rPr>
              <w:t>NV2</w:t>
            </w:r>
          </w:p>
          <w:p w14:paraId="15131F38" w14:textId="77777777" w:rsidR="007245BB" w:rsidRPr="008819AF" w:rsidRDefault="007245BB"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F3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3A"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 31</w:t>
            </w:r>
          </w:p>
          <w:p w14:paraId="15131F3B"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O 6</w:t>
            </w:r>
          </w:p>
          <w:p w14:paraId="15131F3C"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P b)</w:t>
            </w:r>
          </w:p>
          <w:p w14:paraId="15131F3D"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3E"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3F"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40" w14:textId="77777777" w:rsidR="007170C3" w:rsidRPr="008819AF" w:rsidRDefault="0047589E"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§13</w:t>
            </w:r>
          </w:p>
          <w:p w14:paraId="15131F41" w14:textId="77777777" w:rsidR="0047589E" w:rsidRPr="008819AF" w:rsidRDefault="0047589E"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O1</w:t>
            </w:r>
          </w:p>
          <w:p w14:paraId="15131F42"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43"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44"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45"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46"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47"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48"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49" w14:textId="77777777" w:rsidR="00ED17A9" w:rsidRPr="008819AF" w:rsidRDefault="00ED17A9" w:rsidP="0021052F">
            <w:pPr>
              <w:pStyle w:val="BodyText21"/>
              <w:spacing w:before="0" w:line="240" w:lineRule="auto"/>
              <w:ind w:left="0" w:right="-70" w:firstLine="0"/>
              <w:jc w:val="center"/>
              <w:rPr>
                <w:rFonts w:ascii="Times New Roman" w:hAnsi="Times New Roman" w:cs="Times New Roman"/>
                <w:lang w:bidi="sk-SK"/>
              </w:rPr>
            </w:pPr>
          </w:p>
          <w:p w14:paraId="15131F4A" w14:textId="77777777" w:rsidR="00ED17A9" w:rsidRPr="008819AF" w:rsidRDefault="00ED17A9" w:rsidP="0021052F">
            <w:pPr>
              <w:pStyle w:val="BodyText21"/>
              <w:spacing w:before="0" w:line="240" w:lineRule="auto"/>
              <w:ind w:left="0" w:right="-70" w:firstLine="0"/>
              <w:jc w:val="center"/>
              <w:rPr>
                <w:rFonts w:ascii="Times New Roman" w:hAnsi="Times New Roman" w:cs="Times New Roman"/>
                <w:lang w:bidi="sk-SK"/>
              </w:rPr>
            </w:pPr>
          </w:p>
          <w:p w14:paraId="15131F4B" w14:textId="77777777" w:rsidR="00ED17A9" w:rsidRPr="008819AF" w:rsidRDefault="00ED17A9" w:rsidP="0021052F">
            <w:pPr>
              <w:pStyle w:val="BodyText21"/>
              <w:spacing w:before="0" w:line="240" w:lineRule="auto"/>
              <w:ind w:left="0" w:right="-70" w:firstLine="0"/>
              <w:jc w:val="center"/>
              <w:rPr>
                <w:rFonts w:ascii="Times New Roman" w:hAnsi="Times New Roman" w:cs="Times New Roman"/>
                <w:lang w:bidi="sk-SK"/>
              </w:rPr>
            </w:pPr>
          </w:p>
          <w:p w14:paraId="15131F4C" w14:textId="77777777" w:rsidR="00ED17A9" w:rsidRPr="008819AF" w:rsidRDefault="00ED17A9" w:rsidP="0021052F">
            <w:pPr>
              <w:pStyle w:val="BodyText21"/>
              <w:spacing w:before="0" w:line="240" w:lineRule="auto"/>
              <w:ind w:left="0" w:right="-70" w:firstLine="0"/>
              <w:jc w:val="center"/>
              <w:rPr>
                <w:rFonts w:ascii="Times New Roman" w:hAnsi="Times New Roman" w:cs="Times New Roman"/>
                <w:lang w:bidi="sk-SK"/>
              </w:rPr>
            </w:pPr>
          </w:p>
          <w:p w14:paraId="15131F4D" w14:textId="77777777" w:rsidR="00ED17A9" w:rsidRPr="008819AF" w:rsidRDefault="00ED17A9" w:rsidP="0021052F">
            <w:pPr>
              <w:pStyle w:val="BodyText21"/>
              <w:spacing w:before="0" w:line="240" w:lineRule="auto"/>
              <w:ind w:left="0" w:right="-70" w:firstLine="0"/>
              <w:jc w:val="center"/>
              <w:rPr>
                <w:rFonts w:ascii="Times New Roman" w:hAnsi="Times New Roman" w:cs="Times New Roman"/>
                <w:lang w:bidi="sk-SK"/>
              </w:rPr>
            </w:pPr>
          </w:p>
          <w:p w14:paraId="15131F4E" w14:textId="77777777" w:rsidR="00ED17A9" w:rsidRPr="008819AF" w:rsidRDefault="00ED17A9" w:rsidP="0021052F">
            <w:pPr>
              <w:pStyle w:val="BodyText21"/>
              <w:spacing w:before="0" w:line="240" w:lineRule="auto"/>
              <w:ind w:left="0" w:right="-70" w:firstLine="0"/>
              <w:jc w:val="center"/>
              <w:rPr>
                <w:rFonts w:ascii="Times New Roman" w:hAnsi="Times New Roman" w:cs="Times New Roman"/>
                <w:lang w:bidi="sk-SK"/>
              </w:rPr>
            </w:pPr>
          </w:p>
          <w:p w14:paraId="15131F4F" w14:textId="77777777" w:rsidR="00ED17A9" w:rsidRPr="008819AF" w:rsidRDefault="00ED17A9" w:rsidP="0021052F">
            <w:pPr>
              <w:pStyle w:val="BodyText21"/>
              <w:spacing w:before="0" w:line="240" w:lineRule="auto"/>
              <w:ind w:left="0" w:right="-70" w:firstLine="0"/>
              <w:jc w:val="center"/>
              <w:rPr>
                <w:rFonts w:ascii="Times New Roman" w:hAnsi="Times New Roman" w:cs="Times New Roman"/>
                <w:lang w:bidi="sk-SK"/>
              </w:rPr>
            </w:pPr>
          </w:p>
          <w:p w14:paraId="15131F50" w14:textId="77777777" w:rsidR="007170C3" w:rsidRPr="008819AF" w:rsidRDefault="006F0418" w:rsidP="0021052F">
            <w:pPr>
              <w:pStyle w:val="Bdet2"/>
              <w:spacing w:before="0" w:line="240" w:lineRule="auto"/>
              <w:ind w:left="0" w:right="-70" w:firstLine="0"/>
              <w:jc w:val="center"/>
              <w:rPr>
                <w:rFonts w:ascii="Times New Roman" w:eastAsia="Arial" w:hAnsi="Times New Roman" w:cs="Times New Roman"/>
              </w:rPr>
            </w:pPr>
            <w:r w:rsidRPr="008819AF">
              <w:rPr>
                <w:rFonts w:ascii="Times New Roman" w:eastAsia="Arial" w:hAnsi="Times New Roman" w:cs="Times New Roman"/>
              </w:rPr>
              <w:t>§34</w:t>
            </w:r>
          </w:p>
          <w:p w14:paraId="15131F51" w14:textId="77777777" w:rsidR="007170C3" w:rsidRPr="008819AF" w:rsidRDefault="006F0418" w:rsidP="0021052F">
            <w:pPr>
              <w:pStyle w:val="Bdet2"/>
              <w:spacing w:before="0" w:line="240" w:lineRule="auto"/>
              <w:ind w:left="0" w:right="-70" w:firstLine="0"/>
              <w:jc w:val="center"/>
              <w:rPr>
                <w:rFonts w:ascii="Times New Roman" w:eastAsia="Arial" w:hAnsi="Times New Roman" w:cs="Times New Roman"/>
              </w:rPr>
            </w:pPr>
            <w:r w:rsidRPr="008819AF">
              <w:rPr>
                <w:rFonts w:ascii="Times New Roman" w:eastAsia="Arial" w:hAnsi="Times New Roman" w:cs="Times New Roman"/>
              </w:rPr>
              <w:t>O 1</w:t>
            </w:r>
          </w:p>
          <w:p w14:paraId="15131F52" w14:textId="77777777" w:rsidR="007170C3" w:rsidRPr="008819AF" w:rsidRDefault="006F0418" w:rsidP="0021052F">
            <w:pPr>
              <w:pStyle w:val="Bdet2"/>
              <w:spacing w:before="0" w:line="240" w:lineRule="auto"/>
              <w:ind w:left="0" w:right="-70" w:firstLine="0"/>
              <w:jc w:val="center"/>
              <w:rPr>
                <w:rFonts w:ascii="Times New Roman" w:eastAsia="Arial" w:hAnsi="Times New Roman" w:cs="Times New Roman"/>
              </w:rPr>
            </w:pPr>
            <w:r w:rsidRPr="008819AF">
              <w:rPr>
                <w:rFonts w:ascii="Times New Roman" w:eastAsia="Arial" w:hAnsi="Times New Roman" w:cs="Times New Roman"/>
              </w:rPr>
              <w:t>P f)</w:t>
            </w:r>
          </w:p>
          <w:p w14:paraId="15131F53" w14:textId="77777777" w:rsidR="007170C3" w:rsidRPr="008819AF" w:rsidRDefault="007170C3" w:rsidP="0021052F">
            <w:pPr>
              <w:pStyle w:val="Bdet2"/>
              <w:spacing w:before="0" w:line="240" w:lineRule="auto"/>
              <w:ind w:left="0" w:right="-70" w:firstLine="0"/>
              <w:jc w:val="center"/>
              <w:rPr>
                <w:rFonts w:ascii="Times New Roman" w:eastAsia="Arial" w:hAnsi="Times New Roman" w:cs="Times New Roman"/>
              </w:rPr>
            </w:pPr>
          </w:p>
          <w:p w14:paraId="15131F54" w14:textId="77777777" w:rsidR="007170C3" w:rsidRPr="008819AF" w:rsidRDefault="007170C3" w:rsidP="0021052F">
            <w:pPr>
              <w:pStyle w:val="Bdet2"/>
              <w:spacing w:before="0" w:line="240" w:lineRule="auto"/>
              <w:ind w:left="0" w:right="-70" w:firstLine="0"/>
              <w:jc w:val="center"/>
              <w:rPr>
                <w:rFonts w:ascii="Times New Roman" w:eastAsia="Arial" w:hAnsi="Times New Roman" w:cs="Times New Roman"/>
              </w:rPr>
            </w:pPr>
          </w:p>
          <w:p w14:paraId="15131F55" w14:textId="77777777" w:rsidR="007170C3" w:rsidRPr="008819AF" w:rsidRDefault="007170C3" w:rsidP="0021052F">
            <w:pPr>
              <w:pStyle w:val="Bdet2"/>
              <w:spacing w:before="0" w:line="240" w:lineRule="auto"/>
              <w:ind w:left="0" w:right="-70" w:firstLine="0"/>
              <w:jc w:val="center"/>
              <w:rPr>
                <w:rFonts w:ascii="Times New Roman" w:eastAsia="Arial" w:hAnsi="Times New Roman" w:cs="Times New Roman"/>
              </w:rPr>
            </w:pPr>
          </w:p>
          <w:p w14:paraId="15131F56" w14:textId="77777777" w:rsidR="0070733E" w:rsidRPr="008819AF" w:rsidRDefault="0070733E" w:rsidP="0021052F">
            <w:pPr>
              <w:pStyle w:val="Bdet2"/>
              <w:spacing w:before="0" w:line="240" w:lineRule="auto"/>
              <w:ind w:left="0" w:right="-70" w:firstLine="0"/>
              <w:jc w:val="center"/>
              <w:rPr>
                <w:rFonts w:ascii="Times New Roman" w:eastAsia="Arial" w:hAnsi="Times New Roman" w:cs="Times New Roman"/>
              </w:rPr>
            </w:pPr>
          </w:p>
          <w:p w14:paraId="15131F57" w14:textId="77777777" w:rsidR="00B16CFC" w:rsidRPr="008819AF" w:rsidRDefault="00B16CFC" w:rsidP="0021052F">
            <w:pPr>
              <w:pStyle w:val="Bdet2"/>
              <w:spacing w:before="0" w:line="240" w:lineRule="auto"/>
              <w:ind w:left="0" w:right="-70" w:firstLine="0"/>
              <w:jc w:val="center"/>
              <w:rPr>
                <w:rFonts w:ascii="Times New Roman" w:eastAsia="Arial" w:hAnsi="Times New Roman" w:cs="Times New Roman"/>
              </w:rPr>
            </w:pPr>
          </w:p>
          <w:p w14:paraId="15131F58" w14:textId="77777777" w:rsidR="00ED17A9" w:rsidRPr="008819AF" w:rsidRDefault="00ED17A9" w:rsidP="0021052F">
            <w:pPr>
              <w:pStyle w:val="Bdet2"/>
              <w:spacing w:before="0" w:line="240" w:lineRule="auto"/>
              <w:ind w:left="0" w:right="-70" w:firstLine="0"/>
              <w:jc w:val="center"/>
              <w:rPr>
                <w:rFonts w:ascii="Times New Roman" w:eastAsia="Arial" w:hAnsi="Times New Roman" w:cs="Times New Roman"/>
              </w:rPr>
            </w:pPr>
            <w:r w:rsidRPr="008819AF">
              <w:rPr>
                <w:rFonts w:ascii="Times New Roman" w:eastAsia="Arial" w:hAnsi="Times New Roman" w:cs="Times New Roman"/>
              </w:rPr>
              <w:t>§34</w:t>
            </w:r>
          </w:p>
          <w:p w14:paraId="15131F59" w14:textId="77777777" w:rsidR="00ED17A9" w:rsidRPr="008819AF" w:rsidRDefault="00ED17A9" w:rsidP="0021052F">
            <w:pPr>
              <w:pStyle w:val="Bdet2"/>
              <w:spacing w:before="0" w:line="240" w:lineRule="auto"/>
              <w:ind w:left="0" w:right="-70" w:firstLine="0"/>
              <w:jc w:val="center"/>
              <w:rPr>
                <w:rFonts w:ascii="Times New Roman" w:eastAsia="Arial" w:hAnsi="Times New Roman" w:cs="Times New Roman"/>
              </w:rPr>
            </w:pPr>
            <w:r w:rsidRPr="008819AF">
              <w:rPr>
                <w:rFonts w:ascii="Times New Roman" w:eastAsia="Arial" w:hAnsi="Times New Roman" w:cs="Times New Roman"/>
              </w:rPr>
              <w:t>O2</w:t>
            </w:r>
          </w:p>
          <w:p w14:paraId="15131F5A" w14:textId="77777777" w:rsidR="00ED17A9" w:rsidRPr="008819AF" w:rsidRDefault="00ED17A9" w:rsidP="0021052F">
            <w:pPr>
              <w:pStyle w:val="Bdet2"/>
              <w:spacing w:before="0" w:line="240" w:lineRule="auto"/>
              <w:ind w:left="0" w:right="-70" w:firstLine="0"/>
              <w:jc w:val="center"/>
              <w:rPr>
                <w:rFonts w:ascii="Times New Roman" w:eastAsia="Arial" w:hAnsi="Times New Roman" w:cs="Times New Roman"/>
              </w:rPr>
            </w:pPr>
            <w:r w:rsidRPr="008819AF">
              <w:rPr>
                <w:rFonts w:ascii="Times New Roman" w:eastAsia="Arial" w:hAnsi="Times New Roman" w:cs="Times New Roman"/>
              </w:rPr>
              <w:t>Pd)</w:t>
            </w:r>
          </w:p>
          <w:p w14:paraId="15131F5B" w14:textId="77777777" w:rsidR="00ED17A9" w:rsidRPr="008819AF" w:rsidRDefault="00ED17A9" w:rsidP="0021052F">
            <w:pPr>
              <w:pStyle w:val="Bdet2"/>
              <w:spacing w:before="0" w:line="240" w:lineRule="auto"/>
              <w:ind w:left="0" w:right="-70" w:firstLine="0"/>
              <w:jc w:val="center"/>
              <w:rPr>
                <w:rFonts w:ascii="Times New Roman" w:eastAsia="Arial" w:hAnsi="Times New Roman" w:cs="Times New Roman"/>
              </w:rPr>
            </w:pPr>
          </w:p>
          <w:p w14:paraId="15131F5C" w14:textId="77777777" w:rsidR="00ED17A9" w:rsidRPr="008819AF" w:rsidRDefault="00ED17A9" w:rsidP="0021052F">
            <w:pPr>
              <w:pStyle w:val="Bdet2"/>
              <w:spacing w:before="0" w:line="240" w:lineRule="auto"/>
              <w:ind w:left="0" w:right="-70" w:firstLine="0"/>
              <w:jc w:val="center"/>
              <w:rPr>
                <w:rFonts w:ascii="Times New Roman" w:eastAsia="Arial" w:hAnsi="Times New Roman" w:cs="Times New Roman"/>
              </w:rPr>
            </w:pPr>
          </w:p>
          <w:p w14:paraId="15131F5D" w14:textId="77777777" w:rsidR="00ED17A9" w:rsidRPr="008819AF" w:rsidRDefault="00ED17A9" w:rsidP="0021052F">
            <w:pPr>
              <w:pStyle w:val="Bdet2"/>
              <w:spacing w:before="0" w:line="240" w:lineRule="auto"/>
              <w:ind w:left="0" w:right="-70" w:firstLine="0"/>
              <w:jc w:val="center"/>
              <w:rPr>
                <w:rFonts w:ascii="Times New Roman" w:eastAsia="Arial" w:hAnsi="Times New Roman" w:cs="Times New Roman"/>
              </w:rPr>
            </w:pPr>
          </w:p>
          <w:p w14:paraId="15131F5E" w14:textId="77777777" w:rsidR="00ED17A9" w:rsidRPr="008819AF" w:rsidRDefault="00ED17A9" w:rsidP="0021052F">
            <w:pPr>
              <w:pStyle w:val="Bdet2"/>
              <w:spacing w:before="0" w:line="240" w:lineRule="auto"/>
              <w:ind w:left="0" w:right="-70" w:firstLine="0"/>
              <w:jc w:val="center"/>
              <w:rPr>
                <w:rFonts w:ascii="Times New Roman" w:eastAsia="Arial" w:hAnsi="Times New Roman" w:cs="Times New Roman"/>
              </w:rPr>
            </w:pPr>
          </w:p>
          <w:p w14:paraId="15131F5F" w14:textId="77777777" w:rsidR="00ED17A9" w:rsidRPr="008819AF" w:rsidRDefault="00ED17A9" w:rsidP="0021052F">
            <w:pPr>
              <w:pStyle w:val="Bdet2"/>
              <w:spacing w:before="0" w:line="240" w:lineRule="auto"/>
              <w:ind w:left="0" w:right="-70" w:firstLine="0"/>
              <w:jc w:val="center"/>
              <w:rPr>
                <w:rFonts w:ascii="Times New Roman" w:eastAsia="Arial" w:hAnsi="Times New Roman" w:cs="Times New Roman"/>
              </w:rPr>
            </w:pPr>
          </w:p>
          <w:p w14:paraId="15131F60" w14:textId="77777777" w:rsidR="00ED17A9" w:rsidRPr="008819AF" w:rsidRDefault="00ED17A9" w:rsidP="0021052F">
            <w:pPr>
              <w:pStyle w:val="Bdet2"/>
              <w:spacing w:before="0" w:line="240" w:lineRule="auto"/>
              <w:ind w:left="0" w:right="-70" w:firstLine="0"/>
              <w:jc w:val="center"/>
              <w:rPr>
                <w:rFonts w:ascii="Times New Roman" w:eastAsia="Arial" w:hAnsi="Times New Roman" w:cs="Times New Roman"/>
              </w:rPr>
            </w:pPr>
          </w:p>
          <w:p w14:paraId="15131F61" w14:textId="77777777" w:rsidR="00ED17A9" w:rsidRPr="008819AF" w:rsidRDefault="00ED17A9" w:rsidP="0021052F">
            <w:pPr>
              <w:pStyle w:val="Bdet2"/>
              <w:spacing w:before="0" w:line="240" w:lineRule="auto"/>
              <w:ind w:left="0" w:right="-70" w:firstLine="0"/>
              <w:jc w:val="center"/>
              <w:rPr>
                <w:rFonts w:ascii="Times New Roman" w:eastAsia="Arial" w:hAnsi="Times New Roman" w:cs="Times New Roman"/>
              </w:rPr>
            </w:pPr>
          </w:p>
          <w:p w14:paraId="15131F62" w14:textId="77777777" w:rsidR="00ED17A9" w:rsidRPr="008819AF" w:rsidRDefault="00ED17A9" w:rsidP="0021052F">
            <w:pPr>
              <w:pStyle w:val="Bdet2"/>
              <w:spacing w:before="0" w:line="240" w:lineRule="auto"/>
              <w:ind w:left="0" w:right="-70" w:firstLine="0"/>
              <w:jc w:val="center"/>
              <w:rPr>
                <w:rFonts w:ascii="Times New Roman" w:eastAsia="Arial" w:hAnsi="Times New Roman" w:cs="Times New Roman"/>
              </w:rPr>
            </w:pPr>
          </w:p>
          <w:p w14:paraId="15131F65" w14:textId="4E466E09" w:rsidR="00ED17A9" w:rsidRPr="008819AF" w:rsidRDefault="00ED17A9" w:rsidP="00305952">
            <w:pPr>
              <w:pStyle w:val="Bdet2"/>
              <w:spacing w:before="0" w:line="240" w:lineRule="auto"/>
              <w:ind w:left="0" w:right="-70" w:firstLine="0"/>
              <w:rPr>
                <w:rFonts w:ascii="Times New Roman" w:eastAsia="Arial" w:hAnsi="Times New Roman" w:cs="Times New Roman"/>
              </w:rPr>
            </w:pPr>
          </w:p>
          <w:p w14:paraId="5A2A7E7B" w14:textId="22A1A933" w:rsidR="00305952" w:rsidRPr="008819AF" w:rsidRDefault="00305952" w:rsidP="00305952">
            <w:pPr>
              <w:pStyle w:val="Bdet2"/>
              <w:spacing w:before="0" w:line="240" w:lineRule="auto"/>
              <w:ind w:left="0" w:right="-70" w:firstLine="0"/>
              <w:rPr>
                <w:rFonts w:ascii="Times New Roman" w:eastAsia="Arial" w:hAnsi="Times New Roman" w:cs="Times New Roman"/>
              </w:rPr>
            </w:pPr>
          </w:p>
          <w:p w14:paraId="2EE4CFBD" w14:textId="4DE1032E" w:rsidR="00305952" w:rsidRPr="008819AF" w:rsidRDefault="00305952" w:rsidP="00305952">
            <w:pPr>
              <w:pStyle w:val="Bdet2"/>
              <w:spacing w:before="0" w:line="240" w:lineRule="auto"/>
              <w:ind w:left="0" w:right="-70" w:firstLine="0"/>
              <w:rPr>
                <w:rFonts w:ascii="Times New Roman" w:eastAsia="Arial" w:hAnsi="Times New Roman" w:cs="Times New Roman"/>
              </w:rPr>
            </w:pPr>
            <w:r w:rsidRPr="008819AF">
              <w:rPr>
                <w:rFonts w:ascii="Times New Roman" w:eastAsia="Arial" w:hAnsi="Times New Roman" w:cs="Times New Roman"/>
              </w:rPr>
              <w:t>Pr.2</w:t>
            </w:r>
          </w:p>
          <w:p w14:paraId="22AF6582" w14:textId="77777777" w:rsidR="00305952" w:rsidRPr="008819AF" w:rsidRDefault="00305952" w:rsidP="00305952">
            <w:pPr>
              <w:pStyle w:val="Bdet2"/>
              <w:spacing w:before="0" w:line="240" w:lineRule="auto"/>
              <w:ind w:left="0" w:right="-70" w:firstLine="0"/>
              <w:rPr>
                <w:rFonts w:ascii="Times New Roman" w:eastAsia="Arial" w:hAnsi="Times New Roman" w:cs="Times New Roman"/>
              </w:rPr>
            </w:pPr>
          </w:p>
          <w:p w14:paraId="15131F66" w14:textId="77777777" w:rsidR="00DD5B5A" w:rsidRPr="008819AF" w:rsidRDefault="00DD5B5A" w:rsidP="0021052F">
            <w:pPr>
              <w:pStyle w:val="Bdet2"/>
              <w:spacing w:before="0" w:line="240" w:lineRule="auto"/>
              <w:ind w:left="0" w:right="-70" w:firstLine="0"/>
              <w:jc w:val="center"/>
              <w:rPr>
                <w:rFonts w:ascii="Times New Roman" w:eastAsia="Arial" w:hAnsi="Times New Roman" w:cs="Times New Roman"/>
              </w:rPr>
            </w:pPr>
          </w:p>
          <w:p w14:paraId="15131F67" w14:textId="77777777" w:rsidR="006C7655" w:rsidRPr="008819AF" w:rsidRDefault="006C7655" w:rsidP="0021052F">
            <w:pPr>
              <w:pStyle w:val="Bdet2"/>
              <w:spacing w:before="0" w:line="240" w:lineRule="auto"/>
              <w:ind w:left="0" w:right="-70" w:firstLine="0"/>
              <w:jc w:val="center"/>
              <w:rPr>
                <w:rFonts w:ascii="Times New Roman" w:eastAsia="Arial" w:hAnsi="Times New Roman" w:cs="Times New Roman"/>
              </w:rPr>
            </w:pPr>
            <w:r w:rsidRPr="008819AF">
              <w:rPr>
                <w:rFonts w:ascii="Times New Roman" w:eastAsia="Arial" w:hAnsi="Times New Roman" w:cs="Times New Roman"/>
              </w:rPr>
              <w:t>§13</w:t>
            </w:r>
          </w:p>
          <w:p w14:paraId="15131F68" w14:textId="77777777" w:rsidR="006C7655" w:rsidRPr="008819AF" w:rsidRDefault="00ED17A9" w:rsidP="0021052F">
            <w:pPr>
              <w:pStyle w:val="Bdet2"/>
              <w:spacing w:before="0" w:line="240" w:lineRule="auto"/>
              <w:ind w:left="0" w:right="-70" w:firstLine="0"/>
              <w:jc w:val="center"/>
              <w:rPr>
                <w:rFonts w:ascii="Times New Roman" w:eastAsia="Arial" w:hAnsi="Times New Roman" w:cs="Times New Roman"/>
              </w:rPr>
            </w:pPr>
            <w:r w:rsidRPr="008819AF">
              <w:rPr>
                <w:rFonts w:ascii="Times New Roman" w:eastAsia="Arial" w:hAnsi="Times New Roman" w:cs="Times New Roman"/>
              </w:rPr>
              <w:t>O2</w:t>
            </w:r>
          </w:p>
          <w:p w14:paraId="15131F69" w14:textId="77777777" w:rsidR="006C7655" w:rsidRPr="008819AF" w:rsidRDefault="006C7655" w:rsidP="0021052F">
            <w:pPr>
              <w:pStyle w:val="Bdet2"/>
              <w:spacing w:before="0" w:line="240" w:lineRule="auto"/>
              <w:ind w:left="0" w:right="-70" w:firstLine="0"/>
              <w:jc w:val="center"/>
              <w:rPr>
                <w:rFonts w:ascii="Times New Roman" w:eastAsia="Arial" w:hAnsi="Times New Roman" w:cs="Times New Roman"/>
              </w:rPr>
            </w:pPr>
          </w:p>
          <w:p w14:paraId="15131F6A" w14:textId="77777777" w:rsidR="006C7655" w:rsidRPr="008819AF" w:rsidRDefault="006C7655" w:rsidP="0021052F">
            <w:pPr>
              <w:pStyle w:val="Bdet2"/>
              <w:spacing w:before="0" w:line="240" w:lineRule="auto"/>
              <w:ind w:left="0" w:right="-70" w:firstLine="0"/>
              <w:jc w:val="center"/>
              <w:rPr>
                <w:rFonts w:ascii="Times New Roman" w:eastAsia="Arial" w:hAnsi="Times New Roman" w:cs="Times New Roman"/>
              </w:rPr>
            </w:pPr>
          </w:p>
          <w:p w14:paraId="15131F6B" w14:textId="77777777" w:rsidR="006C7655" w:rsidRPr="008819AF" w:rsidRDefault="006C7655" w:rsidP="0021052F">
            <w:pPr>
              <w:pStyle w:val="Bdet2"/>
              <w:spacing w:before="0" w:line="240" w:lineRule="auto"/>
              <w:ind w:left="0" w:right="-70" w:firstLine="0"/>
              <w:jc w:val="center"/>
              <w:rPr>
                <w:rFonts w:ascii="Times New Roman" w:eastAsia="Arial" w:hAnsi="Times New Roman" w:cs="Times New Roman"/>
              </w:rPr>
            </w:pPr>
          </w:p>
          <w:p w14:paraId="15131F6C" w14:textId="5C7C1208" w:rsidR="006C7655" w:rsidRPr="008819AF" w:rsidRDefault="006C7655" w:rsidP="0021052F">
            <w:pPr>
              <w:pStyle w:val="Bdet2"/>
              <w:spacing w:before="0" w:line="240" w:lineRule="auto"/>
              <w:ind w:left="0" w:right="-70" w:firstLine="0"/>
              <w:jc w:val="center"/>
              <w:rPr>
                <w:rFonts w:ascii="Times New Roman" w:eastAsia="Arial" w:hAnsi="Times New Roman" w:cs="Times New Roman"/>
              </w:rPr>
            </w:pPr>
          </w:p>
          <w:p w14:paraId="1ECCA2A9" w14:textId="2BED49A2" w:rsidR="00305952" w:rsidRPr="008819AF" w:rsidRDefault="00305952" w:rsidP="0021052F">
            <w:pPr>
              <w:pStyle w:val="Bdet2"/>
              <w:spacing w:before="0" w:line="240" w:lineRule="auto"/>
              <w:ind w:left="0" w:right="-70" w:firstLine="0"/>
              <w:jc w:val="center"/>
              <w:rPr>
                <w:rFonts w:ascii="Times New Roman" w:eastAsia="Arial" w:hAnsi="Times New Roman" w:cs="Times New Roman"/>
              </w:rPr>
            </w:pPr>
          </w:p>
          <w:p w14:paraId="492E9E7F" w14:textId="77777777" w:rsidR="00305952" w:rsidRPr="008819AF" w:rsidRDefault="00305952" w:rsidP="0021052F">
            <w:pPr>
              <w:pStyle w:val="Bdet2"/>
              <w:spacing w:before="0" w:line="240" w:lineRule="auto"/>
              <w:ind w:left="0" w:right="-70" w:firstLine="0"/>
              <w:jc w:val="center"/>
              <w:rPr>
                <w:rFonts w:ascii="Times New Roman" w:eastAsia="Arial" w:hAnsi="Times New Roman" w:cs="Times New Roman"/>
              </w:rPr>
            </w:pPr>
          </w:p>
          <w:p w14:paraId="15131F6D" w14:textId="77777777" w:rsidR="006C7655" w:rsidRPr="008819AF" w:rsidRDefault="006C7655" w:rsidP="0021052F">
            <w:pPr>
              <w:pStyle w:val="Bdet2"/>
              <w:spacing w:before="0" w:line="240" w:lineRule="auto"/>
              <w:ind w:left="0" w:right="-70" w:firstLine="0"/>
              <w:jc w:val="center"/>
              <w:rPr>
                <w:rFonts w:ascii="Times New Roman" w:eastAsia="Arial" w:hAnsi="Times New Roman" w:cs="Times New Roman"/>
              </w:rPr>
            </w:pPr>
          </w:p>
          <w:p w14:paraId="15131F70"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71"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72" w14:textId="77777777" w:rsidR="00887A90" w:rsidRPr="008819AF" w:rsidRDefault="00887A90"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 40</w:t>
            </w:r>
          </w:p>
          <w:p w14:paraId="15131F73"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P d)</w:t>
            </w:r>
          </w:p>
          <w:p w14:paraId="15131F74"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75"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lang w:bidi="sk-SK"/>
              </w:rPr>
            </w:pPr>
          </w:p>
          <w:p w14:paraId="15131F76" w14:textId="77777777" w:rsidR="002019F6" w:rsidRPr="008819AF" w:rsidRDefault="002019F6" w:rsidP="0021052F">
            <w:pPr>
              <w:pStyle w:val="BodyText21"/>
              <w:spacing w:before="0" w:line="240" w:lineRule="auto"/>
              <w:ind w:left="0" w:right="-70" w:firstLine="0"/>
              <w:jc w:val="center"/>
              <w:rPr>
                <w:rFonts w:ascii="Times New Roman" w:hAnsi="Times New Roman" w:cs="Times New Roman"/>
                <w:lang w:bidi="sk-SK"/>
              </w:rPr>
            </w:pPr>
          </w:p>
          <w:p w14:paraId="15131F77" w14:textId="77777777" w:rsidR="00887A90" w:rsidRPr="008819AF" w:rsidRDefault="00887A90" w:rsidP="0021052F">
            <w:pPr>
              <w:pStyle w:val="BodyText21"/>
              <w:spacing w:before="0" w:line="240" w:lineRule="auto"/>
              <w:ind w:left="0" w:right="-70" w:firstLine="0"/>
              <w:jc w:val="center"/>
              <w:rPr>
                <w:rFonts w:ascii="Times New Roman" w:hAnsi="Times New Roman" w:cs="Times New Roman"/>
                <w:lang w:bidi="sk-SK"/>
              </w:rPr>
            </w:pPr>
          </w:p>
          <w:p w14:paraId="15131F78" w14:textId="77777777" w:rsidR="002019F6" w:rsidRPr="008819AF" w:rsidRDefault="002019F6"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Pr. č.1</w:t>
            </w:r>
          </w:p>
          <w:p w14:paraId="15131F79"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7A"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7B"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7C"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7D"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7E"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7F"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80"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81"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82"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83"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84"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85"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86"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87" w14:textId="77777777" w:rsidR="00FA4AE4" w:rsidRPr="008819AF" w:rsidRDefault="00FA4AE4" w:rsidP="0021052F">
            <w:pPr>
              <w:pStyle w:val="BodyText21"/>
              <w:spacing w:before="0" w:line="240" w:lineRule="auto"/>
              <w:ind w:left="0" w:right="-70" w:firstLine="0"/>
              <w:jc w:val="center"/>
              <w:rPr>
                <w:rFonts w:ascii="Times New Roman" w:hAnsi="Times New Roman" w:cs="Times New Roman"/>
                <w:lang w:bidi="sk-SK"/>
              </w:rPr>
            </w:pPr>
          </w:p>
          <w:p w14:paraId="15131F88"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p>
          <w:p w14:paraId="15131F89"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§13</w:t>
            </w:r>
          </w:p>
          <w:p w14:paraId="15131F8A"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O1</w:t>
            </w:r>
          </w:p>
          <w:p w14:paraId="15131F8B" w14:textId="77777777" w:rsidR="007245BB" w:rsidRPr="008819AF" w:rsidRDefault="007245BB" w:rsidP="0021052F">
            <w:pPr>
              <w:pStyle w:val="BodyText21"/>
              <w:spacing w:before="0" w:line="240" w:lineRule="auto"/>
              <w:ind w:left="0" w:right="-70" w:firstLine="0"/>
              <w:jc w:val="center"/>
              <w:rPr>
                <w:rFonts w:ascii="Times New Roman" w:hAnsi="Times New Roman" w:cs="Times New Roman"/>
                <w:lang w:bidi="sk-SK"/>
              </w:rPr>
            </w:pPr>
            <w:r w:rsidRPr="008819AF">
              <w:rPr>
                <w:rFonts w:ascii="Times New Roman" w:hAnsi="Times New Roman" w:cs="Times New Roman"/>
                <w:lang w:bidi="sk-SK"/>
              </w:rPr>
              <w:t>Pb)</w:t>
            </w:r>
          </w:p>
        </w:tc>
        <w:tc>
          <w:tcPr>
            <w:tcW w:w="5664" w:type="dxa"/>
            <w:gridSpan w:val="5"/>
            <w:tcBorders>
              <w:top w:val="single" w:sz="4" w:space="0" w:color="000000"/>
              <w:left w:val="single" w:sz="6" w:space="0" w:color="000000"/>
              <w:bottom w:val="single" w:sz="4" w:space="0" w:color="000000"/>
              <w:right w:val="single" w:sz="6" w:space="0" w:color="000000"/>
            </w:tcBorders>
          </w:tcPr>
          <w:p w14:paraId="15131F8C" w14:textId="77777777" w:rsidR="007170C3" w:rsidRPr="008819AF" w:rsidRDefault="007170C3" w:rsidP="0021052F">
            <w:pPr>
              <w:pStyle w:val="Nadpis1"/>
              <w:tabs>
                <w:tab w:val="left" w:pos="1090"/>
              </w:tabs>
              <w:spacing w:before="0"/>
              <w:ind w:left="72" w:firstLine="0"/>
              <w:jc w:val="left"/>
              <w:rPr>
                <w:rFonts w:ascii="Times New Roman" w:hAnsi="Times New Roman" w:cs="Times New Roman"/>
                <w:b w:val="0"/>
                <w:bCs w:val="0"/>
                <w:sz w:val="20"/>
                <w:szCs w:val="20"/>
                <w:lang w:bidi="sk-SK"/>
              </w:rPr>
            </w:pPr>
          </w:p>
          <w:p w14:paraId="15131F8D" w14:textId="77777777" w:rsidR="007170C3" w:rsidRPr="008819AF" w:rsidRDefault="0070733E" w:rsidP="0021052F">
            <w:pPr>
              <w:pStyle w:val="Nra"/>
              <w:rPr>
                <w:rFonts w:ascii="Times New Roman" w:eastAsia="Arial" w:hAnsi="Times New Roman" w:cs="Times New Roman"/>
              </w:rPr>
            </w:pPr>
            <w:r w:rsidRPr="008819AF">
              <w:rPr>
                <w:rFonts w:ascii="Times New Roman" w:eastAsia="Arial" w:hAnsi="Times New Roman" w:cs="Times New Roman"/>
              </w:rPr>
              <w:t>Veľké spaľovacie zariadenia uplatňujúce prechodné opatrenia schválené v platnom integrovanom povolení podľa doterajšieho zákona zostávajú v platnosti, ak ide o</w:t>
            </w:r>
          </w:p>
          <w:p w14:paraId="15131F8E" w14:textId="77777777" w:rsidR="007170C3" w:rsidRPr="008819AF" w:rsidRDefault="0070733E" w:rsidP="0021052F">
            <w:pPr>
              <w:pStyle w:val="Nra"/>
              <w:rPr>
                <w:rFonts w:ascii="Times New Roman" w:eastAsia="Arial" w:hAnsi="Times New Roman" w:cs="Times New Roman"/>
              </w:rPr>
            </w:pPr>
            <w:r w:rsidRPr="008819AF">
              <w:rPr>
                <w:rFonts w:ascii="Times New Roman" w:eastAsia="Arial" w:hAnsi="Times New Roman" w:cs="Times New Roman"/>
              </w:rPr>
              <w:t>b) osobitný režim pre zariadenia určené na dožitie, do 31. decembra 2023.</w:t>
            </w:r>
          </w:p>
          <w:p w14:paraId="15131F8F" w14:textId="77777777" w:rsidR="007170C3" w:rsidRPr="008819AF" w:rsidRDefault="007170C3" w:rsidP="0047589E">
            <w:pPr>
              <w:pStyle w:val="Hlavika"/>
              <w:ind w:left="72" w:hanging="1"/>
              <w:rPr>
                <w:rFonts w:ascii="Times New Roman" w:hAnsi="Times New Roman" w:cs="Times New Roman"/>
              </w:rPr>
            </w:pPr>
          </w:p>
          <w:p w14:paraId="15131F90" w14:textId="77777777" w:rsidR="0047589E" w:rsidRPr="008819AF" w:rsidRDefault="0047589E" w:rsidP="006C7655">
            <w:pPr>
              <w:pStyle w:val="Nra"/>
              <w:rPr>
                <w:rFonts w:ascii="Times New Roman" w:eastAsia="Arial" w:hAnsi="Times New Roman" w:cs="Times New Roman"/>
              </w:rPr>
            </w:pPr>
            <w:r w:rsidRPr="008819AF">
              <w:rPr>
                <w:rFonts w:ascii="Times New Roman" w:eastAsia="Calibri" w:hAnsi="Times New Roman" w:cs="Times New Roman"/>
                <w:noProof/>
              </w:rPr>
              <w:t>(</w:t>
            </w:r>
            <w:r w:rsidRPr="008819AF">
              <w:rPr>
                <w:rFonts w:ascii="Times New Roman" w:eastAsia="Arial" w:hAnsi="Times New Roman" w:cs="Times New Roman"/>
              </w:rPr>
              <w:t>1) Veľké spaľovacie zariadenie možno prevádzkovať v osobitnom režime na dožitie od 1. januára 2016 najneskôr do 31. decembra 2023 na základe písomného záväzku prevádzkovateľa predloženého do 1. januára 2014, že spaľovacie zariadenie nebude v činnosti viac ako</w:t>
            </w:r>
          </w:p>
          <w:p w14:paraId="15131F91" w14:textId="77777777" w:rsidR="006C7655" w:rsidRPr="008819AF" w:rsidRDefault="006C7655" w:rsidP="006C7655">
            <w:pPr>
              <w:pStyle w:val="Nra"/>
              <w:ind w:left="167" w:hanging="167"/>
              <w:rPr>
                <w:rFonts w:ascii="Times New Roman" w:eastAsia="Arial" w:hAnsi="Times New Roman" w:cs="Times New Roman"/>
              </w:rPr>
            </w:pPr>
            <w:r w:rsidRPr="008819AF">
              <w:rPr>
                <w:rFonts w:ascii="Times New Roman" w:eastAsia="Arial" w:hAnsi="Times New Roman" w:cs="Times New Roman"/>
              </w:rPr>
              <w:t xml:space="preserve">a) </w:t>
            </w:r>
            <w:r w:rsidR="0047589E" w:rsidRPr="008819AF">
              <w:rPr>
                <w:rFonts w:ascii="Times New Roman" w:eastAsia="Arial" w:hAnsi="Times New Roman" w:cs="Times New Roman"/>
              </w:rPr>
              <w:t xml:space="preserve">17 500 h do ukončenia prevádzky, ak ide spaľovacie zariadenie, ktoré je podľa dátumu vydania prvého stavebného povolenia zaradené ako jestvujúce zariadenie, </w:t>
            </w:r>
            <w:r w:rsidRPr="008819AF">
              <w:rPr>
                <w:rFonts w:ascii="Times New Roman" w:eastAsia="Arial" w:hAnsi="Times New Roman" w:cs="Times New Roman"/>
              </w:rPr>
              <w:t>alebo</w:t>
            </w:r>
          </w:p>
          <w:p w14:paraId="15131F92" w14:textId="77777777" w:rsidR="0047589E" w:rsidRPr="008819AF" w:rsidRDefault="006C7655" w:rsidP="006C7655">
            <w:pPr>
              <w:pStyle w:val="Nra"/>
              <w:ind w:left="167" w:hanging="167"/>
              <w:rPr>
                <w:rFonts w:ascii="Times New Roman" w:eastAsia="Arial" w:hAnsi="Times New Roman" w:cs="Times New Roman"/>
              </w:rPr>
            </w:pPr>
            <w:r w:rsidRPr="008819AF">
              <w:rPr>
                <w:rFonts w:ascii="Times New Roman" w:eastAsia="Arial" w:hAnsi="Times New Roman" w:cs="Times New Roman"/>
              </w:rPr>
              <w:t xml:space="preserve">b) 32 000 h do ukončenia prevádzky, ak ide o spaľovacie zariadenie </w:t>
            </w:r>
            <w:r w:rsidRPr="008819AF">
              <w:rPr>
                <w:rFonts w:ascii="Times New Roman" w:eastAsia="Arial" w:hAnsi="Times New Roman" w:cs="Times New Roman"/>
              </w:rPr>
              <w:lastRenderedPageBreak/>
              <w:t>s celkovým menovitým tepelným príkonom vyšším ako 1 500 MW, ktorého prevádzka začala do 31. decembra 1986 a ktoré spaľuje domáce tuhé palivo s výhrevnosťou nižšou ako 5 800 kJ/kg, s obsahom vlhkosti viac ako 45 % hmotnosti, kombinovaným obsahom vlhkosti a popola viac ako 60 % hmotnosti a obsahom CaO v popole viac ako 10 % hmotnosti.</w:t>
            </w:r>
          </w:p>
          <w:p w14:paraId="15131F93" w14:textId="77777777" w:rsidR="00ED17A9" w:rsidRPr="008819AF" w:rsidRDefault="00ED17A9" w:rsidP="0021052F">
            <w:pPr>
              <w:pStyle w:val="Lsaarp"/>
              <w:tabs>
                <w:tab w:val="left" w:pos="355"/>
              </w:tabs>
              <w:ind w:left="0"/>
              <w:rPr>
                <w:rFonts w:ascii="Times New Roman" w:eastAsia="Arial" w:hAnsi="Times New Roman" w:cs="Times New Roman"/>
                <w:sz w:val="20"/>
                <w:szCs w:val="20"/>
              </w:rPr>
            </w:pPr>
          </w:p>
          <w:p w14:paraId="15131F94" w14:textId="77777777" w:rsidR="0070733E" w:rsidRPr="008819AF" w:rsidRDefault="0070733E" w:rsidP="0021052F">
            <w:pPr>
              <w:pStyle w:val="Lsaarp"/>
              <w:tabs>
                <w:tab w:val="left" w:pos="355"/>
              </w:tabs>
              <w:ind w:left="0"/>
              <w:rPr>
                <w:rFonts w:ascii="Times New Roman" w:eastAsia="Arial" w:hAnsi="Times New Roman" w:cs="Times New Roman"/>
                <w:sz w:val="20"/>
                <w:szCs w:val="20"/>
              </w:rPr>
            </w:pPr>
            <w:r w:rsidRPr="008819AF">
              <w:rPr>
                <w:rFonts w:ascii="Times New Roman" w:eastAsia="Arial" w:hAnsi="Times New Roman" w:cs="Times New Roman"/>
                <w:sz w:val="20"/>
                <w:szCs w:val="20"/>
              </w:rPr>
              <w:t xml:space="preserve">Prevádzkovateľ veľkého zdroja a prevádzkovateľ stredného zdroja je povinný </w:t>
            </w:r>
          </w:p>
          <w:p w14:paraId="15131F95" w14:textId="77777777" w:rsidR="007170C3" w:rsidRPr="008819AF" w:rsidRDefault="0070733E" w:rsidP="0021052F">
            <w:pPr>
              <w:pStyle w:val="Lsaarp"/>
              <w:tabs>
                <w:tab w:val="left" w:pos="355"/>
              </w:tabs>
              <w:ind w:left="0"/>
              <w:rPr>
                <w:rFonts w:ascii="Times New Roman" w:eastAsia="Arial" w:hAnsi="Times New Roman" w:cs="Times New Roman"/>
                <w:sz w:val="20"/>
                <w:szCs w:val="20"/>
              </w:rPr>
            </w:pPr>
            <w:r w:rsidRPr="008819AF">
              <w:rPr>
                <w:rFonts w:ascii="Times New Roman" w:eastAsia="Arial" w:hAnsi="Times New Roman" w:cs="Times New Roman"/>
                <w:sz w:val="20"/>
                <w:szCs w:val="20"/>
              </w:rPr>
              <w:t>f)</w:t>
            </w:r>
            <w:r w:rsidRPr="008819AF">
              <w:rPr>
                <w:rFonts w:ascii="Times New Roman" w:eastAsia="Arial" w:hAnsi="Times New Roman" w:cs="Times New Roman"/>
                <w:sz w:val="20"/>
                <w:szCs w:val="20"/>
              </w:rPr>
              <w:tab/>
              <w:t>plniť ustanovené podmienky uplatňovania prechodných opatrení podľa § 31, ak ide o veľké spaľovacie zariadenie alebo väčšie stredné spaľovacie zariadenie zaradené do niektorého z prechodných opatrení a preukazovať ich dodržiavanie ustanoveným spôsobom</w:t>
            </w:r>
            <w:r w:rsidR="00B16CFC" w:rsidRPr="008819AF">
              <w:rPr>
                <w:rFonts w:ascii="Times New Roman" w:eastAsia="Arial" w:hAnsi="Times New Roman" w:cs="Times New Roman"/>
                <w:sz w:val="20"/>
                <w:szCs w:val="20"/>
              </w:rPr>
              <w:t>,</w:t>
            </w:r>
          </w:p>
          <w:p w14:paraId="15131F96" w14:textId="77777777" w:rsidR="00ED17A9" w:rsidRPr="008819AF" w:rsidRDefault="00ED17A9" w:rsidP="00ED17A9">
            <w:pPr>
              <w:pStyle w:val="Lsaarp"/>
              <w:tabs>
                <w:tab w:val="left" w:pos="355"/>
              </w:tabs>
              <w:ind w:left="0"/>
              <w:rPr>
                <w:rFonts w:ascii="Times New Roman" w:eastAsia="Arial" w:hAnsi="Times New Roman" w:cs="Times New Roman"/>
                <w:sz w:val="20"/>
                <w:szCs w:val="20"/>
              </w:rPr>
            </w:pPr>
          </w:p>
          <w:p w14:paraId="15131F97" w14:textId="77777777" w:rsidR="00ED17A9" w:rsidRPr="008819AF" w:rsidRDefault="00ED17A9" w:rsidP="00ED17A9">
            <w:pPr>
              <w:pStyle w:val="Lsaarp"/>
              <w:tabs>
                <w:tab w:val="left" w:pos="355"/>
              </w:tabs>
              <w:ind w:left="0"/>
              <w:rPr>
                <w:rFonts w:ascii="Times New Roman" w:eastAsia="Arial" w:hAnsi="Times New Roman" w:cs="Times New Roman"/>
                <w:sz w:val="20"/>
                <w:szCs w:val="20"/>
              </w:rPr>
            </w:pPr>
            <w:r w:rsidRPr="008819AF">
              <w:rPr>
                <w:rFonts w:ascii="Times New Roman" w:eastAsia="Arial" w:hAnsi="Times New Roman" w:cs="Times New Roman"/>
                <w:sz w:val="20"/>
                <w:szCs w:val="20"/>
              </w:rPr>
              <w:t>Prevádzkovateľ veľkého zdroja a prevádzkovateľ stredného zdroja vo veciach vedenia prevádzkovej evidencie, zisťovania množstva emisií, oznamovania údajov o emisiách a zdroji,  predkladania správ, súboru parametrov a opatrení, a programov na zníženie množstva emisií a informovania verejnosti je povinný</w:t>
            </w:r>
          </w:p>
          <w:p w14:paraId="15131F98" w14:textId="77777777" w:rsidR="00ED17A9" w:rsidRPr="008819AF" w:rsidRDefault="00ED17A9" w:rsidP="00ED17A9">
            <w:pPr>
              <w:pStyle w:val="Lsaarp"/>
              <w:tabs>
                <w:tab w:val="left" w:pos="355"/>
              </w:tabs>
              <w:ind w:left="0"/>
              <w:rPr>
                <w:rFonts w:ascii="Times New Roman" w:eastAsia="Arial" w:hAnsi="Times New Roman" w:cs="Times New Roman"/>
                <w:sz w:val="20"/>
                <w:szCs w:val="20"/>
              </w:rPr>
            </w:pPr>
            <w:r w:rsidRPr="008819AF">
              <w:rPr>
                <w:rFonts w:ascii="Times New Roman" w:eastAsia="Arial" w:hAnsi="Times New Roman" w:cs="Times New Roman"/>
                <w:sz w:val="20"/>
                <w:szCs w:val="20"/>
              </w:rPr>
              <w:t>d)</w:t>
            </w:r>
            <w:r w:rsidRPr="008819AF">
              <w:rPr>
                <w:rFonts w:ascii="Times New Roman" w:eastAsia="Arial" w:hAnsi="Times New Roman" w:cs="Times New Roman"/>
                <w:sz w:val="20"/>
                <w:szCs w:val="20"/>
              </w:rPr>
              <w:tab/>
              <w:t>každoročne, do 28.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w:t>
            </w:r>
          </w:p>
          <w:p w14:paraId="1022D2EC" w14:textId="77777777" w:rsidR="00305952" w:rsidRPr="008819AF" w:rsidRDefault="00305952" w:rsidP="00305952">
            <w:pPr>
              <w:pStyle w:val="Odsekzoznamu"/>
              <w:tabs>
                <w:tab w:val="left" w:pos="355"/>
              </w:tabs>
              <w:ind w:left="0"/>
              <w:jc w:val="both"/>
              <w:rPr>
                <w:rFonts w:eastAsia="Arial"/>
                <w:sz w:val="20"/>
                <w:szCs w:val="20"/>
              </w:rPr>
            </w:pPr>
          </w:p>
          <w:p w14:paraId="23025871" w14:textId="77777777" w:rsidR="00305952" w:rsidRPr="008819AF" w:rsidRDefault="00305952" w:rsidP="00305952">
            <w:pPr>
              <w:pStyle w:val="Odsekzoznamu"/>
              <w:tabs>
                <w:tab w:val="left" w:pos="355"/>
              </w:tabs>
              <w:ind w:left="0"/>
              <w:jc w:val="both"/>
              <w:rPr>
                <w:rFonts w:eastAsia="Arial"/>
                <w:sz w:val="20"/>
                <w:szCs w:val="20"/>
              </w:rPr>
            </w:pPr>
            <w:r w:rsidRPr="008819AF">
              <w:rPr>
                <w:rFonts w:eastAsia="Arial"/>
                <w:sz w:val="20"/>
                <w:szCs w:val="20"/>
              </w:rPr>
              <w:t>A.</w:t>
            </w:r>
            <w:r w:rsidRPr="008819AF">
              <w:rPr>
                <w:rFonts w:eastAsia="Arial"/>
                <w:sz w:val="20"/>
                <w:szCs w:val="20"/>
              </w:rPr>
              <w:tab/>
              <w:t>Register údajov o veľkých spaľovacích zariadeniach</w:t>
            </w:r>
          </w:p>
          <w:p w14:paraId="2C079D13" w14:textId="77777777" w:rsidR="00305952" w:rsidRPr="008819AF" w:rsidRDefault="00305952" w:rsidP="00305952">
            <w:pPr>
              <w:pStyle w:val="Odsekzoznamu"/>
              <w:tabs>
                <w:tab w:val="left" w:pos="355"/>
              </w:tabs>
              <w:ind w:left="0"/>
              <w:jc w:val="both"/>
              <w:rPr>
                <w:rFonts w:eastAsia="Arial"/>
                <w:sz w:val="20"/>
                <w:szCs w:val="20"/>
              </w:rPr>
            </w:pPr>
            <w:r w:rsidRPr="008819AF">
              <w:rPr>
                <w:rFonts w:eastAsia="Arial"/>
                <w:sz w:val="20"/>
                <w:szCs w:val="20"/>
              </w:rPr>
              <w:t>9.</w:t>
            </w:r>
            <w:r w:rsidRPr="008819AF">
              <w:rPr>
                <w:rFonts w:eastAsia="Arial"/>
                <w:sz w:val="20"/>
                <w:szCs w:val="20"/>
              </w:rPr>
              <w:tab/>
              <w:t>počet prevádzkových hodín zariadení zaradených v osobitnom režime na dožitie podľa § 31 ods. 6 písm. b) zákona,</w:t>
            </w:r>
          </w:p>
          <w:p w14:paraId="3B21BA51" w14:textId="77777777" w:rsidR="00305952" w:rsidRPr="008819AF" w:rsidRDefault="00305952" w:rsidP="00305952">
            <w:pPr>
              <w:pStyle w:val="Odsekzoznamu"/>
              <w:tabs>
                <w:tab w:val="left" w:pos="355"/>
              </w:tabs>
              <w:ind w:left="0"/>
              <w:jc w:val="both"/>
              <w:rPr>
                <w:rFonts w:eastAsia="Arial"/>
                <w:sz w:val="20"/>
                <w:szCs w:val="20"/>
              </w:rPr>
            </w:pPr>
          </w:p>
          <w:p w14:paraId="15131F9A" w14:textId="77777777" w:rsidR="006C7655" w:rsidRPr="008819AF" w:rsidRDefault="006C7655" w:rsidP="006C7655">
            <w:pPr>
              <w:pStyle w:val="Lsaarp"/>
              <w:tabs>
                <w:tab w:val="left" w:pos="355"/>
              </w:tabs>
              <w:ind w:left="0"/>
              <w:rPr>
                <w:rFonts w:ascii="Times New Roman" w:eastAsia="Arial" w:hAnsi="Times New Roman" w:cs="Times New Roman"/>
                <w:sz w:val="20"/>
                <w:szCs w:val="20"/>
              </w:rPr>
            </w:pPr>
            <w:r w:rsidRPr="008819AF">
              <w:rPr>
                <w:rFonts w:ascii="Times New Roman" w:eastAsia="Arial" w:hAnsi="Times New Roman" w:cs="Times New Roman"/>
                <w:sz w:val="20"/>
                <w:szCs w:val="20"/>
              </w:rPr>
              <w:t>(2) Počas tohto obdobia platia pre dané spaľovacie zariadenie emisné limity určené v integrovanom povolení platné k 31. decembru 2015 určené podľa doterajších predpisov. Ak ide o spaľovacie zariadenie spaľujúce tuhé palivá s celkovým menovitým tepelným príkonom vyšším ako 500 MW, ktoré podľa dátumu vydania prvého stavebného povolenia je zaradené ako jestvujúce zariadenia Z2 alebo Z3, platí emisný limit pre NOx podľa § 10 ods. 2.</w:t>
            </w:r>
          </w:p>
          <w:p w14:paraId="15131F9B" w14:textId="77777777" w:rsidR="006C7655" w:rsidRPr="008819AF" w:rsidRDefault="006C7655" w:rsidP="0021052F">
            <w:pPr>
              <w:pStyle w:val="Lsaarp"/>
              <w:tabs>
                <w:tab w:val="left" w:pos="355"/>
              </w:tabs>
              <w:ind w:left="0"/>
              <w:rPr>
                <w:rFonts w:ascii="Times New Roman" w:eastAsia="Arial" w:hAnsi="Times New Roman" w:cs="Times New Roman"/>
                <w:sz w:val="20"/>
                <w:szCs w:val="20"/>
              </w:rPr>
            </w:pPr>
          </w:p>
          <w:p w14:paraId="15131F9C" w14:textId="7B9F7A98" w:rsidR="006C7655" w:rsidRPr="008819AF" w:rsidRDefault="006C7655" w:rsidP="0021052F">
            <w:pPr>
              <w:pStyle w:val="Lsaarp"/>
              <w:tabs>
                <w:tab w:val="left" w:pos="355"/>
              </w:tabs>
              <w:ind w:left="0"/>
              <w:rPr>
                <w:rFonts w:ascii="Times New Roman" w:eastAsia="Arial" w:hAnsi="Times New Roman" w:cs="Times New Roman"/>
                <w:sz w:val="20"/>
                <w:szCs w:val="20"/>
              </w:rPr>
            </w:pPr>
          </w:p>
          <w:p w14:paraId="302F0950" w14:textId="114D0051" w:rsidR="00305952" w:rsidRPr="008819AF" w:rsidRDefault="00305952" w:rsidP="0021052F">
            <w:pPr>
              <w:pStyle w:val="Lsaarp"/>
              <w:tabs>
                <w:tab w:val="left" w:pos="355"/>
              </w:tabs>
              <w:ind w:left="0"/>
              <w:rPr>
                <w:rFonts w:ascii="Times New Roman" w:eastAsia="Arial" w:hAnsi="Times New Roman" w:cs="Times New Roman"/>
                <w:sz w:val="20"/>
                <w:szCs w:val="20"/>
              </w:rPr>
            </w:pPr>
          </w:p>
          <w:p w14:paraId="15131F9E" w14:textId="77777777" w:rsidR="007170C3" w:rsidRPr="008819AF" w:rsidRDefault="006F0418" w:rsidP="0021052F">
            <w:pPr>
              <w:pStyle w:val="Nra"/>
              <w:ind w:left="72"/>
              <w:rPr>
                <w:rFonts w:ascii="Times New Roman" w:eastAsia="Arial" w:hAnsi="Times New Roman" w:cs="Times New Roman"/>
              </w:rPr>
            </w:pPr>
            <w:r w:rsidRPr="008819AF">
              <w:rPr>
                <w:rFonts w:ascii="Times New Roman" w:eastAsia="Arial" w:hAnsi="Times New Roman" w:cs="Times New Roman"/>
              </w:rPr>
              <w:t>Ministerstvo</w:t>
            </w:r>
          </w:p>
          <w:p w14:paraId="15131F9F" w14:textId="77777777" w:rsidR="007170C3" w:rsidRPr="008819AF" w:rsidRDefault="00731F8B" w:rsidP="0021052F">
            <w:pPr>
              <w:pStyle w:val="Nra"/>
              <w:ind w:left="72"/>
              <w:rPr>
                <w:rFonts w:ascii="Times New Roman" w:eastAsia="Arial" w:hAnsi="Times New Roman" w:cs="Times New Roman"/>
              </w:rPr>
            </w:pPr>
            <w:r w:rsidRPr="008819AF">
              <w:rPr>
                <w:rFonts w:ascii="Times New Roman" w:eastAsia="Aria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15131FA0" w14:textId="77777777" w:rsidR="007170C3" w:rsidRPr="008819AF" w:rsidRDefault="007170C3" w:rsidP="0021052F">
            <w:pPr>
              <w:ind w:left="72"/>
              <w:rPr>
                <w:rFonts w:eastAsia="Arial"/>
              </w:rPr>
            </w:pPr>
          </w:p>
          <w:p w14:paraId="15131FA1" w14:textId="77777777" w:rsidR="007170C3" w:rsidRPr="008819AF" w:rsidRDefault="002019F6" w:rsidP="0021052F">
            <w:pPr>
              <w:ind w:left="72"/>
              <w:rPr>
                <w:rFonts w:eastAsia="Arial"/>
              </w:rPr>
            </w:pPr>
            <w:r w:rsidRPr="008819AF">
              <w:rPr>
                <w:rFonts w:eastAsia="Arial"/>
              </w:rPr>
              <w:t xml:space="preserve">3. VEĽKÉ SPAĽOVACIE ZARIADENIA podľa § 20  ods. </w:t>
            </w:r>
            <w:r w:rsidR="00DD5B5A" w:rsidRPr="008819AF">
              <w:rPr>
                <w:rFonts w:eastAsia="Arial"/>
              </w:rPr>
              <w:t>7</w:t>
            </w:r>
            <w:r w:rsidRPr="008819AF">
              <w:rPr>
                <w:rFonts w:eastAsia="Arial"/>
              </w:rPr>
              <w:t xml:space="preserve">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011"/>
              <w:gridCol w:w="3400"/>
              <w:gridCol w:w="1123"/>
            </w:tblGrid>
            <w:tr w:rsidR="00F80158" w:rsidRPr="008819AF" w14:paraId="15131FA5" w14:textId="77777777" w:rsidTr="006060FC">
              <w:trPr>
                <w:jc w:val="center"/>
              </w:trPr>
              <w:tc>
                <w:tcPr>
                  <w:tcW w:w="10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FA2" w14:textId="77777777" w:rsidR="002019F6" w:rsidRPr="008819AF" w:rsidRDefault="002019F6" w:rsidP="0021052F">
                  <w:pPr>
                    <w:ind w:right="-12"/>
                    <w:rPr>
                      <w:rFonts w:eastAsia="Arial"/>
                      <w:sz w:val="16"/>
                      <w:szCs w:val="16"/>
                    </w:rPr>
                  </w:pPr>
                  <w:r w:rsidRPr="008819AF">
                    <w:rPr>
                      <w:rFonts w:eastAsia="Arial"/>
                      <w:sz w:val="16"/>
                      <w:szCs w:val="16"/>
                    </w:rPr>
                    <w:t>Správa</w:t>
                  </w:r>
                  <w:r w:rsidRPr="008819AF">
                    <w:rPr>
                      <w:rFonts w:eastAsia="Arial"/>
                      <w:sz w:val="16"/>
                      <w:szCs w:val="16"/>
                    </w:rPr>
                    <w:br/>
                    <w:t>o veľkých</w:t>
                  </w:r>
                  <w:r w:rsidRPr="008819AF">
                    <w:rPr>
                      <w:rFonts w:eastAsia="Arial"/>
                      <w:sz w:val="16"/>
                      <w:szCs w:val="16"/>
                    </w:rPr>
                    <w:br/>
                    <w:t>spaľovacích</w:t>
                  </w:r>
                  <w:r w:rsidRPr="008819AF">
                    <w:rPr>
                      <w:rFonts w:eastAsia="Arial"/>
                      <w:sz w:val="16"/>
                      <w:szCs w:val="16"/>
                    </w:rPr>
                    <w:br/>
                    <w:t>zariadeniach</w:t>
                  </w:r>
                </w:p>
              </w:tc>
              <w:tc>
                <w:tcPr>
                  <w:tcW w:w="337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FA3" w14:textId="77777777" w:rsidR="002019F6" w:rsidRPr="008819AF" w:rsidRDefault="002019F6" w:rsidP="006060FC">
                  <w:pPr>
                    <w:ind w:right="-12"/>
                    <w:rPr>
                      <w:rFonts w:eastAsia="Arial"/>
                      <w:sz w:val="16"/>
                      <w:szCs w:val="16"/>
                    </w:rPr>
                  </w:pPr>
                  <w:r w:rsidRPr="008819AF">
                    <w:rPr>
                      <w:rFonts w:eastAsia="Arial"/>
                      <w:sz w:val="16"/>
                      <w:szCs w:val="16"/>
                    </w:rPr>
                    <w:t xml:space="preserve">h) počet prevádzkových hodín zariadení zaradených v osobitnom režime na dožitie podľa </w:t>
                  </w:r>
                  <w:r w:rsidR="007245BB" w:rsidRPr="008819AF">
                    <w:rPr>
                      <w:rFonts w:eastAsia="Arial"/>
                      <w:sz w:val="16"/>
                      <w:szCs w:val="16"/>
                    </w:rPr>
                    <w:t xml:space="preserve"> </w:t>
                  </w:r>
                  <w:r w:rsidRPr="008819AF">
                    <w:rPr>
                      <w:rFonts w:eastAsia="Arial"/>
                      <w:sz w:val="16"/>
                      <w:szCs w:val="16"/>
                    </w:rPr>
                    <w:t>§ 31 ods. 6 zákona,</w:t>
                  </w:r>
                </w:p>
              </w:tc>
              <w:tc>
                <w:tcPr>
                  <w:tcW w:w="111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1FA4" w14:textId="77777777" w:rsidR="002019F6" w:rsidRPr="008819AF" w:rsidRDefault="002019F6" w:rsidP="0021052F">
                  <w:pPr>
                    <w:ind w:right="-12"/>
                    <w:rPr>
                      <w:rFonts w:eastAsia="Arial"/>
                      <w:sz w:val="16"/>
                      <w:szCs w:val="16"/>
                    </w:rPr>
                  </w:pPr>
                  <w:r w:rsidRPr="008819AF">
                    <w:rPr>
                      <w:rFonts w:eastAsia="Arial"/>
                      <w:sz w:val="16"/>
                      <w:szCs w:val="16"/>
                    </w:rPr>
                    <w:t>Každoročne/</w:t>
                  </w:r>
                  <w:r w:rsidRPr="008819AF">
                    <w:rPr>
                      <w:rFonts w:eastAsia="Arial"/>
                      <w:sz w:val="16"/>
                      <w:szCs w:val="16"/>
                    </w:rPr>
                    <w:br/>
                    <w:t>do 30. novembra</w:t>
                  </w:r>
                </w:p>
              </w:tc>
            </w:tr>
          </w:tbl>
          <w:p w14:paraId="15131FA6" w14:textId="77777777" w:rsidR="007170C3" w:rsidRPr="008819AF" w:rsidRDefault="007170C3" w:rsidP="0021052F">
            <w:pPr>
              <w:ind w:left="72"/>
              <w:rPr>
                <w:rFonts w:eastAsia="Arial"/>
              </w:rPr>
            </w:pPr>
          </w:p>
          <w:p w14:paraId="15131FA7" w14:textId="77777777" w:rsidR="006060FC" w:rsidRPr="008819AF" w:rsidRDefault="006060FC" w:rsidP="0021052F">
            <w:pPr>
              <w:ind w:left="72"/>
              <w:rPr>
                <w:rFonts w:eastAsia="Arial"/>
              </w:rPr>
            </w:pPr>
          </w:p>
          <w:p w14:paraId="15131FA8" w14:textId="77777777" w:rsidR="006060FC" w:rsidRPr="008819AF" w:rsidRDefault="006060FC" w:rsidP="0021052F">
            <w:pPr>
              <w:ind w:left="72"/>
              <w:rPr>
                <w:rFonts w:eastAsia="Arial"/>
              </w:rPr>
            </w:pPr>
          </w:p>
          <w:p w14:paraId="15131FA9" w14:textId="77777777" w:rsidR="007245BB" w:rsidRPr="008819AF" w:rsidRDefault="007245BB" w:rsidP="0021052F">
            <w:pPr>
              <w:ind w:left="72"/>
              <w:rPr>
                <w:rFonts w:eastAsia="Arial"/>
              </w:rPr>
            </w:pPr>
          </w:p>
          <w:p w14:paraId="15131FAA" w14:textId="77777777" w:rsidR="007245BB" w:rsidRPr="008819AF" w:rsidRDefault="007245BB" w:rsidP="0021052F">
            <w:pPr>
              <w:ind w:left="72"/>
              <w:rPr>
                <w:rFonts w:eastAsia="Arial"/>
              </w:rPr>
            </w:pPr>
          </w:p>
          <w:p w14:paraId="15131FAB" w14:textId="77777777" w:rsidR="007245BB" w:rsidRPr="008819AF" w:rsidRDefault="007245BB" w:rsidP="0021052F">
            <w:pPr>
              <w:ind w:left="72"/>
              <w:rPr>
                <w:rFonts w:eastAsia="Arial"/>
              </w:rPr>
            </w:pPr>
          </w:p>
          <w:p w14:paraId="15131FAC" w14:textId="77777777" w:rsidR="007245BB" w:rsidRPr="008819AF" w:rsidRDefault="007245BB" w:rsidP="0021052F">
            <w:pPr>
              <w:ind w:left="72"/>
              <w:rPr>
                <w:rFonts w:eastAsia="Arial"/>
              </w:rPr>
            </w:pPr>
          </w:p>
          <w:p w14:paraId="15131FAD" w14:textId="77777777" w:rsidR="00FA4AE4" w:rsidRPr="008819AF" w:rsidRDefault="00FA4AE4" w:rsidP="0021052F">
            <w:pPr>
              <w:ind w:left="72"/>
              <w:rPr>
                <w:rFonts w:eastAsia="Arial"/>
              </w:rPr>
            </w:pPr>
          </w:p>
          <w:p w14:paraId="15131FAE" w14:textId="77777777" w:rsidR="007245BB" w:rsidRPr="008819AF" w:rsidRDefault="007245BB" w:rsidP="0021052F">
            <w:pPr>
              <w:ind w:left="72"/>
              <w:rPr>
                <w:rFonts w:eastAsia="Arial"/>
              </w:rPr>
            </w:pPr>
          </w:p>
          <w:p w14:paraId="15131FAF" w14:textId="77777777" w:rsidR="007245BB" w:rsidRPr="008819AF" w:rsidRDefault="007245BB" w:rsidP="0021052F">
            <w:pPr>
              <w:ind w:left="72"/>
              <w:rPr>
                <w:rFonts w:eastAsia="Arial"/>
              </w:rPr>
            </w:pPr>
          </w:p>
          <w:p w14:paraId="15131FB0" w14:textId="77777777" w:rsidR="006060FC" w:rsidRPr="008819AF" w:rsidRDefault="006060FC" w:rsidP="0021052F">
            <w:pPr>
              <w:ind w:left="72"/>
              <w:rPr>
                <w:rFonts w:eastAsia="Arial"/>
              </w:rPr>
            </w:pPr>
          </w:p>
          <w:p w14:paraId="15131FB1" w14:textId="77777777" w:rsidR="007245BB" w:rsidRPr="008819AF" w:rsidRDefault="007245BB" w:rsidP="0021052F">
            <w:pPr>
              <w:ind w:left="72"/>
              <w:rPr>
                <w:rFonts w:eastAsia="Arial"/>
              </w:rPr>
            </w:pPr>
          </w:p>
          <w:p w14:paraId="15131FB2" w14:textId="77777777" w:rsidR="007245BB" w:rsidRPr="008819AF" w:rsidRDefault="007245BB" w:rsidP="007245BB">
            <w:pPr>
              <w:pStyle w:val="Nra"/>
              <w:ind w:left="167" w:hanging="167"/>
              <w:rPr>
                <w:rFonts w:ascii="Times New Roman" w:eastAsia="Arial" w:hAnsi="Times New Roman" w:cs="Times New Roman"/>
              </w:rPr>
            </w:pPr>
            <w:r w:rsidRPr="008819AF">
              <w:rPr>
                <w:rFonts w:ascii="Times New Roman" w:eastAsia="Arial" w:hAnsi="Times New Roman" w:cs="Times New Roman"/>
              </w:rPr>
              <w:t>b) 32 000 h do ukončenia prevádzky, ak ide o spaľovacie zariadenie s celkovým menovitým tepelným príkonom vyšším ako 1 500 MW, ktorého prevádzka začala do 31. decembra 1986 a ktoré spaľuje domáce tuhé palivo s výhrevnosťou nižšou ako 5 800 kJ/kg, s obsahom vlhkosti viac ako 45 % hmotnosti, kombinovaným obsahom vlhkosti a popola viac ako 60 % hmotnosti a obsahom CaO v popole viac ako 10 % hmotnosti.</w:t>
            </w:r>
          </w:p>
          <w:p w14:paraId="15131FB3" w14:textId="77777777" w:rsidR="007245BB" w:rsidRPr="008819AF" w:rsidRDefault="007245BB" w:rsidP="0021052F">
            <w:pPr>
              <w:ind w:left="72"/>
              <w:rPr>
                <w:rFonts w:eastAsia="Arial"/>
              </w:rPr>
            </w:pPr>
          </w:p>
          <w:p w14:paraId="15131FB4" w14:textId="77777777" w:rsidR="007170C3" w:rsidRPr="008819AF" w:rsidRDefault="007170C3" w:rsidP="0021052F">
            <w:pPr>
              <w:pStyle w:val="BodyText22"/>
              <w:ind w:left="0" w:firstLine="0"/>
              <w:jc w:val="left"/>
              <w:rPr>
                <w:rFonts w:ascii="Times New Roman" w:hAnsi="Times New Roman" w:cs="Times New Roman"/>
                <w:sz w:val="20"/>
                <w:szCs w:val="20"/>
                <w:lang w:bidi="sk-SK"/>
              </w:rPr>
            </w:pPr>
          </w:p>
        </w:tc>
        <w:tc>
          <w:tcPr>
            <w:tcW w:w="429" w:type="dxa"/>
            <w:tcBorders>
              <w:top w:val="single" w:sz="4" w:space="0" w:color="000000"/>
              <w:left w:val="single" w:sz="6" w:space="0" w:color="000000"/>
              <w:bottom w:val="single" w:sz="4" w:space="0" w:color="000000"/>
              <w:right w:val="single" w:sz="6" w:space="0" w:color="000000"/>
            </w:tcBorders>
          </w:tcPr>
          <w:p w14:paraId="15131FB5" w14:textId="77777777" w:rsidR="007170C3" w:rsidRPr="008819AF" w:rsidRDefault="007170C3" w:rsidP="0021052F">
            <w:pPr>
              <w:ind w:left="215" w:hanging="215"/>
              <w:rPr>
                <w:rFonts w:eastAsia="Arial"/>
                <w:lang w:bidi="cs-CZ"/>
              </w:rPr>
            </w:pPr>
          </w:p>
          <w:p w14:paraId="15131FB6" w14:textId="77777777" w:rsidR="007170C3" w:rsidRPr="008819AF" w:rsidRDefault="006F0418" w:rsidP="0021052F">
            <w:pPr>
              <w:ind w:left="215" w:hanging="215"/>
              <w:rPr>
                <w:rFonts w:eastAsia="Arial"/>
                <w:lang w:bidi="cs-CZ"/>
              </w:rPr>
            </w:pPr>
            <w:r w:rsidRPr="008819AF">
              <w:rPr>
                <w:rFonts w:eastAsia="Arial"/>
                <w:lang w:bidi="cs-CZ"/>
              </w:rPr>
              <w:t>Ú</w:t>
            </w:r>
          </w:p>
          <w:p w14:paraId="15131FB7" w14:textId="77777777" w:rsidR="007170C3" w:rsidRPr="008819AF" w:rsidRDefault="007170C3" w:rsidP="0021052F">
            <w:pPr>
              <w:ind w:left="215" w:hanging="215"/>
              <w:rPr>
                <w:rFonts w:eastAsia="Arial"/>
                <w:lang w:bidi="cs-CZ"/>
              </w:rPr>
            </w:pPr>
          </w:p>
          <w:p w14:paraId="15131FB8" w14:textId="77777777" w:rsidR="007170C3" w:rsidRPr="008819AF" w:rsidRDefault="007170C3" w:rsidP="0021052F">
            <w:pPr>
              <w:ind w:left="215" w:hanging="215"/>
              <w:rPr>
                <w:rFonts w:eastAsia="Arial"/>
                <w:lang w:bidi="cs-CZ"/>
              </w:rPr>
            </w:pPr>
          </w:p>
          <w:p w14:paraId="15131FB9" w14:textId="77777777" w:rsidR="007170C3" w:rsidRPr="008819AF" w:rsidRDefault="007170C3" w:rsidP="0021052F">
            <w:pPr>
              <w:ind w:left="215" w:hanging="215"/>
              <w:rPr>
                <w:rFonts w:eastAsia="Arial"/>
                <w:lang w:bidi="cs-CZ"/>
              </w:rPr>
            </w:pPr>
          </w:p>
          <w:p w14:paraId="15131FBA" w14:textId="77777777" w:rsidR="007170C3" w:rsidRPr="008819AF" w:rsidRDefault="007170C3" w:rsidP="0021052F">
            <w:pPr>
              <w:ind w:left="215" w:hanging="215"/>
              <w:rPr>
                <w:rFonts w:eastAsia="Arial"/>
                <w:lang w:bidi="cs-CZ"/>
              </w:rPr>
            </w:pPr>
          </w:p>
          <w:p w14:paraId="15131FBB" w14:textId="77777777" w:rsidR="007170C3" w:rsidRPr="008819AF" w:rsidRDefault="007170C3" w:rsidP="0021052F">
            <w:pPr>
              <w:ind w:left="215" w:hanging="215"/>
              <w:rPr>
                <w:rFonts w:eastAsia="Arial"/>
                <w:lang w:bidi="cs-CZ"/>
              </w:rPr>
            </w:pPr>
          </w:p>
          <w:p w14:paraId="15131FBC" w14:textId="77777777" w:rsidR="007170C3" w:rsidRPr="008819AF" w:rsidRDefault="006F0418" w:rsidP="0021052F">
            <w:pPr>
              <w:ind w:left="215" w:hanging="215"/>
              <w:rPr>
                <w:rFonts w:eastAsia="Arial"/>
                <w:lang w:bidi="cs-CZ"/>
              </w:rPr>
            </w:pPr>
            <w:r w:rsidRPr="008819AF">
              <w:rPr>
                <w:rFonts w:eastAsia="Arial"/>
                <w:lang w:bidi="cs-CZ"/>
              </w:rPr>
              <w:t>Ú</w:t>
            </w:r>
          </w:p>
          <w:p w14:paraId="15131FBD" w14:textId="77777777" w:rsidR="007170C3" w:rsidRPr="008819AF" w:rsidRDefault="007170C3" w:rsidP="0021052F">
            <w:pPr>
              <w:ind w:left="215" w:hanging="215"/>
              <w:rPr>
                <w:rFonts w:eastAsia="Arial"/>
                <w:lang w:bidi="cs-CZ"/>
              </w:rPr>
            </w:pPr>
          </w:p>
          <w:p w14:paraId="15131FBE" w14:textId="77777777" w:rsidR="007170C3" w:rsidRPr="008819AF" w:rsidRDefault="007170C3" w:rsidP="0021052F">
            <w:pPr>
              <w:ind w:left="215" w:hanging="215"/>
              <w:rPr>
                <w:rFonts w:eastAsia="Arial"/>
                <w:lang w:bidi="cs-CZ"/>
              </w:rPr>
            </w:pPr>
          </w:p>
          <w:p w14:paraId="15131FBF" w14:textId="77777777" w:rsidR="007170C3" w:rsidRPr="008819AF" w:rsidRDefault="007170C3" w:rsidP="0021052F">
            <w:pPr>
              <w:ind w:left="215" w:hanging="215"/>
              <w:rPr>
                <w:rFonts w:eastAsia="Arial"/>
                <w:lang w:bidi="cs-CZ"/>
              </w:rPr>
            </w:pPr>
          </w:p>
          <w:p w14:paraId="15131FC0" w14:textId="77777777" w:rsidR="007170C3" w:rsidRPr="008819AF" w:rsidRDefault="007170C3" w:rsidP="0021052F">
            <w:pPr>
              <w:ind w:left="215" w:hanging="215"/>
              <w:rPr>
                <w:rFonts w:eastAsia="Arial"/>
                <w:lang w:bidi="cs-CZ"/>
              </w:rPr>
            </w:pPr>
          </w:p>
          <w:p w14:paraId="15131FC1" w14:textId="77777777" w:rsidR="007170C3" w:rsidRPr="008819AF" w:rsidRDefault="007170C3" w:rsidP="0021052F">
            <w:pPr>
              <w:ind w:left="215" w:hanging="215"/>
              <w:rPr>
                <w:rFonts w:eastAsia="Arial"/>
                <w:lang w:bidi="cs-CZ"/>
              </w:rPr>
            </w:pPr>
          </w:p>
          <w:p w14:paraId="15131FC2" w14:textId="77777777" w:rsidR="007170C3" w:rsidRPr="008819AF" w:rsidRDefault="007170C3" w:rsidP="0021052F">
            <w:pPr>
              <w:ind w:left="215" w:hanging="215"/>
              <w:rPr>
                <w:rFonts w:eastAsia="Arial"/>
                <w:lang w:bidi="cs-CZ"/>
              </w:rPr>
            </w:pPr>
          </w:p>
          <w:p w14:paraId="15131FC3" w14:textId="77777777" w:rsidR="007170C3" w:rsidRPr="008819AF" w:rsidRDefault="007170C3" w:rsidP="0021052F">
            <w:pPr>
              <w:ind w:left="215" w:hanging="215"/>
              <w:rPr>
                <w:rFonts w:eastAsia="Arial"/>
                <w:lang w:bidi="cs-CZ"/>
              </w:rPr>
            </w:pPr>
          </w:p>
          <w:p w14:paraId="15131FC4" w14:textId="77777777" w:rsidR="00DD5B5A" w:rsidRPr="008819AF" w:rsidRDefault="00DD5B5A" w:rsidP="0021052F">
            <w:pPr>
              <w:ind w:left="215" w:hanging="215"/>
              <w:rPr>
                <w:rFonts w:eastAsia="Arial"/>
                <w:lang w:bidi="cs-CZ"/>
              </w:rPr>
            </w:pPr>
          </w:p>
          <w:p w14:paraId="15131FC5" w14:textId="77777777" w:rsidR="00DD5B5A" w:rsidRPr="008819AF" w:rsidRDefault="00DD5B5A" w:rsidP="0021052F">
            <w:pPr>
              <w:ind w:left="215" w:hanging="215"/>
              <w:rPr>
                <w:rFonts w:eastAsia="Arial"/>
                <w:lang w:bidi="cs-CZ"/>
              </w:rPr>
            </w:pPr>
          </w:p>
          <w:p w14:paraId="15131FC6" w14:textId="77777777" w:rsidR="00DD5B5A" w:rsidRPr="008819AF" w:rsidRDefault="00DD5B5A" w:rsidP="0021052F">
            <w:pPr>
              <w:ind w:left="215" w:hanging="215"/>
              <w:rPr>
                <w:rFonts w:eastAsia="Arial"/>
                <w:lang w:bidi="cs-CZ"/>
              </w:rPr>
            </w:pPr>
          </w:p>
          <w:p w14:paraId="15131FC7" w14:textId="77777777" w:rsidR="00DD5B5A" w:rsidRPr="008819AF" w:rsidRDefault="00DD5B5A" w:rsidP="0021052F">
            <w:pPr>
              <w:ind w:left="215" w:hanging="215"/>
              <w:rPr>
                <w:rFonts w:eastAsia="Arial"/>
                <w:lang w:bidi="cs-CZ"/>
              </w:rPr>
            </w:pPr>
          </w:p>
          <w:p w14:paraId="15131FC8" w14:textId="77777777" w:rsidR="00DD5B5A" w:rsidRPr="008819AF" w:rsidRDefault="00DD5B5A" w:rsidP="0021052F">
            <w:pPr>
              <w:ind w:left="215" w:hanging="215"/>
              <w:rPr>
                <w:rFonts w:eastAsia="Arial"/>
                <w:lang w:bidi="cs-CZ"/>
              </w:rPr>
            </w:pPr>
          </w:p>
          <w:p w14:paraId="15131FC9" w14:textId="77777777" w:rsidR="00DD5B5A" w:rsidRPr="008819AF" w:rsidRDefault="00DD5B5A" w:rsidP="0021052F">
            <w:pPr>
              <w:ind w:left="215" w:hanging="215"/>
              <w:rPr>
                <w:rFonts w:eastAsia="Arial"/>
                <w:lang w:bidi="cs-CZ"/>
              </w:rPr>
            </w:pPr>
          </w:p>
          <w:p w14:paraId="15131FCA" w14:textId="77777777" w:rsidR="00DD5B5A" w:rsidRPr="008819AF" w:rsidRDefault="00DD5B5A" w:rsidP="0021052F">
            <w:pPr>
              <w:ind w:left="215" w:hanging="215"/>
              <w:rPr>
                <w:rFonts w:eastAsia="Arial"/>
                <w:lang w:bidi="cs-CZ"/>
              </w:rPr>
            </w:pPr>
          </w:p>
          <w:p w14:paraId="15131FCB" w14:textId="77777777" w:rsidR="00DD5B5A" w:rsidRPr="008819AF" w:rsidRDefault="00DD5B5A" w:rsidP="0021052F">
            <w:pPr>
              <w:ind w:left="215" w:hanging="215"/>
              <w:rPr>
                <w:rFonts w:eastAsia="Arial"/>
                <w:lang w:bidi="cs-CZ"/>
              </w:rPr>
            </w:pPr>
          </w:p>
          <w:p w14:paraId="15131FCC" w14:textId="77777777" w:rsidR="00166B76" w:rsidRPr="008819AF" w:rsidRDefault="00166B76" w:rsidP="00166B76">
            <w:pPr>
              <w:ind w:left="215" w:hanging="215"/>
              <w:rPr>
                <w:rFonts w:eastAsia="Arial"/>
                <w:lang w:bidi="cs-CZ"/>
              </w:rPr>
            </w:pPr>
            <w:r w:rsidRPr="008819AF">
              <w:rPr>
                <w:rFonts w:eastAsia="Arial"/>
                <w:lang w:bidi="cs-CZ"/>
              </w:rPr>
              <w:t>Ú</w:t>
            </w:r>
          </w:p>
          <w:p w14:paraId="15131FCD" w14:textId="77777777" w:rsidR="007170C3" w:rsidRPr="008819AF" w:rsidRDefault="007170C3" w:rsidP="0021052F">
            <w:pPr>
              <w:ind w:left="215" w:hanging="215"/>
              <w:rPr>
                <w:rFonts w:eastAsia="Arial"/>
                <w:lang w:bidi="cs-CZ"/>
              </w:rPr>
            </w:pPr>
          </w:p>
          <w:p w14:paraId="15131FCE" w14:textId="77777777" w:rsidR="007170C3" w:rsidRPr="008819AF" w:rsidRDefault="007170C3" w:rsidP="0021052F">
            <w:pPr>
              <w:ind w:left="215" w:hanging="215"/>
              <w:rPr>
                <w:rFonts w:eastAsia="Arial"/>
                <w:lang w:bidi="cs-CZ"/>
              </w:rPr>
            </w:pPr>
          </w:p>
          <w:p w14:paraId="15131FCF" w14:textId="77777777" w:rsidR="007170C3" w:rsidRPr="008819AF" w:rsidRDefault="007170C3" w:rsidP="0021052F">
            <w:pPr>
              <w:ind w:left="215" w:hanging="215"/>
              <w:rPr>
                <w:rFonts w:eastAsia="Arial"/>
                <w:lang w:bidi="cs-CZ"/>
              </w:rPr>
            </w:pPr>
          </w:p>
          <w:p w14:paraId="15131FD0" w14:textId="77777777" w:rsidR="007170C3" w:rsidRPr="008819AF" w:rsidRDefault="007170C3" w:rsidP="0021052F">
            <w:pPr>
              <w:ind w:left="215" w:hanging="215"/>
              <w:rPr>
                <w:rFonts w:eastAsia="Arial"/>
                <w:lang w:bidi="cs-CZ"/>
              </w:rPr>
            </w:pPr>
          </w:p>
          <w:p w14:paraId="15131FD1" w14:textId="77777777" w:rsidR="007170C3" w:rsidRPr="008819AF" w:rsidRDefault="007170C3" w:rsidP="0021052F">
            <w:pPr>
              <w:ind w:left="215" w:hanging="215"/>
              <w:rPr>
                <w:rFonts w:eastAsia="Arial"/>
                <w:lang w:bidi="cs-CZ"/>
              </w:rPr>
            </w:pPr>
          </w:p>
          <w:p w14:paraId="15131FD2" w14:textId="77777777" w:rsidR="007170C3" w:rsidRPr="008819AF" w:rsidRDefault="007170C3" w:rsidP="0021052F">
            <w:pPr>
              <w:ind w:left="215" w:hanging="215"/>
              <w:rPr>
                <w:rFonts w:eastAsia="Arial"/>
                <w:lang w:bidi="cs-CZ"/>
              </w:rPr>
            </w:pPr>
          </w:p>
          <w:p w14:paraId="15131FD3" w14:textId="77777777" w:rsidR="007170C3" w:rsidRPr="008819AF" w:rsidRDefault="007170C3" w:rsidP="0021052F">
            <w:pPr>
              <w:ind w:left="215" w:hanging="215"/>
              <w:rPr>
                <w:rFonts w:eastAsia="Arial"/>
                <w:lang w:bidi="cs-CZ"/>
              </w:rPr>
            </w:pPr>
          </w:p>
          <w:p w14:paraId="15131FD4" w14:textId="77777777" w:rsidR="007170C3" w:rsidRPr="008819AF" w:rsidRDefault="006F0418" w:rsidP="0021052F">
            <w:pPr>
              <w:ind w:left="215" w:hanging="215"/>
              <w:rPr>
                <w:rFonts w:eastAsia="Arial"/>
                <w:lang w:bidi="cs-CZ"/>
              </w:rPr>
            </w:pPr>
            <w:r w:rsidRPr="008819AF">
              <w:rPr>
                <w:rFonts w:eastAsia="Arial"/>
                <w:lang w:bidi="cs-CZ"/>
              </w:rPr>
              <w:t>Ú</w:t>
            </w:r>
          </w:p>
          <w:p w14:paraId="15131FD5" w14:textId="77777777" w:rsidR="002019F6" w:rsidRPr="008819AF" w:rsidRDefault="002019F6" w:rsidP="0021052F">
            <w:pPr>
              <w:ind w:left="215" w:hanging="215"/>
              <w:rPr>
                <w:rFonts w:eastAsia="Arial"/>
                <w:lang w:bidi="cs-CZ"/>
              </w:rPr>
            </w:pPr>
          </w:p>
          <w:p w14:paraId="15131FD6" w14:textId="77777777" w:rsidR="002019F6" w:rsidRPr="008819AF" w:rsidRDefault="002019F6" w:rsidP="0021052F">
            <w:pPr>
              <w:ind w:left="215" w:hanging="215"/>
              <w:rPr>
                <w:rFonts w:eastAsia="Arial"/>
                <w:lang w:bidi="cs-CZ"/>
              </w:rPr>
            </w:pPr>
          </w:p>
          <w:p w14:paraId="15131FD7" w14:textId="77777777" w:rsidR="002019F6" w:rsidRPr="008819AF" w:rsidRDefault="002019F6" w:rsidP="0021052F">
            <w:pPr>
              <w:ind w:left="215" w:hanging="215"/>
              <w:rPr>
                <w:rFonts w:eastAsia="Arial"/>
                <w:lang w:bidi="cs-CZ"/>
              </w:rPr>
            </w:pPr>
          </w:p>
          <w:p w14:paraId="15131FD8" w14:textId="77777777" w:rsidR="002019F6" w:rsidRPr="008819AF" w:rsidRDefault="002019F6" w:rsidP="0021052F">
            <w:pPr>
              <w:ind w:left="215" w:hanging="215"/>
              <w:rPr>
                <w:rFonts w:eastAsia="Arial"/>
                <w:lang w:bidi="cs-CZ"/>
              </w:rPr>
            </w:pPr>
          </w:p>
          <w:p w14:paraId="15131FD9" w14:textId="77777777" w:rsidR="002019F6" w:rsidRPr="008819AF" w:rsidRDefault="002019F6" w:rsidP="0021052F">
            <w:pPr>
              <w:ind w:left="215" w:hanging="215"/>
              <w:rPr>
                <w:rFonts w:eastAsia="Arial"/>
                <w:lang w:bidi="cs-CZ"/>
              </w:rPr>
            </w:pPr>
          </w:p>
          <w:p w14:paraId="15131FDA" w14:textId="77777777" w:rsidR="00DD5B5A" w:rsidRPr="008819AF" w:rsidRDefault="00DD5B5A" w:rsidP="0021052F">
            <w:pPr>
              <w:ind w:left="215" w:hanging="215"/>
              <w:rPr>
                <w:rFonts w:eastAsia="Arial"/>
                <w:lang w:bidi="cs-CZ"/>
              </w:rPr>
            </w:pPr>
          </w:p>
          <w:p w14:paraId="15131FDB" w14:textId="77777777" w:rsidR="00DD5B5A" w:rsidRPr="008819AF" w:rsidRDefault="00DD5B5A" w:rsidP="0021052F">
            <w:pPr>
              <w:ind w:left="215" w:hanging="215"/>
              <w:rPr>
                <w:rFonts w:eastAsia="Arial"/>
                <w:lang w:bidi="cs-CZ"/>
              </w:rPr>
            </w:pPr>
          </w:p>
          <w:p w14:paraId="15131FDC" w14:textId="77777777" w:rsidR="00DD5B5A" w:rsidRPr="008819AF" w:rsidRDefault="00DD5B5A" w:rsidP="0021052F">
            <w:pPr>
              <w:ind w:left="215" w:hanging="215"/>
              <w:rPr>
                <w:rFonts w:eastAsia="Arial"/>
                <w:lang w:bidi="cs-CZ"/>
              </w:rPr>
            </w:pPr>
          </w:p>
          <w:p w14:paraId="15131FDD" w14:textId="77777777" w:rsidR="00DD5B5A" w:rsidRPr="008819AF" w:rsidRDefault="00DD5B5A" w:rsidP="0021052F">
            <w:pPr>
              <w:ind w:left="215" w:hanging="215"/>
              <w:rPr>
                <w:rFonts w:eastAsia="Arial"/>
                <w:lang w:bidi="cs-CZ"/>
              </w:rPr>
            </w:pPr>
          </w:p>
          <w:p w14:paraId="15131FDE" w14:textId="77777777" w:rsidR="00DD5B5A" w:rsidRPr="008819AF" w:rsidRDefault="00DD5B5A" w:rsidP="0021052F">
            <w:pPr>
              <w:ind w:left="215" w:hanging="215"/>
              <w:rPr>
                <w:rFonts w:eastAsia="Arial"/>
                <w:lang w:bidi="cs-CZ"/>
              </w:rPr>
            </w:pPr>
          </w:p>
          <w:p w14:paraId="15131FDF" w14:textId="77777777" w:rsidR="00DD5B5A" w:rsidRPr="008819AF" w:rsidRDefault="00DD5B5A" w:rsidP="0021052F">
            <w:pPr>
              <w:ind w:left="215" w:hanging="215"/>
              <w:rPr>
                <w:rFonts w:eastAsia="Arial"/>
                <w:lang w:bidi="cs-CZ"/>
              </w:rPr>
            </w:pPr>
          </w:p>
          <w:p w14:paraId="15131FE0" w14:textId="77777777" w:rsidR="00DD5B5A" w:rsidRPr="008819AF" w:rsidRDefault="00DD5B5A" w:rsidP="0021052F">
            <w:pPr>
              <w:ind w:left="215" w:hanging="215"/>
              <w:rPr>
                <w:rFonts w:eastAsia="Arial"/>
                <w:lang w:bidi="cs-CZ"/>
              </w:rPr>
            </w:pPr>
          </w:p>
          <w:p w14:paraId="15131FE1" w14:textId="77777777" w:rsidR="00DD5B5A" w:rsidRPr="008819AF" w:rsidRDefault="00DD5B5A" w:rsidP="0021052F">
            <w:pPr>
              <w:ind w:left="215" w:hanging="215"/>
              <w:rPr>
                <w:rFonts w:eastAsia="Arial"/>
                <w:lang w:bidi="cs-CZ"/>
              </w:rPr>
            </w:pPr>
          </w:p>
          <w:p w14:paraId="15131FE2" w14:textId="77777777" w:rsidR="002019F6" w:rsidRPr="008819AF" w:rsidRDefault="002019F6" w:rsidP="0021052F">
            <w:pPr>
              <w:ind w:left="215" w:hanging="215"/>
              <w:rPr>
                <w:rFonts w:eastAsia="Arial"/>
                <w:lang w:bidi="cs-CZ"/>
              </w:rPr>
            </w:pPr>
          </w:p>
          <w:p w14:paraId="15131FE3" w14:textId="77777777" w:rsidR="002019F6" w:rsidRPr="008819AF" w:rsidRDefault="00DD5B5A" w:rsidP="0021052F">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15131FE4" w14:textId="77777777" w:rsidR="007170C3" w:rsidRPr="008819AF" w:rsidRDefault="007170C3" w:rsidP="0021052F">
            <w:pPr>
              <w:ind w:left="215" w:hanging="215"/>
              <w:rPr>
                <w:rFonts w:eastAsia="Arial"/>
                <w:lang w:bidi="cs-CZ"/>
              </w:rPr>
            </w:pPr>
          </w:p>
        </w:tc>
      </w:tr>
      <w:tr w:rsidR="00F80158" w:rsidRPr="008819AF" w14:paraId="15131FF2" w14:textId="77777777" w:rsidTr="003E351D">
        <w:trPr>
          <w:trHeight w:val="500"/>
          <w:jc w:val="center"/>
        </w:trPr>
        <w:tc>
          <w:tcPr>
            <w:tcW w:w="483" w:type="dxa"/>
            <w:tcBorders>
              <w:top w:val="single" w:sz="4" w:space="0" w:color="000000"/>
              <w:left w:val="single" w:sz="6" w:space="0" w:color="000000"/>
              <w:bottom w:val="single" w:sz="4" w:space="0" w:color="000000"/>
              <w:right w:val="single" w:sz="6" w:space="0" w:color="000000"/>
            </w:tcBorders>
          </w:tcPr>
          <w:p w14:paraId="15131FE6" w14:textId="77777777" w:rsidR="007170C3" w:rsidRPr="008819AF" w:rsidRDefault="006F0418" w:rsidP="003E351D">
            <w:pPr>
              <w:ind w:right="-70"/>
              <w:rPr>
                <w:rFonts w:eastAsia="Arial"/>
                <w:lang w:bidi="cs-CZ"/>
              </w:rPr>
            </w:pPr>
            <w:r w:rsidRPr="008819AF">
              <w:rPr>
                <w:rFonts w:eastAsia="Arial"/>
                <w:lang w:bidi="cs-CZ"/>
              </w:rPr>
              <w:lastRenderedPageBreak/>
              <w:t>Č:34</w:t>
            </w:r>
          </w:p>
        </w:tc>
        <w:tc>
          <w:tcPr>
            <w:tcW w:w="6227" w:type="dxa"/>
            <w:gridSpan w:val="2"/>
            <w:tcBorders>
              <w:top w:val="single" w:sz="4" w:space="0" w:color="000000"/>
              <w:left w:val="single" w:sz="6" w:space="0" w:color="000000"/>
              <w:bottom w:val="single" w:sz="4" w:space="0" w:color="000000"/>
              <w:right w:val="single" w:sz="6" w:space="0" w:color="000000"/>
            </w:tcBorders>
          </w:tcPr>
          <w:p w14:paraId="15131FE7" w14:textId="77777777" w:rsidR="007170C3" w:rsidRPr="008819AF" w:rsidRDefault="006F0418" w:rsidP="0021052F">
            <w:pPr>
              <w:ind w:left="215" w:hanging="215"/>
              <w:rPr>
                <w:rFonts w:eastAsia="Arial"/>
              </w:rPr>
            </w:pPr>
            <w:r w:rsidRPr="008819AF">
              <w:rPr>
                <w:rFonts w:eastAsia="Arial"/>
              </w:rPr>
              <w:t>Článok 34</w:t>
            </w:r>
          </w:p>
          <w:p w14:paraId="15131FE8" w14:textId="77777777" w:rsidR="007170C3" w:rsidRPr="008819AF" w:rsidRDefault="006F0418" w:rsidP="0021052F">
            <w:pPr>
              <w:ind w:left="215" w:hanging="215"/>
              <w:rPr>
                <w:rFonts w:eastAsia="Arial"/>
              </w:rPr>
            </w:pPr>
            <w:r w:rsidRPr="008819AF">
              <w:rPr>
                <w:rFonts w:eastAsia="Arial"/>
              </w:rPr>
              <w:t>Malé izolované sústavy</w:t>
            </w:r>
          </w:p>
          <w:p w14:paraId="15131FE9" w14:textId="77777777" w:rsidR="007170C3" w:rsidRPr="008819AF" w:rsidRDefault="006F0418" w:rsidP="0021052F">
            <w:pPr>
              <w:ind w:left="215" w:hanging="215"/>
              <w:rPr>
                <w:rFonts w:eastAsia="Arial"/>
              </w:rPr>
            </w:pPr>
            <w:r w:rsidRPr="008819AF">
              <w:rPr>
                <w:rFonts w:eastAsia="Arial"/>
              </w:rPr>
              <w:t xml:space="preserve">1. Do 31. decembra 2019 spaľovacie zariadenia, ktoré sú k 6. januáru 2011 súčasťou malej izolovanej sústavy, môžu byť oslobodené od povinnosti dodržiavať emisné limity uvedené v článku 30 ods. 2 a prípadne stupne odsírenia uvedené v článku 31. Do 31. decembra 2019 sa dodržia aspoň </w:t>
            </w:r>
            <w:r w:rsidRPr="008819AF">
              <w:rPr>
                <w:rFonts w:eastAsia="Arial"/>
              </w:rPr>
              <w:lastRenderedPageBreak/>
              <w:t>emisné limity stanovené v povoleniach pre tieto spaľovacie zariadenia v súlade najmä s požiadavkami smerníc 2001/80/ES a 2008/1/ES.</w:t>
            </w:r>
          </w:p>
          <w:p w14:paraId="15131FEA" w14:textId="77777777" w:rsidR="007170C3" w:rsidRPr="008819AF" w:rsidRDefault="006F0418" w:rsidP="0021052F">
            <w:pPr>
              <w:ind w:left="215" w:hanging="215"/>
              <w:rPr>
                <w:rFonts w:eastAsia="Arial"/>
              </w:rPr>
            </w:pPr>
            <w:r w:rsidRPr="008819AF">
              <w:rPr>
                <w:rFonts w:eastAsia="Arial"/>
              </w:rPr>
              <w:t>2. Spaľovacie zariadenia s celkovým menovitým tepelným príkonom viac ako 500 MW spaľujúce tuhé palivá, ktorým sa prvé povolenie udelilo po 1. júli 1987, dodržiavajú emisné limity pre oxidy dusíka stanovené v prílohe V časť 1.</w:t>
            </w:r>
          </w:p>
          <w:p w14:paraId="15131FEB" w14:textId="77777777" w:rsidR="007170C3" w:rsidRPr="008819AF" w:rsidRDefault="006F0418" w:rsidP="0021052F">
            <w:pPr>
              <w:ind w:left="215" w:hanging="215"/>
              <w:rPr>
                <w:rFonts w:eastAsia="Arial"/>
              </w:rPr>
            </w:pPr>
            <w:r w:rsidRPr="008819AF">
              <w:rPr>
                <w:rFonts w:eastAsia="Arial"/>
              </w:rPr>
              <w:t>3. Ak sú na území členského štátu spaľovacie zariadenia, na ktoré sa uplatňuje táto kapitola a ktoré sú súčasťou malej izolovanej sústavy, pred 7. januárom 2013 predloží tento členský štát Komisii zoznam takýchto spaľovacích zariadení, celkovú ročnú energetickú spotrebu malej izolovanej sústavy a množstvo energie získanej prostredníctvom prepojenia s inými sústavami.</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FEC" w14:textId="77777777" w:rsidR="007170C3" w:rsidRPr="008819AF" w:rsidRDefault="006F0418" w:rsidP="0021052F">
            <w:pPr>
              <w:ind w:left="-70" w:right="-68" w:hanging="6"/>
              <w:jc w:val="center"/>
              <w:rPr>
                <w:rFonts w:eastAsia="Arial"/>
                <w:lang w:bidi="cs-CZ"/>
              </w:rPr>
            </w:pPr>
            <w:r w:rsidRPr="008819AF">
              <w:rPr>
                <w:rFonts w:eastAsia="Arial"/>
                <w:lang w:bidi="cs-CZ"/>
              </w:rPr>
              <w:lastRenderedPageBreak/>
              <w:t>n.a</w:t>
            </w:r>
          </w:p>
        </w:tc>
        <w:tc>
          <w:tcPr>
            <w:tcW w:w="543" w:type="dxa"/>
            <w:gridSpan w:val="2"/>
            <w:tcBorders>
              <w:top w:val="single" w:sz="4" w:space="0" w:color="000000"/>
              <w:left w:val="single" w:sz="6" w:space="0" w:color="000000"/>
              <w:bottom w:val="single" w:sz="4" w:space="0" w:color="000000"/>
              <w:right w:val="single" w:sz="6" w:space="0" w:color="000000"/>
            </w:tcBorders>
          </w:tcPr>
          <w:p w14:paraId="15131FED"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1FEE"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1FEF" w14:textId="77777777" w:rsidR="007170C3" w:rsidRPr="008819AF" w:rsidRDefault="007170C3" w:rsidP="00731F8B">
            <w:pPr>
              <w:pStyle w:val="BodyText22"/>
              <w:ind w:left="0" w:firstLine="0"/>
              <w:jc w:val="left"/>
              <w:rPr>
                <w:rFonts w:ascii="Times New Roman" w:hAnsi="Times New Roman" w:cs="Times New Roman"/>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15131FF0"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1FF1" w14:textId="77777777" w:rsidR="007170C3" w:rsidRPr="008819AF" w:rsidRDefault="007170C3" w:rsidP="0021052F">
            <w:pPr>
              <w:ind w:left="215" w:hanging="215"/>
              <w:rPr>
                <w:rFonts w:eastAsia="Arial"/>
                <w:lang w:bidi="cs-CZ"/>
              </w:rPr>
            </w:pPr>
          </w:p>
        </w:tc>
      </w:tr>
      <w:tr w:rsidR="00F80158" w:rsidRPr="008819AF" w14:paraId="1513208D" w14:textId="77777777" w:rsidTr="003E351D">
        <w:trPr>
          <w:trHeight w:val="525"/>
          <w:jc w:val="center"/>
        </w:trPr>
        <w:tc>
          <w:tcPr>
            <w:tcW w:w="483" w:type="dxa"/>
            <w:tcBorders>
              <w:top w:val="single" w:sz="4" w:space="0" w:color="000000"/>
              <w:left w:val="single" w:sz="6" w:space="0" w:color="000000"/>
              <w:bottom w:val="single" w:sz="4" w:space="0" w:color="000000"/>
              <w:right w:val="single" w:sz="6" w:space="0" w:color="000000"/>
            </w:tcBorders>
          </w:tcPr>
          <w:p w14:paraId="15131FF3" w14:textId="77777777" w:rsidR="007170C3" w:rsidRPr="008819AF" w:rsidRDefault="006F0418" w:rsidP="003E351D">
            <w:pPr>
              <w:ind w:right="-70"/>
              <w:rPr>
                <w:rFonts w:eastAsia="Arial"/>
                <w:lang w:bidi="cs-CZ"/>
              </w:rPr>
            </w:pPr>
            <w:r w:rsidRPr="008819AF">
              <w:rPr>
                <w:rFonts w:eastAsia="Arial"/>
                <w:lang w:bidi="cs-CZ"/>
              </w:rPr>
              <w:t>Č:35</w:t>
            </w:r>
          </w:p>
        </w:tc>
        <w:tc>
          <w:tcPr>
            <w:tcW w:w="6227" w:type="dxa"/>
            <w:gridSpan w:val="2"/>
            <w:tcBorders>
              <w:top w:val="single" w:sz="4" w:space="0" w:color="000000"/>
              <w:left w:val="single" w:sz="6" w:space="0" w:color="000000"/>
              <w:bottom w:val="single" w:sz="4" w:space="0" w:color="000000"/>
              <w:right w:val="single" w:sz="6" w:space="0" w:color="000000"/>
            </w:tcBorders>
          </w:tcPr>
          <w:p w14:paraId="15131FF4" w14:textId="77777777" w:rsidR="007170C3" w:rsidRPr="008819AF" w:rsidRDefault="006F0418" w:rsidP="0021052F">
            <w:pPr>
              <w:ind w:left="215" w:hanging="215"/>
              <w:rPr>
                <w:rFonts w:eastAsia="Arial"/>
              </w:rPr>
            </w:pPr>
            <w:r w:rsidRPr="008819AF">
              <w:rPr>
                <w:rFonts w:eastAsia="Arial"/>
              </w:rPr>
              <w:t>Článok 35</w:t>
            </w:r>
          </w:p>
          <w:p w14:paraId="15131FF5" w14:textId="77777777" w:rsidR="007170C3" w:rsidRPr="008819AF" w:rsidRDefault="006F0418" w:rsidP="0021052F">
            <w:pPr>
              <w:ind w:left="215" w:hanging="215"/>
              <w:rPr>
                <w:rFonts w:eastAsia="Arial"/>
              </w:rPr>
            </w:pPr>
            <w:r w:rsidRPr="008819AF">
              <w:rPr>
                <w:rFonts w:eastAsia="Arial"/>
              </w:rPr>
              <w:t>Miestne teplárne</w:t>
            </w:r>
          </w:p>
          <w:p w14:paraId="15131FF6" w14:textId="77777777" w:rsidR="007170C3" w:rsidRPr="008819AF" w:rsidRDefault="006F0418" w:rsidP="0021052F">
            <w:pPr>
              <w:ind w:left="215" w:hanging="215"/>
              <w:rPr>
                <w:rFonts w:eastAsia="Arial"/>
              </w:rPr>
            </w:pPr>
            <w:r w:rsidRPr="008819AF">
              <w:rPr>
                <w:rFonts w:eastAsia="Arial"/>
              </w:rPr>
              <w:t>1. Spaľovacie zariadenie môže byť do 31. decembra 2022 oslobodené od povinnosti dodržiavať emisné limity uvedené v článku 30 ods. 2 a stupne odsírenia uvedené v článku 31 za predpokladu, že sú splnené tieto podmienky:</w:t>
            </w:r>
          </w:p>
          <w:p w14:paraId="15131FF7" w14:textId="77777777" w:rsidR="007170C3" w:rsidRPr="008819AF" w:rsidRDefault="006F0418" w:rsidP="009C63CF">
            <w:pPr>
              <w:numPr>
                <w:ilvl w:val="0"/>
                <w:numId w:val="25"/>
              </w:numPr>
              <w:spacing w:after="120"/>
              <w:ind w:left="499" w:hanging="284"/>
              <w:rPr>
                <w:rFonts w:eastAsia="Arial"/>
              </w:rPr>
            </w:pPr>
            <w:r w:rsidRPr="008819AF">
              <w:rPr>
                <w:rFonts w:eastAsia="Arial"/>
              </w:rPr>
              <w:t>celkový menovitý tepelný príkon spaľovacieho zariadenia nepresahuje 200 MW;</w:t>
            </w:r>
          </w:p>
          <w:p w14:paraId="15131FF8" w14:textId="77777777" w:rsidR="007170C3" w:rsidRPr="008819AF" w:rsidRDefault="006F0418" w:rsidP="009C63CF">
            <w:pPr>
              <w:numPr>
                <w:ilvl w:val="0"/>
                <w:numId w:val="25"/>
              </w:numPr>
              <w:spacing w:after="120"/>
              <w:ind w:left="499" w:hanging="284"/>
              <w:rPr>
                <w:rFonts w:eastAsia="Arial"/>
              </w:rPr>
            </w:pPr>
            <w:r w:rsidRPr="008819AF">
              <w:rPr>
                <w:rFonts w:eastAsia="Arial"/>
              </w:rPr>
              <w:t>pre zariadenie bolo vydané prvé povolenie pred 27. novembrom 2002 alebo prevádzkovateľ tohto zariadenia podal úplnú žiadosť o povolenie pred týmto dátumom, za predpokladu, že zariadenie sa uviedlo do prevádzkovaní najneskôr 27. novembra 2003;</w:t>
            </w:r>
          </w:p>
          <w:p w14:paraId="15131FF9" w14:textId="77777777" w:rsidR="007170C3" w:rsidRPr="008819AF" w:rsidRDefault="006F0418" w:rsidP="009C63CF">
            <w:pPr>
              <w:numPr>
                <w:ilvl w:val="0"/>
                <w:numId w:val="25"/>
              </w:numPr>
              <w:spacing w:after="120"/>
              <w:ind w:left="499" w:hanging="284"/>
              <w:rPr>
                <w:rFonts w:eastAsia="Arial"/>
              </w:rPr>
            </w:pPr>
            <w:r w:rsidRPr="008819AF">
              <w:rPr>
                <w:rFonts w:eastAsia="Arial"/>
              </w:rPr>
              <w:t>ako plávajúci priemer za päť rokov sa minimálne 50 % výroby využiteľného tepla v zariadení zavedie vo forme pary alebo horúcej vody do verejnej siete na diaľkové vykurovanie; a</w:t>
            </w:r>
          </w:p>
          <w:p w14:paraId="15131FFA" w14:textId="77777777" w:rsidR="007170C3" w:rsidRPr="008819AF" w:rsidRDefault="006F0418" w:rsidP="009C63CF">
            <w:pPr>
              <w:numPr>
                <w:ilvl w:val="0"/>
                <w:numId w:val="25"/>
              </w:numPr>
              <w:spacing w:after="120"/>
              <w:ind w:left="499" w:hanging="284"/>
              <w:rPr>
                <w:rFonts w:eastAsia="Arial"/>
              </w:rPr>
            </w:pPr>
            <w:r w:rsidRPr="008819AF">
              <w:rPr>
                <w:rFonts w:eastAsia="Arial"/>
              </w:rPr>
              <w:t>emisné limity oxidu siričitého, oxidov dusíka a prachu stanovené v povolení zariadenia k 31. decembru 2015 najmä v súlade s požiadavkami smerníc 2001/80/ES a 2008/1/ES sa minimálne dodržiavajú do 31. decembra 2022.</w:t>
            </w:r>
          </w:p>
          <w:p w14:paraId="15131FFB" w14:textId="77777777" w:rsidR="00E26019" w:rsidRPr="008819AF" w:rsidRDefault="00E26019" w:rsidP="00E26019">
            <w:pPr>
              <w:spacing w:after="120"/>
              <w:rPr>
                <w:rFonts w:eastAsia="Arial"/>
              </w:rPr>
            </w:pPr>
          </w:p>
          <w:p w14:paraId="15131FFC" w14:textId="77777777" w:rsidR="00E26019" w:rsidRPr="008819AF" w:rsidRDefault="00E26019" w:rsidP="00E26019">
            <w:pPr>
              <w:spacing w:after="120"/>
              <w:rPr>
                <w:rFonts w:eastAsia="Arial"/>
              </w:rPr>
            </w:pPr>
          </w:p>
          <w:p w14:paraId="15131FFD" w14:textId="77777777" w:rsidR="007170C3" w:rsidRPr="008819AF" w:rsidRDefault="006F0418" w:rsidP="0021052F">
            <w:pPr>
              <w:ind w:left="215" w:hanging="215"/>
              <w:rPr>
                <w:rFonts w:eastAsia="Arial"/>
              </w:rPr>
            </w:pPr>
            <w:r w:rsidRPr="008819AF">
              <w:rPr>
                <w:rFonts w:eastAsia="Arial"/>
              </w:rPr>
              <w:t xml:space="preserve">2. Každý členský štát najneskôr 1. januára 2016 oznámi Komisii zoznam všetkých spaľovacích zariadení, na ktoré sa vzťahuje odsek 1 vrátane ich celkového menovitého tepelného príkonu, druhov používaného paliva a uplatniteľných emisných limitov pre oxid siričitý, oxidy dusíka a prach. </w:t>
            </w:r>
            <w:r w:rsidRPr="008819AF">
              <w:rPr>
                <w:rFonts w:eastAsia="Arial"/>
              </w:rPr>
              <w:lastRenderedPageBreak/>
              <w:t>Okrem toho členské štáty za každé spaľovacie zariadenie, na ktoré sa uplatňuje odsek 1, počas obdobia uvedeného v danom odseku informujú každoročne Komisiu o podiele výroby využiteľného tepla každého zariadenia, ktoré sa dodalo vo forme pary alebo horúcej vody do verejnej siete na diaľkové vykurovanie, vyjadrenom ako plávajúci priemer za predchádzajúcich päť rokov.</w:t>
            </w:r>
          </w:p>
          <w:p w14:paraId="15131FFE" w14:textId="77777777" w:rsidR="007170C3" w:rsidRPr="008819AF" w:rsidRDefault="007170C3" w:rsidP="0021052F">
            <w:pPr>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1FFF" w14:textId="77777777" w:rsidR="007170C3" w:rsidRPr="008819AF" w:rsidRDefault="007170C3" w:rsidP="0021052F">
            <w:pPr>
              <w:ind w:left="-70" w:right="-68" w:hanging="6"/>
              <w:jc w:val="center"/>
              <w:rPr>
                <w:rFonts w:eastAsia="Arial"/>
                <w:lang w:bidi="cs-CZ"/>
              </w:rPr>
            </w:pPr>
          </w:p>
          <w:p w14:paraId="15132000"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2001" w14:textId="77777777" w:rsidR="007170C3" w:rsidRPr="008819AF" w:rsidRDefault="007170C3" w:rsidP="0021052F">
            <w:pPr>
              <w:ind w:left="-70" w:right="-68" w:hanging="6"/>
              <w:jc w:val="center"/>
              <w:rPr>
                <w:rFonts w:eastAsia="Arial"/>
                <w:lang w:bidi="cs-CZ"/>
              </w:rPr>
            </w:pPr>
          </w:p>
          <w:p w14:paraId="15132002" w14:textId="77777777" w:rsidR="007170C3" w:rsidRPr="008819AF" w:rsidRDefault="007170C3" w:rsidP="0021052F">
            <w:pPr>
              <w:ind w:left="-70" w:right="-68" w:hanging="6"/>
              <w:jc w:val="center"/>
              <w:rPr>
                <w:rFonts w:eastAsia="Arial"/>
                <w:lang w:bidi="cs-CZ"/>
              </w:rPr>
            </w:pPr>
          </w:p>
          <w:p w14:paraId="15132003" w14:textId="77777777" w:rsidR="007170C3" w:rsidRPr="008819AF" w:rsidRDefault="007170C3" w:rsidP="0021052F">
            <w:pPr>
              <w:ind w:left="-70" w:right="-68" w:hanging="6"/>
              <w:jc w:val="center"/>
              <w:rPr>
                <w:rFonts w:eastAsia="Arial"/>
                <w:lang w:bidi="cs-CZ"/>
              </w:rPr>
            </w:pPr>
          </w:p>
          <w:p w14:paraId="15132004" w14:textId="77777777" w:rsidR="007170C3" w:rsidRPr="008819AF" w:rsidRDefault="007170C3" w:rsidP="0021052F">
            <w:pPr>
              <w:ind w:left="-70" w:right="-68" w:hanging="6"/>
              <w:jc w:val="center"/>
              <w:rPr>
                <w:rFonts w:eastAsia="Arial"/>
                <w:lang w:bidi="cs-CZ"/>
              </w:rPr>
            </w:pPr>
          </w:p>
          <w:p w14:paraId="15132005" w14:textId="77777777" w:rsidR="007170C3" w:rsidRPr="008819AF" w:rsidRDefault="007170C3" w:rsidP="0021052F">
            <w:pPr>
              <w:ind w:left="-70" w:right="-68" w:hanging="6"/>
              <w:jc w:val="center"/>
              <w:rPr>
                <w:rFonts w:eastAsia="Arial"/>
                <w:lang w:bidi="cs-CZ"/>
              </w:rPr>
            </w:pPr>
          </w:p>
          <w:p w14:paraId="15132006" w14:textId="77777777" w:rsidR="006060FC" w:rsidRPr="008819AF" w:rsidRDefault="006060FC" w:rsidP="0021052F">
            <w:pPr>
              <w:ind w:left="-70" w:right="-68" w:hanging="6"/>
              <w:jc w:val="center"/>
              <w:rPr>
                <w:rFonts w:eastAsia="Arial"/>
                <w:lang w:bidi="cs-CZ"/>
              </w:rPr>
            </w:pPr>
          </w:p>
          <w:p w14:paraId="15132007" w14:textId="77777777" w:rsidR="007170C3" w:rsidRPr="008819AF" w:rsidRDefault="008B0D28" w:rsidP="0021052F">
            <w:pPr>
              <w:ind w:left="-70" w:right="-68" w:hanging="6"/>
              <w:jc w:val="center"/>
              <w:rPr>
                <w:rFonts w:eastAsia="Arial"/>
                <w:lang w:bidi="cs-CZ"/>
              </w:rPr>
            </w:pPr>
            <w:r w:rsidRPr="008819AF">
              <w:rPr>
                <w:rFonts w:eastAsia="Arial"/>
                <w:lang w:bidi="cs-CZ"/>
              </w:rPr>
              <w:t>N</w:t>
            </w:r>
          </w:p>
          <w:p w14:paraId="15132008" w14:textId="77777777" w:rsidR="007170C3" w:rsidRPr="008819AF" w:rsidRDefault="007170C3" w:rsidP="0021052F">
            <w:pPr>
              <w:ind w:left="-70" w:right="-68" w:hanging="6"/>
              <w:jc w:val="center"/>
              <w:rPr>
                <w:rFonts w:eastAsia="Arial"/>
                <w:lang w:bidi="cs-CZ"/>
              </w:rPr>
            </w:pPr>
          </w:p>
          <w:p w14:paraId="15132009" w14:textId="77777777" w:rsidR="007170C3" w:rsidRPr="008819AF" w:rsidRDefault="007170C3" w:rsidP="0021052F">
            <w:pPr>
              <w:ind w:left="-70" w:right="-68" w:hanging="6"/>
              <w:jc w:val="center"/>
              <w:rPr>
                <w:rFonts w:eastAsia="Arial"/>
                <w:lang w:bidi="cs-CZ"/>
              </w:rPr>
            </w:pPr>
          </w:p>
          <w:p w14:paraId="1513200A" w14:textId="77777777" w:rsidR="007170C3" w:rsidRPr="008819AF" w:rsidRDefault="007170C3" w:rsidP="0021052F">
            <w:pPr>
              <w:ind w:left="-70" w:right="-68" w:hanging="6"/>
              <w:jc w:val="center"/>
              <w:rPr>
                <w:rFonts w:eastAsia="Arial"/>
                <w:lang w:bidi="cs-CZ"/>
              </w:rPr>
            </w:pPr>
          </w:p>
          <w:p w14:paraId="1513200B" w14:textId="77777777" w:rsidR="007170C3" w:rsidRPr="008819AF" w:rsidRDefault="007170C3" w:rsidP="0021052F">
            <w:pPr>
              <w:ind w:left="-70" w:right="-68" w:hanging="6"/>
              <w:jc w:val="center"/>
              <w:rPr>
                <w:rFonts w:eastAsia="Arial"/>
                <w:lang w:bidi="cs-CZ"/>
              </w:rPr>
            </w:pPr>
          </w:p>
          <w:p w14:paraId="1513200C" w14:textId="77777777" w:rsidR="007170C3" w:rsidRPr="008819AF" w:rsidRDefault="007170C3" w:rsidP="0021052F">
            <w:pPr>
              <w:ind w:left="-70" w:right="-68" w:hanging="6"/>
              <w:jc w:val="center"/>
              <w:rPr>
                <w:rFonts w:eastAsia="Arial"/>
                <w:lang w:bidi="cs-CZ"/>
              </w:rPr>
            </w:pPr>
          </w:p>
          <w:p w14:paraId="1513200D" w14:textId="77777777" w:rsidR="007170C3" w:rsidRPr="008819AF" w:rsidRDefault="007170C3" w:rsidP="0021052F">
            <w:pPr>
              <w:ind w:left="-70" w:right="-68" w:hanging="6"/>
              <w:jc w:val="center"/>
              <w:rPr>
                <w:rFonts w:eastAsia="Arial"/>
                <w:lang w:bidi="cs-CZ"/>
              </w:rPr>
            </w:pPr>
          </w:p>
          <w:p w14:paraId="1513200E" w14:textId="77777777" w:rsidR="007170C3" w:rsidRPr="008819AF" w:rsidRDefault="007170C3" w:rsidP="0021052F">
            <w:pPr>
              <w:ind w:left="-70" w:right="-68" w:hanging="6"/>
              <w:jc w:val="center"/>
              <w:rPr>
                <w:rFonts w:eastAsia="Arial"/>
                <w:lang w:bidi="cs-CZ"/>
              </w:rPr>
            </w:pPr>
          </w:p>
          <w:p w14:paraId="1513200F" w14:textId="77777777" w:rsidR="007170C3" w:rsidRPr="008819AF" w:rsidRDefault="007170C3" w:rsidP="0021052F">
            <w:pPr>
              <w:ind w:left="-70" w:right="-68" w:hanging="6"/>
              <w:jc w:val="center"/>
              <w:rPr>
                <w:rFonts w:eastAsia="Arial"/>
                <w:lang w:bidi="cs-CZ"/>
              </w:rPr>
            </w:pPr>
          </w:p>
          <w:p w14:paraId="15132010" w14:textId="77777777" w:rsidR="007170C3" w:rsidRPr="008819AF" w:rsidRDefault="007170C3" w:rsidP="0021052F">
            <w:pPr>
              <w:ind w:left="-70" w:right="-68" w:hanging="6"/>
              <w:jc w:val="center"/>
              <w:rPr>
                <w:rFonts w:eastAsia="Arial"/>
                <w:lang w:bidi="cs-CZ"/>
              </w:rPr>
            </w:pPr>
          </w:p>
          <w:p w14:paraId="15132011" w14:textId="77777777" w:rsidR="007170C3" w:rsidRPr="008819AF" w:rsidRDefault="007170C3" w:rsidP="0021052F">
            <w:pPr>
              <w:ind w:left="-70" w:right="-68" w:hanging="6"/>
              <w:jc w:val="center"/>
              <w:rPr>
                <w:rFonts w:eastAsia="Arial"/>
                <w:lang w:bidi="cs-CZ"/>
              </w:rPr>
            </w:pPr>
          </w:p>
          <w:p w14:paraId="15132012" w14:textId="77777777" w:rsidR="00FF3979" w:rsidRPr="008819AF" w:rsidRDefault="00FF3979" w:rsidP="0021052F">
            <w:pPr>
              <w:ind w:left="-70" w:right="-68" w:hanging="6"/>
              <w:jc w:val="center"/>
              <w:rPr>
                <w:rFonts w:eastAsia="Arial"/>
                <w:lang w:bidi="cs-CZ"/>
              </w:rPr>
            </w:pPr>
          </w:p>
          <w:p w14:paraId="15132013" w14:textId="77777777" w:rsidR="00FF3979" w:rsidRPr="008819AF" w:rsidRDefault="00FF3979" w:rsidP="0021052F">
            <w:pPr>
              <w:ind w:left="-70" w:right="-68" w:hanging="6"/>
              <w:jc w:val="center"/>
              <w:rPr>
                <w:rFonts w:eastAsia="Arial"/>
                <w:lang w:bidi="cs-CZ"/>
              </w:rPr>
            </w:pPr>
          </w:p>
          <w:p w14:paraId="15132014" w14:textId="77777777" w:rsidR="00FF3979" w:rsidRPr="008819AF" w:rsidRDefault="00FF3979" w:rsidP="0021052F">
            <w:pPr>
              <w:ind w:left="-70" w:right="-68" w:hanging="6"/>
              <w:jc w:val="center"/>
              <w:rPr>
                <w:rFonts w:eastAsia="Arial"/>
                <w:lang w:bidi="cs-CZ"/>
              </w:rPr>
            </w:pPr>
          </w:p>
          <w:p w14:paraId="15132015" w14:textId="77777777" w:rsidR="00E26019" w:rsidRPr="008819AF" w:rsidRDefault="00E26019" w:rsidP="0021052F">
            <w:pPr>
              <w:ind w:left="-70" w:right="-68" w:hanging="6"/>
              <w:jc w:val="center"/>
              <w:rPr>
                <w:rFonts w:eastAsia="Arial"/>
                <w:lang w:bidi="cs-CZ"/>
              </w:rPr>
            </w:pPr>
          </w:p>
          <w:p w14:paraId="15132016" w14:textId="77777777" w:rsidR="00E26019" w:rsidRPr="008819AF" w:rsidRDefault="00E26019" w:rsidP="0021052F">
            <w:pPr>
              <w:ind w:left="-70" w:right="-68" w:hanging="6"/>
              <w:jc w:val="center"/>
              <w:rPr>
                <w:rFonts w:eastAsia="Arial"/>
                <w:lang w:bidi="cs-CZ"/>
              </w:rPr>
            </w:pPr>
          </w:p>
          <w:p w14:paraId="15132017" w14:textId="77777777" w:rsidR="00E26019" w:rsidRPr="008819AF" w:rsidRDefault="00E26019" w:rsidP="0021052F">
            <w:pPr>
              <w:ind w:left="-70" w:right="-68" w:hanging="6"/>
              <w:jc w:val="center"/>
              <w:rPr>
                <w:rFonts w:eastAsia="Arial"/>
                <w:lang w:bidi="cs-CZ"/>
              </w:rPr>
            </w:pPr>
          </w:p>
          <w:p w14:paraId="15132018"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2019" w14:textId="77777777" w:rsidR="007809D0" w:rsidRPr="008819AF" w:rsidRDefault="007809D0" w:rsidP="0021052F">
            <w:pPr>
              <w:ind w:left="-70" w:right="-68" w:hanging="6"/>
              <w:jc w:val="center"/>
              <w:rPr>
                <w:rFonts w:eastAsia="Arial"/>
                <w:lang w:bidi="cs-CZ"/>
              </w:rPr>
            </w:pPr>
          </w:p>
          <w:p w14:paraId="1513201A" w14:textId="77777777" w:rsidR="007809D0" w:rsidRPr="008819AF" w:rsidRDefault="007809D0" w:rsidP="0021052F">
            <w:pPr>
              <w:ind w:left="-70" w:right="-68" w:hanging="6"/>
              <w:jc w:val="center"/>
              <w:rPr>
                <w:rFonts w:eastAsia="Arial"/>
                <w:lang w:bidi="cs-CZ"/>
              </w:rPr>
            </w:pPr>
          </w:p>
          <w:p w14:paraId="1513201B" w14:textId="77777777" w:rsidR="007809D0" w:rsidRPr="008819AF" w:rsidRDefault="007809D0" w:rsidP="0021052F">
            <w:pPr>
              <w:ind w:left="-70" w:right="-68" w:hanging="6"/>
              <w:jc w:val="center"/>
              <w:rPr>
                <w:rFonts w:eastAsia="Arial"/>
                <w:lang w:bidi="cs-CZ"/>
              </w:rPr>
            </w:pPr>
          </w:p>
          <w:p w14:paraId="1513201C" w14:textId="77777777" w:rsidR="007809D0" w:rsidRPr="008819AF" w:rsidRDefault="007809D0" w:rsidP="0021052F">
            <w:pPr>
              <w:ind w:left="-70" w:right="-68" w:hanging="6"/>
              <w:jc w:val="center"/>
              <w:rPr>
                <w:rFonts w:eastAsia="Arial"/>
                <w:lang w:bidi="cs-CZ"/>
              </w:rPr>
            </w:pPr>
          </w:p>
          <w:p w14:paraId="1513201D" w14:textId="77777777" w:rsidR="007809D0" w:rsidRPr="008819AF" w:rsidRDefault="007809D0" w:rsidP="0021052F">
            <w:pPr>
              <w:ind w:left="-70" w:right="-68" w:hanging="6"/>
              <w:jc w:val="center"/>
              <w:rPr>
                <w:rFonts w:eastAsia="Arial"/>
                <w:lang w:bidi="cs-CZ"/>
              </w:rPr>
            </w:pPr>
          </w:p>
          <w:p w14:paraId="1513201E" w14:textId="77777777" w:rsidR="007809D0" w:rsidRPr="008819AF" w:rsidRDefault="007809D0" w:rsidP="0021052F">
            <w:pPr>
              <w:ind w:left="-70" w:right="-68" w:hanging="6"/>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01F" w14:textId="77777777" w:rsidR="007170C3" w:rsidRPr="008819AF" w:rsidRDefault="007170C3" w:rsidP="0021052F">
            <w:pPr>
              <w:jc w:val="center"/>
              <w:rPr>
                <w:rFonts w:eastAsia="Arial"/>
                <w:lang w:bidi="cs-CZ"/>
              </w:rPr>
            </w:pPr>
          </w:p>
          <w:p w14:paraId="15132020" w14:textId="77777777" w:rsidR="007170C3" w:rsidRPr="008819AF" w:rsidRDefault="00A32C9B" w:rsidP="0021052F">
            <w:pPr>
              <w:jc w:val="center"/>
              <w:rPr>
                <w:rFonts w:eastAsia="Arial"/>
                <w:lang w:bidi="cs-CZ"/>
              </w:rPr>
            </w:pPr>
            <w:r w:rsidRPr="008819AF">
              <w:rPr>
                <w:rFonts w:eastAsia="Arial"/>
                <w:lang w:bidi="cs-CZ"/>
              </w:rPr>
              <w:t>NZ</w:t>
            </w:r>
          </w:p>
          <w:p w14:paraId="15132021" w14:textId="77777777" w:rsidR="007170C3" w:rsidRPr="008819AF" w:rsidRDefault="007170C3" w:rsidP="0021052F">
            <w:pPr>
              <w:jc w:val="center"/>
              <w:rPr>
                <w:rFonts w:eastAsia="Arial"/>
                <w:lang w:bidi="cs-CZ"/>
              </w:rPr>
            </w:pPr>
          </w:p>
          <w:p w14:paraId="15132022" w14:textId="77777777" w:rsidR="007170C3" w:rsidRPr="008819AF" w:rsidRDefault="007170C3" w:rsidP="0021052F">
            <w:pPr>
              <w:jc w:val="center"/>
              <w:rPr>
                <w:rFonts w:eastAsia="Arial"/>
                <w:lang w:bidi="cs-CZ"/>
              </w:rPr>
            </w:pPr>
          </w:p>
          <w:p w14:paraId="15132023" w14:textId="77777777" w:rsidR="007170C3" w:rsidRPr="008819AF" w:rsidRDefault="007170C3" w:rsidP="0021052F">
            <w:pPr>
              <w:jc w:val="center"/>
              <w:rPr>
                <w:rFonts w:eastAsia="Arial"/>
                <w:lang w:bidi="cs-CZ"/>
              </w:rPr>
            </w:pPr>
          </w:p>
          <w:p w14:paraId="15132024" w14:textId="77777777" w:rsidR="007170C3" w:rsidRPr="008819AF" w:rsidRDefault="007170C3" w:rsidP="0021052F">
            <w:pPr>
              <w:jc w:val="center"/>
              <w:rPr>
                <w:rFonts w:eastAsia="Arial"/>
                <w:lang w:bidi="cs-CZ"/>
              </w:rPr>
            </w:pPr>
          </w:p>
          <w:p w14:paraId="15132025" w14:textId="77777777" w:rsidR="007809D0" w:rsidRPr="008819AF" w:rsidRDefault="007809D0" w:rsidP="0021052F">
            <w:pPr>
              <w:jc w:val="center"/>
              <w:rPr>
                <w:rFonts w:eastAsia="Arial"/>
                <w:lang w:bidi="cs-CZ"/>
              </w:rPr>
            </w:pPr>
          </w:p>
          <w:p w14:paraId="15132026" w14:textId="77777777" w:rsidR="006060FC" w:rsidRPr="008819AF" w:rsidRDefault="006060FC" w:rsidP="0021052F">
            <w:pPr>
              <w:jc w:val="center"/>
              <w:rPr>
                <w:rFonts w:eastAsia="Arial"/>
                <w:lang w:bidi="cs-CZ"/>
              </w:rPr>
            </w:pPr>
          </w:p>
          <w:p w14:paraId="15132027" w14:textId="77777777" w:rsidR="007170C3" w:rsidRPr="008819AF" w:rsidRDefault="006F0418" w:rsidP="0021052F">
            <w:pPr>
              <w:jc w:val="center"/>
              <w:rPr>
                <w:rFonts w:eastAsia="Arial"/>
                <w:lang w:bidi="cs-CZ"/>
              </w:rPr>
            </w:pPr>
            <w:r w:rsidRPr="008819AF">
              <w:rPr>
                <w:rFonts w:eastAsia="Arial"/>
                <w:lang w:bidi="cs-CZ"/>
              </w:rPr>
              <w:t>NV2</w:t>
            </w:r>
          </w:p>
          <w:p w14:paraId="15132028" w14:textId="77777777" w:rsidR="007170C3" w:rsidRPr="008819AF" w:rsidRDefault="007170C3" w:rsidP="0021052F">
            <w:pPr>
              <w:jc w:val="center"/>
              <w:rPr>
                <w:rFonts w:eastAsia="Arial"/>
                <w:lang w:bidi="cs-CZ"/>
              </w:rPr>
            </w:pPr>
          </w:p>
          <w:p w14:paraId="15132029" w14:textId="77777777" w:rsidR="007170C3" w:rsidRPr="008819AF" w:rsidRDefault="007170C3" w:rsidP="0021052F">
            <w:pPr>
              <w:jc w:val="center"/>
              <w:rPr>
                <w:rFonts w:eastAsia="Arial"/>
                <w:lang w:bidi="cs-CZ"/>
              </w:rPr>
            </w:pPr>
          </w:p>
          <w:p w14:paraId="1513202A" w14:textId="77777777" w:rsidR="007170C3" w:rsidRPr="008819AF" w:rsidRDefault="007170C3" w:rsidP="0021052F">
            <w:pPr>
              <w:jc w:val="center"/>
              <w:rPr>
                <w:rFonts w:eastAsia="Arial"/>
                <w:lang w:bidi="cs-CZ"/>
              </w:rPr>
            </w:pPr>
          </w:p>
          <w:p w14:paraId="1513202B" w14:textId="77777777" w:rsidR="007170C3" w:rsidRPr="008819AF" w:rsidRDefault="007170C3" w:rsidP="0021052F">
            <w:pPr>
              <w:jc w:val="center"/>
              <w:rPr>
                <w:rFonts w:eastAsia="Arial"/>
                <w:lang w:bidi="cs-CZ"/>
              </w:rPr>
            </w:pPr>
          </w:p>
          <w:p w14:paraId="1513202C" w14:textId="77777777" w:rsidR="007170C3" w:rsidRPr="008819AF" w:rsidRDefault="007170C3" w:rsidP="0021052F">
            <w:pPr>
              <w:jc w:val="center"/>
              <w:rPr>
                <w:rFonts w:eastAsia="Arial"/>
                <w:lang w:bidi="cs-CZ"/>
              </w:rPr>
            </w:pPr>
          </w:p>
          <w:p w14:paraId="1513202D" w14:textId="77777777" w:rsidR="007170C3" w:rsidRPr="008819AF" w:rsidRDefault="007170C3" w:rsidP="0021052F">
            <w:pPr>
              <w:jc w:val="center"/>
              <w:rPr>
                <w:rFonts w:eastAsia="Arial"/>
                <w:lang w:bidi="cs-CZ"/>
              </w:rPr>
            </w:pPr>
          </w:p>
          <w:p w14:paraId="1513202E" w14:textId="77777777" w:rsidR="007170C3" w:rsidRPr="008819AF" w:rsidRDefault="007170C3" w:rsidP="0021052F">
            <w:pPr>
              <w:jc w:val="center"/>
              <w:rPr>
                <w:rFonts w:eastAsia="Arial"/>
                <w:lang w:bidi="cs-CZ"/>
              </w:rPr>
            </w:pPr>
          </w:p>
          <w:p w14:paraId="1513202F" w14:textId="77777777" w:rsidR="007170C3" w:rsidRPr="008819AF" w:rsidRDefault="007170C3" w:rsidP="0021052F">
            <w:pPr>
              <w:jc w:val="center"/>
              <w:rPr>
                <w:rFonts w:eastAsia="Arial"/>
                <w:lang w:bidi="cs-CZ"/>
              </w:rPr>
            </w:pPr>
          </w:p>
          <w:p w14:paraId="15132030" w14:textId="77777777" w:rsidR="007170C3" w:rsidRPr="008819AF" w:rsidRDefault="007170C3" w:rsidP="0021052F">
            <w:pPr>
              <w:jc w:val="center"/>
              <w:rPr>
                <w:rFonts w:eastAsia="Arial"/>
                <w:lang w:bidi="cs-CZ"/>
              </w:rPr>
            </w:pPr>
          </w:p>
          <w:p w14:paraId="15132031" w14:textId="77777777" w:rsidR="007170C3" w:rsidRPr="008819AF" w:rsidRDefault="007170C3" w:rsidP="0021052F">
            <w:pPr>
              <w:jc w:val="center"/>
              <w:rPr>
                <w:rFonts w:eastAsia="Arial"/>
                <w:lang w:bidi="cs-CZ"/>
              </w:rPr>
            </w:pPr>
          </w:p>
          <w:p w14:paraId="15132032" w14:textId="77777777" w:rsidR="007170C3" w:rsidRPr="008819AF" w:rsidRDefault="007170C3" w:rsidP="0021052F">
            <w:pPr>
              <w:jc w:val="center"/>
              <w:rPr>
                <w:rFonts w:eastAsia="Arial"/>
                <w:lang w:bidi="cs-CZ"/>
              </w:rPr>
            </w:pPr>
          </w:p>
          <w:p w14:paraId="15132033" w14:textId="77777777" w:rsidR="007170C3" w:rsidRPr="008819AF" w:rsidRDefault="007170C3" w:rsidP="0021052F">
            <w:pPr>
              <w:jc w:val="center"/>
              <w:rPr>
                <w:rFonts w:eastAsia="Arial"/>
                <w:lang w:bidi="cs-CZ"/>
              </w:rPr>
            </w:pPr>
          </w:p>
          <w:p w14:paraId="15132034" w14:textId="77777777" w:rsidR="007170C3" w:rsidRPr="008819AF" w:rsidRDefault="007170C3" w:rsidP="0021052F">
            <w:pPr>
              <w:jc w:val="center"/>
              <w:rPr>
                <w:rFonts w:eastAsia="Arial"/>
                <w:lang w:bidi="cs-CZ"/>
              </w:rPr>
            </w:pPr>
          </w:p>
          <w:p w14:paraId="15132035" w14:textId="77777777" w:rsidR="00E26019" w:rsidRPr="008819AF" w:rsidRDefault="00E26019" w:rsidP="0021052F">
            <w:pPr>
              <w:jc w:val="center"/>
              <w:rPr>
                <w:rFonts w:eastAsia="Arial"/>
                <w:lang w:bidi="cs-CZ"/>
              </w:rPr>
            </w:pPr>
          </w:p>
          <w:p w14:paraId="15132036" w14:textId="77777777" w:rsidR="00E26019" w:rsidRPr="008819AF" w:rsidRDefault="00E26019" w:rsidP="0021052F">
            <w:pPr>
              <w:jc w:val="center"/>
              <w:rPr>
                <w:rFonts w:eastAsia="Arial"/>
                <w:lang w:bidi="cs-CZ"/>
              </w:rPr>
            </w:pPr>
          </w:p>
          <w:p w14:paraId="15132037" w14:textId="77777777" w:rsidR="00E26019" w:rsidRPr="008819AF" w:rsidRDefault="00E26019" w:rsidP="0021052F">
            <w:pPr>
              <w:jc w:val="center"/>
              <w:rPr>
                <w:rFonts w:eastAsia="Arial"/>
                <w:lang w:bidi="cs-CZ"/>
              </w:rPr>
            </w:pPr>
          </w:p>
          <w:p w14:paraId="15132038" w14:textId="77777777" w:rsidR="007170C3" w:rsidRPr="008819AF" w:rsidRDefault="00A32C9B" w:rsidP="0021052F">
            <w:pPr>
              <w:jc w:val="center"/>
              <w:rPr>
                <w:rFonts w:eastAsia="Arial"/>
                <w:lang w:bidi="cs-CZ"/>
              </w:rPr>
            </w:pPr>
            <w:r w:rsidRPr="008819AF">
              <w:rPr>
                <w:rFonts w:eastAsia="Arial"/>
                <w:lang w:bidi="cs-CZ"/>
              </w:rPr>
              <w:t>NZ</w:t>
            </w:r>
          </w:p>
          <w:p w14:paraId="15132039" w14:textId="77777777" w:rsidR="007170C3" w:rsidRPr="008819AF" w:rsidRDefault="007170C3" w:rsidP="0021052F">
            <w:pPr>
              <w:jc w:val="center"/>
              <w:rPr>
                <w:rFonts w:eastAsia="Arial"/>
                <w:lang w:bidi="cs-CZ"/>
              </w:rPr>
            </w:pPr>
          </w:p>
          <w:p w14:paraId="1513203A" w14:textId="77777777" w:rsidR="007170C3" w:rsidRPr="008819AF" w:rsidRDefault="007170C3" w:rsidP="0021052F">
            <w:pPr>
              <w:jc w:val="center"/>
              <w:rPr>
                <w:rFonts w:eastAsia="Arial"/>
                <w:lang w:bidi="cs-CZ"/>
              </w:rPr>
            </w:pPr>
          </w:p>
          <w:p w14:paraId="1513203B" w14:textId="77777777" w:rsidR="007170C3" w:rsidRPr="008819AF" w:rsidRDefault="007170C3" w:rsidP="0021052F">
            <w:pPr>
              <w:jc w:val="center"/>
              <w:rPr>
                <w:rFonts w:eastAsia="Arial"/>
                <w:lang w:bidi="cs-CZ"/>
              </w:rPr>
            </w:pPr>
          </w:p>
          <w:p w14:paraId="1513203C" w14:textId="77777777" w:rsidR="007170C3" w:rsidRPr="008819AF" w:rsidRDefault="007170C3" w:rsidP="0021052F">
            <w:pPr>
              <w:jc w:val="center"/>
              <w:rPr>
                <w:rFonts w:eastAsia="Arial"/>
                <w:lang w:bidi="cs-CZ"/>
              </w:rPr>
            </w:pPr>
          </w:p>
          <w:p w14:paraId="1513203D" w14:textId="77777777" w:rsidR="007170C3" w:rsidRPr="008819AF" w:rsidRDefault="007170C3" w:rsidP="0021052F">
            <w:pPr>
              <w:jc w:val="center"/>
              <w:rPr>
                <w:rFonts w:eastAsia="Arial"/>
                <w:lang w:bidi="cs-CZ"/>
              </w:rPr>
            </w:pPr>
          </w:p>
          <w:p w14:paraId="1513203E" w14:textId="77777777" w:rsidR="007170C3" w:rsidRPr="008819AF" w:rsidRDefault="00FF3979" w:rsidP="00887A90">
            <w:pPr>
              <w:jc w:val="center"/>
              <w:rPr>
                <w:rFonts w:eastAsia="Arial"/>
                <w:lang w:bidi="cs-CZ"/>
              </w:rPr>
            </w:pPr>
            <w:r w:rsidRPr="008819AF">
              <w:rPr>
                <w:rFonts w:eastAsia="Arial"/>
                <w:lang w:bidi="cs-CZ"/>
              </w:rPr>
              <w:t>NV4</w:t>
            </w:r>
          </w:p>
        </w:tc>
        <w:tc>
          <w:tcPr>
            <w:tcW w:w="543" w:type="dxa"/>
            <w:tcBorders>
              <w:top w:val="single" w:sz="4" w:space="0" w:color="000000"/>
              <w:left w:val="single" w:sz="6" w:space="0" w:color="000000"/>
              <w:bottom w:val="single" w:sz="4" w:space="0" w:color="000000"/>
              <w:right w:val="single" w:sz="6" w:space="0" w:color="000000"/>
            </w:tcBorders>
          </w:tcPr>
          <w:p w14:paraId="1513203F"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40"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31</w:t>
            </w:r>
          </w:p>
          <w:p w14:paraId="15132041"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 6</w:t>
            </w:r>
          </w:p>
          <w:p w14:paraId="15132042"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 a)</w:t>
            </w:r>
          </w:p>
          <w:p w14:paraId="15132043"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44"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45"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46" w14:textId="77777777" w:rsidR="006060FC" w:rsidRPr="008819AF" w:rsidRDefault="006060FC" w:rsidP="0021052F">
            <w:pPr>
              <w:pStyle w:val="BodyText21"/>
              <w:spacing w:before="0" w:line="240" w:lineRule="auto"/>
              <w:ind w:left="0" w:right="-70" w:firstLine="0"/>
              <w:jc w:val="center"/>
              <w:rPr>
                <w:rFonts w:ascii="Times New Roman" w:hAnsi="Times New Roman" w:cs="Times New Roman"/>
              </w:rPr>
            </w:pPr>
          </w:p>
          <w:p w14:paraId="15132047" w14:textId="77777777" w:rsidR="007170C3" w:rsidRPr="008819AF" w:rsidRDefault="001E37DC"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§12</w:t>
            </w:r>
          </w:p>
          <w:p w14:paraId="15132048" w14:textId="77777777" w:rsidR="001E37DC" w:rsidRPr="008819AF" w:rsidRDefault="001E37DC"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O1</w:t>
            </w:r>
            <w:r w:rsidR="00E26019" w:rsidRPr="008819AF">
              <w:rPr>
                <w:rFonts w:ascii="Times New Roman" w:hAnsi="Times New Roman" w:cs="Times New Roman"/>
              </w:rPr>
              <w:t>,</w:t>
            </w:r>
          </w:p>
          <w:p w14:paraId="15132049" w14:textId="77777777" w:rsidR="00E26019" w:rsidRPr="008819AF" w:rsidRDefault="00E26019"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O2</w:t>
            </w:r>
          </w:p>
          <w:p w14:paraId="1513204A"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4B"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4C"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4D"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4E"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4F"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50"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51"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52"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53"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54"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55"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56" w14:textId="77777777" w:rsidR="00E26019" w:rsidRPr="008819AF" w:rsidRDefault="00E26019" w:rsidP="0021052F">
            <w:pPr>
              <w:pStyle w:val="BodyText21"/>
              <w:spacing w:before="0" w:line="240" w:lineRule="auto"/>
              <w:ind w:left="0" w:right="-70" w:firstLine="0"/>
              <w:jc w:val="center"/>
              <w:rPr>
                <w:rFonts w:ascii="Times New Roman" w:hAnsi="Times New Roman" w:cs="Times New Roman"/>
              </w:rPr>
            </w:pPr>
          </w:p>
          <w:p w14:paraId="15132057" w14:textId="77777777" w:rsidR="00E26019" w:rsidRPr="008819AF" w:rsidRDefault="00E26019" w:rsidP="0021052F">
            <w:pPr>
              <w:pStyle w:val="BodyText21"/>
              <w:spacing w:before="0" w:line="240" w:lineRule="auto"/>
              <w:ind w:left="0" w:right="-70" w:firstLine="0"/>
              <w:jc w:val="center"/>
              <w:rPr>
                <w:rFonts w:ascii="Times New Roman" w:hAnsi="Times New Roman" w:cs="Times New Roman"/>
              </w:rPr>
            </w:pPr>
          </w:p>
          <w:p w14:paraId="15132058"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xml:space="preserve">§ 40   </w:t>
            </w:r>
          </w:p>
          <w:p w14:paraId="15132059" w14:textId="77777777" w:rsidR="007170C3" w:rsidRPr="008819AF" w:rsidRDefault="006F0418" w:rsidP="0021052F">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 d)</w:t>
            </w:r>
          </w:p>
          <w:p w14:paraId="1513205A"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5B"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5C"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p w14:paraId="1513205D" w14:textId="77777777" w:rsidR="00AE35FA" w:rsidRPr="008819AF" w:rsidRDefault="00AE35FA" w:rsidP="0021052F">
            <w:pPr>
              <w:pStyle w:val="BodyText21"/>
              <w:spacing w:before="0" w:line="240" w:lineRule="auto"/>
              <w:ind w:left="0" w:right="-70" w:firstLine="0"/>
              <w:jc w:val="center"/>
              <w:rPr>
                <w:rFonts w:ascii="Times New Roman" w:hAnsi="Times New Roman" w:cs="Times New Roman"/>
              </w:rPr>
            </w:pPr>
          </w:p>
          <w:p w14:paraId="1513205E" w14:textId="77777777" w:rsidR="007170C3" w:rsidRPr="008819AF" w:rsidRDefault="00FF3979" w:rsidP="00887A90">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Pr. č.1</w:t>
            </w:r>
          </w:p>
        </w:tc>
        <w:tc>
          <w:tcPr>
            <w:tcW w:w="5664" w:type="dxa"/>
            <w:gridSpan w:val="5"/>
            <w:tcBorders>
              <w:top w:val="single" w:sz="4" w:space="0" w:color="000000"/>
              <w:left w:val="single" w:sz="6" w:space="0" w:color="000000"/>
              <w:bottom w:val="single" w:sz="4" w:space="0" w:color="000000"/>
              <w:right w:val="single" w:sz="6" w:space="0" w:color="000000"/>
            </w:tcBorders>
          </w:tcPr>
          <w:p w14:paraId="1513205F" w14:textId="77777777" w:rsidR="007170C3" w:rsidRPr="008819AF" w:rsidRDefault="007170C3" w:rsidP="0021052F">
            <w:pPr>
              <w:pStyle w:val="Nadpis1"/>
              <w:spacing w:before="0"/>
              <w:ind w:left="72" w:firstLine="0"/>
              <w:jc w:val="left"/>
              <w:rPr>
                <w:rFonts w:ascii="Times New Roman" w:hAnsi="Times New Roman" w:cs="Times New Roman"/>
                <w:b w:val="0"/>
                <w:bCs w:val="0"/>
                <w:sz w:val="20"/>
                <w:szCs w:val="20"/>
                <w:lang w:bidi="sk-SK"/>
              </w:rPr>
            </w:pPr>
          </w:p>
          <w:p w14:paraId="15132060" w14:textId="77777777" w:rsidR="003C7E78" w:rsidRPr="008819AF" w:rsidRDefault="003C7E78" w:rsidP="003C7E78">
            <w:pPr>
              <w:pStyle w:val="Bdet"/>
              <w:ind w:left="24" w:hanging="24"/>
              <w:rPr>
                <w:rFonts w:ascii="Times New Roman" w:eastAsia="Arial" w:hAnsi="Times New Roman" w:cs="Times New Roman"/>
                <w:sz w:val="20"/>
                <w:szCs w:val="20"/>
              </w:rPr>
            </w:pPr>
            <w:r w:rsidRPr="008819AF">
              <w:rPr>
                <w:rFonts w:ascii="Times New Roman" w:eastAsia="Arial" w:hAnsi="Times New Roman" w:cs="Times New Roman"/>
                <w:sz w:val="20"/>
                <w:szCs w:val="20"/>
              </w:rPr>
              <w:t>Veľké spaľovacie zariadenia uplatňujúce prechodné opatrenia schválené v platnom integrovanom povolení podľa doterajšieho zákona zostávajú v platnosti, ak ide o</w:t>
            </w:r>
          </w:p>
          <w:p w14:paraId="15132061" w14:textId="77777777" w:rsidR="007170C3" w:rsidRPr="008819AF" w:rsidRDefault="003C7E78" w:rsidP="003C7E78">
            <w:pPr>
              <w:pStyle w:val="Zkladntext"/>
              <w:ind w:left="74" w:firstLine="0"/>
              <w:jc w:val="left"/>
              <w:rPr>
                <w:rFonts w:ascii="Times New Roman" w:hAnsi="Times New Roman" w:cs="Times New Roman"/>
                <w:sz w:val="20"/>
                <w:szCs w:val="20"/>
              </w:rPr>
            </w:pPr>
            <w:r w:rsidRPr="008819AF">
              <w:rPr>
                <w:rFonts w:ascii="Times New Roman" w:hAnsi="Times New Roman" w:cs="Times New Roman"/>
                <w:sz w:val="20"/>
                <w:szCs w:val="20"/>
              </w:rPr>
              <w:t>a)</w:t>
            </w:r>
            <w:r w:rsidRPr="008819AF">
              <w:rPr>
                <w:rFonts w:ascii="Times New Roman" w:hAnsi="Times New Roman" w:cs="Times New Roman"/>
                <w:sz w:val="20"/>
                <w:szCs w:val="20"/>
              </w:rPr>
              <w:tab/>
              <w:t xml:space="preserve">osobitný režim pre zariadenia centrálneho zásobovania teplom, do 31. decembra 2022, </w:t>
            </w:r>
          </w:p>
          <w:p w14:paraId="15132062" w14:textId="77777777" w:rsidR="003C7E78" w:rsidRPr="008819AF" w:rsidRDefault="003C7E78" w:rsidP="001E37DC">
            <w:pPr>
              <w:pStyle w:val="Hlavika"/>
              <w:ind w:left="72" w:hanging="1"/>
              <w:rPr>
                <w:rFonts w:ascii="Times New Roman" w:hAnsi="Times New Roman" w:cs="Times New Roman"/>
              </w:rPr>
            </w:pPr>
          </w:p>
          <w:p w14:paraId="15132063" w14:textId="77777777" w:rsidR="001E37DC" w:rsidRPr="008819AF" w:rsidRDefault="001E37DC" w:rsidP="001E37DC">
            <w:pPr>
              <w:pStyle w:val="Hlavika"/>
              <w:ind w:left="72" w:hanging="1"/>
              <w:rPr>
                <w:rFonts w:ascii="Times New Roman" w:hAnsi="Times New Roman" w:cs="Times New Roman"/>
              </w:rPr>
            </w:pPr>
            <w:r w:rsidRPr="008819AF">
              <w:rPr>
                <w:rFonts w:ascii="Times New Roman" w:hAnsi="Times New Roman" w:cs="Times New Roman"/>
              </w:rPr>
              <w:t>(1) Pre veľké spaľovacie zariadenie, ktoré podľa dátumu vydania prvého stavebného povolenia je zaradené ako jestvujúce zariadenie Z1 alebo Z2, možno od 1. januára 2016 do 31. decembra 2022 na základe písomnej žiadosti prevádzkovateľa predloženej povoľujúcemu orgánu do 30. júna 2015 využívať osobitný režim pre zariadenia centrálneho zásobovania teplom, ak celkový menovitý tepelný príkon zariadenia nepresahuje 200 MW.</w:t>
            </w:r>
          </w:p>
          <w:p w14:paraId="15132064" w14:textId="77777777" w:rsidR="00E26019" w:rsidRPr="008819AF" w:rsidRDefault="00E26019" w:rsidP="00E26019">
            <w:pPr>
              <w:pStyle w:val="Hlavika"/>
              <w:ind w:left="72" w:hanging="1"/>
              <w:rPr>
                <w:rFonts w:ascii="Times New Roman" w:hAnsi="Times New Roman" w:cs="Times New Roman"/>
              </w:rPr>
            </w:pPr>
            <w:r w:rsidRPr="008819AF">
              <w:rPr>
                <w:rFonts w:ascii="Times New Roman" w:hAnsi="Times New Roman" w:cs="Times New Roman"/>
              </w:rPr>
              <w:t>(2)  Počas osobitného režimu pre zariadenia centrálneho zásobovania teplom</w:t>
            </w:r>
          </w:p>
          <w:p w14:paraId="15132065" w14:textId="77777777" w:rsidR="00E26019" w:rsidRPr="008819AF" w:rsidRDefault="00E26019" w:rsidP="00E26019">
            <w:pPr>
              <w:pStyle w:val="Hlavika"/>
              <w:ind w:left="72" w:hanging="1"/>
              <w:rPr>
                <w:rFonts w:ascii="Times New Roman" w:hAnsi="Times New Roman" w:cs="Times New Roman"/>
              </w:rPr>
            </w:pPr>
            <w:r w:rsidRPr="008819AF">
              <w:rPr>
                <w:rFonts w:ascii="Times New Roman" w:hAnsi="Times New Roman" w:cs="Times New Roman"/>
              </w:rPr>
              <w:t>a) najmenej 50 % z výroby využiteľného tepla vyjadreného ako plávajúci päťročný priemer sa zo spaľovacieho zariadenia odvádza ako para alebo horúca voda do verejnej siete na diaľkové vykurovanie,</w:t>
            </w:r>
          </w:p>
          <w:p w14:paraId="15132066" w14:textId="77777777" w:rsidR="00E26019" w:rsidRPr="008819AF" w:rsidRDefault="00E26019" w:rsidP="00E26019">
            <w:pPr>
              <w:pStyle w:val="Hlavika"/>
              <w:ind w:left="72" w:hanging="1"/>
              <w:rPr>
                <w:rFonts w:ascii="Times New Roman" w:hAnsi="Times New Roman" w:cs="Times New Roman"/>
              </w:rPr>
            </w:pPr>
            <w:r w:rsidRPr="008819AF">
              <w:rPr>
                <w:rFonts w:ascii="Times New Roman" w:hAnsi="Times New Roman" w:cs="Times New Roman"/>
              </w:rPr>
              <w:t>b) platia emisné limity určené pre dané spaľovacie zariadenie v integrovanom povolení platné k 31.decembru 2015, ktoré boli určené podľa doterajších predpisov.</w:t>
            </w:r>
          </w:p>
          <w:p w14:paraId="15132067" w14:textId="77777777" w:rsidR="007170C3" w:rsidRPr="008819AF" w:rsidRDefault="007170C3" w:rsidP="0021052F">
            <w:pPr>
              <w:rPr>
                <w:rFonts w:eastAsia="Arial"/>
              </w:rPr>
            </w:pPr>
          </w:p>
          <w:p w14:paraId="15132068" w14:textId="77777777" w:rsidR="007170C3" w:rsidRPr="008819AF" w:rsidRDefault="006F0418" w:rsidP="0021052F">
            <w:pPr>
              <w:pStyle w:val="Nra"/>
              <w:ind w:left="72"/>
              <w:rPr>
                <w:rFonts w:ascii="Times New Roman" w:eastAsia="Arial" w:hAnsi="Times New Roman" w:cs="Times New Roman"/>
              </w:rPr>
            </w:pPr>
            <w:r w:rsidRPr="008819AF">
              <w:rPr>
                <w:rFonts w:ascii="Times New Roman" w:eastAsia="Arial" w:hAnsi="Times New Roman" w:cs="Times New Roman"/>
              </w:rPr>
              <w:t>Ministerstvo</w:t>
            </w:r>
          </w:p>
          <w:p w14:paraId="15132069" w14:textId="77777777" w:rsidR="007170C3" w:rsidRPr="008819AF" w:rsidRDefault="00F00758" w:rsidP="0021052F">
            <w:pPr>
              <w:pStyle w:val="Nra"/>
              <w:ind w:left="72"/>
              <w:rPr>
                <w:rFonts w:ascii="Times New Roman" w:eastAsia="Arial" w:hAnsi="Times New Roman" w:cs="Times New Roman"/>
              </w:rPr>
            </w:pPr>
            <w:r w:rsidRPr="008819AF">
              <w:rPr>
                <w:rFonts w:ascii="Times New Roman" w:eastAsia="Arial" w:hAnsi="Times New Roman" w:cs="Times New Roman"/>
              </w:rPr>
              <w:t xml:space="preserve">d) je vo vzťahu ku Komisii notifikačným orgánom, sprístupňuje a podáva Komisii ustanovené informácie a správy vo veciach ochrany ovzdušia a v ustanovených lehotách a rozsahu ustanovenom </w:t>
            </w:r>
            <w:r w:rsidRPr="008819AF">
              <w:rPr>
                <w:rFonts w:ascii="Times New Roman" w:eastAsia="Arial" w:hAnsi="Times New Roman" w:cs="Times New Roman"/>
              </w:rPr>
              <w:lastRenderedPageBreak/>
              <w:t>vykonávacím predpisom podľa § 62 písm. n),</w:t>
            </w:r>
          </w:p>
          <w:p w14:paraId="1513206A" w14:textId="77777777" w:rsidR="007170C3" w:rsidRPr="008819AF" w:rsidRDefault="007170C3" w:rsidP="0021052F">
            <w:pPr>
              <w:ind w:left="72"/>
              <w:rPr>
                <w:rFonts w:eastAsia="Arial"/>
              </w:rPr>
            </w:pPr>
          </w:p>
          <w:p w14:paraId="1513206B" w14:textId="77777777" w:rsidR="00FF3979" w:rsidRPr="008819AF" w:rsidRDefault="00FF3979" w:rsidP="0021052F">
            <w:pPr>
              <w:ind w:left="72"/>
              <w:rPr>
                <w:rFonts w:eastAsia="Arial"/>
              </w:rPr>
            </w:pPr>
            <w:r w:rsidRPr="008819AF">
              <w:rPr>
                <w:rFonts w:eastAsia="Arial"/>
              </w:rPr>
              <w:t>3. VEĽKÉ SPAĽOVACIE ZARIADENIA podľa § 20  ods. 6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152"/>
              <w:gridCol w:w="3118"/>
              <w:gridCol w:w="1264"/>
            </w:tblGrid>
            <w:tr w:rsidR="00F80158" w:rsidRPr="008819AF" w14:paraId="15132071" w14:textId="77777777" w:rsidTr="00E26019">
              <w:trPr>
                <w:jc w:val="center"/>
              </w:trPr>
              <w:tc>
                <w:tcPr>
                  <w:tcW w:w="115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206C" w14:textId="77777777" w:rsidR="00E26019" w:rsidRPr="008819AF" w:rsidRDefault="00FF3979" w:rsidP="00E26019">
                  <w:pPr>
                    <w:ind w:right="-12"/>
                    <w:rPr>
                      <w:rFonts w:eastAsia="Arial"/>
                      <w:sz w:val="16"/>
                      <w:szCs w:val="16"/>
                    </w:rPr>
                  </w:pPr>
                  <w:r w:rsidRPr="008819AF">
                    <w:rPr>
                      <w:rFonts w:eastAsia="Arial"/>
                      <w:sz w:val="16"/>
                      <w:szCs w:val="16"/>
                    </w:rPr>
                    <w:t>Správa</w:t>
                  </w:r>
                  <w:r w:rsidR="00E26019" w:rsidRPr="008819AF">
                    <w:rPr>
                      <w:rFonts w:eastAsia="Arial"/>
                      <w:sz w:val="16"/>
                      <w:szCs w:val="16"/>
                    </w:rPr>
                    <w:t xml:space="preserve"> </w:t>
                  </w:r>
                  <w:r w:rsidRPr="008819AF">
                    <w:rPr>
                      <w:rFonts w:eastAsia="Arial"/>
                      <w:sz w:val="16"/>
                      <w:szCs w:val="16"/>
                    </w:rPr>
                    <w:t>o</w:t>
                  </w:r>
                  <w:r w:rsidR="00E26019" w:rsidRPr="008819AF">
                    <w:rPr>
                      <w:rFonts w:eastAsia="Arial"/>
                      <w:sz w:val="16"/>
                      <w:szCs w:val="16"/>
                    </w:rPr>
                    <w:t> </w:t>
                  </w:r>
                  <w:r w:rsidRPr="008819AF">
                    <w:rPr>
                      <w:rFonts w:eastAsia="Arial"/>
                      <w:sz w:val="16"/>
                      <w:szCs w:val="16"/>
                    </w:rPr>
                    <w:t>veľkých</w:t>
                  </w:r>
                  <w:r w:rsidR="00E26019" w:rsidRPr="008819AF">
                    <w:rPr>
                      <w:rFonts w:eastAsia="Arial"/>
                      <w:sz w:val="16"/>
                      <w:szCs w:val="16"/>
                    </w:rPr>
                    <w:t xml:space="preserve"> </w:t>
                  </w:r>
                  <w:r w:rsidRPr="008819AF">
                    <w:rPr>
                      <w:rFonts w:eastAsia="Arial"/>
                      <w:sz w:val="16"/>
                      <w:szCs w:val="16"/>
                    </w:rPr>
                    <w:t>spaľovacích</w:t>
                  </w:r>
                </w:p>
                <w:p w14:paraId="1513206D" w14:textId="77777777" w:rsidR="00FF3979" w:rsidRPr="008819AF" w:rsidRDefault="00FF3979" w:rsidP="00E26019">
                  <w:pPr>
                    <w:ind w:right="-12"/>
                    <w:rPr>
                      <w:rFonts w:eastAsia="Arial"/>
                      <w:sz w:val="16"/>
                      <w:szCs w:val="16"/>
                    </w:rPr>
                  </w:pPr>
                  <w:r w:rsidRPr="008819AF">
                    <w:rPr>
                      <w:rFonts w:eastAsia="Arial"/>
                      <w:sz w:val="16"/>
                      <w:szCs w:val="16"/>
                    </w:rPr>
                    <w:t>zariadeniach</w:t>
                  </w:r>
                </w:p>
              </w:tc>
              <w:tc>
                <w:tcPr>
                  <w:tcW w:w="311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206E" w14:textId="77777777" w:rsidR="00FF3979" w:rsidRPr="008819AF" w:rsidRDefault="00FF3979" w:rsidP="0021052F">
                  <w:pPr>
                    <w:ind w:right="-12"/>
                    <w:rPr>
                      <w:rFonts w:eastAsia="Arial"/>
                      <w:sz w:val="16"/>
                      <w:szCs w:val="16"/>
                    </w:rPr>
                  </w:pPr>
                  <w:r w:rsidRPr="008819AF">
                    <w:rPr>
                      <w:rFonts w:eastAsia="Arial"/>
                      <w:sz w:val="16"/>
                      <w:szCs w:val="16"/>
                    </w:rPr>
                    <w:t>i) podiel výroby využiteľného tepla zo zariadení zaradených do osobitného režimu CZT podľa § 31 ods. 6 písm. a) zákona, ktoré sa dodalo vo forme pary alebo teplej vody do verejnej siete na diaľkové vykurovanie, vyjadrený ako plávajúci päťročný priemer,</w:t>
                  </w:r>
                </w:p>
              </w:tc>
              <w:tc>
                <w:tcPr>
                  <w:tcW w:w="126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206F" w14:textId="77777777" w:rsidR="00E26019" w:rsidRPr="008819AF" w:rsidRDefault="00FF3979" w:rsidP="0021052F">
                  <w:pPr>
                    <w:ind w:right="-12"/>
                    <w:rPr>
                      <w:rFonts w:eastAsia="Arial"/>
                      <w:sz w:val="16"/>
                      <w:szCs w:val="16"/>
                    </w:rPr>
                  </w:pPr>
                  <w:r w:rsidRPr="008819AF">
                    <w:rPr>
                      <w:rFonts w:eastAsia="Arial"/>
                      <w:sz w:val="16"/>
                      <w:szCs w:val="16"/>
                    </w:rPr>
                    <w:t>Každoročne/</w:t>
                  </w:r>
                </w:p>
                <w:p w14:paraId="15132070" w14:textId="77777777" w:rsidR="00FF3979" w:rsidRPr="008819AF" w:rsidRDefault="00FF3979" w:rsidP="0021052F">
                  <w:pPr>
                    <w:ind w:right="-12"/>
                    <w:rPr>
                      <w:rFonts w:eastAsia="Arial"/>
                      <w:sz w:val="16"/>
                      <w:szCs w:val="16"/>
                    </w:rPr>
                  </w:pPr>
                  <w:r w:rsidRPr="008819AF">
                    <w:rPr>
                      <w:rFonts w:eastAsia="Arial"/>
                      <w:sz w:val="16"/>
                      <w:szCs w:val="16"/>
                    </w:rPr>
                    <w:t>do 30. novembra</w:t>
                  </w:r>
                </w:p>
              </w:tc>
            </w:tr>
          </w:tbl>
          <w:p w14:paraId="15132072" w14:textId="77777777" w:rsidR="007170C3" w:rsidRPr="008819AF" w:rsidRDefault="007170C3" w:rsidP="0021052F">
            <w:pPr>
              <w:rPr>
                <w:rFonts w:eastAsia="Arial"/>
              </w:rPr>
            </w:pPr>
          </w:p>
        </w:tc>
        <w:tc>
          <w:tcPr>
            <w:tcW w:w="429" w:type="dxa"/>
            <w:tcBorders>
              <w:top w:val="single" w:sz="4" w:space="0" w:color="000000"/>
              <w:left w:val="single" w:sz="6" w:space="0" w:color="000000"/>
              <w:bottom w:val="single" w:sz="4" w:space="0" w:color="000000"/>
              <w:right w:val="single" w:sz="6" w:space="0" w:color="000000"/>
            </w:tcBorders>
          </w:tcPr>
          <w:p w14:paraId="15132073" w14:textId="77777777" w:rsidR="007170C3" w:rsidRPr="008819AF" w:rsidRDefault="007170C3" w:rsidP="0021052F">
            <w:pPr>
              <w:ind w:left="215" w:hanging="215"/>
              <w:rPr>
                <w:rFonts w:eastAsia="Arial"/>
                <w:lang w:bidi="cs-CZ"/>
              </w:rPr>
            </w:pPr>
          </w:p>
          <w:p w14:paraId="15132074" w14:textId="77777777" w:rsidR="007170C3" w:rsidRPr="008819AF" w:rsidRDefault="006F0418" w:rsidP="0021052F">
            <w:pPr>
              <w:ind w:left="215" w:hanging="215"/>
              <w:rPr>
                <w:rFonts w:eastAsia="Arial"/>
                <w:lang w:bidi="cs-CZ"/>
              </w:rPr>
            </w:pPr>
            <w:r w:rsidRPr="008819AF">
              <w:rPr>
                <w:rFonts w:eastAsia="Arial"/>
                <w:lang w:bidi="cs-CZ"/>
              </w:rPr>
              <w:t>Ú</w:t>
            </w:r>
          </w:p>
          <w:p w14:paraId="15132075" w14:textId="77777777" w:rsidR="007170C3" w:rsidRPr="008819AF" w:rsidRDefault="007170C3" w:rsidP="0021052F">
            <w:pPr>
              <w:ind w:left="215" w:hanging="215"/>
              <w:rPr>
                <w:rFonts w:eastAsia="Arial"/>
                <w:lang w:bidi="cs-CZ"/>
              </w:rPr>
            </w:pPr>
          </w:p>
          <w:p w14:paraId="15132076" w14:textId="77777777" w:rsidR="007170C3" w:rsidRPr="008819AF" w:rsidRDefault="007170C3" w:rsidP="0021052F">
            <w:pPr>
              <w:ind w:left="215" w:hanging="215"/>
              <w:rPr>
                <w:rFonts w:eastAsia="Arial"/>
                <w:lang w:bidi="cs-CZ"/>
              </w:rPr>
            </w:pPr>
          </w:p>
          <w:p w14:paraId="15132077" w14:textId="77777777" w:rsidR="007170C3" w:rsidRPr="008819AF" w:rsidRDefault="007170C3" w:rsidP="0021052F">
            <w:pPr>
              <w:ind w:left="215" w:hanging="215"/>
              <w:rPr>
                <w:rFonts w:eastAsia="Arial"/>
                <w:lang w:bidi="cs-CZ"/>
              </w:rPr>
            </w:pPr>
          </w:p>
          <w:p w14:paraId="15132078" w14:textId="77777777" w:rsidR="007170C3" w:rsidRPr="008819AF" w:rsidRDefault="007170C3" w:rsidP="0021052F">
            <w:pPr>
              <w:ind w:left="215" w:hanging="215"/>
              <w:rPr>
                <w:rFonts w:eastAsia="Arial"/>
                <w:lang w:bidi="cs-CZ"/>
              </w:rPr>
            </w:pPr>
          </w:p>
          <w:p w14:paraId="15132079" w14:textId="77777777" w:rsidR="007170C3" w:rsidRPr="008819AF" w:rsidRDefault="007170C3" w:rsidP="0021052F">
            <w:pPr>
              <w:ind w:left="215" w:hanging="215"/>
              <w:rPr>
                <w:rFonts w:eastAsia="Arial"/>
                <w:lang w:bidi="cs-CZ"/>
              </w:rPr>
            </w:pPr>
          </w:p>
          <w:p w14:paraId="1513207A" w14:textId="77777777" w:rsidR="007170C3" w:rsidRPr="008819AF" w:rsidRDefault="007170C3" w:rsidP="0021052F">
            <w:pPr>
              <w:ind w:left="215" w:hanging="215"/>
              <w:rPr>
                <w:rFonts w:eastAsia="Arial"/>
                <w:lang w:bidi="cs-CZ"/>
              </w:rPr>
            </w:pPr>
          </w:p>
          <w:p w14:paraId="1513207B" w14:textId="77777777" w:rsidR="007170C3" w:rsidRPr="008819AF" w:rsidRDefault="007170C3" w:rsidP="0021052F">
            <w:pPr>
              <w:ind w:left="215" w:hanging="215"/>
              <w:rPr>
                <w:rFonts w:eastAsia="Arial"/>
                <w:lang w:bidi="cs-CZ"/>
              </w:rPr>
            </w:pPr>
          </w:p>
          <w:p w14:paraId="1513207C" w14:textId="77777777" w:rsidR="007170C3" w:rsidRPr="008819AF" w:rsidRDefault="007170C3" w:rsidP="0021052F">
            <w:pPr>
              <w:ind w:left="215" w:hanging="215"/>
              <w:rPr>
                <w:rFonts w:eastAsia="Arial"/>
                <w:lang w:bidi="cs-CZ"/>
              </w:rPr>
            </w:pPr>
          </w:p>
          <w:p w14:paraId="1513207D" w14:textId="77777777" w:rsidR="007170C3" w:rsidRPr="008819AF" w:rsidRDefault="007170C3" w:rsidP="0021052F">
            <w:pPr>
              <w:ind w:left="215" w:hanging="215"/>
              <w:rPr>
                <w:rFonts w:eastAsia="Arial"/>
                <w:lang w:bidi="cs-CZ"/>
              </w:rPr>
            </w:pPr>
          </w:p>
          <w:p w14:paraId="1513207E" w14:textId="77777777" w:rsidR="007170C3" w:rsidRPr="008819AF" w:rsidRDefault="007170C3" w:rsidP="0021052F">
            <w:pPr>
              <w:ind w:left="215" w:hanging="215"/>
              <w:rPr>
                <w:rFonts w:eastAsia="Arial"/>
                <w:lang w:bidi="cs-CZ"/>
              </w:rPr>
            </w:pPr>
          </w:p>
          <w:p w14:paraId="1513207F" w14:textId="77777777" w:rsidR="007170C3" w:rsidRPr="008819AF" w:rsidRDefault="007170C3" w:rsidP="0021052F">
            <w:pPr>
              <w:ind w:left="215" w:hanging="215"/>
              <w:rPr>
                <w:rFonts w:eastAsia="Arial"/>
                <w:lang w:bidi="cs-CZ"/>
              </w:rPr>
            </w:pPr>
          </w:p>
          <w:p w14:paraId="15132080" w14:textId="77777777" w:rsidR="007170C3" w:rsidRPr="008819AF" w:rsidRDefault="007170C3" w:rsidP="0021052F">
            <w:pPr>
              <w:ind w:left="215" w:hanging="215"/>
              <w:rPr>
                <w:rFonts w:eastAsia="Arial"/>
                <w:lang w:bidi="cs-CZ"/>
              </w:rPr>
            </w:pPr>
          </w:p>
          <w:p w14:paraId="15132081" w14:textId="77777777" w:rsidR="007170C3" w:rsidRPr="008819AF" w:rsidRDefault="007170C3" w:rsidP="0021052F">
            <w:pPr>
              <w:ind w:left="215" w:hanging="215"/>
              <w:rPr>
                <w:rFonts w:eastAsia="Arial"/>
                <w:lang w:bidi="cs-CZ"/>
              </w:rPr>
            </w:pPr>
          </w:p>
          <w:p w14:paraId="15132082" w14:textId="77777777" w:rsidR="007170C3" w:rsidRPr="008819AF" w:rsidRDefault="007170C3" w:rsidP="0021052F">
            <w:pPr>
              <w:ind w:left="215" w:hanging="215"/>
              <w:rPr>
                <w:rFonts w:eastAsia="Arial"/>
                <w:lang w:bidi="cs-CZ"/>
              </w:rPr>
            </w:pPr>
          </w:p>
          <w:p w14:paraId="15132083" w14:textId="77777777" w:rsidR="007170C3" w:rsidRPr="008819AF" w:rsidRDefault="007170C3" w:rsidP="0021052F">
            <w:pPr>
              <w:ind w:left="215" w:hanging="215"/>
              <w:rPr>
                <w:rFonts w:eastAsia="Arial"/>
                <w:lang w:bidi="cs-CZ"/>
              </w:rPr>
            </w:pPr>
          </w:p>
          <w:p w14:paraId="15132084" w14:textId="77777777" w:rsidR="007170C3" w:rsidRPr="008819AF" w:rsidRDefault="007170C3" w:rsidP="0021052F">
            <w:pPr>
              <w:ind w:left="215" w:hanging="215"/>
              <w:rPr>
                <w:rFonts w:eastAsia="Arial"/>
                <w:lang w:bidi="cs-CZ"/>
              </w:rPr>
            </w:pPr>
          </w:p>
          <w:p w14:paraId="15132085" w14:textId="77777777" w:rsidR="007170C3" w:rsidRPr="008819AF" w:rsidRDefault="007170C3" w:rsidP="0021052F">
            <w:pPr>
              <w:ind w:left="215" w:hanging="215"/>
              <w:rPr>
                <w:rFonts w:eastAsia="Arial"/>
                <w:lang w:bidi="cs-CZ"/>
              </w:rPr>
            </w:pPr>
          </w:p>
          <w:p w14:paraId="15132086" w14:textId="77777777" w:rsidR="007170C3" w:rsidRPr="008819AF" w:rsidRDefault="007170C3" w:rsidP="0021052F">
            <w:pPr>
              <w:ind w:left="215" w:hanging="215"/>
              <w:rPr>
                <w:rFonts w:eastAsia="Arial"/>
                <w:lang w:bidi="cs-CZ"/>
              </w:rPr>
            </w:pPr>
          </w:p>
          <w:p w14:paraId="15132087" w14:textId="77777777" w:rsidR="007170C3" w:rsidRPr="008819AF" w:rsidRDefault="007170C3" w:rsidP="0021052F">
            <w:pPr>
              <w:ind w:left="215" w:hanging="215"/>
              <w:rPr>
                <w:rFonts w:eastAsia="Arial"/>
                <w:lang w:bidi="cs-CZ"/>
              </w:rPr>
            </w:pPr>
          </w:p>
          <w:p w14:paraId="15132088" w14:textId="77777777" w:rsidR="007170C3" w:rsidRPr="008819AF" w:rsidRDefault="007170C3" w:rsidP="0021052F">
            <w:pPr>
              <w:ind w:left="215" w:hanging="215"/>
              <w:rPr>
                <w:rFonts w:eastAsia="Arial"/>
                <w:lang w:bidi="cs-CZ"/>
              </w:rPr>
            </w:pPr>
          </w:p>
          <w:p w14:paraId="15132089" w14:textId="77777777" w:rsidR="007170C3" w:rsidRPr="008819AF" w:rsidRDefault="007170C3" w:rsidP="0021052F">
            <w:pPr>
              <w:ind w:left="215" w:hanging="215"/>
              <w:rPr>
                <w:rFonts w:eastAsia="Arial"/>
                <w:lang w:bidi="cs-CZ"/>
              </w:rPr>
            </w:pPr>
          </w:p>
          <w:p w14:paraId="1513208A" w14:textId="77777777" w:rsidR="007170C3" w:rsidRPr="008819AF" w:rsidRDefault="007170C3" w:rsidP="0021052F">
            <w:pPr>
              <w:ind w:left="215" w:hanging="215"/>
              <w:rPr>
                <w:rFonts w:eastAsia="Arial"/>
                <w:lang w:bidi="cs-CZ"/>
              </w:rPr>
            </w:pPr>
          </w:p>
          <w:p w14:paraId="1513208B" w14:textId="77777777" w:rsidR="007170C3" w:rsidRPr="008819AF" w:rsidRDefault="006F0418" w:rsidP="0021052F">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1513208C" w14:textId="77777777" w:rsidR="007170C3" w:rsidRPr="008819AF" w:rsidRDefault="007170C3" w:rsidP="0021052F">
            <w:pPr>
              <w:ind w:left="215" w:hanging="215"/>
              <w:rPr>
                <w:rFonts w:eastAsia="Arial"/>
                <w:lang w:bidi="cs-CZ"/>
              </w:rPr>
            </w:pPr>
          </w:p>
        </w:tc>
      </w:tr>
      <w:tr w:rsidR="00F80158" w:rsidRPr="008819AF" w14:paraId="1513209D"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208E" w14:textId="77777777" w:rsidR="007170C3" w:rsidRPr="008819AF" w:rsidRDefault="006F0418" w:rsidP="003E351D">
            <w:pPr>
              <w:ind w:right="-70"/>
              <w:rPr>
                <w:rFonts w:eastAsia="Arial"/>
                <w:lang w:bidi="cs-CZ"/>
              </w:rPr>
            </w:pPr>
            <w:r w:rsidRPr="008819AF">
              <w:rPr>
                <w:rFonts w:eastAsia="Arial"/>
                <w:lang w:bidi="cs-CZ"/>
              </w:rPr>
              <w:t>Č:36</w:t>
            </w:r>
          </w:p>
        </w:tc>
        <w:tc>
          <w:tcPr>
            <w:tcW w:w="6227" w:type="dxa"/>
            <w:gridSpan w:val="2"/>
            <w:tcBorders>
              <w:top w:val="single" w:sz="4" w:space="0" w:color="000000"/>
              <w:left w:val="single" w:sz="6" w:space="0" w:color="000000"/>
              <w:bottom w:val="single" w:sz="4" w:space="0" w:color="000000"/>
              <w:right w:val="single" w:sz="6" w:space="0" w:color="000000"/>
            </w:tcBorders>
          </w:tcPr>
          <w:p w14:paraId="1513208F" w14:textId="77777777" w:rsidR="007170C3" w:rsidRPr="008819AF" w:rsidRDefault="006F0418" w:rsidP="0021052F">
            <w:pPr>
              <w:ind w:left="215" w:hanging="215"/>
              <w:rPr>
                <w:rFonts w:eastAsia="Arial"/>
              </w:rPr>
            </w:pPr>
            <w:r w:rsidRPr="008819AF">
              <w:rPr>
                <w:rFonts w:eastAsia="Arial"/>
              </w:rPr>
              <w:t>Článok 36</w:t>
            </w:r>
          </w:p>
          <w:p w14:paraId="15132090" w14:textId="77777777" w:rsidR="007170C3" w:rsidRPr="008819AF" w:rsidRDefault="006F0418" w:rsidP="00FA4AE4">
            <w:pPr>
              <w:ind w:left="215" w:hanging="215"/>
              <w:rPr>
                <w:rFonts w:eastAsia="Arial"/>
              </w:rPr>
            </w:pPr>
            <w:r w:rsidRPr="008819AF">
              <w:rPr>
                <w:rFonts w:eastAsia="Arial"/>
              </w:rPr>
              <w:t>Geologické ukladanie oxidu uhličitého</w:t>
            </w:r>
          </w:p>
          <w:p w14:paraId="15132091" w14:textId="77777777" w:rsidR="007170C3" w:rsidRPr="008819AF" w:rsidRDefault="006F0418" w:rsidP="0021052F">
            <w:pPr>
              <w:ind w:left="215" w:hanging="215"/>
              <w:rPr>
                <w:rFonts w:eastAsia="Arial"/>
              </w:rPr>
            </w:pPr>
            <w:r w:rsidRPr="008819AF">
              <w:rPr>
                <w:rFonts w:eastAsia="Arial"/>
              </w:rPr>
              <w:t>1. Členské štáty zabezpečia, aby prevádzkovatelia všetkých spaľovacích zariadení s menovitým elektrickým výkonom 300 megawattov alebo viac, ktorým sa udelilo pôvodné stavebné povolenie, alebo kde takýto postup chýba, pôvodné povolenie na činnosť sa udelilo po dátume nadobudnutia účinnosti smernice Európskeho parlamentu a Rady 2009/31/ES z 23. apríla 2009 o geologickom ukladaní oxidu uhličitého(1), posúdili, či sú splnené tieto podmienky:</w:t>
            </w:r>
          </w:p>
          <w:p w14:paraId="15132092" w14:textId="77777777" w:rsidR="007170C3" w:rsidRPr="008819AF" w:rsidRDefault="006F0418" w:rsidP="009C63CF">
            <w:pPr>
              <w:numPr>
                <w:ilvl w:val="0"/>
                <w:numId w:val="26"/>
              </w:numPr>
              <w:tabs>
                <w:tab w:val="left" w:pos="227"/>
              </w:tabs>
              <w:ind w:left="442"/>
              <w:rPr>
                <w:rFonts w:eastAsia="Arial"/>
              </w:rPr>
            </w:pPr>
            <w:r w:rsidRPr="008819AF">
              <w:rPr>
                <w:rFonts w:eastAsia="Arial"/>
              </w:rPr>
              <w:t>sú k dispozícii vhodné miesta na ukladanie;</w:t>
            </w:r>
          </w:p>
          <w:p w14:paraId="15132093" w14:textId="77777777" w:rsidR="007170C3" w:rsidRPr="008819AF" w:rsidRDefault="006F0418" w:rsidP="009C63CF">
            <w:pPr>
              <w:numPr>
                <w:ilvl w:val="0"/>
                <w:numId w:val="26"/>
              </w:numPr>
              <w:tabs>
                <w:tab w:val="left" w:pos="227"/>
              </w:tabs>
              <w:ind w:left="442"/>
              <w:rPr>
                <w:rFonts w:eastAsia="Arial"/>
              </w:rPr>
            </w:pPr>
            <w:r w:rsidRPr="008819AF">
              <w:rPr>
                <w:rFonts w:eastAsia="Arial"/>
              </w:rPr>
              <w:t>dopravné zariadenia sú technicky a ekonomicky realizovateľné;</w:t>
            </w:r>
          </w:p>
          <w:p w14:paraId="15132094" w14:textId="77777777" w:rsidR="007170C3" w:rsidRPr="008819AF" w:rsidRDefault="006F0418" w:rsidP="009C63CF">
            <w:pPr>
              <w:numPr>
                <w:ilvl w:val="0"/>
                <w:numId w:val="26"/>
              </w:numPr>
              <w:tabs>
                <w:tab w:val="left" w:pos="227"/>
              </w:tabs>
              <w:ind w:left="442"/>
              <w:rPr>
                <w:rFonts w:eastAsia="Arial"/>
              </w:rPr>
            </w:pPr>
            <w:r w:rsidRPr="008819AF">
              <w:rPr>
                <w:rFonts w:eastAsia="Arial"/>
              </w:rPr>
              <w:t>je technicky a ekonomicky možné zariadenia spätne vybaviť na záchyt oxidu uhličitého.</w:t>
            </w:r>
          </w:p>
          <w:p w14:paraId="15132095" w14:textId="77777777" w:rsidR="007170C3" w:rsidRPr="008819AF" w:rsidRDefault="007170C3" w:rsidP="0021052F">
            <w:pPr>
              <w:ind w:left="215" w:hanging="215"/>
              <w:rPr>
                <w:rFonts w:eastAsia="Arial"/>
              </w:rPr>
            </w:pPr>
          </w:p>
          <w:p w14:paraId="15132096" w14:textId="77777777" w:rsidR="007170C3" w:rsidRPr="008819AF" w:rsidRDefault="006F0418" w:rsidP="0021052F">
            <w:pPr>
              <w:ind w:left="215" w:hanging="215"/>
              <w:rPr>
                <w:rFonts w:eastAsia="Arial"/>
              </w:rPr>
            </w:pPr>
            <w:r w:rsidRPr="008819AF">
              <w:rPr>
                <w:rFonts w:eastAsia="Arial"/>
              </w:rPr>
              <w:t>2. Ak sú splnené podmienky stanovené v odseku 1, príslušný orgán zabezpečí, aby sa v mieste zariadenia rezervovalo vhodné miesto pre vybavenie potrebné na zachytávanie a stláčanie oxidu uhličitého. Príslušný orgán určí, či sú splnené podmienky na základe posúdenia uvedeného v odseku 1 a iných dostupných informácií, najmä informácií týkajúcich sa ochrany životného prostredia a ľudského zdravia.</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097"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098"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099" w14:textId="77777777" w:rsidR="007170C3" w:rsidRPr="008819AF"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09A" w14:textId="77777777" w:rsidR="007170C3" w:rsidRPr="008819AF" w:rsidRDefault="007170C3" w:rsidP="0021052F">
            <w:pPr>
              <w:pStyle w:val="BodyText22"/>
              <w:ind w:left="0" w:firstLine="0"/>
              <w:jc w:val="left"/>
              <w:rPr>
                <w:rFonts w:ascii="Times New Roman" w:hAnsi="Times New Roman" w:cs="Times New Roman"/>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1513209B"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09C" w14:textId="77777777" w:rsidR="007170C3" w:rsidRPr="008819AF" w:rsidRDefault="007170C3" w:rsidP="0021052F">
            <w:pPr>
              <w:ind w:left="215" w:hanging="215"/>
              <w:rPr>
                <w:rFonts w:eastAsia="Arial"/>
                <w:lang w:bidi="cs-CZ"/>
              </w:rPr>
            </w:pPr>
          </w:p>
        </w:tc>
      </w:tr>
      <w:tr w:rsidR="00F80158" w:rsidRPr="008819AF" w14:paraId="15132105" w14:textId="77777777" w:rsidTr="003E351D">
        <w:trPr>
          <w:trHeight w:val="1106"/>
          <w:jc w:val="center"/>
        </w:trPr>
        <w:tc>
          <w:tcPr>
            <w:tcW w:w="483" w:type="dxa"/>
            <w:tcBorders>
              <w:top w:val="single" w:sz="4" w:space="0" w:color="000000"/>
              <w:left w:val="single" w:sz="6" w:space="0" w:color="000000"/>
              <w:bottom w:val="single" w:sz="4" w:space="0" w:color="000000"/>
              <w:right w:val="single" w:sz="6" w:space="0" w:color="000000"/>
            </w:tcBorders>
          </w:tcPr>
          <w:p w14:paraId="1513209E" w14:textId="77777777" w:rsidR="007170C3" w:rsidRPr="008819AF" w:rsidRDefault="006F0418" w:rsidP="003E351D">
            <w:pPr>
              <w:ind w:right="-70"/>
              <w:rPr>
                <w:rFonts w:eastAsia="Arial"/>
                <w:lang w:bidi="cs-CZ"/>
              </w:rPr>
            </w:pPr>
            <w:r w:rsidRPr="008819AF">
              <w:rPr>
                <w:rFonts w:eastAsia="Arial"/>
                <w:lang w:bidi="cs-CZ"/>
              </w:rPr>
              <w:t>Č:37</w:t>
            </w:r>
          </w:p>
        </w:tc>
        <w:tc>
          <w:tcPr>
            <w:tcW w:w="6227" w:type="dxa"/>
            <w:gridSpan w:val="2"/>
            <w:tcBorders>
              <w:top w:val="single" w:sz="4" w:space="0" w:color="000000"/>
              <w:left w:val="single" w:sz="6" w:space="0" w:color="000000"/>
              <w:bottom w:val="single" w:sz="4" w:space="0" w:color="000000"/>
              <w:right w:val="single" w:sz="6" w:space="0" w:color="000000"/>
            </w:tcBorders>
          </w:tcPr>
          <w:p w14:paraId="1513209F" w14:textId="77777777" w:rsidR="007170C3" w:rsidRPr="008819AF" w:rsidRDefault="006F0418" w:rsidP="0021052F">
            <w:pPr>
              <w:ind w:left="215" w:hanging="215"/>
              <w:rPr>
                <w:rFonts w:eastAsia="Arial"/>
              </w:rPr>
            </w:pPr>
            <w:r w:rsidRPr="008819AF">
              <w:rPr>
                <w:rFonts w:eastAsia="Arial"/>
              </w:rPr>
              <w:t>Článok 37</w:t>
            </w:r>
          </w:p>
          <w:p w14:paraId="151320A0" w14:textId="77777777" w:rsidR="007170C3" w:rsidRPr="008819AF" w:rsidRDefault="006F0418" w:rsidP="0021052F">
            <w:pPr>
              <w:ind w:left="215" w:hanging="215"/>
              <w:rPr>
                <w:rFonts w:eastAsia="Arial"/>
              </w:rPr>
            </w:pPr>
            <w:r w:rsidRPr="008819AF">
              <w:rPr>
                <w:rFonts w:eastAsia="Arial"/>
              </w:rPr>
              <w:t>Porucha alebo výpadok na odlučovacom zariadení</w:t>
            </w:r>
          </w:p>
          <w:p w14:paraId="151320A1" w14:textId="77777777" w:rsidR="007170C3" w:rsidRPr="008819AF" w:rsidRDefault="006F0418" w:rsidP="00FA4AE4">
            <w:pPr>
              <w:spacing w:before="120"/>
              <w:ind w:left="215" w:hanging="215"/>
              <w:rPr>
                <w:rFonts w:eastAsia="Arial"/>
              </w:rPr>
            </w:pPr>
            <w:r w:rsidRPr="008819AF">
              <w:rPr>
                <w:rFonts w:eastAsia="Arial"/>
              </w:rPr>
              <w:t>1. Členské štáty zabezpečia, že do povolení sa vložia ustanovenia pre postupy týkajúce sa poruchy alebo výpadku na odlučovacom zariadení.</w:t>
            </w:r>
          </w:p>
          <w:p w14:paraId="151320A2" w14:textId="77777777" w:rsidR="007170C3" w:rsidRPr="008819AF" w:rsidRDefault="006F0418" w:rsidP="00FA4AE4">
            <w:pPr>
              <w:spacing w:before="120"/>
              <w:ind w:left="215" w:hanging="215"/>
              <w:rPr>
                <w:rFonts w:eastAsia="Arial"/>
              </w:rPr>
            </w:pPr>
            <w:r w:rsidRPr="008819AF">
              <w:rPr>
                <w:rFonts w:eastAsia="Arial"/>
              </w:rPr>
              <w:t>2.</w:t>
            </w:r>
            <w:r w:rsidRPr="008819AF">
              <w:t xml:space="preserve"> </w:t>
            </w:r>
            <w:r w:rsidRPr="008819AF">
              <w:rPr>
                <w:rFonts w:eastAsia="Arial"/>
              </w:rPr>
              <w:t>V prípade výpadku bude príslušný orgán požadovať od prevádzkovateľa obmedzenie alebo zastavenie činnosti, ak sa do 24 hodín nedosiahne opätovne normálna činnosť, alebo prevádzkovanie zariadenia s použitím nízkoemisných palív.</w:t>
            </w:r>
          </w:p>
          <w:p w14:paraId="151320A3" w14:textId="77777777" w:rsidR="007170C3" w:rsidRPr="008819AF" w:rsidRDefault="006F0418" w:rsidP="00FA4AE4">
            <w:pPr>
              <w:spacing w:before="120"/>
              <w:ind w:left="215" w:hanging="1"/>
              <w:rPr>
                <w:rFonts w:eastAsia="Arial"/>
              </w:rPr>
            </w:pPr>
            <w:r w:rsidRPr="008819AF">
              <w:rPr>
                <w:rFonts w:eastAsia="Arial"/>
              </w:rPr>
              <w:t xml:space="preserve">Prevádzkovateľ upovedomí príslušný orgán do 48 hodín po poruche </w:t>
            </w:r>
            <w:r w:rsidRPr="008819AF">
              <w:rPr>
                <w:rFonts w:eastAsia="Arial"/>
              </w:rPr>
              <w:lastRenderedPageBreak/>
              <w:t>alebo výpadku na odlučovacom zariadení.</w:t>
            </w:r>
          </w:p>
          <w:p w14:paraId="151320A4" w14:textId="77777777" w:rsidR="007170C3" w:rsidRPr="008819AF" w:rsidRDefault="006F0418" w:rsidP="00FA4AE4">
            <w:pPr>
              <w:spacing w:before="120"/>
              <w:ind w:left="215" w:hanging="1"/>
              <w:rPr>
                <w:rFonts w:eastAsia="Arial"/>
              </w:rPr>
            </w:pPr>
            <w:r w:rsidRPr="008819AF">
              <w:rPr>
                <w:rFonts w:eastAsia="Arial"/>
              </w:rPr>
              <w:t>Kumulatívne trvanie prevádzkovaní bez odlučovacieho zariadenia nesmie prekročiť 120 hodín počas akéhokoľvek 12-mesačného obdobia.</w:t>
            </w:r>
          </w:p>
          <w:p w14:paraId="151320A5" w14:textId="77777777" w:rsidR="007170C3" w:rsidRPr="008819AF" w:rsidRDefault="006F0418" w:rsidP="00FA4AE4">
            <w:pPr>
              <w:spacing w:before="120"/>
              <w:ind w:left="215" w:hanging="1"/>
              <w:rPr>
                <w:rFonts w:eastAsia="Arial"/>
              </w:rPr>
            </w:pPr>
            <w:r w:rsidRPr="008819AF">
              <w:rPr>
                <w:rFonts w:eastAsia="Arial"/>
              </w:rPr>
              <w:t>Príslušný orgán môže udeliť výnimku z lehôt stanovených v prvom a treťom pododseku v jednom z týchto prípadov:</w:t>
            </w:r>
          </w:p>
          <w:p w14:paraId="151320A6" w14:textId="77777777" w:rsidR="007170C3" w:rsidRPr="008819AF" w:rsidRDefault="006F0418" w:rsidP="009C63CF">
            <w:pPr>
              <w:numPr>
                <w:ilvl w:val="0"/>
                <w:numId w:val="27"/>
              </w:numPr>
              <w:spacing w:before="120"/>
              <w:ind w:left="497" w:hanging="283"/>
              <w:rPr>
                <w:rFonts w:eastAsia="Arial"/>
              </w:rPr>
            </w:pPr>
            <w:r w:rsidRPr="008819AF">
              <w:rPr>
                <w:rFonts w:eastAsia="Arial"/>
              </w:rPr>
              <w:t>prevažuje potreba udržať dodávky energie;</w:t>
            </w:r>
          </w:p>
          <w:p w14:paraId="151320A7" w14:textId="77777777" w:rsidR="007170C3" w:rsidRPr="008819AF" w:rsidRDefault="006F0418" w:rsidP="009C63CF">
            <w:pPr>
              <w:numPr>
                <w:ilvl w:val="0"/>
                <w:numId w:val="27"/>
              </w:numPr>
              <w:spacing w:before="120"/>
              <w:ind w:left="497" w:hanging="283"/>
              <w:rPr>
                <w:rFonts w:eastAsia="Arial"/>
              </w:rPr>
            </w:pPr>
            <w:r w:rsidRPr="008819AF">
              <w:rPr>
                <w:rFonts w:eastAsia="Arial"/>
              </w:rPr>
              <w:t>spaľovacie zariadenie s výpadkom by bolo po obmedzenú dobu nahradené iným zariadením, ktoré by spôsobilo celkové zvýšenie emisií.</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0A8" w14:textId="77777777" w:rsidR="007170C3" w:rsidRPr="008819AF" w:rsidRDefault="006F0418" w:rsidP="0021052F">
            <w:pPr>
              <w:ind w:left="-70" w:right="-68" w:hanging="6"/>
              <w:jc w:val="center"/>
              <w:rPr>
                <w:rFonts w:eastAsia="Arial"/>
                <w:lang w:bidi="cs-CZ"/>
              </w:rPr>
            </w:pPr>
            <w:r w:rsidRPr="008819AF">
              <w:rPr>
                <w:rFonts w:eastAsia="Arial"/>
                <w:lang w:bidi="cs-CZ"/>
              </w:rPr>
              <w:lastRenderedPageBreak/>
              <w:t>N</w:t>
            </w:r>
          </w:p>
          <w:p w14:paraId="151320A9" w14:textId="77777777" w:rsidR="007170C3" w:rsidRPr="008819AF" w:rsidRDefault="007170C3" w:rsidP="0021052F">
            <w:pPr>
              <w:ind w:left="-70" w:right="-68" w:hanging="6"/>
              <w:jc w:val="center"/>
              <w:rPr>
                <w:rFonts w:eastAsia="Arial"/>
                <w:lang w:bidi="cs-CZ"/>
              </w:rPr>
            </w:pPr>
          </w:p>
          <w:p w14:paraId="151320AA" w14:textId="77777777" w:rsidR="007170C3" w:rsidRPr="008819AF" w:rsidRDefault="007170C3" w:rsidP="0021052F">
            <w:pPr>
              <w:ind w:left="-70" w:right="-68" w:hanging="6"/>
              <w:jc w:val="center"/>
              <w:rPr>
                <w:rFonts w:eastAsia="Arial"/>
                <w:lang w:bidi="cs-CZ"/>
              </w:rPr>
            </w:pPr>
          </w:p>
          <w:p w14:paraId="151320AB" w14:textId="77777777" w:rsidR="007170C3" w:rsidRPr="008819AF" w:rsidRDefault="007170C3" w:rsidP="0021052F">
            <w:pPr>
              <w:ind w:left="-70" w:right="-68" w:hanging="6"/>
              <w:jc w:val="center"/>
              <w:rPr>
                <w:rFonts w:eastAsia="Arial"/>
                <w:lang w:bidi="cs-CZ"/>
              </w:rPr>
            </w:pPr>
          </w:p>
          <w:p w14:paraId="151320AC" w14:textId="77777777" w:rsidR="007170C3" w:rsidRPr="008819AF" w:rsidRDefault="007170C3" w:rsidP="0021052F">
            <w:pPr>
              <w:ind w:left="-70" w:right="-68" w:hanging="6"/>
              <w:jc w:val="center"/>
              <w:rPr>
                <w:rFonts w:eastAsia="Arial"/>
                <w:lang w:bidi="cs-CZ"/>
              </w:rPr>
            </w:pPr>
          </w:p>
          <w:p w14:paraId="151320AD" w14:textId="77777777" w:rsidR="007170C3" w:rsidRPr="008819AF" w:rsidRDefault="007170C3" w:rsidP="0021052F">
            <w:pPr>
              <w:ind w:left="-70" w:right="-68" w:hanging="6"/>
              <w:jc w:val="center"/>
              <w:rPr>
                <w:rFonts w:eastAsia="Arial"/>
                <w:lang w:bidi="cs-CZ"/>
              </w:rPr>
            </w:pPr>
          </w:p>
          <w:p w14:paraId="151320AE" w14:textId="77777777" w:rsidR="007170C3" w:rsidRPr="008819AF" w:rsidRDefault="007170C3" w:rsidP="0021052F">
            <w:pPr>
              <w:ind w:left="-70" w:right="-68" w:hanging="6"/>
              <w:jc w:val="center"/>
              <w:rPr>
                <w:rFonts w:eastAsia="Arial"/>
                <w:lang w:bidi="cs-CZ"/>
              </w:rPr>
            </w:pPr>
          </w:p>
          <w:p w14:paraId="151320AF" w14:textId="77777777" w:rsidR="007170C3" w:rsidRPr="008819AF" w:rsidRDefault="007170C3" w:rsidP="0021052F">
            <w:pPr>
              <w:ind w:left="-70" w:right="-68" w:hanging="6"/>
              <w:jc w:val="center"/>
              <w:rPr>
                <w:rFonts w:eastAsia="Arial"/>
                <w:lang w:bidi="cs-CZ"/>
              </w:rPr>
            </w:pPr>
          </w:p>
          <w:p w14:paraId="151320B0" w14:textId="77777777" w:rsidR="007170C3" w:rsidRPr="008819AF" w:rsidRDefault="007170C3" w:rsidP="0021052F">
            <w:pPr>
              <w:ind w:left="-70" w:right="-68" w:hanging="6"/>
              <w:jc w:val="center"/>
              <w:rPr>
                <w:rFonts w:eastAsia="Arial"/>
                <w:lang w:bidi="cs-CZ"/>
              </w:rPr>
            </w:pPr>
          </w:p>
          <w:p w14:paraId="151320B1" w14:textId="77777777" w:rsidR="007170C3" w:rsidRPr="008819AF" w:rsidRDefault="007170C3" w:rsidP="0021052F">
            <w:pPr>
              <w:ind w:left="-70" w:right="-68" w:hanging="6"/>
              <w:jc w:val="center"/>
              <w:rPr>
                <w:rFonts w:eastAsia="Arial"/>
                <w:lang w:bidi="cs-CZ"/>
              </w:rPr>
            </w:pPr>
          </w:p>
          <w:p w14:paraId="151320B2" w14:textId="77777777" w:rsidR="007170C3" w:rsidRPr="008819AF" w:rsidRDefault="007170C3" w:rsidP="0021052F">
            <w:pPr>
              <w:ind w:left="-70" w:right="-68" w:hanging="6"/>
              <w:jc w:val="center"/>
              <w:rPr>
                <w:rFonts w:eastAsia="Arial"/>
                <w:lang w:bidi="cs-CZ"/>
              </w:rPr>
            </w:pPr>
          </w:p>
          <w:p w14:paraId="151320B3" w14:textId="77777777" w:rsidR="007170C3" w:rsidRPr="008819AF" w:rsidRDefault="007170C3" w:rsidP="0021052F">
            <w:pPr>
              <w:ind w:left="-70" w:right="-68" w:hanging="6"/>
              <w:jc w:val="center"/>
              <w:rPr>
                <w:rFonts w:eastAsia="Arial"/>
                <w:lang w:bidi="cs-CZ"/>
              </w:rPr>
            </w:pPr>
          </w:p>
          <w:p w14:paraId="151320B4" w14:textId="77777777" w:rsidR="007170C3" w:rsidRPr="008819AF" w:rsidRDefault="007170C3" w:rsidP="0021052F">
            <w:pPr>
              <w:ind w:left="-70" w:right="-68" w:hanging="6"/>
              <w:jc w:val="center"/>
              <w:rPr>
                <w:rFonts w:eastAsia="Arial"/>
                <w:lang w:bidi="cs-CZ"/>
              </w:rPr>
            </w:pPr>
          </w:p>
          <w:p w14:paraId="151320B5" w14:textId="77777777" w:rsidR="007170C3" w:rsidRPr="008819AF" w:rsidRDefault="007170C3" w:rsidP="0021052F">
            <w:pPr>
              <w:ind w:left="-70" w:right="-68" w:hanging="6"/>
              <w:jc w:val="center"/>
              <w:rPr>
                <w:rFonts w:eastAsia="Arial"/>
                <w:lang w:bidi="cs-CZ"/>
              </w:rPr>
            </w:pPr>
          </w:p>
          <w:p w14:paraId="151320B6" w14:textId="77777777" w:rsidR="007170C3" w:rsidRPr="008819AF" w:rsidRDefault="006F0418" w:rsidP="0021052F">
            <w:pPr>
              <w:ind w:left="-70" w:right="-68" w:hanging="6"/>
              <w:jc w:val="center"/>
              <w:rPr>
                <w:rFonts w:eastAsia="Arial"/>
                <w:lang w:bidi="cs-CZ"/>
              </w:rPr>
            </w:pPr>
            <w:r w:rsidRPr="008819AF">
              <w:rPr>
                <w:rFonts w:eastAsia="Arial"/>
                <w:lang w:bidi="cs-CZ"/>
              </w:rPr>
              <w:t>N</w:t>
            </w:r>
          </w:p>
          <w:p w14:paraId="151320B7" w14:textId="77777777" w:rsidR="007170C3" w:rsidRPr="008819AF" w:rsidRDefault="007170C3" w:rsidP="0021052F">
            <w:pPr>
              <w:ind w:left="-70" w:right="-68" w:hanging="6"/>
              <w:jc w:val="center"/>
              <w:rPr>
                <w:rFonts w:eastAsia="Arial"/>
                <w:lang w:bidi="cs-CZ"/>
              </w:rPr>
            </w:pPr>
          </w:p>
          <w:p w14:paraId="151320B8" w14:textId="77777777" w:rsidR="007170C3" w:rsidRPr="008819AF" w:rsidRDefault="007170C3" w:rsidP="0021052F">
            <w:pPr>
              <w:ind w:left="-70" w:right="-68" w:hanging="6"/>
              <w:jc w:val="center"/>
              <w:rPr>
                <w:rFonts w:eastAsia="Arial"/>
                <w:lang w:bidi="cs-CZ"/>
              </w:rPr>
            </w:pPr>
          </w:p>
          <w:p w14:paraId="151320B9" w14:textId="77777777" w:rsidR="007170C3" w:rsidRPr="008819AF" w:rsidRDefault="007170C3" w:rsidP="0021052F">
            <w:pPr>
              <w:ind w:left="-70" w:right="-68" w:hanging="6"/>
              <w:jc w:val="center"/>
              <w:rPr>
                <w:rFonts w:eastAsia="Arial"/>
                <w:lang w:bidi="cs-CZ"/>
              </w:rPr>
            </w:pPr>
          </w:p>
          <w:p w14:paraId="151320BA" w14:textId="77777777" w:rsidR="007170C3" w:rsidRPr="008819AF" w:rsidRDefault="007170C3" w:rsidP="0021052F">
            <w:pPr>
              <w:ind w:left="-70" w:right="-68" w:hanging="6"/>
              <w:jc w:val="center"/>
              <w:rPr>
                <w:rFonts w:eastAsia="Arial"/>
                <w:lang w:bidi="cs-CZ"/>
              </w:rPr>
            </w:pPr>
          </w:p>
          <w:p w14:paraId="151320BB" w14:textId="77777777" w:rsidR="00AE35FA" w:rsidRPr="008819AF" w:rsidRDefault="00AE35FA" w:rsidP="0021052F">
            <w:pPr>
              <w:ind w:left="-70" w:right="-68" w:hanging="6"/>
              <w:jc w:val="center"/>
              <w:rPr>
                <w:rFonts w:eastAsia="Arial"/>
                <w:lang w:bidi="cs-CZ"/>
              </w:rPr>
            </w:pPr>
          </w:p>
          <w:p w14:paraId="151320BC" w14:textId="77777777" w:rsidR="00AE35FA" w:rsidRPr="008819AF" w:rsidRDefault="00AE35FA" w:rsidP="0021052F">
            <w:pPr>
              <w:ind w:left="-70" w:right="-68" w:hanging="6"/>
              <w:jc w:val="center"/>
              <w:rPr>
                <w:rFonts w:eastAsia="Arial"/>
                <w:lang w:bidi="cs-CZ"/>
              </w:rPr>
            </w:pPr>
          </w:p>
          <w:p w14:paraId="151320BD" w14:textId="77777777" w:rsidR="007170C3" w:rsidRPr="008819AF" w:rsidRDefault="00EB6011" w:rsidP="0021052F">
            <w:pPr>
              <w:ind w:left="-70" w:right="-68" w:hanging="6"/>
              <w:jc w:val="center"/>
              <w:rPr>
                <w:rFonts w:eastAsia="Arial"/>
                <w:lang w:bidi="cs-CZ"/>
              </w:rPr>
            </w:pPr>
            <w:r w:rsidRPr="008819AF">
              <w:rPr>
                <w:rFonts w:eastAsia="Arial"/>
                <w:lang w:bidi="cs-CZ"/>
              </w:rPr>
              <w:t>N</w:t>
            </w:r>
          </w:p>
          <w:p w14:paraId="151320BE" w14:textId="77777777" w:rsidR="007170C3" w:rsidRPr="008819AF" w:rsidRDefault="007170C3" w:rsidP="0021052F">
            <w:pPr>
              <w:ind w:left="-70" w:right="-68" w:hanging="6"/>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0BF" w14:textId="77777777" w:rsidR="007170C3" w:rsidRPr="008819AF" w:rsidRDefault="00A32C9B" w:rsidP="0021052F">
            <w:pPr>
              <w:jc w:val="center"/>
              <w:rPr>
                <w:rFonts w:eastAsia="Arial"/>
                <w:lang w:bidi="cs-CZ"/>
              </w:rPr>
            </w:pPr>
            <w:r w:rsidRPr="008819AF">
              <w:rPr>
                <w:rFonts w:eastAsia="Arial"/>
                <w:lang w:bidi="cs-CZ"/>
              </w:rPr>
              <w:lastRenderedPageBreak/>
              <w:t>NZ</w:t>
            </w:r>
          </w:p>
          <w:p w14:paraId="151320C0" w14:textId="77777777" w:rsidR="007170C3" w:rsidRPr="008819AF" w:rsidRDefault="007170C3" w:rsidP="0021052F">
            <w:pPr>
              <w:jc w:val="center"/>
              <w:rPr>
                <w:rFonts w:eastAsia="Arial"/>
                <w:lang w:bidi="cs-CZ"/>
              </w:rPr>
            </w:pPr>
          </w:p>
          <w:p w14:paraId="151320C1" w14:textId="77777777" w:rsidR="007170C3" w:rsidRPr="008819AF" w:rsidRDefault="007170C3" w:rsidP="0021052F">
            <w:pPr>
              <w:jc w:val="center"/>
              <w:rPr>
                <w:rFonts w:eastAsia="Arial"/>
                <w:lang w:bidi="cs-CZ"/>
              </w:rPr>
            </w:pPr>
          </w:p>
          <w:p w14:paraId="151320C2" w14:textId="77777777" w:rsidR="007170C3" w:rsidRPr="008819AF" w:rsidRDefault="007170C3" w:rsidP="0021052F">
            <w:pPr>
              <w:jc w:val="center"/>
              <w:rPr>
                <w:rFonts w:eastAsia="Arial"/>
                <w:lang w:bidi="cs-CZ"/>
              </w:rPr>
            </w:pPr>
          </w:p>
          <w:p w14:paraId="151320C3" w14:textId="77777777" w:rsidR="007170C3" w:rsidRPr="008819AF" w:rsidRDefault="007170C3" w:rsidP="0021052F">
            <w:pPr>
              <w:jc w:val="center"/>
              <w:rPr>
                <w:rFonts w:eastAsia="Arial"/>
                <w:lang w:bidi="cs-CZ"/>
              </w:rPr>
            </w:pPr>
          </w:p>
          <w:p w14:paraId="151320C4" w14:textId="77777777" w:rsidR="007170C3" w:rsidRPr="008819AF" w:rsidRDefault="007170C3" w:rsidP="0021052F">
            <w:pPr>
              <w:jc w:val="center"/>
              <w:rPr>
                <w:rFonts w:eastAsia="Arial"/>
                <w:lang w:bidi="cs-CZ"/>
              </w:rPr>
            </w:pPr>
          </w:p>
          <w:p w14:paraId="151320C5" w14:textId="77777777" w:rsidR="007170C3" w:rsidRPr="008819AF" w:rsidRDefault="007170C3" w:rsidP="0021052F">
            <w:pPr>
              <w:jc w:val="center"/>
              <w:rPr>
                <w:rFonts w:eastAsia="Arial"/>
                <w:lang w:bidi="cs-CZ"/>
              </w:rPr>
            </w:pPr>
          </w:p>
          <w:p w14:paraId="151320C6" w14:textId="77777777" w:rsidR="007170C3" w:rsidRPr="008819AF" w:rsidRDefault="007170C3" w:rsidP="0021052F">
            <w:pPr>
              <w:jc w:val="center"/>
              <w:rPr>
                <w:rFonts w:eastAsia="Arial"/>
                <w:lang w:bidi="cs-CZ"/>
              </w:rPr>
            </w:pPr>
          </w:p>
          <w:p w14:paraId="151320C7" w14:textId="77777777" w:rsidR="007170C3" w:rsidRPr="008819AF" w:rsidRDefault="007170C3" w:rsidP="0021052F">
            <w:pPr>
              <w:jc w:val="center"/>
              <w:rPr>
                <w:rFonts w:eastAsia="Arial"/>
                <w:lang w:bidi="cs-CZ"/>
              </w:rPr>
            </w:pPr>
          </w:p>
          <w:p w14:paraId="151320C8" w14:textId="77777777" w:rsidR="007170C3" w:rsidRPr="008819AF" w:rsidRDefault="007170C3" w:rsidP="0021052F">
            <w:pPr>
              <w:jc w:val="center"/>
              <w:rPr>
                <w:rFonts w:eastAsia="Arial"/>
                <w:lang w:bidi="cs-CZ"/>
              </w:rPr>
            </w:pPr>
          </w:p>
          <w:p w14:paraId="151320C9" w14:textId="77777777" w:rsidR="007170C3" w:rsidRPr="008819AF" w:rsidRDefault="007170C3" w:rsidP="0021052F">
            <w:pPr>
              <w:jc w:val="center"/>
              <w:rPr>
                <w:rFonts w:eastAsia="Arial"/>
                <w:lang w:bidi="cs-CZ"/>
              </w:rPr>
            </w:pPr>
          </w:p>
          <w:p w14:paraId="151320CA" w14:textId="77777777" w:rsidR="007170C3" w:rsidRPr="008819AF" w:rsidRDefault="007170C3" w:rsidP="0021052F">
            <w:pPr>
              <w:jc w:val="center"/>
              <w:rPr>
                <w:rFonts w:eastAsia="Arial"/>
                <w:lang w:bidi="cs-CZ"/>
              </w:rPr>
            </w:pPr>
          </w:p>
          <w:p w14:paraId="151320CB" w14:textId="77777777" w:rsidR="007170C3" w:rsidRPr="008819AF" w:rsidRDefault="007170C3" w:rsidP="0021052F">
            <w:pPr>
              <w:jc w:val="center"/>
              <w:rPr>
                <w:rFonts w:eastAsia="Arial"/>
                <w:lang w:bidi="cs-CZ"/>
              </w:rPr>
            </w:pPr>
          </w:p>
          <w:p w14:paraId="151320CC" w14:textId="77777777" w:rsidR="007170C3" w:rsidRPr="008819AF" w:rsidRDefault="007170C3" w:rsidP="0021052F">
            <w:pPr>
              <w:jc w:val="center"/>
              <w:rPr>
                <w:rFonts w:eastAsia="Arial"/>
                <w:lang w:bidi="cs-CZ"/>
              </w:rPr>
            </w:pPr>
          </w:p>
          <w:p w14:paraId="151320CD" w14:textId="77777777" w:rsidR="007170C3" w:rsidRPr="008819AF" w:rsidRDefault="00A32C9B" w:rsidP="0021052F">
            <w:pPr>
              <w:jc w:val="center"/>
              <w:rPr>
                <w:rFonts w:eastAsia="Arial"/>
                <w:lang w:bidi="cs-CZ"/>
              </w:rPr>
            </w:pPr>
            <w:r w:rsidRPr="008819AF">
              <w:rPr>
                <w:rFonts w:eastAsia="Arial"/>
                <w:lang w:bidi="cs-CZ"/>
              </w:rPr>
              <w:t>NZ</w:t>
            </w:r>
          </w:p>
          <w:p w14:paraId="151320CE" w14:textId="77777777" w:rsidR="007170C3" w:rsidRPr="008819AF" w:rsidRDefault="007170C3" w:rsidP="0021052F">
            <w:pPr>
              <w:jc w:val="center"/>
              <w:rPr>
                <w:rFonts w:eastAsia="Arial"/>
                <w:lang w:bidi="cs-CZ"/>
              </w:rPr>
            </w:pPr>
          </w:p>
          <w:p w14:paraId="151320CF" w14:textId="77777777" w:rsidR="007170C3" w:rsidRPr="008819AF" w:rsidRDefault="007170C3" w:rsidP="0021052F">
            <w:pPr>
              <w:jc w:val="center"/>
              <w:rPr>
                <w:rFonts w:eastAsia="Arial"/>
                <w:lang w:bidi="cs-CZ"/>
              </w:rPr>
            </w:pPr>
          </w:p>
          <w:p w14:paraId="151320D0" w14:textId="77777777" w:rsidR="007170C3" w:rsidRPr="008819AF" w:rsidRDefault="007170C3" w:rsidP="0021052F">
            <w:pPr>
              <w:jc w:val="center"/>
              <w:rPr>
                <w:rFonts w:eastAsia="Arial"/>
                <w:lang w:bidi="cs-CZ"/>
              </w:rPr>
            </w:pPr>
          </w:p>
          <w:p w14:paraId="151320D1" w14:textId="77777777" w:rsidR="00AE35FA" w:rsidRPr="008819AF" w:rsidRDefault="00AE35FA" w:rsidP="0021052F">
            <w:pPr>
              <w:jc w:val="center"/>
              <w:rPr>
                <w:rFonts w:eastAsia="Arial"/>
                <w:lang w:bidi="cs-CZ"/>
              </w:rPr>
            </w:pPr>
          </w:p>
          <w:p w14:paraId="151320D2" w14:textId="77777777" w:rsidR="00AE35FA" w:rsidRPr="008819AF" w:rsidRDefault="00AE35FA" w:rsidP="0021052F">
            <w:pPr>
              <w:jc w:val="center"/>
              <w:rPr>
                <w:rFonts w:eastAsia="Arial"/>
                <w:lang w:bidi="cs-CZ"/>
              </w:rPr>
            </w:pPr>
          </w:p>
          <w:p w14:paraId="151320D3" w14:textId="77777777" w:rsidR="007170C3" w:rsidRPr="008819AF" w:rsidRDefault="007170C3" w:rsidP="0021052F">
            <w:pPr>
              <w:jc w:val="center"/>
              <w:rPr>
                <w:rFonts w:eastAsia="Arial"/>
                <w:lang w:bidi="cs-CZ"/>
              </w:rPr>
            </w:pPr>
          </w:p>
          <w:p w14:paraId="151320D4" w14:textId="77777777" w:rsidR="007170C3" w:rsidRPr="008819AF" w:rsidRDefault="006F0418" w:rsidP="0021052F">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151320D5" w14:textId="77777777" w:rsidR="007170C3" w:rsidRPr="008819AF" w:rsidRDefault="006F0418" w:rsidP="0021052F">
            <w:pPr>
              <w:pStyle w:val="Textpsmene"/>
              <w:ind w:left="0" w:right="-70" w:firstLine="0"/>
              <w:jc w:val="center"/>
              <w:rPr>
                <w:rFonts w:ascii="Times New Roman" w:hAnsi="Times New Roman" w:cs="Times New Roman"/>
                <w:sz w:val="20"/>
                <w:szCs w:val="20"/>
              </w:rPr>
            </w:pPr>
            <w:r w:rsidRPr="008819AF">
              <w:rPr>
                <w:rFonts w:ascii="Times New Roman" w:hAnsi="Times New Roman" w:cs="Times New Roman"/>
                <w:sz w:val="20"/>
                <w:szCs w:val="20"/>
              </w:rPr>
              <w:lastRenderedPageBreak/>
              <w:t>§ 34</w:t>
            </w:r>
          </w:p>
          <w:p w14:paraId="151320D6" w14:textId="77777777" w:rsidR="007170C3" w:rsidRPr="008819AF" w:rsidRDefault="006F0418" w:rsidP="0021052F">
            <w:pPr>
              <w:pStyle w:val="Textpsmene"/>
              <w:ind w:left="0" w:right="-70" w:firstLine="0"/>
              <w:jc w:val="center"/>
              <w:rPr>
                <w:rFonts w:ascii="Times New Roman" w:hAnsi="Times New Roman" w:cs="Times New Roman"/>
                <w:sz w:val="20"/>
                <w:szCs w:val="20"/>
              </w:rPr>
            </w:pPr>
            <w:r w:rsidRPr="008819AF">
              <w:rPr>
                <w:rFonts w:ascii="Times New Roman" w:hAnsi="Times New Roman" w:cs="Times New Roman"/>
                <w:sz w:val="20"/>
                <w:szCs w:val="20"/>
              </w:rPr>
              <w:t>O 8</w:t>
            </w:r>
          </w:p>
          <w:p w14:paraId="151320D7" w14:textId="77777777" w:rsidR="007170C3" w:rsidRPr="008819AF" w:rsidRDefault="006F0418" w:rsidP="0021052F">
            <w:pPr>
              <w:pStyle w:val="Textpsmene"/>
              <w:ind w:left="0" w:right="-70" w:firstLine="0"/>
              <w:jc w:val="center"/>
              <w:rPr>
                <w:rFonts w:ascii="Times New Roman" w:hAnsi="Times New Roman" w:cs="Times New Roman"/>
                <w:sz w:val="20"/>
                <w:szCs w:val="20"/>
              </w:rPr>
            </w:pPr>
            <w:r w:rsidRPr="008819AF">
              <w:rPr>
                <w:rFonts w:ascii="Times New Roman" w:hAnsi="Times New Roman" w:cs="Times New Roman"/>
                <w:sz w:val="20"/>
                <w:szCs w:val="20"/>
              </w:rPr>
              <w:t>P a) a b)</w:t>
            </w:r>
          </w:p>
          <w:p w14:paraId="151320D8" w14:textId="77777777" w:rsidR="007170C3" w:rsidRPr="008819AF" w:rsidRDefault="007170C3" w:rsidP="0021052F">
            <w:pPr>
              <w:pStyle w:val="Textpsmene"/>
              <w:ind w:left="0" w:right="-70" w:firstLine="0"/>
              <w:jc w:val="center"/>
              <w:rPr>
                <w:rFonts w:ascii="Times New Roman" w:hAnsi="Times New Roman" w:cs="Times New Roman"/>
                <w:sz w:val="20"/>
                <w:szCs w:val="20"/>
              </w:rPr>
            </w:pPr>
          </w:p>
          <w:p w14:paraId="151320D9" w14:textId="77777777" w:rsidR="007170C3" w:rsidRPr="008819AF" w:rsidRDefault="007170C3" w:rsidP="0021052F">
            <w:pPr>
              <w:pStyle w:val="Textpsmene"/>
              <w:ind w:left="0" w:right="-70" w:firstLine="0"/>
              <w:jc w:val="center"/>
              <w:rPr>
                <w:rFonts w:ascii="Times New Roman" w:hAnsi="Times New Roman" w:cs="Times New Roman"/>
                <w:sz w:val="20"/>
                <w:szCs w:val="20"/>
              </w:rPr>
            </w:pPr>
          </w:p>
          <w:p w14:paraId="151320DA" w14:textId="77777777" w:rsidR="007170C3" w:rsidRPr="008819AF" w:rsidRDefault="007170C3" w:rsidP="0021052F">
            <w:pPr>
              <w:pStyle w:val="Textpsmene"/>
              <w:ind w:left="0" w:right="-70" w:firstLine="0"/>
              <w:jc w:val="center"/>
              <w:rPr>
                <w:rFonts w:ascii="Times New Roman" w:hAnsi="Times New Roman" w:cs="Times New Roman"/>
                <w:sz w:val="20"/>
                <w:szCs w:val="20"/>
              </w:rPr>
            </w:pPr>
          </w:p>
          <w:p w14:paraId="151320DB" w14:textId="77777777" w:rsidR="007170C3" w:rsidRPr="008819AF" w:rsidRDefault="007170C3" w:rsidP="0021052F">
            <w:pPr>
              <w:pStyle w:val="Textpsmene"/>
              <w:ind w:left="0" w:right="-70" w:firstLine="0"/>
              <w:jc w:val="center"/>
              <w:rPr>
                <w:rFonts w:ascii="Times New Roman" w:hAnsi="Times New Roman" w:cs="Times New Roman"/>
                <w:sz w:val="20"/>
                <w:szCs w:val="20"/>
              </w:rPr>
            </w:pPr>
          </w:p>
          <w:p w14:paraId="151320DC" w14:textId="77777777" w:rsidR="007170C3" w:rsidRPr="008819AF" w:rsidRDefault="007170C3" w:rsidP="0021052F">
            <w:pPr>
              <w:pStyle w:val="Textpsmene"/>
              <w:ind w:left="0" w:right="-70" w:firstLine="0"/>
              <w:jc w:val="center"/>
              <w:rPr>
                <w:rFonts w:ascii="Times New Roman" w:hAnsi="Times New Roman" w:cs="Times New Roman"/>
                <w:sz w:val="20"/>
                <w:szCs w:val="20"/>
              </w:rPr>
            </w:pPr>
          </w:p>
          <w:p w14:paraId="151320DD" w14:textId="77777777" w:rsidR="007170C3" w:rsidRPr="008819AF" w:rsidRDefault="007170C3" w:rsidP="0021052F">
            <w:pPr>
              <w:pStyle w:val="Textpsmene"/>
              <w:ind w:left="0" w:right="-70" w:firstLine="0"/>
              <w:jc w:val="center"/>
              <w:rPr>
                <w:rFonts w:ascii="Times New Roman" w:hAnsi="Times New Roman" w:cs="Times New Roman"/>
                <w:sz w:val="20"/>
                <w:szCs w:val="20"/>
              </w:rPr>
            </w:pPr>
          </w:p>
          <w:p w14:paraId="151320DE" w14:textId="77777777" w:rsidR="007170C3" w:rsidRPr="008819AF" w:rsidRDefault="007170C3" w:rsidP="0021052F">
            <w:pPr>
              <w:pStyle w:val="Textpsmene"/>
              <w:ind w:left="0" w:right="-70" w:firstLine="0"/>
              <w:jc w:val="center"/>
              <w:rPr>
                <w:rFonts w:ascii="Times New Roman" w:hAnsi="Times New Roman" w:cs="Times New Roman"/>
                <w:sz w:val="20"/>
                <w:szCs w:val="20"/>
              </w:rPr>
            </w:pPr>
          </w:p>
          <w:p w14:paraId="151320DF" w14:textId="77777777" w:rsidR="007170C3" w:rsidRPr="008819AF" w:rsidRDefault="007170C3" w:rsidP="0021052F">
            <w:pPr>
              <w:pStyle w:val="Textpsmene"/>
              <w:ind w:left="0" w:right="-70" w:firstLine="0"/>
              <w:jc w:val="center"/>
              <w:rPr>
                <w:rFonts w:ascii="Times New Roman" w:hAnsi="Times New Roman" w:cs="Times New Roman"/>
                <w:sz w:val="20"/>
                <w:szCs w:val="20"/>
              </w:rPr>
            </w:pPr>
          </w:p>
          <w:p w14:paraId="151320E0" w14:textId="77777777" w:rsidR="007170C3" w:rsidRPr="008819AF" w:rsidRDefault="007170C3" w:rsidP="0021052F">
            <w:pPr>
              <w:pStyle w:val="Textpsmene"/>
              <w:ind w:left="0" w:right="-70" w:firstLine="0"/>
              <w:jc w:val="center"/>
              <w:rPr>
                <w:rFonts w:ascii="Times New Roman" w:hAnsi="Times New Roman" w:cs="Times New Roman"/>
                <w:sz w:val="20"/>
                <w:szCs w:val="20"/>
              </w:rPr>
            </w:pPr>
          </w:p>
          <w:p w14:paraId="151320E1" w14:textId="77777777" w:rsidR="007170C3" w:rsidRPr="008819AF" w:rsidRDefault="007170C3" w:rsidP="0021052F">
            <w:pPr>
              <w:pStyle w:val="Textpsmene"/>
              <w:ind w:left="0" w:right="-70" w:firstLine="0"/>
              <w:jc w:val="center"/>
              <w:rPr>
                <w:rFonts w:ascii="Times New Roman" w:hAnsi="Times New Roman" w:cs="Times New Roman"/>
                <w:sz w:val="20"/>
                <w:szCs w:val="20"/>
              </w:rPr>
            </w:pPr>
          </w:p>
          <w:p w14:paraId="151320E2" w14:textId="77777777" w:rsidR="007170C3" w:rsidRPr="008819AF" w:rsidRDefault="00DB57E0" w:rsidP="0021052F">
            <w:pPr>
              <w:pStyle w:val="Textpsmene"/>
              <w:ind w:left="0" w:right="-70" w:firstLine="0"/>
              <w:jc w:val="center"/>
              <w:rPr>
                <w:rFonts w:ascii="Times New Roman" w:hAnsi="Times New Roman" w:cs="Times New Roman"/>
                <w:sz w:val="20"/>
                <w:szCs w:val="20"/>
              </w:rPr>
            </w:pPr>
            <w:r w:rsidRPr="008819AF">
              <w:rPr>
                <w:rFonts w:ascii="Times New Roman" w:hAnsi="Times New Roman" w:cs="Times New Roman"/>
                <w:sz w:val="20"/>
                <w:szCs w:val="20"/>
              </w:rPr>
              <w:t>§ 44</w:t>
            </w:r>
          </w:p>
          <w:p w14:paraId="151320E3" w14:textId="77777777" w:rsidR="007170C3" w:rsidRPr="008819AF" w:rsidRDefault="0050573B" w:rsidP="0021052F">
            <w:pPr>
              <w:pStyle w:val="Textpsmene"/>
              <w:ind w:left="0" w:right="-70" w:firstLine="0"/>
              <w:jc w:val="center"/>
              <w:rPr>
                <w:rFonts w:ascii="Times New Roman" w:hAnsi="Times New Roman" w:cs="Times New Roman"/>
                <w:sz w:val="20"/>
                <w:szCs w:val="20"/>
              </w:rPr>
            </w:pPr>
            <w:r w:rsidRPr="008819AF">
              <w:rPr>
                <w:rFonts w:ascii="Times New Roman" w:hAnsi="Times New Roman" w:cs="Times New Roman"/>
                <w:sz w:val="20"/>
                <w:szCs w:val="20"/>
              </w:rPr>
              <w:t>O 2</w:t>
            </w:r>
          </w:p>
          <w:p w14:paraId="151320E4" w14:textId="77777777" w:rsidR="007170C3" w:rsidRPr="008819AF" w:rsidRDefault="006F0418" w:rsidP="0021052F">
            <w:pPr>
              <w:pStyle w:val="Textpsmene"/>
              <w:ind w:left="0" w:right="-70" w:firstLine="0"/>
              <w:jc w:val="center"/>
              <w:rPr>
                <w:rFonts w:ascii="Times New Roman" w:hAnsi="Times New Roman" w:cs="Times New Roman"/>
                <w:sz w:val="20"/>
                <w:szCs w:val="20"/>
              </w:rPr>
            </w:pPr>
            <w:r w:rsidRPr="008819AF">
              <w:rPr>
                <w:rFonts w:ascii="Times New Roman" w:hAnsi="Times New Roman" w:cs="Times New Roman"/>
                <w:sz w:val="20"/>
                <w:szCs w:val="20"/>
              </w:rPr>
              <w:t>P c)</w:t>
            </w:r>
          </w:p>
          <w:p w14:paraId="151320E5" w14:textId="77777777" w:rsidR="007170C3" w:rsidRPr="008819AF" w:rsidRDefault="007170C3" w:rsidP="0021052F">
            <w:pPr>
              <w:pStyle w:val="Textpsmene"/>
              <w:ind w:left="0" w:right="-70" w:firstLine="0"/>
              <w:jc w:val="center"/>
              <w:rPr>
                <w:rFonts w:ascii="Times New Roman" w:hAnsi="Times New Roman" w:cs="Times New Roman"/>
                <w:sz w:val="20"/>
                <w:szCs w:val="20"/>
              </w:rPr>
            </w:pPr>
          </w:p>
          <w:p w14:paraId="151320E6" w14:textId="77777777" w:rsidR="007170C3" w:rsidRPr="008819AF" w:rsidRDefault="007170C3" w:rsidP="0021052F">
            <w:pPr>
              <w:pStyle w:val="Textpsmene"/>
              <w:ind w:left="0" w:right="-70" w:firstLine="0"/>
              <w:jc w:val="center"/>
              <w:rPr>
                <w:rFonts w:ascii="Times New Roman" w:hAnsi="Times New Roman" w:cs="Times New Roman"/>
                <w:sz w:val="20"/>
                <w:szCs w:val="20"/>
              </w:rPr>
            </w:pPr>
          </w:p>
          <w:p w14:paraId="151320E7" w14:textId="77777777" w:rsidR="00AE35FA" w:rsidRPr="008819AF" w:rsidRDefault="00AE35FA" w:rsidP="0021052F">
            <w:pPr>
              <w:pStyle w:val="Textpsmene"/>
              <w:ind w:left="0" w:right="-70" w:firstLine="0"/>
              <w:jc w:val="center"/>
              <w:rPr>
                <w:rFonts w:ascii="Times New Roman" w:hAnsi="Times New Roman" w:cs="Times New Roman"/>
                <w:sz w:val="20"/>
                <w:szCs w:val="20"/>
              </w:rPr>
            </w:pPr>
          </w:p>
          <w:p w14:paraId="151320E8" w14:textId="77777777" w:rsidR="00AE35FA" w:rsidRPr="008819AF" w:rsidRDefault="00AE35FA" w:rsidP="0021052F">
            <w:pPr>
              <w:pStyle w:val="Textpsmene"/>
              <w:ind w:left="0" w:right="-70" w:firstLine="0"/>
              <w:jc w:val="center"/>
              <w:rPr>
                <w:rFonts w:ascii="Times New Roman" w:hAnsi="Times New Roman" w:cs="Times New Roman"/>
                <w:sz w:val="20"/>
                <w:szCs w:val="20"/>
              </w:rPr>
            </w:pPr>
          </w:p>
          <w:p w14:paraId="151320E9" w14:textId="77777777" w:rsidR="00EB6011" w:rsidRPr="008819AF" w:rsidRDefault="00EB6011" w:rsidP="0021052F">
            <w:pPr>
              <w:pStyle w:val="Textpsmene"/>
              <w:ind w:left="0" w:right="-70" w:firstLine="0"/>
              <w:jc w:val="center"/>
              <w:rPr>
                <w:rFonts w:ascii="Times New Roman" w:hAnsi="Times New Roman" w:cs="Times New Roman"/>
                <w:sz w:val="20"/>
                <w:szCs w:val="20"/>
              </w:rPr>
            </w:pPr>
            <w:r w:rsidRPr="008819AF">
              <w:rPr>
                <w:rFonts w:ascii="Times New Roman" w:hAnsi="Times New Roman" w:cs="Times New Roman"/>
                <w:sz w:val="20"/>
                <w:szCs w:val="20"/>
              </w:rPr>
              <w:t>§14</w:t>
            </w:r>
          </w:p>
          <w:p w14:paraId="151320EA" w14:textId="77777777" w:rsidR="00EB6011" w:rsidRPr="008819AF" w:rsidRDefault="00EB6011" w:rsidP="0021052F">
            <w:pPr>
              <w:pStyle w:val="Textpsmene"/>
              <w:ind w:left="0" w:right="-70"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0EB" w14:textId="77777777" w:rsidR="00F00758" w:rsidRPr="008819AF" w:rsidRDefault="00F00758" w:rsidP="00F00758">
            <w:pPr>
              <w:pStyle w:val="Nra"/>
              <w:tabs>
                <w:tab w:val="left" w:pos="214"/>
              </w:tabs>
              <w:rPr>
                <w:rFonts w:ascii="Times New Roman" w:eastAsia="a*i*l" w:hAnsi="Times New Roman" w:cs="Times New Roman"/>
              </w:rPr>
            </w:pPr>
            <w:r w:rsidRPr="008819AF">
              <w:rPr>
                <w:rFonts w:ascii="Times New Roman" w:eastAsia="a*i*l" w:hAnsi="Times New Roman" w:cs="Times New Roman"/>
              </w:rPr>
              <w:lastRenderedPageBreak/>
              <w:t xml:space="preserve">Prevádzkovateľ veľkého spaľovacieho zariadenia je pri uvedených neštandardných prevádzkových stavoch a poruchách okrem povinností podľa odseku 7, povinný </w:t>
            </w:r>
          </w:p>
          <w:p w14:paraId="151320EC" w14:textId="77777777" w:rsidR="00F00758" w:rsidRPr="008819AF" w:rsidRDefault="00F00758" w:rsidP="009C63CF">
            <w:pPr>
              <w:pStyle w:val="Nra"/>
              <w:numPr>
                <w:ilvl w:val="0"/>
                <w:numId w:val="28"/>
              </w:numPr>
              <w:tabs>
                <w:tab w:val="left" w:pos="175"/>
              </w:tabs>
              <w:ind w:left="24" w:firstLine="151"/>
              <w:rPr>
                <w:rFonts w:ascii="Times New Roman" w:eastAsia="a*i*l" w:hAnsi="Times New Roman" w:cs="Times New Roman"/>
              </w:rPr>
            </w:pPr>
            <w:r w:rsidRPr="008819AF">
              <w:rPr>
                <w:rFonts w:ascii="Times New Roman" w:eastAsia="a*i*l" w:hAnsi="Times New Roman" w:cs="Times New Roman"/>
              </w:rPr>
              <w:t xml:space="preserve">znížiť výkon alebo zastaviť do 24 hodín prevádzku spaľovacieho zariadenia alebo jeho časti pri poruche alebo výpadku odlučovacieho zariadenia alebo prevádzkovať zariadenie s použitím nízkoemisného paliva na zabezpečenie dodržiavania emisného limitu; celkový čas trvania prevádzky pri poruche alebo výpadku odlučovacieho zariadenia nesmie počas žiadneho 12 mesačného obdobia prekročiť 120 h, </w:t>
            </w:r>
          </w:p>
          <w:p w14:paraId="151320ED" w14:textId="77777777" w:rsidR="00AE35FA" w:rsidRPr="008819AF" w:rsidRDefault="00F00758" w:rsidP="009C63CF">
            <w:pPr>
              <w:pStyle w:val="Nra"/>
              <w:numPr>
                <w:ilvl w:val="0"/>
                <w:numId w:val="28"/>
              </w:numPr>
              <w:tabs>
                <w:tab w:val="left" w:pos="175"/>
              </w:tabs>
              <w:ind w:left="24" w:firstLine="151"/>
              <w:rPr>
                <w:rFonts w:ascii="Times New Roman" w:eastAsia="a*i*l" w:hAnsi="Times New Roman" w:cs="Times New Roman"/>
              </w:rPr>
            </w:pPr>
            <w:r w:rsidRPr="008819AF">
              <w:rPr>
                <w:rFonts w:ascii="Times New Roman" w:eastAsia="a*i*l" w:hAnsi="Times New Roman" w:cs="Times New Roman"/>
              </w:rPr>
              <w:lastRenderedPageBreak/>
              <w:t>oznámiť do 48 hodín vznik poruchy alebo výpadok odlučovacieho zariadenia a dobu prevádzky v poruchovom stave okresné</w:t>
            </w:r>
            <w:r w:rsidR="00AE35FA" w:rsidRPr="008819AF">
              <w:rPr>
                <w:rFonts w:ascii="Times New Roman" w:eastAsia="a*i*l" w:hAnsi="Times New Roman" w:cs="Times New Roman"/>
              </w:rPr>
              <w:t>mu úradu a povoľujúcemu orgánu,</w:t>
            </w:r>
          </w:p>
          <w:p w14:paraId="151320EE" w14:textId="77777777" w:rsidR="00AE35FA" w:rsidRPr="008819AF" w:rsidRDefault="00AE35FA" w:rsidP="00AE35FA">
            <w:pPr>
              <w:pStyle w:val="Nra"/>
              <w:tabs>
                <w:tab w:val="left" w:pos="175"/>
              </w:tabs>
              <w:ind w:left="24"/>
              <w:rPr>
                <w:rFonts w:ascii="Times New Roman" w:eastAsia="a*i*l" w:hAnsi="Times New Roman" w:cs="Times New Roman"/>
              </w:rPr>
            </w:pPr>
          </w:p>
          <w:p w14:paraId="151320EF" w14:textId="77777777" w:rsidR="007170C3" w:rsidRPr="008819AF" w:rsidRDefault="006F0418" w:rsidP="00AE35FA">
            <w:pPr>
              <w:pStyle w:val="Nra"/>
              <w:tabs>
                <w:tab w:val="left" w:pos="175"/>
              </w:tabs>
              <w:ind w:left="24"/>
              <w:rPr>
                <w:rFonts w:ascii="Times New Roman" w:eastAsia="a*i*l" w:hAnsi="Times New Roman" w:cs="Times New Roman"/>
              </w:rPr>
            </w:pPr>
            <w:r w:rsidRPr="008819AF">
              <w:rPr>
                <w:rFonts w:ascii="Times New Roman" w:hAnsi="Times New Roman" w:cs="Times New Roman"/>
              </w:rPr>
              <w:t>Okresný úrad môže v konaní podľa odseku 1 písm. a) a c)</w:t>
            </w:r>
          </w:p>
          <w:p w14:paraId="151320F0" w14:textId="77777777" w:rsidR="007170C3" w:rsidRPr="008819AF" w:rsidRDefault="006F0418" w:rsidP="0021052F">
            <w:pPr>
              <w:pStyle w:val="Haig2"/>
              <w:ind w:left="0" w:firstLine="0"/>
              <w:jc w:val="left"/>
              <w:rPr>
                <w:rFonts w:ascii="Times New Roman" w:hAnsi="Times New Roman" w:cs="Times New Roman"/>
                <w:sz w:val="20"/>
                <w:szCs w:val="20"/>
              </w:rPr>
            </w:pPr>
            <w:r w:rsidRPr="008819AF">
              <w:rPr>
                <w:rFonts w:ascii="Times New Roman" w:hAnsi="Times New Roman" w:cs="Times New Roman"/>
                <w:sz w:val="20"/>
                <w:szCs w:val="20"/>
              </w:rPr>
              <w:t xml:space="preserve">c) </w:t>
            </w:r>
            <w:r w:rsidR="00F00758" w:rsidRPr="008819AF">
              <w:rPr>
                <w:rFonts w:ascii="Times New Roman" w:hAnsi="Times New Roman" w:cs="Times New Roman"/>
                <w:sz w:val="20"/>
                <w:szCs w:val="20"/>
              </w:rPr>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r w:rsidRPr="008819AF">
              <w:rPr>
                <w:rFonts w:ascii="Times New Roman" w:hAnsi="Times New Roman" w:cs="Times New Roman"/>
                <w:sz w:val="20"/>
                <w:szCs w:val="20"/>
              </w:rPr>
              <w:t>,</w:t>
            </w:r>
          </w:p>
          <w:p w14:paraId="151320F1" w14:textId="77777777" w:rsidR="00AE35FA" w:rsidRPr="008819AF" w:rsidRDefault="00AE35FA" w:rsidP="0021052F">
            <w:pPr>
              <w:pStyle w:val="Haig2"/>
              <w:ind w:left="0" w:firstLine="0"/>
              <w:jc w:val="left"/>
              <w:rPr>
                <w:rFonts w:ascii="Times New Roman" w:hAnsi="Times New Roman" w:cs="Times New Roman"/>
                <w:sz w:val="20"/>
                <w:szCs w:val="20"/>
              </w:rPr>
            </w:pPr>
          </w:p>
          <w:p w14:paraId="151320F2" w14:textId="77777777" w:rsidR="00EB6011" w:rsidRPr="008819AF" w:rsidRDefault="00EB6011" w:rsidP="00EB6011">
            <w:pPr>
              <w:pStyle w:val="Haig2"/>
              <w:ind w:left="0" w:firstLine="0"/>
              <w:jc w:val="left"/>
              <w:rPr>
                <w:rFonts w:ascii="Times New Roman" w:hAnsi="Times New Roman" w:cs="Times New Roman"/>
                <w:sz w:val="20"/>
                <w:szCs w:val="20"/>
              </w:rPr>
            </w:pPr>
            <w:r w:rsidRPr="008819AF">
              <w:rPr>
                <w:rFonts w:ascii="Times New Roman" w:hAnsi="Times New Roman" w:cs="Times New Roman"/>
                <w:sz w:val="20"/>
                <w:szCs w:val="20"/>
              </w:rPr>
              <w:t>Pri výpadku zariadenia na čistenie odpadových plynov možno prevádzkovať spaľovacie zariadenie len v súlade podmienkami ustanovenými v § 34 ods. 8 písm. a) zákona. Odchylne možno povoliť iný čas prevádzky, ak</w:t>
            </w:r>
          </w:p>
          <w:p w14:paraId="151320F3" w14:textId="77777777" w:rsidR="00EB6011" w:rsidRPr="008819AF" w:rsidRDefault="00EB6011" w:rsidP="00EB6011">
            <w:pPr>
              <w:pStyle w:val="Haig2"/>
              <w:ind w:left="0" w:firstLine="0"/>
              <w:jc w:val="left"/>
              <w:rPr>
                <w:rFonts w:ascii="Times New Roman" w:hAnsi="Times New Roman" w:cs="Times New Roman"/>
                <w:sz w:val="20"/>
                <w:szCs w:val="20"/>
              </w:rPr>
            </w:pPr>
            <w:r w:rsidRPr="008819AF">
              <w:rPr>
                <w:rFonts w:ascii="Times New Roman" w:hAnsi="Times New Roman" w:cs="Times New Roman"/>
                <w:sz w:val="20"/>
                <w:szCs w:val="20"/>
              </w:rPr>
              <w:t>a) preváži potreba zabezpečenia dodávky energie alebo</w:t>
            </w:r>
          </w:p>
          <w:p w14:paraId="151320F4" w14:textId="77777777" w:rsidR="00EB6011" w:rsidRPr="008819AF" w:rsidRDefault="00EB6011" w:rsidP="00EB6011">
            <w:pPr>
              <w:pStyle w:val="Haig2"/>
              <w:ind w:left="0" w:firstLine="0"/>
              <w:jc w:val="left"/>
              <w:rPr>
                <w:rFonts w:ascii="Times New Roman" w:hAnsi="Times New Roman" w:cs="Times New Roman"/>
                <w:sz w:val="20"/>
                <w:szCs w:val="20"/>
                <w:lang w:bidi="cs-CZ"/>
              </w:rPr>
            </w:pPr>
            <w:r w:rsidRPr="008819AF">
              <w:rPr>
                <w:rFonts w:ascii="Times New Roman" w:hAnsi="Times New Roman" w:cs="Times New Roman"/>
                <w:sz w:val="20"/>
                <w:szCs w:val="20"/>
              </w:rPr>
              <w:t>b) by odstavené spaľovacie zariadenie bolo na určitý čas nahradené iným zariadením, ktorého prevádzka by spôsobila celkové zvýšenie emisií.</w:t>
            </w:r>
          </w:p>
        </w:tc>
        <w:tc>
          <w:tcPr>
            <w:tcW w:w="429" w:type="dxa"/>
            <w:tcBorders>
              <w:top w:val="single" w:sz="4" w:space="0" w:color="000000"/>
              <w:left w:val="single" w:sz="6" w:space="0" w:color="000000"/>
              <w:bottom w:val="single" w:sz="4" w:space="0" w:color="000000"/>
              <w:right w:val="single" w:sz="6" w:space="0" w:color="000000"/>
            </w:tcBorders>
          </w:tcPr>
          <w:p w14:paraId="151320F5" w14:textId="77777777" w:rsidR="007170C3" w:rsidRPr="008819AF" w:rsidRDefault="006F0418" w:rsidP="0021052F">
            <w:pPr>
              <w:ind w:left="215" w:hanging="215"/>
              <w:rPr>
                <w:rFonts w:eastAsia="Arial"/>
                <w:lang w:bidi="cs-CZ"/>
              </w:rPr>
            </w:pPr>
            <w:r w:rsidRPr="008819AF">
              <w:rPr>
                <w:rFonts w:eastAsia="Arial"/>
                <w:lang w:bidi="cs-CZ"/>
              </w:rPr>
              <w:lastRenderedPageBreak/>
              <w:t>Ú</w:t>
            </w:r>
          </w:p>
          <w:p w14:paraId="151320F6" w14:textId="77777777" w:rsidR="007170C3" w:rsidRPr="008819AF" w:rsidRDefault="007170C3" w:rsidP="0021052F">
            <w:pPr>
              <w:ind w:left="215" w:hanging="215"/>
              <w:rPr>
                <w:rFonts w:eastAsia="Arial"/>
                <w:lang w:bidi="cs-CZ"/>
              </w:rPr>
            </w:pPr>
          </w:p>
          <w:p w14:paraId="151320F7" w14:textId="77777777" w:rsidR="007170C3" w:rsidRPr="008819AF" w:rsidRDefault="007170C3" w:rsidP="0021052F">
            <w:pPr>
              <w:ind w:left="215" w:hanging="215"/>
              <w:rPr>
                <w:rFonts w:eastAsia="Arial"/>
                <w:lang w:bidi="cs-CZ"/>
              </w:rPr>
            </w:pPr>
          </w:p>
          <w:p w14:paraId="151320F8" w14:textId="77777777" w:rsidR="007170C3" w:rsidRPr="008819AF" w:rsidRDefault="007170C3" w:rsidP="0021052F">
            <w:pPr>
              <w:ind w:left="215" w:hanging="215"/>
              <w:rPr>
                <w:rFonts w:eastAsia="Arial"/>
                <w:lang w:bidi="cs-CZ"/>
              </w:rPr>
            </w:pPr>
          </w:p>
          <w:p w14:paraId="151320F9" w14:textId="77777777" w:rsidR="007170C3" w:rsidRPr="008819AF" w:rsidRDefault="007170C3" w:rsidP="0021052F">
            <w:pPr>
              <w:ind w:left="215" w:hanging="215"/>
              <w:rPr>
                <w:rFonts w:eastAsia="Arial"/>
                <w:lang w:bidi="cs-CZ"/>
              </w:rPr>
            </w:pPr>
          </w:p>
          <w:p w14:paraId="151320FA" w14:textId="77777777" w:rsidR="007170C3" w:rsidRPr="008819AF" w:rsidRDefault="007170C3" w:rsidP="0021052F">
            <w:pPr>
              <w:ind w:left="215" w:hanging="215"/>
              <w:rPr>
                <w:rFonts w:eastAsia="Arial"/>
                <w:lang w:bidi="cs-CZ"/>
              </w:rPr>
            </w:pPr>
          </w:p>
          <w:p w14:paraId="151320FB" w14:textId="77777777" w:rsidR="007170C3" w:rsidRPr="008819AF" w:rsidRDefault="007170C3" w:rsidP="0021052F">
            <w:pPr>
              <w:ind w:left="215" w:hanging="215"/>
              <w:rPr>
                <w:rFonts w:eastAsia="Arial"/>
                <w:lang w:bidi="cs-CZ"/>
              </w:rPr>
            </w:pPr>
          </w:p>
          <w:p w14:paraId="151320FC" w14:textId="77777777" w:rsidR="007170C3" w:rsidRPr="008819AF" w:rsidRDefault="007170C3" w:rsidP="0021052F">
            <w:pPr>
              <w:ind w:left="215" w:hanging="215"/>
              <w:rPr>
                <w:rFonts w:eastAsia="Arial"/>
                <w:lang w:bidi="cs-CZ"/>
              </w:rPr>
            </w:pPr>
          </w:p>
          <w:p w14:paraId="151320FD" w14:textId="77777777" w:rsidR="007170C3" w:rsidRPr="008819AF" w:rsidRDefault="007170C3" w:rsidP="0021052F">
            <w:pPr>
              <w:ind w:left="215" w:hanging="215"/>
              <w:rPr>
                <w:rFonts w:eastAsia="Arial"/>
                <w:lang w:bidi="cs-CZ"/>
              </w:rPr>
            </w:pPr>
          </w:p>
          <w:p w14:paraId="151320FE" w14:textId="77777777" w:rsidR="007170C3" w:rsidRPr="008819AF" w:rsidRDefault="007170C3" w:rsidP="0021052F">
            <w:pPr>
              <w:ind w:left="215" w:hanging="215"/>
              <w:rPr>
                <w:rFonts w:eastAsia="Arial"/>
                <w:lang w:bidi="cs-CZ"/>
              </w:rPr>
            </w:pPr>
          </w:p>
          <w:p w14:paraId="151320FF" w14:textId="77777777" w:rsidR="007170C3" w:rsidRPr="008819AF" w:rsidRDefault="007170C3" w:rsidP="0021052F">
            <w:pPr>
              <w:ind w:left="215" w:hanging="215"/>
              <w:rPr>
                <w:rFonts w:eastAsia="Arial"/>
                <w:lang w:bidi="cs-CZ"/>
              </w:rPr>
            </w:pPr>
          </w:p>
          <w:p w14:paraId="15132100" w14:textId="77777777" w:rsidR="007170C3" w:rsidRPr="008819AF" w:rsidRDefault="007170C3" w:rsidP="0021052F">
            <w:pPr>
              <w:ind w:left="215" w:hanging="215"/>
              <w:rPr>
                <w:rFonts w:eastAsia="Arial"/>
                <w:lang w:bidi="cs-CZ"/>
              </w:rPr>
            </w:pPr>
          </w:p>
          <w:p w14:paraId="15132101" w14:textId="77777777" w:rsidR="007170C3" w:rsidRPr="008819AF" w:rsidRDefault="007170C3" w:rsidP="0021052F">
            <w:pPr>
              <w:ind w:left="215" w:hanging="215"/>
              <w:rPr>
                <w:rFonts w:eastAsia="Arial"/>
                <w:lang w:bidi="cs-CZ"/>
              </w:rPr>
            </w:pPr>
          </w:p>
          <w:p w14:paraId="15132102" w14:textId="77777777" w:rsidR="00AE35FA" w:rsidRPr="008819AF" w:rsidRDefault="00AE35FA" w:rsidP="0021052F">
            <w:pPr>
              <w:ind w:left="215" w:hanging="215"/>
              <w:rPr>
                <w:rFonts w:eastAsia="Arial"/>
                <w:lang w:bidi="cs-CZ"/>
              </w:rPr>
            </w:pPr>
          </w:p>
          <w:p w14:paraId="15132103" w14:textId="77777777" w:rsidR="007170C3" w:rsidRPr="008819AF" w:rsidRDefault="006F0418" w:rsidP="00AE35FA">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15132104" w14:textId="77777777" w:rsidR="007170C3" w:rsidRPr="008819AF" w:rsidRDefault="007170C3" w:rsidP="0021052F">
            <w:pPr>
              <w:ind w:left="215" w:hanging="215"/>
              <w:rPr>
                <w:rFonts w:eastAsia="Arial"/>
                <w:lang w:bidi="cs-CZ"/>
              </w:rPr>
            </w:pPr>
          </w:p>
        </w:tc>
      </w:tr>
      <w:tr w:rsidR="00F80158" w:rsidRPr="008819AF" w14:paraId="151322AB" w14:textId="77777777" w:rsidTr="003E351D">
        <w:trPr>
          <w:trHeight w:val="410"/>
          <w:jc w:val="center"/>
        </w:trPr>
        <w:tc>
          <w:tcPr>
            <w:tcW w:w="483" w:type="dxa"/>
            <w:tcBorders>
              <w:top w:val="single" w:sz="4" w:space="0" w:color="000000"/>
              <w:left w:val="single" w:sz="6" w:space="0" w:color="000000"/>
              <w:bottom w:val="single" w:sz="4" w:space="0" w:color="000000"/>
              <w:right w:val="single" w:sz="6" w:space="0" w:color="000000"/>
            </w:tcBorders>
          </w:tcPr>
          <w:p w14:paraId="15132106" w14:textId="77777777" w:rsidR="007170C3" w:rsidRPr="008819AF" w:rsidRDefault="006F0418" w:rsidP="003E351D">
            <w:pPr>
              <w:ind w:right="-70"/>
              <w:rPr>
                <w:rFonts w:eastAsia="Arial"/>
                <w:lang w:bidi="cs-CZ"/>
              </w:rPr>
            </w:pPr>
            <w:r w:rsidRPr="008819AF">
              <w:rPr>
                <w:rFonts w:eastAsia="Arial"/>
                <w:lang w:bidi="cs-CZ"/>
              </w:rPr>
              <w:t>Č:38</w:t>
            </w:r>
          </w:p>
        </w:tc>
        <w:tc>
          <w:tcPr>
            <w:tcW w:w="6227" w:type="dxa"/>
            <w:gridSpan w:val="2"/>
            <w:tcBorders>
              <w:top w:val="single" w:sz="4" w:space="0" w:color="000000"/>
              <w:left w:val="single" w:sz="6" w:space="0" w:color="000000"/>
              <w:bottom w:val="single" w:sz="4" w:space="0" w:color="000000"/>
              <w:right w:val="single" w:sz="6" w:space="0" w:color="000000"/>
            </w:tcBorders>
          </w:tcPr>
          <w:p w14:paraId="15132107" w14:textId="77777777" w:rsidR="007170C3" w:rsidRPr="008819AF" w:rsidRDefault="006F0418" w:rsidP="0021052F">
            <w:pPr>
              <w:ind w:left="215" w:hanging="215"/>
              <w:rPr>
                <w:rFonts w:eastAsia="Arial"/>
              </w:rPr>
            </w:pPr>
            <w:r w:rsidRPr="008819AF">
              <w:rPr>
                <w:rFonts w:eastAsia="Arial"/>
              </w:rPr>
              <w:t>Článok 38</w:t>
            </w:r>
          </w:p>
          <w:p w14:paraId="15132108" w14:textId="77777777" w:rsidR="007170C3" w:rsidRPr="008819AF" w:rsidRDefault="006F0418" w:rsidP="0021052F">
            <w:pPr>
              <w:ind w:left="215" w:hanging="215"/>
              <w:rPr>
                <w:rFonts w:eastAsia="Arial"/>
              </w:rPr>
            </w:pPr>
            <w:r w:rsidRPr="008819AF">
              <w:rPr>
                <w:rFonts w:eastAsia="Arial"/>
              </w:rPr>
              <w:t>Monitorovanie emisií do ovzdušia</w:t>
            </w:r>
          </w:p>
          <w:p w14:paraId="15132109" w14:textId="77777777" w:rsidR="007170C3" w:rsidRPr="008819AF" w:rsidRDefault="007170C3" w:rsidP="0021052F">
            <w:pPr>
              <w:ind w:left="215" w:hanging="215"/>
              <w:rPr>
                <w:rFonts w:eastAsia="Arial"/>
              </w:rPr>
            </w:pPr>
          </w:p>
          <w:p w14:paraId="1513210A" w14:textId="77777777" w:rsidR="007170C3" w:rsidRPr="008819AF" w:rsidRDefault="006F0418" w:rsidP="0021052F">
            <w:pPr>
              <w:ind w:left="215" w:hanging="215"/>
              <w:rPr>
                <w:rFonts w:eastAsia="Arial"/>
              </w:rPr>
            </w:pPr>
            <w:r w:rsidRPr="008819AF">
              <w:rPr>
                <w:rFonts w:eastAsia="Arial"/>
              </w:rPr>
              <w:t>1. Členské štáty zabezpečia, že monitorovanie látok znečisťujúcich ovzdušie sa vykonáva v súlade s prílohou V časť 3.</w:t>
            </w:r>
          </w:p>
          <w:p w14:paraId="1513210B" w14:textId="77777777" w:rsidR="007170C3" w:rsidRPr="008819AF" w:rsidRDefault="007170C3" w:rsidP="0021052F">
            <w:pPr>
              <w:ind w:left="215" w:hanging="215"/>
              <w:rPr>
                <w:rFonts w:eastAsia="Arial"/>
              </w:rPr>
            </w:pPr>
          </w:p>
          <w:p w14:paraId="1513210C" w14:textId="77777777" w:rsidR="007170C3" w:rsidRPr="008819AF" w:rsidRDefault="007170C3" w:rsidP="0021052F">
            <w:pPr>
              <w:ind w:left="215" w:hanging="215"/>
              <w:rPr>
                <w:rFonts w:eastAsia="Arial"/>
              </w:rPr>
            </w:pPr>
          </w:p>
          <w:p w14:paraId="1513210D" w14:textId="77777777" w:rsidR="007170C3" w:rsidRPr="008819AF" w:rsidRDefault="007170C3" w:rsidP="0021052F">
            <w:pPr>
              <w:ind w:left="215" w:hanging="215"/>
              <w:rPr>
                <w:rFonts w:eastAsia="Arial"/>
              </w:rPr>
            </w:pPr>
          </w:p>
          <w:p w14:paraId="1513210E" w14:textId="77777777" w:rsidR="007170C3" w:rsidRPr="008819AF" w:rsidRDefault="007170C3" w:rsidP="0021052F">
            <w:pPr>
              <w:ind w:left="215" w:hanging="215"/>
              <w:rPr>
                <w:rFonts w:eastAsia="Arial"/>
              </w:rPr>
            </w:pPr>
          </w:p>
          <w:p w14:paraId="1513210F" w14:textId="77777777" w:rsidR="007170C3" w:rsidRPr="008819AF" w:rsidRDefault="007170C3" w:rsidP="0021052F">
            <w:pPr>
              <w:ind w:left="215" w:hanging="215"/>
              <w:rPr>
                <w:rFonts w:eastAsia="Arial"/>
              </w:rPr>
            </w:pPr>
          </w:p>
          <w:p w14:paraId="15132110" w14:textId="77777777" w:rsidR="007170C3" w:rsidRPr="008819AF" w:rsidRDefault="007170C3" w:rsidP="0021052F">
            <w:pPr>
              <w:ind w:left="215" w:hanging="215"/>
              <w:rPr>
                <w:rFonts w:eastAsia="Arial"/>
              </w:rPr>
            </w:pPr>
          </w:p>
          <w:p w14:paraId="15132111" w14:textId="77777777" w:rsidR="007170C3" w:rsidRPr="008819AF" w:rsidRDefault="007170C3" w:rsidP="0021052F">
            <w:pPr>
              <w:ind w:left="215" w:hanging="215"/>
              <w:rPr>
                <w:rFonts w:eastAsia="Arial"/>
              </w:rPr>
            </w:pPr>
          </w:p>
          <w:p w14:paraId="15132112" w14:textId="77777777" w:rsidR="007170C3" w:rsidRPr="008819AF" w:rsidRDefault="007170C3" w:rsidP="0021052F">
            <w:pPr>
              <w:ind w:left="215" w:hanging="215"/>
              <w:rPr>
                <w:rFonts w:eastAsia="Arial"/>
              </w:rPr>
            </w:pPr>
          </w:p>
          <w:p w14:paraId="15132113" w14:textId="77777777" w:rsidR="007170C3" w:rsidRPr="008819AF" w:rsidRDefault="007170C3" w:rsidP="0021052F">
            <w:pPr>
              <w:ind w:left="215" w:hanging="215"/>
              <w:rPr>
                <w:rFonts w:eastAsia="Arial"/>
              </w:rPr>
            </w:pPr>
          </w:p>
          <w:p w14:paraId="15132114" w14:textId="77777777" w:rsidR="007170C3" w:rsidRPr="008819AF" w:rsidRDefault="007170C3" w:rsidP="0021052F">
            <w:pPr>
              <w:ind w:left="215" w:hanging="215"/>
              <w:rPr>
                <w:rFonts w:eastAsia="Arial"/>
              </w:rPr>
            </w:pPr>
          </w:p>
          <w:p w14:paraId="15132115" w14:textId="77777777" w:rsidR="007170C3" w:rsidRPr="008819AF" w:rsidRDefault="007170C3" w:rsidP="0021052F">
            <w:pPr>
              <w:ind w:left="215" w:hanging="215"/>
              <w:rPr>
                <w:rFonts w:eastAsia="Arial"/>
              </w:rPr>
            </w:pPr>
          </w:p>
          <w:p w14:paraId="15132116" w14:textId="77777777" w:rsidR="007170C3" w:rsidRPr="008819AF" w:rsidRDefault="007170C3" w:rsidP="0021052F">
            <w:pPr>
              <w:ind w:left="215" w:hanging="215"/>
              <w:rPr>
                <w:rFonts w:eastAsia="Arial"/>
              </w:rPr>
            </w:pPr>
          </w:p>
          <w:p w14:paraId="15132117" w14:textId="77777777" w:rsidR="007170C3" w:rsidRPr="008819AF" w:rsidRDefault="007170C3" w:rsidP="0021052F">
            <w:pPr>
              <w:ind w:left="215" w:hanging="215"/>
              <w:rPr>
                <w:rFonts w:eastAsia="Arial"/>
              </w:rPr>
            </w:pPr>
          </w:p>
          <w:p w14:paraId="15132118" w14:textId="77777777" w:rsidR="007170C3" w:rsidRPr="008819AF" w:rsidRDefault="007170C3" w:rsidP="0021052F">
            <w:pPr>
              <w:ind w:left="215" w:hanging="215"/>
              <w:rPr>
                <w:rFonts w:eastAsia="Arial"/>
              </w:rPr>
            </w:pPr>
          </w:p>
          <w:p w14:paraId="15132119" w14:textId="77777777" w:rsidR="00F00758" w:rsidRPr="008819AF" w:rsidRDefault="00F00758" w:rsidP="0021052F">
            <w:pPr>
              <w:ind w:left="215" w:hanging="215"/>
              <w:rPr>
                <w:rFonts w:eastAsia="Arial"/>
              </w:rPr>
            </w:pPr>
          </w:p>
          <w:p w14:paraId="1513211A" w14:textId="77777777" w:rsidR="00F00758" w:rsidRPr="008819AF" w:rsidRDefault="00F00758" w:rsidP="0021052F">
            <w:pPr>
              <w:ind w:left="215" w:hanging="215"/>
              <w:rPr>
                <w:rFonts w:eastAsia="Arial"/>
              </w:rPr>
            </w:pPr>
          </w:p>
          <w:p w14:paraId="1513211B" w14:textId="77777777" w:rsidR="00F00758" w:rsidRPr="008819AF" w:rsidRDefault="00F00758" w:rsidP="0021052F">
            <w:pPr>
              <w:ind w:left="215" w:hanging="215"/>
              <w:rPr>
                <w:rFonts w:eastAsia="Arial"/>
              </w:rPr>
            </w:pPr>
          </w:p>
          <w:p w14:paraId="1513211C" w14:textId="77777777" w:rsidR="00F00758" w:rsidRPr="008819AF" w:rsidRDefault="00F00758" w:rsidP="0021052F">
            <w:pPr>
              <w:ind w:left="215" w:hanging="215"/>
              <w:rPr>
                <w:rFonts w:eastAsia="Arial"/>
              </w:rPr>
            </w:pPr>
          </w:p>
          <w:p w14:paraId="1513211D" w14:textId="77777777" w:rsidR="00F00758" w:rsidRPr="008819AF" w:rsidRDefault="00F00758" w:rsidP="0021052F">
            <w:pPr>
              <w:ind w:left="215" w:hanging="215"/>
              <w:rPr>
                <w:rFonts w:eastAsia="Arial"/>
              </w:rPr>
            </w:pPr>
          </w:p>
          <w:p w14:paraId="1513211E" w14:textId="77777777" w:rsidR="00F00758" w:rsidRPr="008819AF" w:rsidRDefault="00F00758" w:rsidP="0021052F">
            <w:pPr>
              <w:ind w:left="215" w:hanging="215"/>
              <w:rPr>
                <w:rFonts w:eastAsia="Arial"/>
              </w:rPr>
            </w:pPr>
          </w:p>
          <w:p w14:paraId="1513211F" w14:textId="77777777" w:rsidR="007170C3" w:rsidRPr="008819AF" w:rsidRDefault="007170C3" w:rsidP="0021052F">
            <w:pPr>
              <w:ind w:left="215" w:hanging="215"/>
              <w:rPr>
                <w:rFonts w:eastAsia="Arial"/>
              </w:rPr>
            </w:pPr>
          </w:p>
          <w:p w14:paraId="15132120" w14:textId="77777777" w:rsidR="00EB6011" w:rsidRPr="008819AF" w:rsidRDefault="00EB6011" w:rsidP="0021052F">
            <w:pPr>
              <w:ind w:left="215" w:hanging="215"/>
              <w:rPr>
                <w:rFonts w:eastAsia="Arial"/>
              </w:rPr>
            </w:pPr>
          </w:p>
          <w:p w14:paraId="15132121" w14:textId="77777777" w:rsidR="007170C3" w:rsidRPr="008819AF" w:rsidRDefault="007170C3" w:rsidP="0021052F">
            <w:pPr>
              <w:ind w:left="215" w:hanging="215"/>
              <w:rPr>
                <w:rFonts w:eastAsia="Arial"/>
              </w:rPr>
            </w:pPr>
          </w:p>
          <w:p w14:paraId="15132122" w14:textId="77777777" w:rsidR="007170C3" w:rsidRPr="008819AF" w:rsidRDefault="006F0418" w:rsidP="0021052F">
            <w:pPr>
              <w:ind w:left="215" w:hanging="215"/>
              <w:rPr>
                <w:rFonts w:eastAsia="Arial"/>
              </w:rPr>
            </w:pPr>
            <w:r w:rsidRPr="008819AF">
              <w:rPr>
                <w:rFonts w:eastAsia="Arial"/>
              </w:rPr>
              <w:t>2. Inštalácia a činnosť automatizovaného monitorovacieho zariadenia sú predmetom kontroly a každoročného preskúšania podľa prílohy V časť 3.</w:t>
            </w:r>
          </w:p>
          <w:p w14:paraId="15132123" w14:textId="77777777" w:rsidR="00F00758" w:rsidRPr="008819AF" w:rsidRDefault="00F00758" w:rsidP="0021052F">
            <w:pPr>
              <w:ind w:left="215" w:hanging="215"/>
              <w:rPr>
                <w:rFonts w:eastAsia="Arial"/>
              </w:rPr>
            </w:pPr>
          </w:p>
          <w:p w14:paraId="15132124" w14:textId="77777777" w:rsidR="00EA4F94" w:rsidRPr="008819AF" w:rsidRDefault="00EA4F94" w:rsidP="0021052F">
            <w:pPr>
              <w:ind w:left="215" w:hanging="215"/>
              <w:rPr>
                <w:rFonts w:eastAsia="Arial"/>
              </w:rPr>
            </w:pPr>
          </w:p>
          <w:p w14:paraId="15132125" w14:textId="77777777" w:rsidR="007170C3" w:rsidRPr="008819AF" w:rsidRDefault="006F0418" w:rsidP="0021052F">
            <w:pPr>
              <w:ind w:left="215" w:hanging="215"/>
              <w:rPr>
                <w:rFonts w:eastAsia="Arial"/>
              </w:rPr>
            </w:pPr>
            <w:r w:rsidRPr="008819AF">
              <w:rPr>
                <w:rFonts w:eastAsia="Arial"/>
              </w:rPr>
              <w:t>3. Polohu miest odberu vzoriek alebo meracích miest, ktoré sa majú používať na monitorovanie emisií, určí príslušný orgán.</w:t>
            </w:r>
          </w:p>
          <w:p w14:paraId="15132126" w14:textId="77777777" w:rsidR="00EA4F94" w:rsidRPr="008819AF" w:rsidRDefault="00EA4F94" w:rsidP="0021052F">
            <w:pPr>
              <w:ind w:left="215" w:hanging="215"/>
              <w:rPr>
                <w:rFonts w:eastAsia="Arial"/>
              </w:rPr>
            </w:pPr>
          </w:p>
          <w:p w14:paraId="15132127" w14:textId="77777777" w:rsidR="00EA4F94" w:rsidRPr="008819AF" w:rsidRDefault="00EA4F94" w:rsidP="0021052F">
            <w:pPr>
              <w:ind w:left="215" w:hanging="215"/>
              <w:rPr>
                <w:rFonts w:eastAsia="Arial"/>
              </w:rPr>
            </w:pPr>
          </w:p>
          <w:p w14:paraId="15132128" w14:textId="77777777" w:rsidR="00EA4F94" w:rsidRPr="008819AF" w:rsidRDefault="00EA4F94" w:rsidP="0021052F">
            <w:pPr>
              <w:ind w:left="215" w:hanging="215"/>
              <w:rPr>
                <w:rFonts w:eastAsia="Arial"/>
              </w:rPr>
            </w:pPr>
          </w:p>
          <w:p w14:paraId="15132129" w14:textId="77777777" w:rsidR="00EA4F94" w:rsidRPr="008819AF" w:rsidRDefault="00EA4F94" w:rsidP="0021052F">
            <w:pPr>
              <w:ind w:left="215" w:hanging="215"/>
              <w:rPr>
                <w:rFonts w:eastAsia="Arial"/>
              </w:rPr>
            </w:pPr>
          </w:p>
          <w:p w14:paraId="1513212A" w14:textId="77777777" w:rsidR="00EA4F94" w:rsidRPr="008819AF" w:rsidRDefault="00EA4F94" w:rsidP="0021052F">
            <w:pPr>
              <w:ind w:left="215" w:hanging="215"/>
              <w:rPr>
                <w:rFonts w:eastAsia="Arial"/>
              </w:rPr>
            </w:pPr>
          </w:p>
          <w:p w14:paraId="1513212B" w14:textId="77777777" w:rsidR="00EA4F94" w:rsidRPr="008819AF" w:rsidRDefault="00EA4F94" w:rsidP="0021052F">
            <w:pPr>
              <w:ind w:left="215" w:hanging="215"/>
              <w:rPr>
                <w:rFonts w:eastAsia="Arial"/>
              </w:rPr>
            </w:pPr>
          </w:p>
          <w:p w14:paraId="1513212C" w14:textId="77777777" w:rsidR="00EA4F94" w:rsidRPr="008819AF" w:rsidRDefault="00EA4F94" w:rsidP="0021052F">
            <w:pPr>
              <w:ind w:left="215" w:hanging="215"/>
              <w:rPr>
                <w:rFonts w:eastAsia="Arial"/>
              </w:rPr>
            </w:pPr>
          </w:p>
          <w:p w14:paraId="1513212D" w14:textId="77777777" w:rsidR="00EA4F94" w:rsidRPr="008819AF" w:rsidRDefault="00EA4F94" w:rsidP="0021052F">
            <w:pPr>
              <w:ind w:left="215" w:hanging="215"/>
              <w:rPr>
                <w:rFonts w:eastAsia="Arial"/>
              </w:rPr>
            </w:pPr>
          </w:p>
          <w:p w14:paraId="1513212E" w14:textId="77777777" w:rsidR="00EA4F94" w:rsidRPr="008819AF" w:rsidRDefault="00EA4F94" w:rsidP="0021052F">
            <w:pPr>
              <w:ind w:left="215" w:hanging="215"/>
              <w:rPr>
                <w:rFonts w:eastAsia="Arial"/>
              </w:rPr>
            </w:pPr>
          </w:p>
          <w:p w14:paraId="1513212F" w14:textId="77777777" w:rsidR="00EA4F94" w:rsidRPr="008819AF" w:rsidRDefault="00EA4F94" w:rsidP="0021052F">
            <w:pPr>
              <w:ind w:left="215" w:hanging="215"/>
              <w:rPr>
                <w:rFonts w:eastAsia="Arial"/>
              </w:rPr>
            </w:pPr>
          </w:p>
          <w:p w14:paraId="15132130" w14:textId="77777777" w:rsidR="00EA4F94" w:rsidRPr="008819AF" w:rsidRDefault="00EA4F94" w:rsidP="0021052F">
            <w:pPr>
              <w:ind w:left="215" w:hanging="215"/>
              <w:rPr>
                <w:rFonts w:eastAsia="Arial"/>
              </w:rPr>
            </w:pPr>
          </w:p>
          <w:p w14:paraId="15132131" w14:textId="77777777" w:rsidR="00EA4F94" w:rsidRPr="008819AF" w:rsidRDefault="00EA4F94" w:rsidP="0021052F">
            <w:pPr>
              <w:ind w:left="215" w:hanging="215"/>
              <w:rPr>
                <w:rFonts w:eastAsia="Arial"/>
              </w:rPr>
            </w:pPr>
          </w:p>
          <w:p w14:paraId="15132132" w14:textId="77777777" w:rsidR="00EA4F94" w:rsidRPr="008819AF" w:rsidRDefault="00EA4F94" w:rsidP="0021052F">
            <w:pPr>
              <w:ind w:left="215" w:hanging="215"/>
              <w:rPr>
                <w:rFonts w:eastAsia="Arial"/>
              </w:rPr>
            </w:pPr>
          </w:p>
          <w:p w14:paraId="15132133" w14:textId="77777777" w:rsidR="00EA4F94" w:rsidRPr="008819AF" w:rsidRDefault="00EA4F94" w:rsidP="0021052F">
            <w:pPr>
              <w:ind w:left="215" w:hanging="215"/>
              <w:rPr>
                <w:rFonts w:eastAsia="Arial"/>
              </w:rPr>
            </w:pPr>
          </w:p>
          <w:p w14:paraId="15132134" w14:textId="77777777" w:rsidR="00EA4F94" w:rsidRPr="008819AF" w:rsidRDefault="00EA4F94" w:rsidP="0021052F">
            <w:pPr>
              <w:ind w:left="215" w:hanging="215"/>
              <w:rPr>
                <w:rFonts w:eastAsia="Arial"/>
              </w:rPr>
            </w:pPr>
          </w:p>
          <w:p w14:paraId="15132135" w14:textId="77777777" w:rsidR="00EA4F94" w:rsidRPr="008819AF" w:rsidRDefault="00EA4F94" w:rsidP="0021052F">
            <w:pPr>
              <w:ind w:left="215" w:hanging="215"/>
              <w:rPr>
                <w:rFonts w:eastAsia="Arial"/>
              </w:rPr>
            </w:pPr>
          </w:p>
          <w:p w14:paraId="15132136" w14:textId="77777777" w:rsidR="00E5212C" w:rsidRPr="008819AF" w:rsidRDefault="00E5212C" w:rsidP="0021052F">
            <w:pPr>
              <w:ind w:left="215" w:hanging="215"/>
              <w:rPr>
                <w:rFonts w:eastAsia="Arial"/>
              </w:rPr>
            </w:pPr>
          </w:p>
          <w:p w14:paraId="15132137" w14:textId="77777777" w:rsidR="00E5212C" w:rsidRPr="008819AF" w:rsidRDefault="00E5212C" w:rsidP="0021052F">
            <w:pPr>
              <w:ind w:left="215" w:hanging="215"/>
              <w:rPr>
                <w:rFonts w:eastAsia="Arial"/>
              </w:rPr>
            </w:pPr>
          </w:p>
          <w:p w14:paraId="15132138" w14:textId="77777777" w:rsidR="00E5212C" w:rsidRPr="008819AF" w:rsidRDefault="00E5212C" w:rsidP="0021052F">
            <w:pPr>
              <w:ind w:left="215" w:hanging="215"/>
              <w:rPr>
                <w:rFonts w:eastAsia="Arial"/>
              </w:rPr>
            </w:pPr>
          </w:p>
          <w:p w14:paraId="15132139" w14:textId="77777777" w:rsidR="00E5212C" w:rsidRPr="008819AF" w:rsidRDefault="00E5212C" w:rsidP="0021052F">
            <w:pPr>
              <w:ind w:left="215" w:hanging="215"/>
              <w:rPr>
                <w:rFonts w:eastAsia="Arial"/>
              </w:rPr>
            </w:pPr>
          </w:p>
          <w:p w14:paraId="1513213A" w14:textId="77777777" w:rsidR="00E5212C" w:rsidRPr="008819AF" w:rsidRDefault="00E5212C" w:rsidP="0021052F">
            <w:pPr>
              <w:ind w:left="215" w:hanging="215"/>
              <w:rPr>
                <w:rFonts w:eastAsia="Arial"/>
              </w:rPr>
            </w:pPr>
          </w:p>
          <w:p w14:paraId="1513213B" w14:textId="77777777" w:rsidR="00E5212C" w:rsidRPr="008819AF" w:rsidRDefault="00E5212C" w:rsidP="0021052F">
            <w:pPr>
              <w:ind w:left="215" w:hanging="215"/>
              <w:rPr>
                <w:rFonts w:eastAsia="Arial"/>
              </w:rPr>
            </w:pPr>
          </w:p>
          <w:p w14:paraId="1513213C" w14:textId="77777777" w:rsidR="00E5212C" w:rsidRPr="008819AF" w:rsidRDefault="00E5212C" w:rsidP="0021052F">
            <w:pPr>
              <w:ind w:left="215" w:hanging="215"/>
              <w:rPr>
                <w:rFonts w:eastAsia="Arial"/>
              </w:rPr>
            </w:pPr>
          </w:p>
          <w:p w14:paraId="1513213D" w14:textId="77777777" w:rsidR="00E5212C" w:rsidRPr="008819AF" w:rsidRDefault="00E5212C" w:rsidP="0021052F">
            <w:pPr>
              <w:ind w:left="215" w:hanging="215"/>
              <w:rPr>
                <w:rFonts w:eastAsia="Arial"/>
              </w:rPr>
            </w:pPr>
          </w:p>
          <w:p w14:paraId="1513213E" w14:textId="77777777" w:rsidR="00E5212C" w:rsidRPr="008819AF" w:rsidRDefault="00E5212C" w:rsidP="0021052F">
            <w:pPr>
              <w:ind w:left="215" w:hanging="215"/>
              <w:rPr>
                <w:rFonts w:eastAsia="Arial"/>
              </w:rPr>
            </w:pPr>
          </w:p>
          <w:p w14:paraId="1513213F" w14:textId="77777777" w:rsidR="00E5212C" w:rsidRPr="008819AF" w:rsidRDefault="00E5212C" w:rsidP="0021052F">
            <w:pPr>
              <w:ind w:left="215" w:hanging="215"/>
              <w:rPr>
                <w:rFonts w:eastAsia="Arial"/>
              </w:rPr>
            </w:pPr>
          </w:p>
          <w:p w14:paraId="15132140" w14:textId="77777777" w:rsidR="00E5212C" w:rsidRPr="008819AF" w:rsidRDefault="00E5212C" w:rsidP="0021052F">
            <w:pPr>
              <w:ind w:left="215" w:hanging="215"/>
              <w:rPr>
                <w:rFonts w:eastAsia="Arial"/>
              </w:rPr>
            </w:pPr>
          </w:p>
          <w:p w14:paraId="15132141" w14:textId="77777777" w:rsidR="00E5212C" w:rsidRPr="008819AF" w:rsidRDefault="00E5212C" w:rsidP="0021052F">
            <w:pPr>
              <w:ind w:left="215" w:hanging="215"/>
              <w:rPr>
                <w:rFonts w:eastAsia="Arial"/>
              </w:rPr>
            </w:pPr>
          </w:p>
          <w:p w14:paraId="15132142" w14:textId="77777777" w:rsidR="00E5212C" w:rsidRPr="008819AF" w:rsidRDefault="00E5212C" w:rsidP="0021052F">
            <w:pPr>
              <w:ind w:left="215" w:hanging="215"/>
              <w:rPr>
                <w:rFonts w:eastAsia="Arial"/>
              </w:rPr>
            </w:pPr>
          </w:p>
          <w:p w14:paraId="15132143" w14:textId="77777777" w:rsidR="00E5212C" w:rsidRPr="008819AF" w:rsidRDefault="00E5212C" w:rsidP="0021052F">
            <w:pPr>
              <w:ind w:left="215" w:hanging="215"/>
              <w:rPr>
                <w:rFonts w:eastAsia="Arial"/>
              </w:rPr>
            </w:pPr>
          </w:p>
          <w:p w14:paraId="15132144" w14:textId="77777777" w:rsidR="00E5212C" w:rsidRPr="008819AF" w:rsidRDefault="00E5212C" w:rsidP="0021052F">
            <w:pPr>
              <w:ind w:left="215" w:hanging="215"/>
              <w:rPr>
                <w:rFonts w:eastAsia="Arial"/>
              </w:rPr>
            </w:pPr>
          </w:p>
          <w:p w14:paraId="15132145" w14:textId="77777777" w:rsidR="00E5212C" w:rsidRPr="008819AF" w:rsidRDefault="00E5212C" w:rsidP="0021052F">
            <w:pPr>
              <w:ind w:left="215" w:hanging="215"/>
              <w:rPr>
                <w:rFonts w:eastAsia="Arial"/>
              </w:rPr>
            </w:pPr>
          </w:p>
          <w:p w14:paraId="15132146" w14:textId="77777777" w:rsidR="00E5212C" w:rsidRPr="008819AF" w:rsidRDefault="00E5212C" w:rsidP="0021052F">
            <w:pPr>
              <w:ind w:left="215" w:hanging="215"/>
              <w:rPr>
                <w:rFonts w:eastAsia="Arial"/>
              </w:rPr>
            </w:pPr>
          </w:p>
          <w:p w14:paraId="15132147" w14:textId="77777777" w:rsidR="00E5212C" w:rsidRPr="008819AF" w:rsidRDefault="00E5212C" w:rsidP="0021052F">
            <w:pPr>
              <w:ind w:left="215" w:hanging="215"/>
              <w:rPr>
                <w:rFonts w:eastAsia="Arial"/>
              </w:rPr>
            </w:pPr>
          </w:p>
          <w:p w14:paraId="15132148" w14:textId="77777777" w:rsidR="00E5212C" w:rsidRPr="008819AF" w:rsidRDefault="00E5212C" w:rsidP="0021052F">
            <w:pPr>
              <w:ind w:left="215" w:hanging="215"/>
              <w:rPr>
                <w:rFonts w:eastAsia="Arial"/>
              </w:rPr>
            </w:pPr>
          </w:p>
          <w:p w14:paraId="15132149" w14:textId="77777777" w:rsidR="00E5212C" w:rsidRPr="008819AF" w:rsidRDefault="00E5212C" w:rsidP="0021052F">
            <w:pPr>
              <w:ind w:left="215" w:hanging="215"/>
              <w:rPr>
                <w:rFonts w:eastAsia="Arial"/>
              </w:rPr>
            </w:pPr>
          </w:p>
          <w:p w14:paraId="1513214A" w14:textId="77777777" w:rsidR="00E5212C" w:rsidRPr="008819AF" w:rsidRDefault="00E5212C" w:rsidP="0021052F">
            <w:pPr>
              <w:ind w:left="215" w:hanging="215"/>
              <w:rPr>
                <w:rFonts w:eastAsia="Arial"/>
              </w:rPr>
            </w:pPr>
          </w:p>
          <w:p w14:paraId="1513214B" w14:textId="77777777" w:rsidR="00E5212C" w:rsidRPr="008819AF" w:rsidRDefault="00E5212C" w:rsidP="0021052F">
            <w:pPr>
              <w:ind w:left="215" w:hanging="215"/>
              <w:rPr>
                <w:rFonts w:eastAsia="Arial"/>
              </w:rPr>
            </w:pPr>
          </w:p>
          <w:p w14:paraId="1513214C" w14:textId="77777777" w:rsidR="00E5212C" w:rsidRPr="008819AF" w:rsidRDefault="00E5212C" w:rsidP="0021052F">
            <w:pPr>
              <w:ind w:left="215" w:hanging="215"/>
              <w:rPr>
                <w:rFonts w:eastAsia="Arial"/>
              </w:rPr>
            </w:pPr>
          </w:p>
          <w:p w14:paraId="1513214D" w14:textId="77777777" w:rsidR="00E5212C" w:rsidRPr="008819AF" w:rsidRDefault="00E5212C" w:rsidP="0021052F">
            <w:pPr>
              <w:ind w:left="215" w:hanging="215"/>
              <w:rPr>
                <w:rFonts w:eastAsia="Arial"/>
              </w:rPr>
            </w:pPr>
          </w:p>
          <w:p w14:paraId="1513214E" w14:textId="77777777" w:rsidR="00E5212C" w:rsidRPr="008819AF" w:rsidRDefault="00E5212C" w:rsidP="0021052F">
            <w:pPr>
              <w:ind w:left="215" w:hanging="215"/>
              <w:rPr>
                <w:rFonts w:eastAsia="Arial"/>
              </w:rPr>
            </w:pPr>
          </w:p>
          <w:p w14:paraId="1513214F" w14:textId="77777777" w:rsidR="00E5212C" w:rsidRPr="008819AF" w:rsidRDefault="00E5212C" w:rsidP="0021052F">
            <w:pPr>
              <w:ind w:left="215" w:hanging="215"/>
              <w:rPr>
                <w:rFonts w:eastAsia="Arial"/>
              </w:rPr>
            </w:pPr>
          </w:p>
          <w:p w14:paraId="15132150" w14:textId="77777777" w:rsidR="00E5212C" w:rsidRPr="008819AF" w:rsidRDefault="00E5212C" w:rsidP="0021052F">
            <w:pPr>
              <w:ind w:left="215" w:hanging="215"/>
              <w:rPr>
                <w:rFonts w:eastAsia="Arial"/>
              </w:rPr>
            </w:pPr>
          </w:p>
          <w:p w14:paraId="15132151" w14:textId="77777777" w:rsidR="00E5212C" w:rsidRPr="008819AF" w:rsidRDefault="00E5212C" w:rsidP="0021052F">
            <w:pPr>
              <w:ind w:left="215" w:hanging="215"/>
              <w:rPr>
                <w:rFonts w:eastAsia="Arial"/>
              </w:rPr>
            </w:pPr>
          </w:p>
          <w:p w14:paraId="15132152" w14:textId="77777777" w:rsidR="00E5212C" w:rsidRPr="008819AF" w:rsidRDefault="00E5212C" w:rsidP="0021052F">
            <w:pPr>
              <w:ind w:left="215" w:hanging="215"/>
              <w:rPr>
                <w:rFonts w:eastAsia="Arial"/>
              </w:rPr>
            </w:pPr>
          </w:p>
          <w:p w14:paraId="15132153" w14:textId="77777777" w:rsidR="00E5212C" w:rsidRPr="008819AF" w:rsidRDefault="00E5212C" w:rsidP="0021052F">
            <w:pPr>
              <w:ind w:left="215" w:hanging="215"/>
              <w:rPr>
                <w:rFonts w:eastAsia="Arial"/>
              </w:rPr>
            </w:pPr>
          </w:p>
          <w:p w14:paraId="15132154" w14:textId="77777777" w:rsidR="00E5212C" w:rsidRPr="008819AF" w:rsidRDefault="00E5212C" w:rsidP="0021052F">
            <w:pPr>
              <w:ind w:left="215" w:hanging="215"/>
              <w:rPr>
                <w:rFonts w:eastAsia="Arial"/>
              </w:rPr>
            </w:pPr>
          </w:p>
          <w:p w14:paraId="15132155" w14:textId="77777777" w:rsidR="00E5212C" w:rsidRPr="008819AF" w:rsidRDefault="00E5212C" w:rsidP="0021052F">
            <w:pPr>
              <w:ind w:left="215" w:hanging="215"/>
              <w:rPr>
                <w:rFonts w:eastAsia="Arial"/>
              </w:rPr>
            </w:pPr>
          </w:p>
          <w:p w14:paraId="15132156" w14:textId="77777777" w:rsidR="00E5212C" w:rsidRPr="008819AF" w:rsidRDefault="00E5212C" w:rsidP="0021052F">
            <w:pPr>
              <w:ind w:left="215" w:hanging="215"/>
              <w:rPr>
                <w:rFonts w:eastAsia="Arial"/>
              </w:rPr>
            </w:pPr>
          </w:p>
          <w:p w14:paraId="15132157" w14:textId="77777777" w:rsidR="00E5212C" w:rsidRPr="008819AF" w:rsidRDefault="00E5212C" w:rsidP="0021052F">
            <w:pPr>
              <w:ind w:left="215" w:hanging="215"/>
              <w:rPr>
                <w:rFonts w:eastAsia="Arial"/>
              </w:rPr>
            </w:pPr>
          </w:p>
          <w:p w14:paraId="15132158" w14:textId="77777777" w:rsidR="00E5212C" w:rsidRPr="008819AF" w:rsidRDefault="00E5212C" w:rsidP="0021052F">
            <w:pPr>
              <w:ind w:left="215" w:hanging="215"/>
              <w:rPr>
                <w:rFonts w:eastAsia="Arial"/>
              </w:rPr>
            </w:pPr>
          </w:p>
          <w:p w14:paraId="15132159" w14:textId="77777777" w:rsidR="00E5212C" w:rsidRPr="008819AF" w:rsidRDefault="00E5212C" w:rsidP="0021052F">
            <w:pPr>
              <w:ind w:left="215" w:hanging="215"/>
              <w:rPr>
                <w:rFonts w:eastAsia="Arial"/>
              </w:rPr>
            </w:pPr>
          </w:p>
          <w:p w14:paraId="1513215A" w14:textId="77777777" w:rsidR="00E5212C" w:rsidRPr="008819AF" w:rsidRDefault="00E5212C" w:rsidP="0021052F">
            <w:pPr>
              <w:ind w:left="215" w:hanging="215"/>
              <w:rPr>
                <w:rFonts w:eastAsia="Arial"/>
              </w:rPr>
            </w:pPr>
          </w:p>
          <w:p w14:paraId="1513215B" w14:textId="77777777" w:rsidR="00E5212C" w:rsidRPr="008819AF" w:rsidRDefault="00E5212C" w:rsidP="0021052F">
            <w:pPr>
              <w:ind w:left="215" w:hanging="215"/>
              <w:rPr>
                <w:rFonts w:eastAsia="Arial"/>
              </w:rPr>
            </w:pPr>
          </w:p>
          <w:p w14:paraId="1513215C" w14:textId="77777777" w:rsidR="00E5212C" w:rsidRPr="008819AF" w:rsidRDefault="00E5212C" w:rsidP="0021052F">
            <w:pPr>
              <w:ind w:left="215" w:hanging="215"/>
              <w:rPr>
                <w:rFonts w:eastAsia="Arial"/>
              </w:rPr>
            </w:pPr>
          </w:p>
          <w:p w14:paraId="1513215D" w14:textId="77777777" w:rsidR="00E5212C" w:rsidRPr="008819AF" w:rsidRDefault="00E5212C" w:rsidP="0021052F">
            <w:pPr>
              <w:ind w:left="215" w:hanging="215"/>
              <w:rPr>
                <w:rFonts w:eastAsia="Arial"/>
              </w:rPr>
            </w:pPr>
          </w:p>
          <w:p w14:paraId="1513215E" w14:textId="77777777" w:rsidR="00E5212C" w:rsidRPr="008819AF" w:rsidRDefault="00E5212C" w:rsidP="0021052F">
            <w:pPr>
              <w:ind w:left="215" w:hanging="215"/>
              <w:rPr>
                <w:rFonts w:eastAsia="Arial"/>
              </w:rPr>
            </w:pPr>
          </w:p>
          <w:p w14:paraId="1513215F" w14:textId="77777777" w:rsidR="00E5212C" w:rsidRPr="008819AF" w:rsidRDefault="00E5212C" w:rsidP="0021052F">
            <w:pPr>
              <w:ind w:left="215" w:hanging="215"/>
              <w:rPr>
                <w:rFonts w:eastAsia="Arial"/>
              </w:rPr>
            </w:pPr>
          </w:p>
          <w:p w14:paraId="15132160" w14:textId="77777777" w:rsidR="00E5212C" w:rsidRPr="008819AF" w:rsidRDefault="00E5212C" w:rsidP="0021052F">
            <w:pPr>
              <w:ind w:left="215" w:hanging="215"/>
              <w:rPr>
                <w:rFonts w:eastAsia="Arial"/>
              </w:rPr>
            </w:pPr>
          </w:p>
          <w:p w14:paraId="15132161" w14:textId="77777777" w:rsidR="007170C3" w:rsidRPr="008819AF" w:rsidRDefault="006F0418" w:rsidP="0021052F">
            <w:pPr>
              <w:ind w:left="215" w:hanging="215"/>
              <w:rPr>
                <w:rFonts w:eastAsia="Arial"/>
              </w:rPr>
            </w:pPr>
            <w:r w:rsidRPr="008819AF">
              <w:rPr>
                <w:rFonts w:eastAsia="Arial"/>
              </w:rPr>
              <w:t>4. Všetky výsledky monitorovania sa zaznamenávajú, spracovávajú a prezentujú tak, aby príslušný orgán mohol kontrolovať dodržiavanie prevádzkových podmienok a emisných limitov uvedených v povolení.</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162" w14:textId="77777777" w:rsidR="007170C3" w:rsidRPr="008819AF" w:rsidRDefault="006F0418" w:rsidP="0021052F">
            <w:pPr>
              <w:ind w:left="215" w:hanging="215"/>
              <w:jc w:val="center"/>
              <w:rPr>
                <w:rFonts w:eastAsia="Arial"/>
                <w:lang w:bidi="cs-CZ"/>
              </w:rPr>
            </w:pPr>
            <w:r w:rsidRPr="008819AF">
              <w:rPr>
                <w:rFonts w:eastAsia="Arial"/>
                <w:lang w:bidi="cs-CZ"/>
              </w:rPr>
              <w:lastRenderedPageBreak/>
              <w:t>N</w:t>
            </w:r>
          </w:p>
          <w:p w14:paraId="15132163" w14:textId="77777777" w:rsidR="007170C3" w:rsidRPr="008819AF" w:rsidRDefault="007170C3" w:rsidP="0021052F">
            <w:pPr>
              <w:ind w:left="215" w:hanging="215"/>
              <w:jc w:val="center"/>
              <w:rPr>
                <w:rFonts w:eastAsia="Arial"/>
                <w:lang w:bidi="cs-CZ"/>
              </w:rPr>
            </w:pPr>
          </w:p>
          <w:p w14:paraId="15132164" w14:textId="77777777" w:rsidR="007170C3" w:rsidRPr="008819AF" w:rsidRDefault="007170C3" w:rsidP="0021052F">
            <w:pPr>
              <w:ind w:left="215" w:hanging="215"/>
              <w:jc w:val="center"/>
              <w:rPr>
                <w:rFonts w:eastAsia="Arial"/>
                <w:lang w:bidi="cs-CZ"/>
              </w:rPr>
            </w:pPr>
          </w:p>
          <w:p w14:paraId="15132165" w14:textId="77777777" w:rsidR="007170C3" w:rsidRPr="008819AF" w:rsidRDefault="007170C3" w:rsidP="0021052F">
            <w:pPr>
              <w:ind w:left="215" w:hanging="215"/>
              <w:jc w:val="center"/>
              <w:rPr>
                <w:rFonts w:eastAsia="Arial"/>
                <w:lang w:bidi="cs-CZ"/>
              </w:rPr>
            </w:pPr>
          </w:p>
          <w:p w14:paraId="15132166" w14:textId="77777777" w:rsidR="007170C3" w:rsidRPr="008819AF" w:rsidRDefault="007170C3" w:rsidP="0021052F">
            <w:pPr>
              <w:ind w:left="215" w:hanging="215"/>
              <w:jc w:val="center"/>
              <w:rPr>
                <w:rFonts w:eastAsia="Arial"/>
                <w:lang w:bidi="cs-CZ"/>
              </w:rPr>
            </w:pPr>
          </w:p>
          <w:p w14:paraId="15132167" w14:textId="77777777" w:rsidR="007170C3" w:rsidRPr="008819AF" w:rsidRDefault="007170C3" w:rsidP="0021052F">
            <w:pPr>
              <w:ind w:left="215" w:hanging="215"/>
              <w:jc w:val="center"/>
              <w:rPr>
                <w:rFonts w:eastAsia="Arial"/>
                <w:lang w:bidi="cs-CZ"/>
              </w:rPr>
            </w:pPr>
          </w:p>
          <w:p w14:paraId="15132168" w14:textId="77777777" w:rsidR="007170C3" w:rsidRPr="008819AF" w:rsidRDefault="007170C3" w:rsidP="0021052F">
            <w:pPr>
              <w:ind w:left="215" w:hanging="215"/>
              <w:jc w:val="center"/>
              <w:rPr>
                <w:rFonts w:eastAsia="Arial"/>
                <w:lang w:bidi="cs-CZ"/>
              </w:rPr>
            </w:pPr>
          </w:p>
          <w:p w14:paraId="15132169" w14:textId="77777777" w:rsidR="007170C3" w:rsidRPr="008819AF" w:rsidRDefault="007170C3" w:rsidP="0021052F">
            <w:pPr>
              <w:ind w:left="215" w:hanging="215"/>
              <w:jc w:val="center"/>
              <w:rPr>
                <w:rFonts w:eastAsia="Arial"/>
                <w:lang w:bidi="cs-CZ"/>
              </w:rPr>
            </w:pPr>
          </w:p>
          <w:p w14:paraId="1513216A" w14:textId="77777777" w:rsidR="007170C3" w:rsidRPr="008819AF" w:rsidRDefault="007170C3" w:rsidP="0021052F">
            <w:pPr>
              <w:ind w:left="215" w:hanging="215"/>
              <w:jc w:val="center"/>
              <w:rPr>
                <w:rFonts w:eastAsia="Arial"/>
                <w:lang w:bidi="cs-CZ"/>
              </w:rPr>
            </w:pPr>
          </w:p>
          <w:p w14:paraId="1513216B" w14:textId="77777777" w:rsidR="007170C3" w:rsidRPr="008819AF" w:rsidRDefault="007170C3" w:rsidP="0021052F">
            <w:pPr>
              <w:ind w:left="215" w:hanging="215"/>
              <w:jc w:val="center"/>
              <w:rPr>
                <w:rFonts w:eastAsia="Arial"/>
                <w:lang w:bidi="cs-CZ"/>
              </w:rPr>
            </w:pPr>
          </w:p>
          <w:p w14:paraId="1513216C" w14:textId="77777777" w:rsidR="007170C3" w:rsidRPr="008819AF" w:rsidRDefault="007170C3" w:rsidP="0021052F">
            <w:pPr>
              <w:ind w:left="215" w:hanging="215"/>
              <w:jc w:val="center"/>
              <w:rPr>
                <w:rFonts w:eastAsia="Arial"/>
                <w:lang w:bidi="cs-CZ"/>
              </w:rPr>
            </w:pPr>
          </w:p>
          <w:p w14:paraId="1513216D" w14:textId="77777777" w:rsidR="007170C3" w:rsidRPr="008819AF" w:rsidRDefault="007170C3" w:rsidP="0021052F">
            <w:pPr>
              <w:ind w:left="215" w:hanging="215"/>
              <w:jc w:val="center"/>
              <w:rPr>
                <w:rFonts w:eastAsia="Arial"/>
                <w:lang w:bidi="cs-CZ"/>
              </w:rPr>
            </w:pPr>
          </w:p>
          <w:p w14:paraId="1513216E" w14:textId="77777777" w:rsidR="007170C3" w:rsidRPr="008819AF" w:rsidRDefault="007170C3" w:rsidP="0021052F">
            <w:pPr>
              <w:ind w:left="215" w:hanging="215"/>
              <w:jc w:val="center"/>
              <w:rPr>
                <w:rFonts w:eastAsia="Arial"/>
                <w:lang w:bidi="cs-CZ"/>
              </w:rPr>
            </w:pPr>
          </w:p>
          <w:p w14:paraId="1513216F" w14:textId="77777777" w:rsidR="007170C3" w:rsidRPr="008819AF" w:rsidRDefault="007170C3" w:rsidP="0021052F">
            <w:pPr>
              <w:ind w:left="215" w:hanging="215"/>
              <w:jc w:val="center"/>
              <w:rPr>
                <w:rFonts w:eastAsia="Arial"/>
                <w:lang w:bidi="cs-CZ"/>
              </w:rPr>
            </w:pPr>
          </w:p>
          <w:p w14:paraId="15132170" w14:textId="77777777" w:rsidR="007170C3" w:rsidRPr="008819AF" w:rsidRDefault="007170C3" w:rsidP="0021052F">
            <w:pPr>
              <w:ind w:left="215" w:hanging="215"/>
              <w:jc w:val="center"/>
              <w:rPr>
                <w:rFonts w:eastAsia="Arial"/>
                <w:lang w:bidi="cs-CZ"/>
              </w:rPr>
            </w:pPr>
          </w:p>
          <w:p w14:paraId="15132171" w14:textId="77777777" w:rsidR="007170C3" w:rsidRPr="008819AF" w:rsidRDefault="007170C3" w:rsidP="0021052F">
            <w:pPr>
              <w:ind w:left="215" w:hanging="215"/>
              <w:jc w:val="center"/>
              <w:rPr>
                <w:rFonts w:eastAsia="Arial"/>
                <w:lang w:bidi="cs-CZ"/>
              </w:rPr>
            </w:pPr>
          </w:p>
          <w:p w14:paraId="15132172" w14:textId="77777777" w:rsidR="007170C3" w:rsidRPr="008819AF" w:rsidRDefault="007170C3" w:rsidP="0021052F">
            <w:pPr>
              <w:ind w:left="215" w:hanging="215"/>
              <w:jc w:val="center"/>
              <w:rPr>
                <w:rFonts w:eastAsia="Arial"/>
                <w:lang w:bidi="cs-CZ"/>
              </w:rPr>
            </w:pPr>
          </w:p>
          <w:p w14:paraId="15132173" w14:textId="77777777" w:rsidR="007170C3" w:rsidRPr="008819AF" w:rsidRDefault="007170C3" w:rsidP="0021052F">
            <w:pPr>
              <w:ind w:left="215" w:hanging="215"/>
              <w:jc w:val="center"/>
              <w:rPr>
                <w:rFonts w:eastAsia="Arial"/>
                <w:lang w:bidi="cs-CZ"/>
              </w:rPr>
            </w:pPr>
          </w:p>
          <w:p w14:paraId="15132174" w14:textId="77777777" w:rsidR="007170C3" w:rsidRPr="008819AF" w:rsidRDefault="007170C3" w:rsidP="0021052F">
            <w:pPr>
              <w:ind w:left="215" w:hanging="215"/>
              <w:jc w:val="center"/>
              <w:rPr>
                <w:rFonts w:eastAsia="Arial"/>
                <w:lang w:bidi="cs-CZ"/>
              </w:rPr>
            </w:pPr>
          </w:p>
          <w:p w14:paraId="15132175" w14:textId="77777777" w:rsidR="007170C3" w:rsidRPr="008819AF" w:rsidRDefault="007170C3" w:rsidP="0021052F">
            <w:pPr>
              <w:ind w:left="215" w:hanging="215"/>
              <w:jc w:val="center"/>
              <w:rPr>
                <w:rFonts w:eastAsia="Arial"/>
                <w:lang w:bidi="cs-CZ"/>
              </w:rPr>
            </w:pPr>
          </w:p>
          <w:p w14:paraId="15132176" w14:textId="77777777" w:rsidR="007170C3" w:rsidRPr="008819AF" w:rsidRDefault="007170C3" w:rsidP="0021052F">
            <w:pPr>
              <w:ind w:left="215" w:hanging="215"/>
              <w:jc w:val="center"/>
              <w:rPr>
                <w:rFonts w:eastAsia="Arial"/>
                <w:lang w:bidi="cs-CZ"/>
              </w:rPr>
            </w:pPr>
          </w:p>
          <w:p w14:paraId="15132177" w14:textId="77777777" w:rsidR="007170C3" w:rsidRPr="008819AF" w:rsidRDefault="007170C3" w:rsidP="0021052F">
            <w:pPr>
              <w:ind w:left="215" w:hanging="215"/>
              <w:jc w:val="center"/>
              <w:rPr>
                <w:rFonts w:eastAsia="Arial"/>
                <w:lang w:bidi="cs-CZ"/>
              </w:rPr>
            </w:pPr>
          </w:p>
          <w:p w14:paraId="15132178" w14:textId="77777777" w:rsidR="007170C3" w:rsidRPr="008819AF" w:rsidRDefault="007170C3" w:rsidP="0021052F">
            <w:pPr>
              <w:ind w:left="215" w:hanging="215"/>
              <w:jc w:val="center"/>
              <w:rPr>
                <w:rFonts w:eastAsia="Arial"/>
                <w:lang w:bidi="cs-CZ"/>
              </w:rPr>
            </w:pPr>
          </w:p>
          <w:p w14:paraId="15132179" w14:textId="77777777" w:rsidR="007170C3" w:rsidRPr="008819AF" w:rsidRDefault="007170C3" w:rsidP="0021052F">
            <w:pPr>
              <w:ind w:left="215" w:hanging="215"/>
              <w:jc w:val="center"/>
              <w:rPr>
                <w:rFonts w:eastAsia="Arial"/>
                <w:lang w:bidi="cs-CZ"/>
              </w:rPr>
            </w:pPr>
          </w:p>
          <w:p w14:paraId="1513217A" w14:textId="77777777" w:rsidR="007170C3" w:rsidRPr="008819AF" w:rsidRDefault="007170C3"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17B" w14:textId="77777777" w:rsidR="007170C3" w:rsidRPr="008819AF" w:rsidRDefault="00A32C9B" w:rsidP="0021052F">
            <w:pPr>
              <w:jc w:val="center"/>
              <w:rPr>
                <w:rFonts w:eastAsia="Arial"/>
                <w:lang w:bidi="cs-CZ"/>
              </w:rPr>
            </w:pPr>
            <w:r w:rsidRPr="008819AF">
              <w:rPr>
                <w:rFonts w:eastAsia="Arial"/>
                <w:lang w:bidi="cs-CZ"/>
              </w:rPr>
              <w:lastRenderedPageBreak/>
              <w:t>NZ</w:t>
            </w:r>
          </w:p>
          <w:p w14:paraId="1513217C" w14:textId="77777777" w:rsidR="007170C3" w:rsidRPr="008819AF" w:rsidRDefault="007170C3" w:rsidP="0021052F">
            <w:pPr>
              <w:ind w:left="215" w:hanging="215"/>
              <w:jc w:val="center"/>
              <w:rPr>
                <w:rFonts w:eastAsia="Arial"/>
                <w:lang w:bidi="cs-CZ"/>
              </w:rPr>
            </w:pPr>
          </w:p>
          <w:p w14:paraId="1513217D" w14:textId="77777777" w:rsidR="007170C3" w:rsidRPr="008819AF" w:rsidRDefault="007170C3" w:rsidP="0021052F">
            <w:pPr>
              <w:ind w:left="215" w:hanging="215"/>
              <w:jc w:val="center"/>
              <w:rPr>
                <w:rFonts w:eastAsia="Arial"/>
                <w:lang w:bidi="cs-CZ"/>
              </w:rPr>
            </w:pPr>
          </w:p>
          <w:p w14:paraId="1513217E" w14:textId="77777777" w:rsidR="007170C3" w:rsidRPr="008819AF" w:rsidRDefault="007170C3" w:rsidP="0021052F">
            <w:pPr>
              <w:ind w:left="215" w:hanging="215"/>
              <w:jc w:val="center"/>
              <w:rPr>
                <w:rFonts w:eastAsia="Arial"/>
                <w:lang w:bidi="cs-CZ"/>
              </w:rPr>
            </w:pPr>
          </w:p>
          <w:p w14:paraId="1513217F" w14:textId="77777777" w:rsidR="007170C3" w:rsidRPr="008819AF" w:rsidRDefault="007170C3" w:rsidP="0021052F">
            <w:pPr>
              <w:ind w:left="215" w:hanging="215"/>
              <w:jc w:val="center"/>
              <w:rPr>
                <w:rFonts w:eastAsia="Arial"/>
                <w:lang w:bidi="cs-CZ"/>
              </w:rPr>
            </w:pPr>
          </w:p>
          <w:p w14:paraId="15132180" w14:textId="77777777" w:rsidR="007170C3" w:rsidRPr="008819AF" w:rsidRDefault="007170C3" w:rsidP="0021052F">
            <w:pPr>
              <w:ind w:left="215" w:hanging="215"/>
              <w:jc w:val="center"/>
              <w:rPr>
                <w:rFonts w:eastAsia="Arial"/>
                <w:lang w:bidi="cs-CZ"/>
              </w:rPr>
            </w:pPr>
          </w:p>
          <w:p w14:paraId="15132181" w14:textId="77777777" w:rsidR="007170C3" w:rsidRPr="008819AF" w:rsidRDefault="007170C3" w:rsidP="0021052F">
            <w:pPr>
              <w:ind w:left="215" w:hanging="215"/>
              <w:jc w:val="center"/>
              <w:rPr>
                <w:rFonts w:eastAsia="Arial"/>
                <w:lang w:bidi="cs-CZ"/>
              </w:rPr>
            </w:pPr>
          </w:p>
          <w:p w14:paraId="15132182" w14:textId="77777777" w:rsidR="007170C3" w:rsidRPr="008819AF" w:rsidRDefault="007170C3" w:rsidP="0021052F">
            <w:pPr>
              <w:ind w:left="215" w:hanging="215"/>
              <w:jc w:val="center"/>
              <w:rPr>
                <w:rFonts w:eastAsia="Arial"/>
                <w:lang w:bidi="cs-CZ"/>
              </w:rPr>
            </w:pPr>
          </w:p>
          <w:p w14:paraId="15132183" w14:textId="77777777" w:rsidR="00AE35FA" w:rsidRPr="008819AF" w:rsidRDefault="00AE35FA" w:rsidP="0021052F">
            <w:pPr>
              <w:ind w:left="215" w:hanging="215"/>
              <w:jc w:val="center"/>
              <w:rPr>
                <w:rFonts w:eastAsia="Arial"/>
                <w:lang w:bidi="cs-CZ"/>
              </w:rPr>
            </w:pPr>
          </w:p>
          <w:p w14:paraId="15132184" w14:textId="77777777" w:rsidR="007170C3" w:rsidRPr="008819AF" w:rsidRDefault="00A32C9B" w:rsidP="0021052F">
            <w:pPr>
              <w:jc w:val="center"/>
              <w:rPr>
                <w:rFonts w:eastAsia="Arial"/>
                <w:lang w:bidi="cs-CZ"/>
              </w:rPr>
            </w:pPr>
            <w:r w:rsidRPr="008819AF">
              <w:rPr>
                <w:rFonts w:eastAsia="Arial"/>
                <w:lang w:bidi="cs-CZ"/>
              </w:rPr>
              <w:t>NZ</w:t>
            </w:r>
          </w:p>
          <w:p w14:paraId="15132185" w14:textId="77777777" w:rsidR="007170C3" w:rsidRPr="008819AF" w:rsidRDefault="007170C3" w:rsidP="0021052F">
            <w:pPr>
              <w:ind w:left="215" w:hanging="215"/>
              <w:jc w:val="center"/>
              <w:rPr>
                <w:rFonts w:eastAsia="Arial"/>
                <w:lang w:bidi="cs-CZ"/>
              </w:rPr>
            </w:pPr>
          </w:p>
          <w:p w14:paraId="15132186" w14:textId="77777777" w:rsidR="007170C3" w:rsidRPr="008819AF" w:rsidRDefault="007170C3" w:rsidP="0021052F">
            <w:pPr>
              <w:ind w:left="215" w:hanging="215"/>
              <w:jc w:val="center"/>
              <w:rPr>
                <w:rFonts w:eastAsia="Arial"/>
                <w:lang w:bidi="cs-CZ"/>
              </w:rPr>
            </w:pPr>
          </w:p>
          <w:p w14:paraId="15132187" w14:textId="77777777" w:rsidR="007170C3" w:rsidRPr="008819AF" w:rsidRDefault="007170C3" w:rsidP="0021052F">
            <w:pPr>
              <w:ind w:left="215" w:hanging="215"/>
              <w:jc w:val="center"/>
              <w:rPr>
                <w:rFonts w:eastAsia="Arial"/>
                <w:lang w:bidi="cs-CZ"/>
              </w:rPr>
            </w:pPr>
          </w:p>
          <w:p w14:paraId="15132188" w14:textId="77777777" w:rsidR="007170C3" w:rsidRPr="008819AF" w:rsidRDefault="007170C3" w:rsidP="0021052F">
            <w:pPr>
              <w:ind w:left="215" w:hanging="215"/>
              <w:jc w:val="center"/>
              <w:rPr>
                <w:rFonts w:eastAsia="Arial"/>
                <w:lang w:bidi="cs-CZ"/>
              </w:rPr>
            </w:pPr>
          </w:p>
          <w:p w14:paraId="15132189" w14:textId="77777777" w:rsidR="007170C3" w:rsidRPr="008819AF" w:rsidRDefault="007170C3" w:rsidP="0021052F">
            <w:pPr>
              <w:ind w:left="215" w:hanging="215"/>
              <w:jc w:val="center"/>
              <w:rPr>
                <w:rFonts w:eastAsia="Arial"/>
                <w:lang w:bidi="cs-CZ"/>
              </w:rPr>
            </w:pPr>
          </w:p>
          <w:p w14:paraId="1513218A" w14:textId="77777777" w:rsidR="007170C3" w:rsidRPr="008819AF" w:rsidRDefault="007170C3" w:rsidP="0021052F">
            <w:pPr>
              <w:ind w:left="215" w:hanging="215"/>
              <w:jc w:val="center"/>
              <w:rPr>
                <w:rFonts w:eastAsia="Arial"/>
                <w:lang w:bidi="cs-CZ"/>
              </w:rPr>
            </w:pPr>
          </w:p>
          <w:p w14:paraId="1513218B" w14:textId="77777777" w:rsidR="007170C3" w:rsidRPr="008819AF" w:rsidRDefault="007170C3" w:rsidP="0021052F">
            <w:pPr>
              <w:ind w:left="215" w:hanging="215"/>
              <w:jc w:val="center"/>
              <w:rPr>
                <w:rFonts w:eastAsia="Arial"/>
                <w:lang w:bidi="cs-CZ"/>
              </w:rPr>
            </w:pPr>
          </w:p>
          <w:p w14:paraId="1513218C" w14:textId="77777777" w:rsidR="007170C3" w:rsidRPr="008819AF" w:rsidRDefault="007170C3" w:rsidP="0021052F">
            <w:pPr>
              <w:ind w:left="215" w:hanging="215"/>
              <w:jc w:val="center"/>
              <w:rPr>
                <w:rFonts w:eastAsia="Arial"/>
                <w:lang w:bidi="cs-CZ"/>
              </w:rPr>
            </w:pPr>
          </w:p>
          <w:p w14:paraId="1513218D" w14:textId="77777777" w:rsidR="007170C3" w:rsidRPr="008819AF" w:rsidRDefault="007170C3" w:rsidP="0021052F">
            <w:pPr>
              <w:ind w:left="215" w:hanging="215"/>
              <w:jc w:val="center"/>
              <w:rPr>
                <w:rFonts w:eastAsia="Arial"/>
                <w:lang w:bidi="cs-CZ"/>
              </w:rPr>
            </w:pPr>
          </w:p>
          <w:p w14:paraId="1513218E" w14:textId="77777777" w:rsidR="007170C3" w:rsidRPr="008819AF" w:rsidRDefault="007170C3" w:rsidP="0021052F">
            <w:pPr>
              <w:ind w:left="215" w:hanging="215"/>
              <w:jc w:val="center"/>
              <w:rPr>
                <w:rFonts w:eastAsia="Arial"/>
                <w:lang w:bidi="cs-CZ"/>
              </w:rPr>
            </w:pPr>
          </w:p>
          <w:p w14:paraId="1513218F" w14:textId="77777777" w:rsidR="007170C3" w:rsidRPr="008819AF" w:rsidRDefault="007170C3" w:rsidP="0021052F">
            <w:pPr>
              <w:ind w:left="215" w:hanging="215"/>
              <w:jc w:val="center"/>
              <w:rPr>
                <w:rFonts w:eastAsia="Arial"/>
                <w:lang w:bidi="cs-CZ"/>
              </w:rPr>
            </w:pPr>
          </w:p>
          <w:p w14:paraId="15132190" w14:textId="77777777" w:rsidR="00F00758" w:rsidRPr="008819AF" w:rsidRDefault="00F00758" w:rsidP="0021052F">
            <w:pPr>
              <w:ind w:left="215" w:hanging="215"/>
              <w:jc w:val="center"/>
              <w:rPr>
                <w:rFonts w:eastAsia="Arial"/>
                <w:lang w:bidi="cs-CZ"/>
              </w:rPr>
            </w:pPr>
          </w:p>
          <w:p w14:paraId="15132191" w14:textId="77777777" w:rsidR="00F00758" w:rsidRPr="008819AF" w:rsidRDefault="00F00758" w:rsidP="0021052F">
            <w:pPr>
              <w:ind w:left="215" w:hanging="215"/>
              <w:jc w:val="center"/>
              <w:rPr>
                <w:rFonts w:eastAsia="Arial"/>
                <w:lang w:bidi="cs-CZ"/>
              </w:rPr>
            </w:pPr>
          </w:p>
          <w:p w14:paraId="15132192" w14:textId="77777777" w:rsidR="00F00758" w:rsidRPr="008819AF" w:rsidRDefault="00F00758" w:rsidP="0021052F">
            <w:pPr>
              <w:ind w:left="215" w:hanging="215"/>
              <w:jc w:val="center"/>
              <w:rPr>
                <w:rFonts w:eastAsia="Arial"/>
                <w:lang w:bidi="cs-CZ"/>
              </w:rPr>
            </w:pPr>
          </w:p>
          <w:p w14:paraId="15132193" w14:textId="77777777" w:rsidR="00F00758" w:rsidRPr="008819AF" w:rsidRDefault="00F00758" w:rsidP="0021052F">
            <w:pPr>
              <w:ind w:left="215" w:hanging="215"/>
              <w:jc w:val="center"/>
              <w:rPr>
                <w:rFonts w:eastAsia="Arial"/>
                <w:lang w:bidi="cs-CZ"/>
              </w:rPr>
            </w:pPr>
          </w:p>
          <w:p w14:paraId="15132194" w14:textId="77777777" w:rsidR="00F00758" w:rsidRPr="008819AF" w:rsidRDefault="00F00758" w:rsidP="0021052F">
            <w:pPr>
              <w:ind w:left="215" w:hanging="215"/>
              <w:jc w:val="center"/>
              <w:rPr>
                <w:rFonts w:eastAsia="Arial"/>
                <w:lang w:bidi="cs-CZ"/>
              </w:rPr>
            </w:pPr>
          </w:p>
          <w:p w14:paraId="15132195" w14:textId="77777777" w:rsidR="00F00758" w:rsidRPr="008819AF" w:rsidRDefault="00F00758" w:rsidP="0021052F">
            <w:pPr>
              <w:ind w:left="215" w:hanging="215"/>
              <w:jc w:val="center"/>
              <w:rPr>
                <w:rFonts w:eastAsia="Arial"/>
                <w:lang w:bidi="cs-CZ"/>
              </w:rPr>
            </w:pPr>
          </w:p>
          <w:p w14:paraId="15132196" w14:textId="77777777" w:rsidR="007170C3" w:rsidRPr="008819AF" w:rsidRDefault="007170C3" w:rsidP="0021052F">
            <w:pPr>
              <w:ind w:left="215" w:hanging="215"/>
              <w:jc w:val="center"/>
              <w:rPr>
                <w:rFonts w:eastAsia="Arial"/>
                <w:lang w:bidi="cs-CZ"/>
              </w:rPr>
            </w:pPr>
          </w:p>
          <w:p w14:paraId="15132197" w14:textId="77777777" w:rsidR="00C778D7" w:rsidRPr="008819AF" w:rsidRDefault="00C778D7" w:rsidP="0021052F">
            <w:pPr>
              <w:ind w:left="215" w:hanging="215"/>
              <w:jc w:val="center"/>
              <w:rPr>
                <w:rFonts w:eastAsia="Arial"/>
                <w:lang w:bidi="cs-CZ"/>
              </w:rPr>
            </w:pPr>
          </w:p>
          <w:p w14:paraId="15132198" w14:textId="77777777" w:rsidR="007170C3" w:rsidRPr="008819AF" w:rsidRDefault="007170C3" w:rsidP="0021052F">
            <w:pPr>
              <w:ind w:left="215" w:hanging="215"/>
              <w:jc w:val="center"/>
              <w:rPr>
                <w:rFonts w:eastAsia="Arial"/>
                <w:lang w:bidi="cs-CZ"/>
              </w:rPr>
            </w:pPr>
          </w:p>
          <w:p w14:paraId="15132199" w14:textId="77777777" w:rsidR="007170C3" w:rsidRPr="008819AF" w:rsidRDefault="006F0418" w:rsidP="0021052F">
            <w:pPr>
              <w:jc w:val="center"/>
              <w:rPr>
                <w:rFonts w:eastAsia="Arial"/>
                <w:lang w:bidi="cs-CZ"/>
              </w:rPr>
            </w:pPr>
            <w:r w:rsidRPr="008819AF">
              <w:rPr>
                <w:rFonts w:eastAsia="Arial"/>
                <w:lang w:bidi="cs-CZ"/>
              </w:rPr>
              <w:t>NV</w:t>
            </w:r>
            <w:r w:rsidR="00E5212C" w:rsidRPr="008819AF">
              <w:rPr>
                <w:rFonts w:eastAsia="Arial"/>
                <w:lang w:bidi="cs-CZ"/>
              </w:rPr>
              <w:t>1</w:t>
            </w:r>
          </w:p>
          <w:p w14:paraId="1513219A" w14:textId="77777777" w:rsidR="007170C3" w:rsidRPr="008819AF" w:rsidRDefault="007170C3" w:rsidP="0021052F">
            <w:pPr>
              <w:jc w:val="center"/>
              <w:rPr>
                <w:rFonts w:eastAsia="Arial"/>
                <w:lang w:bidi="cs-CZ"/>
              </w:rPr>
            </w:pPr>
          </w:p>
          <w:p w14:paraId="1513219B" w14:textId="77777777" w:rsidR="00EA4F94" w:rsidRPr="008819AF" w:rsidRDefault="00EA4F94" w:rsidP="0021052F">
            <w:pPr>
              <w:jc w:val="center"/>
              <w:rPr>
                <w:rFonts w:eastAsia="Arial"/>
                <w:lang w:bidi="cs-CZ"/>
              </w:rPr>
            </w:pPr>
          </w:p>
          <w:p w14:paraId="1513219C" w14:textId="77777777" w:rsidR="00EA4F94" w:rsidRPr="008819AF" w:rsidRDefault="00EA4F94" w:rsidP="0021052F">
            <w:pPr>
              <w:jc w:val="center"/>
              <w:rPr>
                <w:rFonts w:eastAsia="Arial"/>
                <w:lang w:bidi="cs-CZ"/>
              </w:rPr>
            </w:pPr>
          </w:p>
          <w:p w14:paraId="1513219D" w14:textId="77777777" w:rsidR="00EA4F94" w:rsidRPr="008819AF" w:rsidRDefault="00EA4F94" w:rsidP="0021052F">
            <w:pPr>
              <w:jc w:val="center"/>
              <w:rPr>
                <w:rFonts w:eastAsia="Arial"/>
                <w:lang w:bidi="cs-CZ"/>
              </w:rPr>
            </w:pPr>
          </w:p>
          <w:p w14:paraId="1513219E" w14:textId="77777777" w:rsidR="00E5212C" w:rsidRPr="008819AF" w:rsidRDefault="00E5212C" w:rsidP="0021052F">
            <w:pPr>
              <w:jc w:val="center"/>
              <w:rPr>
                <w:rFonts w:eastAsia="Arial"/>
                <w:lang w:bidi="cs-CZ"/>
              </w:rPr>
            </w:pPr>
          </w:p>
          <w:p w14:paraId="1513219F" w14:textId="77777777" w:rsidR="00E5212C" w:rsidRPr="008819AF" w:rsidRDefault="00E5212C" w:rsidP="0021052F">
            <w:pPr>
              <w:jc w:val="center"/>
              <w:rPr>
                <w:rFonts w:eastAsia="Arial"/>
                <w:lang w:bidi="cs-CZ"/>
              </w:rPr>
            </w:pPr>
          </w:p>
          <w:p w14:paraId="151321A0" w14:textId="77777777" w:rsidR="00E5212C" w:rsidRPr="008819AF" w:rsidRDefault="00E5212C" w:rsidP="0021052F">
            <w:pPr>
              <w:jc w:val="center"/>
              <w:rPr>
                <w:rFonts w:eastAsia="Arial"/>
                <w:lang w:bidi="cs-CZ"/>
              </w:rPr>
            </w:pPr>
          </w:p>
          <w:p w14:paraId="151321A1" w14:textId="77777777" w:rsidR="00E5212C" w:rsidRPr="008819AF" w:rsidRDefault="00E5212C" w:rsidP="0021052F">
            <w:pPr>
              <w:jc w:val="center"/>
              <w:rPr>
                <w:rFonts w:eastAsia="Arial"/>
                <w:lang w:bidi="cs-CZ"/>
              </w:rPr>
            </w:pPr>
          </w:p>
          <w:p w14:paraId="151321A2" w14:textId="77777777" w:rsidR="00E5212C" w:rsidRPr="008819AF" w:rsidRDefault="00E5212C" w:rsidP="0021052F">
            <w:pPr>
              <w:jc w:val="center"/>
              <w:rPr>
                <w:rFonts w:eastAsia="Arial"/>
                <w:lang w:bidi="cs-CZ"/>
              </w:rPr>
            </w:pPr>
          </w:p>
          <w:p w14:paraId="151321A3" w14:textId="77777777" w:rsidR="00E5212C" w:rsidRPr="008819AF" w:rsidRDefault="00E5212C" w:rsidP="0021052F">
            <w:pPr>
              <w:jc w:val="center"/>
              <w:rPr>
                <w:rFonts w:eastAsia="Arial"/>
                <w:lang w:bidi="cs-CZ"/>
              </w:rPr>
            </w:pPr>
          </w:p>
          <w:p w14:paraId="151321A4" w14:textId="77777777" w:rsidR="00E5212C" w:rsidRPr="008819AF" w:rsidRDefault="00E5212C" w:rsidP="0021052F">
            <w:pPr>
              <w:jc w:val="center"/>
              <w:rPr>
                <w:rFonts w:eastAsia="Arial"/>
                <w:lang w:bidi="cs-CZ"/>
              </w:rPr>
            </w:pPr>
          </w:p>
          <w:p w14:paraId="151321A5" w14:textId="77777777" w:rsidR="00EA4F94" w:rsidRPr="008819AF" w:rsidRDefault="00EA4F94" w:rsidP="0021052F">
            <w:pPr>
              <w:jc w:val="center"/>
              <w:rPr>
                <w:rFonts w:eastAsia="Arial"/>
                <w:lang w:bidi="cs-CZ"/>
              </w:rPr>
            </w:pPr>
            <w:r w:rsidRPr="008819AF">
              <w:rPr>
                <w:rFonts w:eastAsia="Arial"/>
                <w:lang w:bidi="cs-CZ"/>
              </w:rPr>
              <w:t>NZ</w:t>
            </w:r>
          </w:p>
          <w:p w14:paraId="151321A6" w14:textId="77777777" w:rsidR="00EA4F94" w:rsidRPr="008819AF" w:rsidRDefault="00EA4F94" w:rsidP="0021052F">
            <w:pPr>
              <w:jc w:val="center"/>
              <w:rPr>
                <w:rFonts w:eastAsia="Arial"/>
                <w:lang w:bidi="cs-CZ"/>
              </w:rPr>
            </w:pPr>
          </w:p>
          <w:p w14:paraId="151321A7" w14:textId="77777777" w:rsidR="00EA4F94" w:rsidRPr="008819AF" w:rsidRDefault="00EA4F94" w:rsidP="0021052F">
            <w:pPr>
              <w:jc w:val="center"/>
              <w:rPr>
                <w:rFonts w:eastAsia="Arial"/>
                <w:lang w:bidi="cs-CZ"/>
              </w:rPr>
            </w:pPr>
          </w:p>
          <w:p w14:paraId="151321A8" w14:textId="77777777" w:rsidR="00EA4F94" w:rsidRPr="008819AF" w:rsidRDefault="00EA4F94" w:rsidP="0021052F">
            <w:pPr>
              <w:jc w:val="center"/>
              <w:rPr>
                <w:rFonts w:eastAsia="Arial"/>
                <w:lang w:bidi="cs-CZ"/>
              </w:rPr>
            </w:pPr>
          </w:p>
          <w:p w14:paraId="151321A9" w14:textId="77777777" w:rsidR="00EA4F94" w:rsidRPr="008819AF" w:rsidRDefault="00EA4F94" w:rsidP="0021052F">
            <w:pPr>
              <w:jc w:val="center"/>
              <w:rPr>
                <w:rFonts w:eastAsia="Arial"/>
                <w:lang w:bidi="cs-CZ"/>
              </w:rPr>
            </w:pPr>
          </w:p>
          <w:p w14:paraId="151321AA" w14:textId="77777777" w:rsidR="00EA4F94" w:rsidRPr="008819AF" w:rsidRDefault="00EA4F94" w:rsidP="0021052F">
            <w:pPr>
              <w:jc w:val="center"/>
              <w:rPr>
                <w:rFonts w:eastAsia="Arial"/>
                <w:lang w:bidi="cs-CZ"/>
              </w:rPr>
            </w:pPr>
          </w:p>
          <w:p w14:paraId="151321AB" w14:textId="77777777" w:rsidR="00EA4F94" w:rsidRPr="008819AF" w:rsidRDefault="00EA4F94" w:rsidP="0021052F">
            <w:pPr>
              <w:jc w:val="center"/>
              <w:rPr>
                <w:rFonts w:eastAsia="Arial"/>
                <w:lang w:bidi="cs-CZ"/>
              </w:rPr>
            </w:pPr>
          </w:p>
          <w:p w14:paraId="151321AC" w14:textId="77777777" w:rsidR="00EA4F94" w:rsidRPr="008819AF" w:rsidRDefault="00EA4F94" w:rsidP="0021052F">
            <w:pPr>
              <w:jc w:val="center"/>
              <w:rPr>
                <w:rFonts w:eastAsia="Arial"/>
                <w:lang w:bidi="cs-CZ"/>
              </w:rPr>
            </w:pPr>
          </w:p>
          <w:p w14:paraId="151321AD" w14:textId="77777777" w:rsidR="00EA4F94" w:rsidRPr="008819AF" w:rsidRDefault="00EA4F94" w:rsidP="0021052F">
            <w:pPr>
              <w:jc w:val="center"/>
              <w:rPr>
                <w:rFonts w:eastAsia="Arial"/>
                <w:lang w:bidi="cs-CZ"/>
              </w:rPr>
            </w:pPr>
          </w:p>
          <w:p w14:paraId="151321AE" w14:textId="77777777" w:rsidR="00EA4F94" w:rsidRPr="008819AF" w:rsidRDefault="00EA4F94" w:rsidP="0021052F">
            <w:pPr>
              <w:jc w:val="center"/>
              <w:rPr>
                <w:rFonts w:eastAsia="Arial"/>
                <w:lang w:bidi="cs-CZ"/>
              </w:rPr>
            </w:pPr>
          </w:p>
          <w:p w14:paraId="151321AF" w14:textId="77777777" w:rsidR="00EA4F94" w:rsidRPr="008819AF" w:rsidRDefault="00EA4F94" w:rsidP="0021052F">
            <w:pPr>
              <w:jc w:val="center"/>
              <w:rPr>
                <w:rFonts w:eastAsia="Arial"/>
                <w:lang w:bidi="cs-CZ"/>
              </w:rPr>
            </w:pPr>
          </w:p>
          <w:p w14:paraId="151321B0" w14:textId="77777777" w:rsidR="00EA4F94" w:rsidRPr="008819AF" w:rsidRDefault="00EA4F94" w:rsidP="0021052F">
            <w:pPr>
              <w:jc w:val="center"/>
              <w:rPr>
                <w:rFonts w:eastAsia="Arial"/>
                <w:lang w:bidi="cs-CZ"/>
              </w:rPr>
            </w:pPr>
          </w:p>
          <w:p w14:paraId="151321B1" w14:textId="77777777" w:rsidR="00EA4F94" w:rsidRPr="008819AF" w:rsidRDefault="00EA4F94" w:rsidP="0021052F">
            <w:pPr>
              <w:jc w:val="center"/>
              <w:rPr>
                <w:rFonts w:eastAsia="Arial"/>
                <w:lang w:bidi="cs-CZ"/>
              </w:rPr>
            </w:pPr>
          </w:p>
          <w:p w14:paraId="151321B2" w14:textId="77777777" w:rsidR="00EA4F94" w:rsidRPr="008819AF" w:rsidRDefault="00EA4F94" w:rsidP="0021052F">
            <w:pPr>
              <w:jc w:val="center"/>
              <w:rPr>
                <w:rFonts w:eastAsia="Arial"/>
                <w:lang w:bidi="cs-CZ"/>
              </w:rPr>
            </w:pPr>
          </w:p>
          <w:p w14:paraId="151321B3" w14:textId="77777777" w:rsidR="00EA4F94" w:rsidRPr="008819AF" w:rsidRDefault="00EA4F94" w:rsidP="0021052F">
            <w:pPr>
              <w:jc w:val="center"/>
              <w:rPr>
                <w:rFonts w:eastAsia="Arial"/>
                <w:lang w:bidi="cs-CZ"/>
              </w:rPr>
            </w:pPr>
          </w:p>
          <w:p w14:paraId="151321B4" w14:textId="77777777" w:rsidR="00EA4F94" w:rsidRPr="008819AF" w:rsidRDefault="00EA4F94" w:rsidP="0021052F">
            <w:pPr>
              <w:jc w:val="center"/>
              <w:rPr>
                <w:rFonts w:eastAsia="Arial"/>
                <w:lang w:bidi="cs-CZ"/>
              </w:rPr>
            </w:pPr>
          </w:p>
          <w:p w14:paraId="151321B5" w14:textId="77777777" w:rsidR="00EA4F94" w:rsidRPr="008819AF" w:rsidRDefault="00EA4F94" w:rsidP="0021052F">
            <w:pPr>
              <w:jc w:val="center"/>
              <w:rPr>
                <w:rFonts w:eastAsia="Arial"/>
                <w:lang w:bidi="cs-CZ"/>
              </w:rPr>
            </w:pPr>
          </w:p>
          <w:p w14:paraId="151321B6" w14:textId="77777777" w:rsidR="00EA4F94" w:rsidRPr="008819AF" w:rsidRDefault="00EA4F94" w:rsidP="0021052F">
            <w:pPr>
              <w:jc w:val="center"/>
              <w:rPr>
                <w:rFonts w:eastAsia="Arial"/>
                <w:lang w:bidi="cs-CZ"/>
              </w:rPr>
            </w:pPr>
          </w:p>
          <w:p w14:paraId="151321B7" w14:textId="77777777" w:rsidR="00EA4F94" w:rsidRPr="008819AF" w:rsidRDefault="00EA4F94" w:rsidP="0021052F">
            <w:pPr>
              <w:jc w:val="center"/>
              <w:rPr>
                <w:rFonts w:eastAsia="Arial"/>
                <w:lang w:bidi="cs-CZ"/>
              </w:rPr>
            </w:pPr>
            <w:r w:rsidRPr="008819AF">
              <w:rPr>
                <w:rFonts w:eastAsia="Arial"/>
                <w:lang w:bidi="cs-CZ"/>
              </w:rPr>
              <w:t>NZ</w:t>
            </w:r>
          </w:p>
          <w:p w14:paraId="151321B8" w14:textId="77777777" w:rsidR="00EA4F94" w:rsidRPr="008819AF" w:rsidRDefault="00EA4F94" w:rsidP="0021052F">
            <w:pPr>
              <w:jc w:val="center"/>
              <w:rPr>
                <w:rFonts w:eastAsia="Arial"/>
                <w:lang w:bidi="cs-CZ"/>
              </w:rPr>
            </w:pPr>
          </w:p>
          <w:p w14:paraId="151321B9" w14:textId="77777777" w:rsidR="00E5212C" w:rsidRPr="008819AF" w:rsidRDefault="00E5212C" w:rsidP="0021052F">
            <w:pPr>
              <w:jc w:val="center"/>
              <w:rPr>
                <w:rFonts w:eastAsia="Arial"/>
                <w:lang w:bidi="cs-CZ"/>
              </w:rPr>
            </w:pPr>
          </w:p>
          <w:p w14:paraId="151321BA" w14:textId="77777777" w:rsidR="00E5212C" w:rsidRPr="008819AF" w:rsidRDefault="00E5212C" w:rsidP="0021052F">
            <w:pPr>
              <w:jc w:val="center"/>
              <w:rPr>
                <w:rFonts w:eastAsia="Arial"/>
                <w:lang w:bidi="cs-CZ"/>
              </w:rPr>
            </w:pPr>
          </w:p>
          <w:p w14:paraId="151321BB" w14:textId="77777777" w:rsidR="00E5212C" w:rsidRPr="008819AF" w:rsidRDefault="00E5212C" w:rsidP="0021052F">
            <w:pPr>
              <w:jc w:val="center"/>
              <w:rPr>
                <w:rFonts w:eastAsia="Arial"/>
                <w:lang w:bidi="cs-CZ"/>
              </w:rPr>
            </w:pPr>
          </w:p>
          <w:p w14:paraId="151321BC" w14:textId="77777777" w:rsidR="00E5212C" w:rsidRPr="008819AF" w:rsidRDefault="00E5212C" w:rsidP="0021052F">
            <w:pPr>
              <w:jc w:val="center"/>
              <w:rPr>
                <w:rFonts w:eastAsia="Arial"/>
                <w:lang w:bidi="cs-CZ"/>
              </w:rPr>
            </w:pPr>
          </w:p>
          <w:p w14:paraId="151321BD" w14:textId="77777777" w:rsidR="00E5212C" w:rsidRPr="008819AF" w:rsidRDefault="00E5212C" w:rsidP="0021052F">
            <w:pPr>
              <w:jc w:val="center"/>
              <w:rPr>
                <w:rFonts w:eastAsia="Arial"/>
                <w:lang w:bidi="cs-CZ"/>
              </w:rPr>
            </w:pPr>
          </w:p>
          <w:p w14:paraId="151321BE" w14:textId="77777777" w:rsidR="00E5212C" w:rsidRPr="008819AF" w:rsidRDefault="00E5212C" w:rsidP="0021052F">
            <w:pPr>
              <w:jc w:val="center"/>
              <w:rPr>
                <w:rFonts w:eastAsia="Arial"/>
                <w:lang w:bidi="cs-CZ"/>
              </w:rPr>
            </w:pPr>
          </w:p>
          <w:p w14:paraId="151321BF" w14:textId="77777777" w:rsidR="00E5212C" w:rsidRPr="008819AF" w:rsidRDefault="00E5212C" w:rsidP="0021052F">
            <w:pPr>
              <w:jc w:val="center"/>
              <w:rPr>
                <w:rFonts w:eastAsia="Arial"/>
                <w:lang w:bidi="cs-CZ"/>
              </w:rPr>
            </w:pPr>
          </w:p>
          <w:p w14:paraId="151321C0" w14:textId="77777777" w:rsidR="00E5212C" w:rsidRPr="008819AF" w:rsidRDefault="00E5212C" w:rsidP="0021052F">
            <w:pPr>
              <w:jc w:val="center"/>
              <w:rPr>
                <w:rFonts w:eastAsia="Arial"/>
                <w:lang w:bidi="cs-CZ"/>
              </w:rPr>
            </w:pPr>
          </w:p>
          <w:p w14:paraId="151321C1" w14:textId="77777777" w:rsidR="00E5212C" w:rsidRPr="008819AF" w:rsidRDefault="00E5212C" w:rsidP="0021052F">
            <w:pPr>
              <w:jc w:val="center"/>
              <w:rPr>
                <w:rFonts w:eastAsia="Arial"/>
                <w:lang w:bidi="cs-CZ"/>
              </w:rPr>
            </w:pPr>
          </w:p>
          <w:p w14:paraId="151321C2" w14:textId="77777777" w:rsidR="00E5212C" w:rsidRPr="008819AF" w:rsidRDefault="00E5212C" w:rsidP="0021052F">
            <w:pPr>
              <w:jc w:val="center"/>
              <w:rPr>
                <w:rFonts w:eastAsia="Arial"/>
                <w:lang w:bidi="cs-CZ"/>
              </w:rPr>
            </w:pPr>
          </w:p>
          <w:p w14:paraId="151321C3" w14:textId="77777777" w:rsidR="00E5212C" w:rsidRPr="008819AF" w:rsidRDefault="00E5212C" w:rsidP="0021052F">
            <w:pPr>
              <w:jc w:val="center"/>
              <w:rPr>
                <w:rFonts w:eastAsia="Arial"/>
                <w:lang w:bidi="cs-CZ"/>
              </w:rPr>
            </w:pPr>
          </w:p>
          <w:p w14:paraId="151321C4" w14:textId="77777777" w:rsidR="00E5212C" w:rsidRPr="008819AF" w:rsidRDefault="00E5212C" w:rsidP="0021052F">
            <w:pPr>
              <w:jc w:val="center"/>
              <w:rPr>
                <w:rFonts w:eastAsia="Arial"/>
                <w:lang w:bidi="cs-CZ"/>
              </w:rPr>
            </w:pPr>
          </w:p>
          <w:p w14:paraId="151321C5" w14:textId="77777777" w:rsidR="00E5212C" w:rsidRPr="008819AF" w:rsidRDefault="00E5212C" w:rsidP="0021052F">
            <w:pPr>
              <w:jc w:val="center"/>
              <w:rPr>
                <w:rFonts w:eastAsia="Arial"/>
                <w:lang w:bidi="cs-CZ"/>
              </w:rPr>
            </w:pPr>
          </w:p>
          <w:p w14:paraId="151321C6" w14:textId="77777777" w:rsidR="00E5212C" w:rsidRPr="008819AF" w:rsidRDefault="00E5212C" w:rsidP="0021052F">
            <w:pPr>
              <w:jc w:val="center"/>
              <w:rPr>
                <w:rFonts w:eastAsia="Arial"/>
                <w:lang w:bidi="cs-CZ"/>
              </w:rPr>
            </w:pPr>
          </w:p>
          <w:p w14:paraId="151321C7" w14:textId="77777777" w:rsidR="00E5212C" w:rsidRPr="008819AF" w:rsidRDefault="00E5212C" w:rsidP="0021052F">
            <w:pPr>
              <w:jc w:val="center"/>
              <w:rPr>
                <w:rFonts w:eastAsia="Arial"/>
                <w:lang w:bidi="cs-CZ"/>
              </w:rPr>
            </w:pPr>
          </w:p>
          <w:p w14:paraId="151321C8" w14:textId="77777777" w:rsidR="00E5212C" w:rsidRPr="008819AF" w:rsidRDefault="00E5212C" w:rsidP="0021052F">
            <w:pPr>
              <w:jc w:val="center"/>
              <w:rPr>
                <w:rFonts w:eastAsia="Arial"/>
                <w:lang w:bidi="cs-CZ"/>
              </w:rPr>
            </w:pPr>
          </w:p>
          <w:p w14:paraId="151321C9" w14:textId="77777777" w:rsidR="00E5212C" w:rsidRPr="008819AF" w:rsidRDefault="00E5212C" w:rsidP="0021052F">
            <w:pPr>
              <w:jc w:val="center"/>
              <w:rPr>
                <w:rFonts w:eastAsia="Arial"/>
                <w:lang w:bidi="cs-CZ"/>
              </w:rPr>
            </w:pPr>
          </w:p>
          <w:p w14:paraId="151321CA" w14:textId="77777777" w:rsidR="00E5212C" w:rsidRPr="008819AF" w:rsidRDefault="00E5212C" w:rsidP="0021052F">
            <w:pPr>
              <w:jc w:val="center"/>
              <w:rPr>
                <w:rFonts w:eastAsia="Arial"/>
                <w:lang w:bidi="cs-CZ"/>
              </w:rPr>
            </w:pPr>
          </w:p>
          <w:p w14:paraId="151321CB" w14:textId="77777777" w:rsidR="00E5212C" w:rsidRPr="008819AF" w:rsidRDefault="00E5212C" w:rsidP="0021052F">
            <w:pPr>
              <w:jc w:val="center"/>
              <w:rPr>
                <w:rFonts w:eastAsia="Arial"/>
                <w:lang w:bidi="cs-CZ"/>
              </w:rPr>
            </w:pPr>
          </w:p>
          <w:p w14:paraId="151321CC" w14:textId="77777777" w:rsidR="00E5212C" w:rsidRPr="008819AF" w:rsidRDefault="00E5212C" w:rsidP="0021052F">
            <w:pPr>
              <w:jc w:val="center"/>
              <w:rPr>
                <w:rFonts w:eastAsia="Arial"/>
                <w:lang w:bidi="cs-CZ"/>
              </w:rPr>
            </w:pPr>
          </w:p>
          <w:p w14:paraId="151321CD" w14:textId="77777777" w:rsidR="00E5212C" w:rsidRPr="008819AF" w:rsidRDefault="00E5212C" w:rsidP="0021052F">
            <w:pPr>
              <w:jc w:val="center"/>
              <w:rPr>
                <w:rFonts w:eastAsia="Arial"/>
                <w:lang w:bidi="cs-CZ"/>
              </w:rPr>
            </w:pPr>
          </w:p>
          <w:p w14:paraId="151321CE" w14:textId="77777777" w:rsidR="00E5212C" w:rsidRPr="008819AF" w:rsidRDefault="00E5212C" w:rsidP="0021052F">
            <w:pPr>
              <w:jc w:val="center"/>
              <w:rPr>
                <w:rFonts w:eastAsia="Arial"/>
                <w:lang w:bidi="cs-CZ"/>
              </w:rPr>
            </w:pPr>
          </w:p>
          <w:p w14:paraId="151321CF" w14:textId="77777777" w:rsidR="00E5212C" w:rsidRPr="008819AF" w:rsidRDefault="00E5212C" w:rsidP="0021052F">
            <w:pPr>
              <w:jc w:val="center"/>
              <w:rPr>
                <w:rFonts w:eastAsia="Arial"/>
                <w:lang w:bidi="cs-CZ"/>
              </w:rPr>
            </w:pPr>
          </w:p>
          <w:p w14:paraId="151321D0" w14:textId="77777777" w:rsidR="00E5212C" w:rsidRPr="008819AF" w:rsidRDefault="00E5212C" w:rsidP="0021052F">
            <w:pPr>
              <w:jc w:val="center"/>
              <w:rPr>
                <w:rFonts w:eastAsia="Arial"/>
                <w:lang w:bidi="cs-CZ"/>
              </w:rPr>
            </w:pPr>
          </w:p>
          <w:p w14:paraId="151321D1" w14:textId="77777777" w:rsidR="00E5212C" w:rsidRPr="008819AF" w:rsidRDefault="00E5212C" w:rsidP="0021052F">
            <w:pPr>
              <w:jc w:val="center"/>
              <w:rPr>
                <w:rFonts w:eastAsia="Arial"/>
                <w:lang w:bidi="cs-CZ"/>
              </w:rPr>
            </w:pPr>
          </w:p>
          <w:p w14:paraId="151321D2" w14:textId="77777777" w:rsidR="00E5212C" w:rsidRPr="008819AF" w:rsidRDefault="00E5212C" w:rsidP="0021052F">
            <w:pPr>
              <w:jc w:val="center"/>
              <w:rPr>
                <w:rFonts w:eastAsia="Arial"/>
                <w:lang w:bidi="cs-CZ"/>
              </w:rPr>
            </w:pPr>
          </w:p>
          <w:p w14:paraId="151321D3" w14:textId="77777777" w:rsidR="00E5212C" w:rsidRPr="008819AF" w:rsidRDefault="00E5212C" w:rsidP="0021052F">
            <w:pPr>
              <w:jc w:val="center"/>
              <w:rPr>
                <w:rFonts w:eastAsia="Arial"/>
                <w:lang w:bidi="cs-CZ"/>
              </w:rPr>
            </w:pPr>
          </w:p>
          <w:p w14:paraId="151321D4" w14:textId="77777777" w:rsidR="00E5212C" w:rsidRPr="008819AF" w:rsidRDefault="00E5212C" w:rsidP="0021052F">
            <w:pPr>
              <w:jc w:val="center"/>
              <w:rPr>
                <w:rFonts w:eastAsia="Arial"/>
                <w:lang w:bidi="cs-CZ"/>
              </w:rPr>
            </w:pPr>
          </w:p>
          <w:p w14:paraId="151321D5" w14:textId="77777777" w:rsidR="00E5212C" w:rsidRPr="008819AF" w:rsidRDefault="00E5212C" w:rsidP="0021052F">
            <w:pPr>
              <w:jc w:val="center"/>
              <w:rPr>
                <w:rFonts w:eastAsia="Arial"/>
                <w:lang w:bidi="cs-CZ"/>
              </w:rPr>
            </w:pPr>
          </w:p>
          <w:p w14:paraId="151321D6" w14:textId="77777777" w:rsidR="00E5212C" w:rsidRPr="008819AF" w:rsidRDefault="00E5212C" w:rsidP="0021052F">
            <w:pPr>
              <w:jc w:val="center"/>
              <w:rPr>
                <w:rFonts w:eastAsia="Arial"/>
                <w:lang w:bidi="cs-CZ"/>
              </w:rPr>
            </w:pPr>
          </w:p>
          <w:p w14:paraId="151321D7" w14:textId="77777777" w:rsidR="00E5212C" w:rsidRPr="008819AF" w:rsidRDefault="00E5212C" w:rsidP="0021052F">
            <w:pPr>
              <w:jc w:val="center"/>
              <w:rPr>
                <w:rFonts w:eastAsia="Arial"/>
                <w:lang w:bidi="cs-CZ"/>
              </w:rPr>
            </w:pPr>
          </w:p>
          <w:p w14:paraId="151321D8" w14:textId="77777777" w:rsidR="00E5212C" w:rsidRPr="008819AF" w:rsidRDefault="00E5212C" w:rsidP="0021052F">
            <w:pPr>
              <w:jc w:val="center"/>
              <w:rPr>
                <w:rFonts w:eastAsia="Arial"/>
                <w:lang w:bidi="cs-CZ"/>
              </w:rPr>
            </w:pPr>
          </w:p>
          <w:p w14:paraId="151321D9" w14:textId="77777777" w:rsidR="00E5212C" w:rsidRPr="008819AF" w:rsidRDefault="00E5212C" w:rsidP="0021052F">
            <w:pPr>
              <w:jc w:val="center"/>
              <w:rPr>
                <w:rFonts w:eastAsia="Arial"/>
                <w:lang w:bidi="cs-CZ"/>
              </w:rPr>
            </w:pPr>
          </w:p>
          <w:p w14:paraId="151321DA" w14:textId="77777777" w:rsidR="00E5212C" w:rsidRPr="008819AF" w:rsidRDefault="00E5212C" w:rsidP="00E5212C">
            <w:pP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4" w:space="0" w:color="000000"/>
              <w:right w:val="single" w:sz="6" w:space="0" w:color="000000"/>
            </w:tcBorders>
          </w:tcPr>
          <w:p w14:paraId="151321DB" w14:textId="77777777" w:rsidR="007170C3" w:rsidRPr="008819AF" w:rsidRDefault="006F0418" w:rsidP="0021052F">
            <w:pPr>
              <w:pStyle w:val="BodyText22"/>
              <w:ind w:left="214" w:hanging="214"/>
              <w:jc w:val="center"/>
              <w:rPr>
                <w:rFonts w:ascii="Times New Roman" w:hAnsi="Times New Roman" w:cs="Times New Roman"/>
                <w:sz w:val="20"/>
                <w:szCs w:val="20"/>
              </w:rPr>
            </w:pPr>
            <w:r w:rsidRPr="008819AF">
              <w:rPr>
                <w:rFonts w:ascii="Times New Roman" w:hAnsi="Times New Roman" w:cs="Times New Roman"/>
                <w:sz w:val="20"/>
                <w:szCs w:val="20"/>
              </w:rPr>
              <w:lastRenderedPageBreak/>
              <w:t>§ 34</w:t>
            </w:r>
          </w:p>
          <w:p w14:paraId="151321DC" w14:textId="77777777" w:rsidR="007170C3" w:rsidRPr="008819AF" w:rsidRDefault="006F0418" w:rsidP="0021052F">
            <w:pPr>
              <w:pStyle w:val="BodyText22"/>
              <w:ind w:left="214" w:hanging="214"/>
              <w:jc w:val="center"/>
              <w:rPr>
                <w:rFonts w:ascii="Times New Roman" w:hAnsi="Times New Roman" w:cs="Times New Roman"/>
                <w:sz w:val="20"/>
                <w:szCs w:val="20"/>
              </w:rPr>
            </w:pPr>
            <w:r w:rsidRPr="008819AF">
              <w:rPr>
                <w:rFonts w:ascii="Times New Roman" w:hAnsi="Times New Roman" w:cs="Times New Roman"/>
                <w:sz w:val="20"/>
                <w:szCs w:val="20"/>
              </w:rPr>
              <w:t>O 3</w:t>
            </w:r>
          </w:p>
          <w:p w14:paraId="151321DD" w14:textId="77777777" w:rsidR="007170C3" w:rsidRPr="008819AF" w:rsidRDefault="006F0418" w:rsidP="0021052F">
            <w:pPr>
              <w:pStyle w:val="BodyText22"/>
              <w:ind w:left="214" w:hanging="214"/>
              <w:jc w:val="center"/>
              <w:rPr>
                <w:rFonts w:ascii="Times New Roman" w:hAnsi="Times New Roman" w:cs="Times New Roman"/>
                <w:sz w:val="20"/>
                <w:szCs w:val="20"/>
              </w:rPr>
            </w:pPr>
            <w:r w:rsidRPr="008819AF">
              <w:rPr>
                <w:rFonts w:ascii="Times New Roman" w:hAnsi="Times New Roman" w:cs="Times New Roman"/>
                <w:sz w:val="20"/>
                <w:szCs w:val="20"/>
              </w:rPr>
              <w:t>P a)</w:t>
            </w:r>
          </w:p>
          <w:p w14:paraId="151321DE"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DF"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E0"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E1"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E2" w14:textId="77777777" w:rsidR="007170C3" w:rsidRPr="008819AF" w:rsidRDefault="007170C3" w:rsidP="0021052F">
            <w:pPr>
              <w:pStyle w:val="BodyText22"/>
              <w:ind w:left="0" w:firstLine="0"/>
              <w:jc w:val="center"/>
              <w:rPr>
                <w:rFonts w:ascii="Times New Roman" w:hAnsi="Times New Roman" w:cs="Times New Roman"/>
                <w:sz w:val="20"/>
                <w:szCs w:val="20"/>
              </w:rPr>
            </w:pPr>
          </w:p>
          <w:p w14:paraId="151321E3" w14:textId="77777777" w:rsidR="00AE35FA" w:rsidRPr="008819AF" w:rsidRDefault="00AE35FA" w:rsidP="0021052F">
            <w:pPr>
              <w:pStyle w:val="BodyText22"/>
              <w:ind w:left="0" w:firstLine="0"/>
              <w:jc w:val="center"/>
              <w:rPr>
                <w:rFonts w:ascii="Times New Roman" w:hAnsi="Times New Roman" w:cs="Times New Roman"/>
                <w:sz w:val="20"/>
                <w:szCs w:val="20"/>
              </w:rPr>
            </w:pPr>
          </w:p>
          <w:p w14:paraId="151321E4" w14:textId="77777777" w:rsidR="007170C3" w:rsidRPr="008819AF" w:rsidRDefault="0050573B" w:rsidP="0021052F">
            <w:pPr>
              <w:pStyle w:val="BodyText22"/>
              <w:ind w:left="214" w:hanging="214"/>
              <w:jc w:val="center"/>
              <w:rPr>
                <w:rFonts w:ascii="Times New Roman" w:hAnsi="Times New Roman" w:cs="Times New Roman"/>
                <w:sz w:val="20"/>
                <w:szCs w:val="20"/>
              </w:rPr>
            </w:pPr>
            <w:r w:rsidRPr="008819AF">
              <w:rPr>
                <w:rFonts w:ascii="Times New Roman" w:hAnsi="Times New Roman" w:cs="Times New Roman"/>
                <w:sz w:val="20"/>
                <w:szCs w:val="20"/>
              </w:rPr>
              <w:t>§ 62</w:t>
            </w:r>
          </w:p>
          <w:p w14:paraId="151321E5" w14:textId="77777777" w:rsidR="007170C3" w:rsidRPr="008819AF" w:rsidRDefault="006F0418" w:rsidP="0021052F">
            <w:pPr>
              <w:pStyle w:val="BodyText22"/>
              <w:ind w:left="214" w:hanging="214"/>
              <w:jc w:val="center"/>
              <w:rPr>
                <w:rFonts w:ascii="Times New Roman" w:hAnsi="Times New Roman" w:cs="Times New Roman"/>
                <w:sz w:val="20"/>
                <w:szCs w:val="20"/>
              </w:rPr>
            </w:pPr>
            <w:r w:rsidRPr="008819AF">
              <w:rPr>
                <w:rFonts w:ascii="Times New Roman" w:hAnsi="Times New Roman" w:cs="Times New Roman"/>
                <w:sz w:val="20"/>
                <w:szCs w:val="20"/>
              </w:rPr>
              <w:t>P g)</w:t>
            </w:r>
          </w:p>
          <w:p w14:paraId="151321E6"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E7"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E8"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E9"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EA"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EB"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EC"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ED"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EE"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EF"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F0"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F1"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F2"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F3"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F4" w14:textId="77777777" w:rsidR="007170C3" w:rsidRPr="008819AF" w:rsidRDefault="007170C3" w:rsidP="0021052F">
            <w:pPr>
              <w:pStyle w:val="BodyText22"/>
              <w:ind w:left="214" w:hanging="214"/>
              <w:jc w:val="center"/>
              <w:rPr>
                <w:rFonts w:ascii="Times New Roman" w:hAnsi="Times New Roman" w:cs="Times New Roman"/>
                <w:sz w:val="20"/>
                <w:szCs w:val="20"/>
              </w:rPr>
            </w:pPr>
          </w:p>
          <w:p w14:paraId="151321F5" w14:textId="77777777" w:rsidR="00EA4F94" w:rsidRPr="008819AF" w:rsidRDefault="00EA4F94" w:rsidP="0021052F">
            <w:pPr>
              <w:pStyle w:val="BodyText22"/>
              <w:ind w:left="214" w:hanging="214"/>
              <w:jc w:val="center"/>
              <w:rPr>
                <w:rFonts w:ascii="Times New Roman" w:hAnsi="Times New Roman" w:cs="Times New Roman"/>
                <w:sz w:val="20"/>
                <w:szCs w:val="20"/>
              </w:rPr>
            </w:pPr>
          </w:p>
          <w:p w14:paraId="151321F6" w14:textId="77777777" w:rsidR="00EA4F94" w:rsidRPr="008819AF" w:rsidRDefault="00EA4F94" w:rsidP="0021052F">
            <w:pPr>
              <w:pStyle w:val="BodyText22"/>
              <w:ind w:left="214" w:hanging="214"/>
              <w:jc w:val="center"/>
              <w:rPr>
                <w:rFonts w:ascii="Times New Roman" w:hAnsi="Times New Roman" w:cs="Times New Roman"/>
                <w:sz w:val="20"/>
                <w:szCs w:val="20"/>
              </w:rPr>
            </w:pPr>
          </w:p>
          <w:p w14:paraId="151321F7" w14:textId="77777777" w:rsidR="00EA4F94" w:rsidRPr="008819AF" w:rsidRDefault="00EA4F94" w:rsidP="0021052F">
            <w:pPr>
              <w:pStyle w:val="BodyText22"/>
              <w:ind w:left="214" w:hanging="214"/>
              <w:jc w:val="center"/>
              <w:rPr>
                <w:rFonts w:ascii="Times New Roman" w:hAnsi="Times New Roman" w:cs="Times New Roman"/>
                <w:sz w:val="20"/>
                <w:szCs w:val="20"/>
              </w:rPr>
            </w:pPr>
          </w:p>
          <w:p w14:paraId="151321F8" w14:textId="77777777" w:rsidR="00C778D7" w:rsidRPr="008819AF" w:rsidRDefault="00C778D7" w:rsidP="0021052F">
            <w:pPr>
              <w:pStyle w:val="BodyText22"/>
              <w:ind w:left="214" w:hanging="214"/>
              <w:jc w:val="center"/>
              <w:rPr>
                <w:rFonts w:ascii="Times New Roman" w:hAnsi="Times New Roman" w:cs="Times New Roman"/>
                <w:sz w:val="20"/>
                <w:szCs w:val="20"/>
              </w:rPr>
            </w:pPr>
          </w:p>
          <w:p w14:paraId="151321F9" w14:textId="77777777" w:rsidR="00EA4F94" w:rsidRPr="008819AF" w:rsidRDefault="00E5212C" w:rsidP="0021052F">
            <w:pPr>
              <w:pStyle w:val="BodyText22"/>
              <w:ind w:left="214" w:hanging="214"/>
              <w:jc w:val="center"/>
              <w:rPr>
                <w:rFonts w:ascii="Times New Roman" w:hAnsi="Times New Roman" w:cs="Times New Roman"/>
                <w:sz w:val="20"/>
                <w:szCs w:val="20"/>
              </w:rPr>
            </w:pPr>
            <w:r w:rsidRPr="008819AF">
              <w:rPr>
                <w:rFonts w:ascii="Times New Roman" w:hAnsi="Times New Roman" w:cs="Times New Roman"/>
                <w:sz w:val="20"/>
                <w:szCs w:val="20"/>
              </w:rPr>
              <w:t>§ 14</w:t>
            </w:r>
          </w:p>
          <w:p w14:paraId="151321FA" w14:textId="77777777" w:rsidR="00E5212C" w:rsidRPr="008819AF" w:rsidRDefault="00E5212C" w:rsidP="0021052F">
            <w:pPr>
              <w:pStyle w:val="BodyText22"/>
              <w:ind w:left="214" w:hanging="214"/>
              <w:jc w:val="center"/>
              <w:rPr>
                <w:rFonts w:ascii="Times New Roman" w:hAnsi="Times New Roman" w:cs="Times New Roman"/>
                <w:sz w:val="20"/>
                <w:szCs w:val="20"/>
              </w:rPr>
            </w:pPr>
            <w:r w:rsidRPr="008819AF">
              <w:rPr>
                <w:rFonts w:ascii="Times New Roman" w:hAnsi="Times New Roman" w:cs="Times New Roman"/>
                <w:sz w:val="20"/>
                <w:szCs w:val="20"/>
              </w:rPr>
              <w:t>O5</w:t>
            </w:r>
          </w:p>
          <w:p w14:paraId="151321FB" w14:textId="77777777" w:rsidR="00EA4F94" w:rsidRPr="008819AF" w:rsidRDefault="00EA4F94" w:rsidP="0021052F">
            <w:pPr>
              <w:pStyle w:val="BodyText22"/>
              <w:ind w:left="214" w:hanging="214"/>
              <w:jc w:val="center"/>
              <w:rPr>
                <w:rFonts w:ascii="Times New Roman" w:hAnsi="Times New Roman" w:cs="Times New Roman"/>
                <w:sz w:val="20"/>
                <w:szCs w:val="20"/>
              </w:rPr>
            </w:pPr>
          </w:p>
          <w:p w14:paraId="151321FC" w14:textId="77777777" w:rsidR="00EA4F94" w:rsidRPr="008819AF" w:rsidRDefault="00EA4F94" w:rsidP="0021052F">
            <w:pPr>
              <w:pStyle w:val="BodyText22"/>
              <w:ind w:left="214" w:hanging="214"/>
              <w:jc w:val="center"/>
              <w:rPr>
                <w:rFonts w:ascii="Times New Roman" w:hAnsi="Times New Roman" w:cs="Times New Roman"/>
                <w:sz w:val="20"/>
                <w:szCs w:val="20"/>
              </w:rPr>
            </w:pPr>
          </w:p>
          <w:p w14:paraId="151321FD" w14:textId="77777777" w:rsidR="00EA4F94" w:rsidRPr="008819AF" w:rsidRDefault="00EA4F94" w:rsidP="0021052F">
            <w:pPr>
              <w:pStyle w:val="BodyText22"/>
              <w:ind w:left="214" w:hanging="214"/>
              <w:jc w:val="center"/>
              <w:rPr>
                <w:rFonts w:ascii="Times New Roman" w:hAnsi="Times New Roman" w:cs="Times New Roman"/>
                <w:sz w:val="20"/>
                <w:szCs w:val="20"/>
              </w:rPr>
            </w:pPr>
          </w:p>
          <w:p w14:paraId="151321FE" w14:textId="77777777" w:rsidR="00E5212C" w:rsidRPr="008819AF" w:rsidRDefault="00E5212C" w:rsidP="0021052F">
            <w:pPr>
              <w:pStyle w:val="BodyText22"/>
              <w:ind w:left="214" w:hanging="214"/>
              <w:jc w:val="center"/>
              <w:rPr>
                <w:rFonts w:ascii="Times New Roman" w:hAnsi="Times New Roman" w:cs="Times New Roman"/>
                <w:sz w:val="20"/>
                <w:szCs w:val="20"/>
              </w:rPr>
            </w:pPr>
          </w:p>
          <w:p w14:paraId="151321FF" w14:textId="77777777" w:rsidR="00E5212C" w:rsidRPr="008819AF" w:rsidRDefault="00E5212C" w:rsidP="0021052F">
            <w:pPr>
              <w:pStyle w:val="BodyText22"/>
              <w:ind w:left="214" w:hanging="214"/>
              <w:jc w:val="center"/>
              <w:rPr>
                <w:rFonts w:ascii="Times New Roman" w:hAnsi="Times New Roman" w:cs="Times New Roman"/>
                <w:sz w:val="20"/>
                <w:szCs w:val="20"/>
              </w:rPr>
            </w:pPr>
          </w:p>
          <w:p w14:paraId="15132200" w14:textId="77777777" w:rsidR="00E5212C" w:rsidRPr="008819AF" w:rsidRDefault="00E5212C" w:rsidP="0021052F">
            <w:pPr>
              <w:pStyle w:val="BodyText22"/>
              <w:ind w:left="214" w:hanging="214"/>
              <w:jc w:val="center"/>
              <w:rPr>
                <w:rFonts w:ascii="Times New Roman" w:hAnsi="Times New Roman" w:cs="Times New Roman"/>
                <w:sz w:val="20"/>
                <w:szCs w:val="20"/>
              </w:rPr>
            </w:pPr>
          </w:p>
          <w:p w14:paraId="15132201" w14:textId="77777777" w:rsidR="00E5212C" w:rsidRPr="008819AF" w:rsidRDefault="00E5212C" w:rsidP="0021052F">
            <w:pPr>
              <w:pStyle w:val="BodyText22"/>
              <w:ind w:left="214" w:hanging="214"/>
              <w:jc w:val="center"/>
              <w:rPr>
                <w:rFonts w:ascii="Times New Roman" w:hAnsi="Times New Roman" w:cs="Times New Roman"/>
                <w:sz w:val="20"/>
                <w:szCs w:val="20"/>
              </w:rPr>
            </w:pPr>
          </w:p>
          <w:p w14:paraId="15132202" w14:textId="77777777" w:rsidR="00E5212C" w:rsidRPr="008819AF" w:rsidRDefault="00E5212C" w:rsidP="0021052F">
            <w:pPr>
              <w:pStyle w:val="BodyText22"/>
              <w:ind w:left="214" w:hanging="214"/>
              <w:jc w:val="center"/>
              <w:rPr>
                <w:rFonts w:ascii="Times New Roman" w:hAnsi="Times New Roman" w:cs="Times New Roman"/>
                <w:sz w:val="20"/>
                <w:szCs w:val="20"/>
              </w:rPr>
            </w:pPr>
          </w:p>
          <w:p w14:paraId="15132203" w14:textId="77777777" w:rsidR="00E5212C" w:rsidRPr="008819AF" w:rsidRDefault="00E5212C" w:rsidP="0021052F">
            <w:pPr>
              <w:pStyle w:val="BodyText22"/>
              <w:ind w:left="214" w:hanging="214"/>
              <w:jc w:val="center"/>
              <w:rPr>
                <w:rFonts w:ascii="Times New Roman" w:hAnsi="Times New Roman" w:cs="Times New Roman"/>
                <w:sz w:val="20"/>
                <w:szCs w:val="20"/>
              </w:rPr>
            </w:pPr>
          </w:p>
          <w:p w14:paraId="15132204" w14:textId="77777777" w:rsidR="00EA4F94" w:rsidRPr="008819AF" w:rsidRDefault="00EA4F94" w:rsidP="0021052F">
            <w:pPr>
              <w:pStyle w:val="BodyText22"/>
              <w:ind w:left="214" w:hanging="214"/>
              <w:jc w:val="center"/>
              <w:rPr>
                <w:rFonts w:ascii="Times New Roman" w:hAnsi="Times New Roman" w:cs="Times New Roman"/>
                <w:sz w:val="20"/>
                <w:szCs w:val="20"/>
              </w:rPr>
            </w:pPr>
          </w:p>
          <w:p w14:paraId="15132205" w14:textId="77777777" w:rsidR="00EA4F94" w:rsidRPr="008819AF" w:rsidRDefault="00EA4F94" w:rsidP="00EA4F94">
            <w:pPr>
              <w:pStyle w:val="BodyText22"/>
              <w:ind w:left="-12" w:hanging="64"/>
              <w:jc w:val="center"/>
              <w:rPr>
                <w:rFonts w:ascii="Times New Roman" w:hAnsi="Times New Roman" w:cs="Times New Roman"/>
                <w:sz w:val="20"/>
                <w:szCs w:val="20"/>
              </w:rPr>
            </w:pPr>
            <w:r w:rsidRPr="008819AF">
              <w:rPr>
                <w:rFonts w:ascii="Times New Roman" w:hAnsi="Times New Roman" w:cs="Times New Roman"/>
                <w:sz w:val="20"/>
                <w:szCs w:val="20"/>
              </w:rPr>
              <w:t>Pr</w:t>
            </w:r>
            <w:r w:rsidR="00EB6011" w:rsidRPr="008819AF">
              <w:rPr>
                <w:rFonts w:ascii="Times New Roman" w:hAnsi="Times New Roman" w:cs="Times New Roman"/>
                <w:sz w:val="20"/>
                <w:szCs w:val="20"/>
              </w:rPr>
              <w:t>.</w:t>
            </w:r>
            <w:r w:rsidRPr="008819AF">
              <w:rPr>
                <w:rFonts w:ascii="Times New Roman" w:hAnsi="Times New Roman" w:cs="Times New Roman"/>
                <w:sz w:val="20"/>
                <w:szCs w:val="20"/>
              </w:rPr>
              <w:t xml:space="preserve"> č. 6</w:t>
            </w:r>
          </w:p>
          <w:p w14:paraId="15132206" w14:textId="77777777" w:rsidR="00EA4F94" w:rsidRPr="008819AF" w:rsidRDefault="00EA4F94" w:rsidP="00EA4F94">
            <w:pPr>
              <w:pStyle w:val="BodyText22"/>
              <w:ind w:left="-12" w:hanging="64"/>
              <w:jc w:val="center"/>
              <w:rPr>
                <w:rFonts w:ascii="Times New Roman" w:hAnsi="Times New Roman" w:cs="Times New Roman"/>
                <w:sz w:val="20"/>
                <w:szCs w:val="20"/>
              </w:rPr>
            </w:pPr>
            <w:r w:rsidRPr="008819AF">
              <w:rPr>
                <w:rFonts w:ascii="Times New Roman" w:hAnsi="Times New Roman" w:cs="Times New Roman"/>
                <w:sz w:val="20"/>
                <w:szCs w:val="20"/>
              </w:rPr>
              <w:t>B 2</w:t>
            </w:r>
          </w:p>
          <w:p w14:paraId="15132207" w14:textId="77777777" w:rsidR="00EA4F94" w:rsidRPr="008819AF" w:rsidRDefault="00EA4F94" w:rsidP="00EA4F94">
            <w:pPr>
              <w:pStyle w:val="BodyText22"/>
              <w:ind w:left="-12" w:hanging="64"/>
              <w:jc w:val="center"/>
              <w:rPr>
                <w:rFonts w:ascii="Times New Roman" w:hAnsi="Times New Roman" w:cs="Times New Roman"/>
                <w:sz w:val="20"/>
                <w:szCs w:val="20"/>
              </w:rPr>
            </w:pPr>
            <w:r w:rsidRPr="008819AF">
              <w:rPr>
                <w:rFonts w:ascii="Times New Roman" w:hAnsi="Times New Roman" w:cs="Times New Roman"/>
                <w:sz w:val="20"/>
                <w:szCs w:val="20"/>
              </w:rPr>
              <w:t>P i)</w:t>
            </w:r>
          </w:p>
          <w:p w14:paraId="15132208"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09"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0A"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0B"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0C"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0D"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0E"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0F"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10"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11"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12"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13"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14"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15"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16" w14:textId="77777777" w:rsidR="00EA4F94" w:rsidRPr="008819AF" w:rsidRDefault="00EA4F94" w:rsidP="00EA4F94">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 xml:space="preserve">§ 34 </w:t>
            </w:r>
          </w:p>
          <w:p w14:paraId="15132217" w14:textId="77777777" w:rsidR="00EA4F94" w:rsidRPr="008819AF" w:rsidRDefault="00EA4F94" w:rsidP="00EA4F94">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O2</w:t>
            </w:r>
          </w:p>
          <w:p w14:paraId="15132218" w14:textId="77777777" w:rsidR="00EA4F94" w:rsidRPr="008819AF" w:rsidRDefault="00EA4F94" w:rsidP="00EA4F94">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lastRenderedPageBreak/>
              <w:t>P d)</w:t>
            </w:r>
          </w:p>
          <w:p w14:paraId="15132219" w14:textId="77777777" w:rsidR="00EA4F94" w:rsidRPr="008819AF" w:rsidRDefault="00EA4F94" w:rsidP="00EA4F94">
            <w:pPr>
              <w:pStyle w:val="BodyText22"/>
              <w:ind w:left="-3" w:firstLine="3"/>
              <w:jc w:val="center"/>
              <w:rPr>
                <w:rFonts w:ascii="Times New Roman" w:hAnsi="Times New Roman" w:cs="Times New Roman"/>
                <w:sz w:val="20"/>
                <w:szCs w:val="20"/>
              </w:rPr>
            </w:pPr>
          </w:p>
          <w:p w14:paraId="1513221A" w14:textId="77777777" w:rsidR="0031718E" w:rsidRPr="008819AF" w:rsidRDefault="0031718E" w:rsidP="00EA4F94">
            <w:pPr>
              <w:pStyle w:val="BodyText22"/>
              <w:ind w:left="-3" w:firstLine="3"/>
              <w:jc w:val="center"/>
              <w:rPr>
                <w:rFonts w:ascii="Times New Roman" w:hAnsi="Times New Roman" w:cs="Times New Roman"/>
                <w:sz w:val="20"/>
                <w:szCs w:val="20"/>
              </w:rPr>
            </w:pPr>
          </w:p>
          <w:p w14:paraId="1513221B" w14:textId="77777777" w:rsidR="0031718E" w:rsidRPr="008819AF" w:rsidRDefault="0031718E" w:rsidP="00EA4F94">
            <w:pPr>
              <w:pStyle w:val="BodyText22"/>
              <w:ind w:left="-3" w:firstLine="3"/>
              <w:jc w:val="center"/>
              <w:rPr>
                <w:rFonts w:ascii="Times New Roman" w:hAnsi="Times New Roman" w:cs="Times New Roman"/>
                <w:sz w:val="20"/>
                <w:szCs w:val="20"/>
              </w:rPr>
            </w:pPr>
          </w:p>
          <w:p w14:paraId="1513221C" w14:textId="77777777" w:rsidR="0031718E" w:rsidRPr="008819AF" w:rsidRDefault="0031718E" w:rsidP="00EA4F94">
            <w:pPr>
              <w:pStyle w:val="BodyText22"/>
              <w:ind w:left="-3" w:firstLine="3"/>
              <w:jc w:val="center"/>
              <w:rPr>
                <w:rFonts w:ascii="Times New Roman" w:hAnsi="Times New Roman" w:cs="Times New Roman"/>
                <w:sz w:val="20"/>
                <w:szCs w:val="20"/>
              </w:rPr>
            </w:pPr>
          </w:p>
          <w:p w14:paraId="1513221D" w14:textId="77777777" w:rsidR="0031718E" w:rsidRPr="008819AF" w:rsidRDefault="0031718E" w:rsidP="00EA4F94">
            <w:pPr>
              <w:pStyle w:val="BodyText22"/>
              <w:ind w:left="-3" w:firstLine="3"/>
              <w:jc w:val="center"/>
              <w:rPr>
                <w:rFonts w:ascii="Times New Roman" w:hAnsi="Times New Roman" w:cs="Times New Roman"/>
                <w:sz w:val="20"/>
                <w:szCs w:val="20"/>
              </w:rPr>
            </w:pPr>
          </w:p>
          <w:p w14:paraId="1513221E" w14:textId="77777777" w:rsidR="0031718E" w:rsidRPr="008819AF" w:rsidRDefault="0031718E" w:rsidP="00EA4F94">
            <w:pPr>
              <w:pStyle w:val="BodyText22"/>
              <w:ind w:left="-3" w:firstLine="3"/>
              <w:jc w:val="center"/>
              <w:rPr>
                <w:rFonts w:ascii="Times New Roman" w:hAnsi="Times New Roman" w:cs="Times New Roman"/>
                <w:sz w:val="20"/>
                <w:szCs w:val="20"/>
              </w:rPr>
            </w:pPr>
          </w:p>
          <w:p w14:paraId="1513221F" w14:textId="77777777" w:rsidR="0031718E" w:rsidRPr="008819AF" w:rsidRDefault="0031718E" w:rsidP="00EA4F94">
            <w:pPr>
              <w:pStyle w:val="BodyText22"/>
              <w:ind w:left="-3" w:firstLine="3"/>
              <w:jc w:val="center"/>
              <w:rPr>
                <w:rFonts w:ascii="Times New Roman" w:hAnsi="Times New Roman" w:cs="Times New Roman"/>
                <w:sz w:val="20"/>
                <w:szCs w:val="20"/>
              </w:rPr>
            </w:pPr>
          </w:p>
          <w:p w14:paraId="15132220" w14:textId="77777777" w:rsidR="0031718E" w:rsidRPr="008819AF" w:rsidRDefault="0031718E" w:rsidP="00EA4F94">
            <w:pPr>
              <w:pStyle w:val="BodyText22"/>
              <w:ind w:left="-3" w:firstLine="3"/>
              <w:jc w:val="center"/>
              <w:rPr>
                <w:rFonts w:ascii="Times New Roman" w:hAnsi="Times New Roman" w:cs="Times New Roman"/>
                <w:sz w:val="20"/>
                <w:szCs w:val="20"/>
              </w:rPr>
            </w:pPr>
          </w:p>
          <w:p w14:paraId="15132221" w14:textId="77777777" w:rsidR="0031718E" w:rsidRPr="008819AF" w:rsidRDefault="0031718E" w:rsidP="00EA4F94">
            <w:pPr>
              <w:pStyle w:val="BodyText22"/>
              <w:ind w:left="-3" w:firstLine="3"/>
              <w:jc w:val="center"/>
              <w:rPr>
                <w:rFonts w:ascii="Times New Roman" w:hAnsi="Times New Roman" w:cs="Times New Roman"/>
                <w:sz w:val="20"/>
                <w:szCs w:val="20"/>
              </w:rPr>
            </w:pPr>
          </w:p>
          <w:p w14:paraId="15132222" w14:textId="77777777" w:rsidR="0031718E" w:rsidRPr="008819AF" w:rsidRDefault="0031718E" w:rsidP="00EA4F94">
            <w:pPr>
              <w:pStyle w:val="BodyText22"/>
              <w:ind w:left="-3" w:firstLine="3"/>
              <w:jc w:val="center"/>
              <w:rPr>
                <w:rFonts w:ascii="Times New Roman" w:hAnsi="Times New Roman" w:cs="Times New Roman"/>
                <w:sz w:val="20"/>
                <w:szCs w:val="20"/>
              </w:rPr>
            </w:pPr>
          </w:p>
          <w:p w14:paraId="15132223" w14:textId="77777777" w:rsidR="0031718E" w:rsidRPr="008819AF" w:rsidRDefault="0031718E" w:rsidP="00EA4F94">
            <w:pPr>
              <w:pStyle w:val="BodyText22"/>
              <w:ind w:left="-3" w:firstLine="3"/>
              <w:jc w:val="center"/>
              <w:rPr>
                <w:rFonts w:ascii="Times New Roman" w:hAnsi="Times New Roman" w:cs="Times New Roman"/>
                <w:sz w:val="20"/>
                <w:szCs w:val="20"/>
              </w:rPr>
            </w:pPr>
          </w:p>
          <w:p w14:paraId="15132224" w14:textId="77777777" w:rsidR="0031718E" w:rsidRPr="008819AF" w:rsidRDefault="0031718E" w:rsidP="00EA4F94">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 34</w:t>
            </w:r>
          </w:p>
          <w:p w14:paraId="15132225" w14:textId="77777777" w:rsidR="0031718E" w:rsidRPr="008819AF" w:rsidRDefault="0031718E" w:rsidP="00EA4F94">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O3</w:t>
            </w:r>
          </w:p>
          <w:p w14:paraId="15132226" w14:textId="77777777" w:rsidR="0031718E" w:rsidRPr="008819AF" w:rsidRDefault="0031718E" w:rsidP="00EA4F94">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c)</w:t>
            </w:r>
          </w:p>
          <w:p w14:paraId="15132227"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28"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29"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2A"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2B"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2C"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2D"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2E"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2F"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30"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31"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32"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33"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34"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35"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36"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37"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38" w14:textId="77777777" w:rsidR="00E5212C" w:rsidRPr="008819AF" w:rsidRDefault="00E5212C" w:rsidP="00EA4F94">
            <w:pPr>
              <w:pStyle w:val="BodyText22"/>
              <w:ind w:left="-3" w:firstLine="3"/>
              <w:jc w:val="center"/>
              <w:rPr>
                <w:rFonts w:ascii="Times New Roman" w:hAnsi="Times New Roman" w:cs="Times New Roman"/>
                <w:sz w:val="20"/>
                <w:szCs w:val="20"/>
              </w:rPr>
            </w:pPr>
          </w:p>
          <w:p w14:paraId="15132239" w14:textId="77777777" w:rsidR="00E5212C" w:rsidRPr="008819AF" w:rsidRDefault="00E5212C" w:rsidP="00EA4F94">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§2</w:t>
            </w:r>
          </w:p>
          <w:p w14:paraId="1513223A" w14:textId="77777777" w:rsidR="0031718E" w:rsidRPr="008819AF" w:rsidRDefault="00E5212C" w:rsidP="00E5212C">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O6</w:t>
            </w:r>
          </w:p>
          <w:p w14:paraId="1513223B" w14:textId="77777777" w:rsidR="00E5212C" w:rsidRPr="008819AF" w:rsidRDefault="00E5212C" w:rsidP="00E5212C">
            <w:pPr>
              <w:pStyle w:val="BodyText22"/>
              <w:ind w:left="-3" w:firstLine="3"/>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23C" w14:textId="77777777" w:rsidR="00F00758" w:rsidRPr="008819AF" w:rsidRDefault="00F00758" w:rsidP="0021052F">
            <w:pPr>
              <w:pStyle w:val="Txmn"/>
              <w:numPr>
                <w:ilvl w:val="0"/>
                <w:numId w:val="0"/>
              </w:numPr>
              <w:tabs>
                <w:tab w:val="clear" w:pos="360"/>
              </w:tabs>
              <w:ind w:left="72"/>
              <w:jc w:val="left"/>
              <w:rPr>
                <w:rFonts w:ascii="Times New Roman" w:hAnsi="Times New Roman" w:cs="Times New Roman"/>
                <w:sz w:val="20"/>
                <w:szCs w:val="20"/>
              </w:rPr>
            </w:pPr>
            <w:r w:rsidRPr="008819AF">
              <w:rPr>
                <w:rFonts w:ascii="Times New Roman" w:hAnsi="Times New Roman" w:cs="Times New Roman"/>
                <w:sz w:val="20"/>
                <w:szCs w:val="20"/>
              </w:rPr>
              <w:lastRenderedPageBreak/>
              <w:t>Prevádzkovateľ veľkého zdroja a prevádzkovateľ stredného zdroja vo veciach monitorovania a preukazovania dodržiavania prípustnej miery znečisťovania ovzdušia je povinný</w:t>
            </w:r>
          </w:p>
          <w:p w14:paraId="1513223D" w14:textId="77777777" w:rsidR="007170C3" w:rsidRPr="008819AF" w:rsidRDefault="00F00758" w:rsidP="00AE35FA">
            <w:pPr>
              <w:pStyle w:val="Txmn"/>
              <w:numPr>
                <w:ilvl w:val="0"/>
                <w:numId w:val="0"/>
              </w:numPr>
              <w:tabs>
                <w:tab w:val="clear" w:pos="360"/>
                <w:tab w:val="clear" w:pos="643"/>
                <w:tab w:val="left" w:pos="317"/>
              </w:tabs>
              <w:ind w:left="72"/>
              <w:jc w:val="left"/>
              <w:rPr>
                <w:rFonts w:ascii="Times New Roman" w:hAnsi="Times New Roman" w:cs="Times New Roman"/>
                <w:sz w:val="20"/>
                <w:szCs w:val="20"/>
              </w:rPr>
            </w:pPr>
            <w:r w:rsidRPr="008819AF">
              <w:rPr>
                <w:rFonts w:ascii="Times New Roman" w:hAnsi="Times New Roman" w:cs="Times New Roman"/>
                <w:sz w:val="20"/>
                <w:szCs w:val="20"/>
              </w:rPr>
              <w:t>a)</w:t>
            </w:r>
            <w:r w:rsidRPr="008819AF">
              <w:rPr>
                <w:rFonts w:ascii="Times New Roman" w:hAnsi="Times New Roman" w:cs="Times New Roman"/>
                <w:sz w:val="20"/>
                <w:szCs w:val="20"/>
              </w:rPr>
              <w:tab/>
              <w:t xml:space="preserve">monitorovať </w:t>
            </w:r>
            <w:r w:rsidR="00AE35FA" w:rsidRPr="008819AF">
              <w:rPr>
                <w:rFonts w:ascii="Times New Roman" w:hAnsi="Times New Roman" w:cs="Times New Roman"/>
                <w:sz w:val="20"/>
                <w:szCs w:val="20"/>
              </w:rPr>
              <w:t xml:space="preserve">vybrané znečisťujúce látky </w:t>
            </w:r>
            <w:r w:rsidRPr="008819AF">
              <w:rPr>
                <w:rFonts w:ascii="Times New Roman" w:hAnsi="Times New Roman" w:cs="Times New Roman"/>
                <w:sz w:val="20"/>
                <w:szCs w:val="20"/>
              </w:rPr>
              <w:t>a preukazovať dodržiavanie emisných limitov, technických požiadaviek a podmienok prevádzkovania podľa § 22 v súlade s požiadavkami určenými v povolení, spôsobom a v lehotách ustanovených vykonávacím predpisom podľa § 62 písm. g);</w:t>
            </w:r>
          </w:p>
          <w:p w14:paraId="1513223E" w14:textId="77777777" w:rsidR="007170C3" w:rsidRPr="008819AF" w:rsidRDefault="007170C3" w:rsidP="0021052F">
            <w:pPr>
              <w:pStyle w:val="Bdet21"/>
              <w:ind w:left="72" w:firstLine="0"/>
              <w:jc w:val="left"/>
              <w:rPr>
                <w:rFonts w:ascii="Times New Roman" w:hAnsi="Times New Roman" w:cs="Times New Roman"/>
                <w:sz w:val="20"/>
                <w:szCs w:val="20"/>
              </w:rPr>
            </w:pPr>
          </w:p>
          <w:p w14:paraId="1513223F" w14:textId="77777777" w:rsidR="007170C3" w:rsidRPr="008819AF" w:rsidRDefault="006F0418" w:rsidP="0021052F">
            <w:pPr>
              <w:pStyle w:val="Bdet21"/>
              <w:ind w:left="72" w:firstLine="0"/>
              <w:jc w:val="left"/>
              <w:rPr>
                <w:rFonts w:ascii="Times New Roman" w:hAnsi="Times New Roman" w:cs="Times New Roman"/>
                <w:sz w:val="20"/>
                <w:szCs w:val="20"/>
              </w:rPr>
            </w:pPr>
            <w:r w:rsidRPr="008819AF">
              <w:rPr>
                <w:rFonts w:ascii="Times New Roman" w:hAnsi="Times New Roman" w:cs="Times New Roman"/>
                <w:sz w:val="20"/>
                <w:szCs w:val="20"/>
              </w:rPr>
              <w:t>Všeobecne záväzný právny predpis, ktorý vydá ministerstvo, ustanoví</w:t>
            </w:r>
          </w:p>
          <w:p w14:paraId="15132240" w14:textId="77777777" w:rsidR="007170C3" w:rsidRPr="008819AF" w:rsidRDefault="00AE35FA" w:rsidP="0021052F">
            <w:pPr>
              <w:pStyle w:val="Bdet21"/>
              <w:ind w:left="72" w:firstLine="0"/>
              <w:jc w:val="left"/>
              <w:rPr>
                <w:rFonts w:ascii="Times New Roman" w:hAnsi="Times New Roman" w:cs="Times New Roman"/>
                <w:sz w:val="20"/>
                <w:szCs w:val="20"/>
              </w:rPr>
            </w:pPr>
            <w:r w:rsidRPr="008819AF">
              <w:rPr>
                <w:rFonts w:ascii="Times New Roman" w:hAnsi="Times New Roman" w:cs="Times New Roman"/>
                <w:sz w:val="20"/>
                <w:szCs w:val="20"/>
              </w:rPr>
              <w:t>g)</w:t>
            </w:r>
            <w:r w:rsidRPr="008819AF">
              <w:rPr>
                <w:rFonts w:ascii="Times New Roman" w:hAnsi="Times New Roman" w:cs="Times New Roman"/>
                <w:sz w:val="20"/>
                <w:szCs w:val="20"/>
              </w:rPr>
              <w:tab/>
              <w:t xml:space="preserve">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w:t>
            </w:r>
            <w:r w:rsidRPr="008819AF">
              <w:rPr>
                <w:rFonts w:ascii="Times New Roman" w:hAnsi="Times New Roman" w:cs="Times New Roman"/>
                <w:sz w:val="20"/>
                <w:szCs w:val="20"/>
              </w:rPr>
              <w:lastRenderedPageBreak/>
              <w:t>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p w14:paraId="15132241" w14:textId="77777777" w:rsidR="007170C3" w:rsidRPr="008819AF" w:rsidRDefault="007170C3" w:rsidP="0021052F">
            <w:pPr>
              <w:pStyle w:val="BodyText22"/>
              <w:ind w:left="72" w:firstLine="0"/>
              <w:jc w:val="left"/>
              <w:rPr>
                <w:rFonts w:ascii="Times New Roman" w:hAnsi="Times New Roman" w:cs="Times New Roman"/>
                <w:sz w:val="20"/>
                <w:szCs w:val="20"/>
              </w:rPr>
            </w:pPr>
          </w:p>
          <w:p w14:paraId="15132242" w14:textId="77777777" w:rsidR="00E5212C" w:rsidRPr="008819AF" w:rsidRDefault="00E5212C" w:rsidP="00E5212C">
            <w:pPr>
              <w:rPr>
                <w:rFonts w:eastAsia="Arial"/>
              </w:rPr>
            </w:pPr>
            <w:r w:rsidRPr="008819AF">
              <w:rPr>
                <w:rFonts w:eastAsia="Arial"/>
              </w:rPr>
              <w:t>(5)</w:t>
            </w:r>
            <w:r w:rsidRPr="008819AF">
              <w:rPr>
                <w:rFonts w:eastAsia="Arial"/>
              </w:rPr>
              <w:tab/>
              <w:t>Periodická kontrola automatizovaného meracieho systému vrátane paralelných meraní štandardnou referenčnou metódou alebo v povolení na to určenou metodikou, ak takáto metodika nie je určená, sa vykonáva v intervale najmenej raz za rok 12 kalendárny mesiacov, ak</w:t>
            </w:r>
          </w:p>
          <w:p w14:paraId="15132243" w14:textId="77777777" w:rsidR="00E5212C" w:rsidRPr="008819AF" w:rsidRDefault="00E5212C" w:rsidP="00E5212C">
            <w:pPr>
              <w:rPr>
                <w:rFonts w:eastAsia="Arial"/>
              </w:rPr>
            </w:pPr>
            <w:r w:rsidRPr="008819AF">
              <w:rPr>
                <w:rFonts w:eastAsia="Arial"/>
              </w:rPr>
              <w:t>a)</w:t>
            </w:r>
            <w:r w:rsidRPr="008819AF">
              <w:rPr>
                <w:rFonts w:eastAsia="Arial"/>
              </w:rPr>
              <w:tab/>
              <w:t>osobitný predpis4) neustanovuje inak,</w:t>
            </w:r>
          </w:p>
          <w:p w14:paraId="15132244" w14:textId="77777777" w:rsidR="00E5212C" w:rsidRPr="008819AF" w:rsidRDefault="00E5212C" w:rsidP="00E5212C">
            <w:pPr>
              <w:rPr>
                <w:rFonts w:eastAsia="Arial"/>
              </w:rPr>
            </w:pPr>
            <w:r w:rsidRPr="008819AF">
              <w:rPr>
                <w:rFonts w:eastAsia="Arial"/>
              </w:rPr>
              <w:t>b)</w:t>
            </w:r>
            <w:r w:rsidRPr="008819AF">
              <w:rPr>
                <w:rFonts w:eastAsia="Arial"/>
              </w:rPr>
              <w:tab/>
              <w:t>kratší interval nie je určený v dokumentácii automatizovaného meracieho systému alebo v povolení alebo</w:t>
            </w:r>
          </w:p>
          <w:p w14:paraId="15132245" w14:textId="77777777" w:rsidR="00EA4F94" w:rsidRPr="008819AF" w:rsidRDefault="00E5212C" w:rsidP="00E5212C">
            <w:pPr>
              <w:rPr>
                <w:rFonts w:eastAsia="Arial"/>
              </w:rPr>
            </w:pPr>
            <w:r w:rsidRPr="008819AF">
              <w:rPr>
                <w:rFonts w:eastAsia="Arial"/>
              </w:rPr>
              <w:t>c)</w:t>
            </w:r>
            <w:r w:rsidRPr="008819AF">
              <w:rPr>
                <w:rFonts w:eastAsia="Arial"/>
              </w:rPr>
              <w:tab/>
              <w:t>v danom roku nie je nahradená úplnou kontrolou podľa odseku 2 písm. b) až g).</w:t>
            </w:r>
          </w:p>
          <w:p w14:paraId="15132246" w14:textId="77777777" w:rsidR="00E5212C" w:rsidRPr="008819AF" w:rsidRDefault="00E5212C" w:rsidP="0021052F">
            <w:pPr>
              <w:rPr>
                <w:rFonts w:eastAsia="Arial"/>
              </w:rPr>
            </w:pPr>
          </w:p>
          <w:p w14:paraId="15132247" w14:textId="77777777" w:rsidR="00E5212C" w:rsidRPr="008819AF" w:rsidRDefault="00E5212C" w:rsidP="0021052F">
            <w:pPr>
              <w:rPr>
                <w:rFonts w:eastAsia="Arial"/>
              </w:rPr>
            </w:pPr>
          </w:p>
          <w:p w14:paraId="15132248" w14:textId="77777777" w:rsidR="00EA4F94" w:rsidRPr="008819AF" w:rsidRDefault="00EA4F94" w:rsidP="0021052F">
            <w:pPr>
              <w:rPr>
                <w:rFonts w:eastAsia="Arial"/>
              </w:rPr>
            </w:pPr>
            <w:r w:rsidRPr="008819AF">
              <w:rPr>
                <w:rFonts w:eastAsia="Arial"/>
              </w:rPr>
              <w:t>Žiadosť o vydanie povolenia podľa § 27 ods. 1 pre veľký zdroj alebo stredný zdroj vrátane vydania povolenia na ich zmeny okrem všeobecných náležitostí podania obsahuje</w:t>
            </w:r>
          </w:p>
          <w:p w14:paraId="15132249" w14:textId="77777777" w:rsidR="007170C3" w:rsidRPr="008819AF" w:rsidRDefault="00EA4F94" w:rsidP="00EA4F94">
            <w:pPr>
              <w:pStyle w:val="BodyText22"/>
              <w:ind w:left="24" w:firstLine="0"/>
              <w:jc w:val="left"/>
              <w:rPr>
                <w:rFonts w:ascii="Times New Roman" w:hAnsi="Times New Roman" w:cs="Times New Roman"/>
                <w:sz w:val="20"/>
                <w:szCs w:val="20"/>
              </w:rPr>
            </w:pPr>
            <w:r w:rsidRPr="008819AF">
              <w:rPr>
                <w:rFonts w:ascii="Times New Roman" w:hAnsi="Times New Roman" w:cs="Times New Roman"/>
                <w:sz w:val="20"/>
                <w:szCs w:val="20"/>
              </w:rPr>
              <w:t>i) polohu miest odberu vzoriek alebo meracích miest, riešenie technických požiadaviek na reprezentatívne miesto odberu vzoriek alebo meracie miesto vrátane riešenia požiadaviek na potrebný manipulačný priestor, na dostupnosť energetických zdrojov, na ochranu proti vplyvom fyzikálnych polí a poveternostným vplyvom; ak ide o meracie miesto inštalované na potrubí, úsek merania a miesto merania sa považujú za zodpovedajúce súčasnému stavu techniky, ak vyhovujú požiadavkám podľa technickej normy a technickej normalizačnej informácii alebo iným obdobným technickým špecifikáciám s porovnateľným alebo prísnejším požiadavkám vo veci merania emisií zo stacionárnych zdrojov, požiadavky na úseky a miesta merania, ); reprezentatívne miesto odberu vzoriek alebo meracie miesto musí byť identifikované v projektovej dokumentácií</w:t>
            </w:r>
            <w:r w:rsidR="00C778D7" w:rsidRPr="008819AF">
              <w:rPr>
                <w:rFonts w:ascii="Times New Roman" w:hAnsi="Times New Roman" w:cs="Times New Roman"/>
                <w:sz w:val="20"/>
                <w:szCs w:val="20"/>
              </w:rPr>
              <w:t>,</w:t>
            </w:r>
          </w:p>
          <w:p w14:paraId="1513224A" w14:textId="77777777" w:rsidR="00EA4F94" w:rsidRPr="008819AF" w:rsidRDefault="00EA4F94" w:rsidP="00EA4F94">
            <w:pPr>
              <w:pStyle w:val="BodyText22"/>
              <w:ind w:left="24" w:firstLine="0"/>
              <w:jc w:val="left"/>
              <w:rPr>
                <w:rFonts w:ascii="Times New Roman" w:hAnsi="Times New Roman" w:cs="Times New Roman"/>
                <w:sz w:val="20"/>
                <w:szCs w:val="20"/>
              </w:rPr>
            </w:pPr>
          </w:p>
          <w:p w14:paraId="1513224B" w14:textId="77777777" w:rsidR="00EA4F94" w:rsidRPr="008819AF" w:rsidRDefault="00EA4F94" w:rsidP="00EA4F94">
            <w:pPr>
              <w:pStyle w:val="BodyText22"/>
              <w:ind w:left="24" w:firstLine="0"/>
              <w:jc w:val="left"/>
              <w:rPr>
                <w:rFonts w:ascii="Times New Roman" w:hAnsi="Times New Roman" w:cs="Times New Roman"/>
                <w:sz w:val="20"/>
                <w:szCs w:val="20"/>
              </w:rPr>
            </w:pPr>
            <w:r w:rsidRPr="008819AF">
              <w:rPr>
                <w:rFonts w:ascii="Times New Roman" w:hAnsi="Times New Roman" w:cs="Times New Roman"/>
                <w:sz w:val="20"/>
                <w:szCs w:val="20"/>
              </w:rPr>
              <w:t xml:space="preserve">Prevádzkovateľ veľkého zdroja a prevádzkovateľ stredného zdroja vo veciach vedenia prevádzkovej evidencie, zisťovania množstva </w:t>
            </w:r>
            <w:r w:rsidRPr="008819AF">
              <w:rPr>
                <w:rFonts w:ascii="Times New Roman" w:hAnsi="Times New Roman" w:cs="Times New Roman"/>
                <w:sz w:val="20"/>
                <w:szCs w:val="20"/>
              </w:rPr>
              <w:lastRenderedPageBreak/>
              <w:t>emisií, oznamovania údajov o emisiách a zdroji,  predkladania správ, súboru parametrov a opatrení, a programov na zníženie množstva emisií a informovania verejnosti je povinný</w:t>
            </w:r>
          </w:p>
          <w:p w14:paraId="1513224C" w14:textId="77777777" w:rsidR="00EA4F94" w:rsidRPr="008819AF" w:rsidRDefault="00EA4F94" w:rsidP="00EA4F94">
            <w:pPr>
              <w:pStyle w:val="BodyText22"/>
              <w:ind w:left="24" w:firstLine="0"/>
              <w:jc w:val="left"/>
              <w:rPr>
                <w:rFonts w:ascii="Times New Roman" w:hAnsi="Times New Roman" w:cs="Times New Roman"/>
                <w:sz w:val="20"/>
                <w:szCs w:val="20"/>
              </w:rPr>
            </w:pPr>
            <w:r w:rsidRPr="008819AF">
              <w:rPr>
                <w:rFonts w:ascii="Times New Roman" w:hAnsi="Times New Roman" w:cs="Times New Roman"/>
                <w:sz w:val="20"/>
                <w:szCs w:val="20"/>
              </w:rPr>
              <w:t>d)</w:t>
            </w:r>
            <w:r w:rsidRPr="008819AF">
              <w:rPr>
                <w:rFonts w:ascii="Times New Roman" w:hAnsi="Times New Roman" w:cs="Times New Roman"/>
                <w:sz w:val="20"/>
                <w:szCs w:val="20"/>
              </w:rPr>
              <w:tab/>
              <w:t xml:space="preserve">každoročne, do </w:t>
            </w:r>
            <w:r w:rsidR="00C778D7" w:rsidRPr="008819AF">
              <w:rPr>
                <w:rFonts w:ascii="Times New Roman" w:hAnsi="Times New Roman" w:cs="Times New Roman"/>
                <w:sz w:val="20"/>
                <w:szCs w:val="20"/>
              </w:rPr>
              <w:t>konca februára</w:t>
            </w:r>
            <w:r w:rsidRPr="008819AF">
              <w:rPr>
                <w:rFonts w:ascii="Times New Roman" w:hAnsi="Times New Roman" w:cs="Times New Roman"/>
                <w:sz w:val="20"/>
                <w:szCs w:val="20"/>
              </w:rPr>
              <w:t xml:space="preserve"> oznamovať vybrané, úplné a 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w:t>
            </w:r>
          </w:p>
          <w:p w14:paraId="1513224D" w14:textId="77777777" w:rsidR="0031718E" w:rsidRPr="008819AF" w:rsidRDefault="0031718E" w:rsidP="00EA4F94">
            <w:pPr>
              <w:pStyle w:val="BodyText22"/>
              <w:ind w:left="24" w:firstLine="0"/>
              <w:jc w:val="left"/>
              <w:rPr>
                <w:rFonts w:ascii="Times New Roman" w:hAnsi="Times New Roman" w:cs="Times New Roman"/>
                <w:sz w:val="20"/>
                <w:szCs w:val="20"/>
              </w:rPr>
            </w:pPr>
          </w:p>
          <w:p w14:paraId="1513224E" w14:textId="77777777" w:rsidR="0031718E" w:rsidRPr="008819AF" w:rsidRDefault="0031718E" w:rsidP="00EA4F94">
            <w:pPr>
              <w:pStyle w:val="BodyText22"/>
              <w:ind w:left="24" w:firstLine="0"/>
              <w:jc w:val="left"/>
              <w:rPr>
                <w:rFonts w:ascii="Times New Roman" w:hAnsi="Times New Roman" w:cs="Times New Roman"/>
                <w:sz w:val="20"/>
                <w:szCs w:val="20"/>
              </w:rPr>
            </w:pPr>
            <w:r w:rsidRPr="008819AF">
              <w:rPr>
                <w:rFonts w:ascii="Times New Roman" w:hAnsi="Times New Roman" w:cs="Times New Roman"/>
                <w:sz w:val="20"/>
                <w:szCs w:val="20"/>
              </w:rPr>
              <w:t>Prevádzkovateľ veľkého zdroja a prevádzkovateľ stredného zdroja vo veciach monitorovania a preukazovania dodržiavania prípustnej miery znečisťovania ovzdušia je povinný</w:t>
            </w:r>
          </w:p>
          <w:p w14:paraId="1513224F" w14:textId="77777777" w:rsidR="0031718E" w:rsidRPr="008819AF" w:rsidRDefault="0031718E" w:rsidP="009C63CF">
            <w:pPr>
              <w:pStyle w:val="BodyText22"/>
              <w:numPr>
                <w:ilvl w:val="0"/>
                <w:numId w:val="28"/>
              </w:numPr>
              <w:rPr>
                <w:rFonts w:ascii="Times New Roman" w:hAnsi="Times New Roman" w:cs="Times New Roman"/>
                <w:sz w:val="20"/>
                <w:szCs w:val="20"/>
              </w:rPr>
            </w:pPr>
            <w:r w:rsidRPr="008819AF">
              <w:rPr>
                <w:rFonts w:ascii="Times New Roman" w:hAnsi="Times New Roman" w:cs="Times New Roman"/>
                <w:sz w:val="20"/>
                <w:szCs w:val="20"/>
              </w:rPr>
              <w:t xml:space="preserve">c) na účel informovania povoľujúceho orgánu o splnení povinností podľa písmen a) a b) a verejnosti v rozsahu a forme ustanovenej vykonávacím predpisom podľa § 62 písm. g) </w:t>
            </w:r>
          </w:p>
          <w:p w14:paraId="15132250" w14:textId="77777777" w:rsidR="0031718E" w:rsidRPr="008819AF" w:rsidRDefault="0031718E" w:rsidP="009C63CF">
            <w:pPr>
              <w:pStyle w:val="BodyText22"/>
              <w:numPr>
                <w:ilvl w:val="0"/>
                <w:numId w:val="28"/>
              </w:numPr>
              <w:rPr>
                <w:rFonts w:ascii="Times New Roman" w:hAnsi="Times New Roman" w:cs="Times New Roman"/>
                <w:sz w:val="20"/>
                <w:szCs w:val="20"/>
              </w:rPr>
            </w:pPr>
            <w:r w:rsidRPr="008819AF">
              <w:rPr>
                <w:rFonts w:ascii="Times New Roman" w:hAnsi="Times New Roman" w:cs="Times New Roman"/>
                <w:sz w:val="20"/>
                <w:szCs w:val="20"/>
              </w:rPr>
              <w:t>1. zabezpečovať predloženie správy o platnom výsledku oprávnenej technickej činnosti a informácie o platnom výsledku oprávnenej technickej činnosti do Národného emisného informačného systému 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15132251" w14:textId="77777777" w:rsidR="0031718E" w:rsidRPr="008819AF" w:rsidRDefault="0031718E" w:rsidP="0031718E">
            <w:pPr>
              <w:pStyle w:val="BodyText22"/>
              <w:ind w:left="24" w:firstLine="0"/>
              <w:jc w:val="left"/>
              <w:rPr>
                <w:rFonts w:ascii="Times New Roman" w:hAnsi="Times New Roman" w:cs="Times New Roman"/>
                <w:sz w:val="20"/>
                <w:szCs w:val="20"/>
              </w:rPr>
            </w:pPr>
            <w:r w:rsidRPr="008819AF">
              <w:rPr>
                <w:rFonts w:ascii="Times New Roman" w:hAnsi="Times New Roman" w:cs="Times New Roman"/>
                <w:sz w:val="20"/>
                <w:szCs w:val="20"/>
              </w:rPr>
              <w:t>2. zasielať mesačné a ročné protokoly z kontinuálneho merania emisií v le</w:t>
            </w:r>
            <w:r w:rsidR="00C778D7" w:rsidRPr="008819AF">
              <w:rPr>
                <w:rFonts w:ascii="Times New Roman" w:hAnsi="Times New Roman" w:cs="Times New Roman"/>
                <w:sz w:val="20"/>
                <w:szCs w:val="20"/>
              </w:rPr>
              <w:t>hote podľa osobitného predpisu66</w:t>
            </w:r>
            <w:r w:rsidRPr="008819AF">
              <w:rPr>
                <w:rFonts w:ascii="Times New Roman" w:hAnsi="Times New Roman" w:cs="Times New Roman"/>
                <w:sz w:val="20"/>
                <w:szCs w:val="20"/>
              </w:rPr>
              <w:t>) do Národného emisného informačného systému alebo oznámiť prevádzkovateľovi informačného systému adresu webového sídla, kde sú protokoly a informácie v ustanovenom čase, rozsahu a forme sprístupňované pre uloženie v info</w:t>
            </w:r>
            <w:r w:rsidR="00C778D7" w:rsidRPr="008819AF">
              <w:rPr>
                <w:rFonts w:ascii="Times New Roman" w:hAnsi="Times New Roman" w:cs="Times New Roman"/>
                <w:sz w:val="20"/>
                <w:szCs w:val="20"/>
              </w:rPr>
              <w:t>rmačnom systéme a pre verejnosť</w:t>
            </w:r>
            <w:r w:rsidRPr="008819AF">
              <w:rPr>
                <w:rFonts w:ascii="Times New Roman" w:hAnsi="Times New Roman" w:cs="Times New Roman"/>
                <w:sz w:val="20"/>
                <w:szCs w:val="20"/>
              </w:rPr>
              <w:t>,</w:t>
            </w:r>
          </w:p>
          <w:p w14:paraId="15132252" w14:textId="77777777" w:rsidR="00E5212C" w:rsidRPr="008819AF" w:rsidRDefault="00E5212C" w:rsidP="0031718E">
            <w:pPr>
              <w:pStyle w:val="BodyText22"/>
              <w:ind w:left="24" w:firstLine="0"/>
              <w:jc w:val="left"/>
              <w:rPr>
                <w:rFonts w:ascii="Times New Roman" w:hAnsi="Times New Roman" w:cs="Times New Roman"/>
                <w:sz w:val="20"/>
                <w:szCs w:val="20"/>
              </w:rPr>
            </w:pPr>
          </w:p>
          <w:p w14:paraId="15132253" w14:textId="77777777" w:rsidR="00E5212C" w:rsidRPr="008819AF" w:rsidRDefault="00E5212C" w:rsidP="0031718E">
            <w:pPr>
              <w:pStyle w:val="BodyText22"/>
              <w:ind w:left="24" w:firstLine="0"/>
              <w:jc w:val="left"/>
              <w:rPr>
                <w:rFonts w:ascii="Times New Roman" w:hAnsi="Times New Roman" w:cs="Times New Roman"/>
                <w:sz w:val="20"/>
                <w:szCs w:val="20"/>
              </w:rPr>
            </w:pPr>
            <w:r w:rsidRPr="008819AF">
              <w:rPr>
                <w:rFonts w:ascii="Times New Roman" w:hAnsi="Times New Roman" w:cs="Times New Roman"/>
                <w:sz w:val="20"/>
                <w:szCs w:val="20"/>
              </w:rPr>
              <w:t>(6)</w:t>
            </w:r>
            <w:r w:rsidRPr="008819AF">
              <w:rPr>
                <w:rFonts w:ascii="Times New Roman" w:hAnsi="Times New Roman" w:cs="Times New Roman"/>
                <w:sz w:val="20"/>
                <w:szCs w:val="20"/>
              </w:rPr>
              <w:tab/>
              <w:t xml:space="preserve">Všetky výsledky kontinuálnych meraní a diskontinuálnych meraní emisií a kvality ovzdušia v  okolí stacionárneho zdroja a výsledky zisťovaní údajov o dodržaní určených požiadaviek na automatizované meracie systémy sa zaznamenávajú, spracovávajú a prezentujú spôsobom a v rozsahu podľa § 22 ods. 3 a ods. 4 zákona a § 4 ods. 9, ak ide o monitorovanie emisií, a podľa § 13 ods. 12 a 13, ak ide o monitorovanie kvality ovzdušia aby príslušný povoľujúci orgán podľa § 2 písm. q zákona a orgán ochrany </w:t>
            </w:r>
            <w:r w:rsidRPr="008819AF">
              <w:rPr>
                <w:rFonts w:ascii="Times New Roman" w:hAnsi="Times New Roman" w:cs="Times New Roman"/>
                <w:sz w:val="20"/>
                <w:szCs w:val="20"/>
              </w:rPr>
              <w:lastRenderedPageBreak/>
              <w:t>ovzdušia podľa § 39 ods. 1 písm. b) až d) zákona mohol kontrolovať dodržiavanie podmienok určených v súhlase, rozhodnutí alebo v integrovanom povolení (ďalej len „povolenie“).</w:t>
            </w:r>
          </w:p>
        </w:tc>
        <w:tc>
          <w:tcPr>
            <w:tcW w:w="429" w:type="dxa"/>
            <w:tcBorders>
              <w:top w:val="single" w:sz="4" w:space="0" w:color="000000"/>
              <w:left w:val="single" w:sz="6" w:space="0" w:color="000000"/>
              <w:bottom w:val="single" w:sz="4" w:space="0" w:color="000000"/>
              <w:right w:val="single" w:sz="6" w:space="0" w:color="000000"/>
            </w:tcBorders>
          </w:tcPr>
          <w:p w14:paraId="15132254" w14:textId="77777777" w:rsidR="007170C3" w:rsidRPr="008819AF" w:rsidRDefault="006F0418" w:rsidP="0021052F">
            <w:pPr>
              <w:ind w:left="215" w:hanging="215"/>
              <w:rPr>
                <w:rFonts w:eastAsia="Arial"/>
                <w:lang w:bidi="cs-CZ"/>
              </w:rPr>
            </w:pPr>
            <w:r w:rsidRPr="008819AF">
              <w:rPr>
                <w:rFonts w:eastAsia="Arial"/>
                <w:lang w:bidi="cs-CZ"/>
              </w:rPr>
              <w:lastRenderedPageBreak/>
              <w:t>Ú</w:t>
            </w:r>
          </w:p>
          <w:p w14:paraId="15132255" w14:textId="77777777" w:rsidR="007170C3" w:rsidRPr="008819AF" w:rsidRDefault="007170C3" w:rsidP="0021052F">
            <w:pPr>
              <w:ind w:left="215" w:hanging="215"/>
              <w:rPr>
                <w:rFonts w:eastAsia="Arial"/>
                <w:lang w:bidi="cs-CZ"/>
              </w:rPr>
            </w:pPr>
          </w:p>
          <w:p w14:paraId="15132256" w14:textId="77777777" w:rsidR="007170C3" w:rsidRPr="008819AF" w:rsidRDefault="007170C3" w:rsidP="0021052F">
            <w:pPr>
              <w:ind w:left="215" w:hanging="215"/>
              <w:rPr>
                <w:rFonts w:eastAsia="Arial"/>
                <w:lang w:bidi="cs-CZ"/>
              </w:rPr>
            </w:pPr>
          </w:p>
          <w:p w14:paraId="15132257" w14:textId="77777777" w:rsidR="007170C3" w:rsidRPr="008819AF" w:rsidRDefault="007170C3" w:rsidP="0021052F">
            <w:pPr>
              <w:ind w:left="215" w:hanging="215"/>
              <w:rPr>
                <w:rFonts w:eastAsia="Arial"/>
                <w:lang w:bidi="cs-CZ"/>
              </w:rPr>
            </w:pPr>
          </w:p>
          <w:p w14:paraId="15132258" w14:textId="77777777" w:rsidR="007170C3" w:rsidRPr="008819AF" w:rsidRDefault="007170C3" w:rsidP="0021052F">
            <w:pPr>
              <w:ind w:left="215" w:hanging="215"/>
              <w:rPr>
                <w:rFonts w:eastAsia="Arial"/>
                <w:lang w:bidi="cs-CZ"/>
              </w:rPr>
            </w:pPr>
          </w:p>
          <w:p w14:paraId="15132259" w14:textId="77777777" w:rsidR="007170C3" w:rsidRPr="008819AF" w:rsidRDefault="007170C3" w:rsidP="0021052F">
            <w:pPr>
              <w:ind w:left="215" w:hanging="215"/>
              <w:rPr>
                <w:rFonts w:eastAsia="Arial"/>
                <w:lang w:bidi="cs-CZ"/>
              </w:rPr>
            </w:pPr>
          </w:p>
          <w:p w14:paraId="1513225A" w14:textId="77777777" w:rsidR="007170C3" w:rsidRPr="008819AF" w:rsidRDefault="007170C3" w:rsidP="0021052F">
            <w:pPr>
              <w:ind w:left="215" w:hanging="215"/>
              <w:rPr>
                <w:rFonts w:eastAsia="Arial"/>
                <w:lang w:bidi="cs-CZ"/>
              </w:rPr>
            </w:pPr>
          </w:p>
          <w:p w14:paraId="1513225B" w14:textId="77777777" w:rsidR="007170C3" w:rsidRPr="008819AF" w:rsidRDefault="007170C3" w:rsidP="0021052F">
            <w:pPr>
              <w:ind w:left="215" w:hanging="215"/>
              <w:rPr>
                <w:rFonts w:eastAsia="Arial"/>
                <w:lang w:bidi="cs-CZ"/>
              </w:rPr>
            </w:pPr>
          </w:p>
          <w:p w14:paraId="1513225C" w14:textId="77777777" w:rsidR="007170C3" w:rsidRPr="008819AF" w:rsidRDefault="007170C3" w:rsidP="0021052F">
            <w:pPr>
              <w:ind w:left="215" w:hanging="215"/>
              <w:rPr>
                <w:rFonts w:eastAsia="Arial"/>
                <w:lang w:bidi="cs-CZ"/>
              </w:rPr>
            </w:pPr>
          </w:p>
          <w:p w14:paraId="1513225D" w14:textId="77777777" w:rsidR="007170C3" w:rsidRPr="008819AF" w:rsidRDefault="007170C3" w:rsidP="0021052F">
            <w:pPr>
              <w:ind w:left="215" w:hanging="215"/>
              <w:rPr>
                <w:rFonts w:eastAsia="Arial"/>
                <w:lang w:bidi="cs-CZ"/>
              </w:rPr>
            </w:pPr>
          </w:p>
          <w:p w14:paraId="1513225E" w14:textId="77777777" w:rsidR="007170C3" w:rsidRPr="008819AF" w:rsidRDefault="007170C3" w:rsidP="0021052F">
            <w:pPr>
              <w:ind w:left="215" w:hanging="215"/>
              <w:rPr>
                <w:rFonts w:eastAsia="Arial"/>
                <w:lang w:bidi="cs-CZ"/>
              </w:rPr>
            </w:pPr>
          </w:p>
          <w:p w14:paraId="1513225F" w14:textId="77777777" w:rsidR="007170C3" w:rsidRPr="008819AF" w:rsidRDefault="007170C3" w:rsidP="0021052F">
            <w:pPr>
              <w:ind w:left="215" w:hanging="215"/>
              <w:rPr>
                <w:rFonts w:eastAsia="Arial"/>
                <w:lang w:bidi="cs-CZ"/>
              </w:rPr>
            </w:pPr>
          </w:p>
          <w:p w14:paraId="15132260" w14:textId="77777777" w:rsidR="007170C3" w:rsidRPr="008819AF" w:rsidRDefault="007170C3" w:rsidP="0021052F">
            <w:pPr>
              <w:ind w:left="215" w:hanging="215"/>
              <w:rPr>
                <w:rFonts w:eastAsia="Arial"/>
                <w:lang w:bidi="cs-CZ"/>
              </w:rPr>
            </w:pPr>
          </w:p>
          <w:p w14:paraId="15132261" w14:textId="77777777" w:rsidR="007170C3" w:rsidRPr="008819AF" w:rsidRDefault="007170C3" w:rsidP="0021052F">
            <w:pPr>
              <w:ind w:left="215" w:hanging="215"/>
              <w:rPr>
                <w:rFonts w:eastAsia="Arial"/>
                <w:lang w:bidi="cs-CZ"/>
              </w:rPr>
            </w:pPr>
          </w:p>
          <w:p w14:paraId="15132262" w14:textId="77777777" w:rsidR="007170C3" w:rsidRPr="008819AF" w:rsidRDefault="007170C3" w:rsidP="0021052F">
            <w:pPr>
              <w:ind w:left="215" w:hanging="215"/>
              <w:rPr>
                <w:rFonts w:eastAsia="Arial"/>
                <w:lang w:bidi="cs-CZ"/>
              </w:rPr>
            </w:pPr>
          </w:p>
          <w:p w14:paraId="15132263" w14:textId="77777777" w:rsidR="007170C3" w:rsidRPr="008819AF" w:rsidRDefault="007170C3" w:rsidP="0021052F">
            <w:pPr>
              <w:ind w:left="215" w:hanging="215"/>
              <w:rPr>
                <w:rFonts w:eastAsia="Arial"/>
                <w:lang w:bidi="cs-CZ"/>
              </w:rPr>
            </w:pPr>
          </w:p>
          <w:p w14:paraId="15132264" w14:textId="77777777" w:rsidR="007170C3" w:rsidRPr="008819AF" w:rsidRDefault="007170C3" w:rsidP="0021052F">
            <w:pPr>
              <w:ind w:left="215" w:hanging="215"/>
              <w:rPr>
                <w:rFonts w:eastAsia="Arial"/>
                <w:lang w:bidi="cs-CZ"/>
              </w:rPr>
            </w:pPr>
          </w:p>
          <w:p w14:paraId="15132265" w14:textId="77777777" w:rsidR="007170C3" w:rsidRPr="008819AF" w:rsidRDefault="007170C3" w:rsidP="0021052F">
            <w:pPr>
              <w:ind w:left="215" w:hanging="215"/>
              <w:rPr>
                <w:rFonts w:eastAsia="Arial"/>
                <w:lang w:bidi="cs-CZ"/>
              </w:rPr>
            </w:pPr>
          </w:p>
          <w:p w14:paraId="15132266" w14:textId="77777777" w:rsidR="007170C3" w:rsidRPr="008819AF" w:rsidRDefault="007170C3" w:rsidP="0021052F">
            <w:pPr>
              <w:ind w:left="215" w:hanging="215"/>
              <w:rPr>
                <w:rFonts w:eastAsia="Arial"/>
                <w:lang w:bidi="cs-CZ"/>
              </w:rPr>
            </w:pPr>
          </w:p>
          <w:p w14:paraId="15132267" w14:textId="77777777" w:rsidR="007170C3" w:rsidRPr="008819AF" w:rsidRDefault="007170C3" w:rsidP="0021052F">
            <w:pPr>
              <w:ind w:left="215" w:hanging="215"/>
              <w:rPr>
                <w:rFonts w:eastAsia="Arial"/>
                <w:lang w:bidi="cs-CZ"/>
              </w:rPr>
            </w:pPr>
          </w:p>
          <w:p w14:paraId="15132268" w14:textId="77777777" w:rsidR="007170C3" w:rsidRPr="008819AF" w:rsidRDefault="007170C3" w:rsidP="0021052F">
            <w:pPr>
              <w:ind w:left="215" w:hanging="215"/>
              <w:rPr>
                <w:rFonts w:eastAsia="Arial"/>
                <w:lang w:bidi="cs-CZ"/>
              </w:rPr>
            </w:pPr>
          </w:p>
          <w:p w14:paraId="15132269" w14:textId="77777777" w:rsidR="007170C3" w:rsidRPr="008819AF" w:rsidRDefault="007170C3" w:rsidP="0021052F">
            <w:pPr>
              <w:ind w:left="215" w:hanging="215"/>
              <w:rPr>
                <w:rFonts w:eastAsia="Arial"/>
                <w:lang w:bidi="cs-CZ"/>
              </w:rPr>
            </w:pPr>
          </w:p>
          <w:p w14:paraId="1513226A" w14:textId="77777777" w:rsidR="007170C3" w:rsidRPr="008819AF" w:rsidRDefault="007170C3" w:rsidP="0021052F">
            <w:pPr>
              <w:ind w:left="215" w:hanging="215"/>
              <w:rPr>
                <w:rFonts w:eastAsia="Arial"/>
                <w:lang w:bidi="cs-CZ"/>
              </w:rPr>
            </w:pPr>
          </w:p>
          <w:p w14:paraId="1513226B" w14:textId="77777777" w:rsidR="007170C3" w:rsidRPr="008819AF" w:rsidRDefault="007170C3" w:rsidP="0021052F">
            <w:pPr>
              <w:ind w:left="215" w:hanging="215"/>
              <w:rPr>
                <w:rFonts w:eastAsia="Arial"/>
                <w:lang w:bidi="cs-CZ"/>
              </w:rPr>
            </w:pPr>
          </w:p>
          <w:p w14:paraId="1513226C" w14:textId="77777777" w:rsidR="00F929C5" w:rsidRPr="008819AF" w:rsidRDefault="00F929C5" w:rsidP="0021052F">
            <w:pPr>
              <w:ind w:left="215" w:hanging="215"/>
              <w:rPr>
                <w:rFonts w:eastAsia="Arial"/>
                <w:lang w:bidi="cs-CZ"/>
              </w:rPr>
            </w:pPr>
          </w:p>
          <w:p w14:paraId="1513226D" w14:textId="77777777" w:rsidR="00F929C5" w:rsidRPr="008819AF" w:rsidRDefault="00F929C5" w:rsidP="0021052F">
            <w:pPr>
              <w:ind w:left="215" w:hanging="215"/>
              <w:rPr>
                <w:rFonts w:eastAsia="Arial"/>
                <w:lang w:bidi="cs-CZ"/>
              </w:rPr>
            </w:pPr>
          </w:p>
          <w:p w14:paraId="1513226E" w14:textId="77777777" w:rsidR="00F929C5" w:rsidRPr="008819AF" w:rsidRDefault="00F929C5" w:rsidP="0021052F">
            <w:pPr>
              <w:ind w:left="215" w:hanging="215"/>
              <w:rPr>
                <w:rFonts w:eastAsia="Arial"/>
                <w:lang w:bidi="cs-CZ"/>
              </w:rPr>
            </w:pPr>
          </w:p>
          <w:p w14:paraId="1513226F" w14:textId="77777777" w:rsidR="00F929C5" w:rsidRPr="008819AF" w:rsidRDefault="00F929C5" w:rsidP="0021052F">
            <w:pPr>
              <w:ind w:left="215" w:hanging="215"/>
              <w:rPr>
                <w:rFonts w:eastAsia="Arial"/>
                <w:lang w:bidi="cs-CZ"/>
              </w:rPr>
            </w:pPr>
          </w:p>
          <w:p w14:paraId="15132270" w14:textId="77777777" w:rsidR="00F929C5" w:rsidRPr="008819AF" w:rsidRDefault="00F929C5" w:rsidP="0021052F">
            <w:pPr>
              <w:ind w:left="215" w:hanging="215"/>
              <w:rPr>
                <w:rFonts w:eastAsia="Arial"/>
                <w:lang w:bidi="cs-CZ"/>
              </w:rPr>
            </w:pPr>
          </w:p>
          <w:p w14:paraId="15132271" w14:textId="77777777" w:rsidR="00F929C5" w:rsidRPr="008819AF" w:rsidRDefault="00F929C5" w:rsidP="0021052F">
            <w:pPr>
              <w:ind w:left="215" w:hanging="215"/>
              <w:rPr>
                <w:rFonts w:eastAsia="Arial"/>
                <w:lang w:bidi="cs-CZ"/>
              </w:rPr>
            </w:pPr>
          </w:p>
          <w:p w14:paraId="15132272" w14:textId="77777777" w:rsidR="00F929C5" w:rsidRPr="008819AF" w:rsidRDefault="00F929C5" w:rsidP="00F929C5">
            <w:pPr>
              <w:ind w:left="215" w:hanging="215"/>
              <w:rPr>
                <w:rFonts w:eastAsia="Arial"/>
                <w:lang w:bidi="cs-CZ"/>
              </w:rPr>
            </w:pPr>
            <w:r w:rsidRPr="008819AF">
              <w:rPr>
                <w:rFonts w:eastAsia="Arial"/>
                <w:lang w:bidi="cs-CZ"/>
              </w:rPr>
              <w:t>Ú</w:t>
            </w:r>
          </w:p>
          <w:p w14:paraId="15132273" w14:textId="77777777" w:rsidR="00F929C5" w:rsidRPr="008819AF" w:rsidRDefault="00F929C5" w:rsidP="00F929C5">
            <w:pPr>
              <w:rPr>
                <w:rFonts w:eastAsia="Arial"/>
                <w:lang w:bidi="cs-CZ"/>
              </w:rPr>
            </w:pPr>
          </w:p>
          <w:p w14:paraId="15132274" w14:textId="77777777" w:rsidR="00F929C5" w:rsidRPr="008819AF" w:rsidRDefault="00F929C5" w:rsidP="00F929C5">
            <w:pPr>
              <w:rPr>
                <w:rFonts w:eastAsia="Arial"/>
                <w:lang w:bidi="cs-CZ"/>
              </w:rPr>
            </w:pPr>
          </w:p>
          <w:p w14:paraId="15132275" w14:textId="77777777" w:rsidR="00F929C5" w:rsidRPr="008819AF" w:rsidRDefault="00F929C5" w:rsidP="00F929C5">
            <w:pPr>
              <w:rPr>
                <w:rFonts w:eastAsia="Arial"/>
                <w:lang w:bidi="cs-CZ"/>
              </w:rPr>
            </w:pPr>
          </w:p>
          <w:p w14:paraId="15132276" w14:textId="77777777" w:rsidR="00F929C5" w:rsidRPr="008819AF" w:rsidRDefault="00F929C5" w:rsidP="00F929C5">
            <w:pPr>
              <w:rPr>
                <w:rFonts w:eastAsia="Arial"/>
                <w:lang w:bidi="cs-CZ"/>
              </w:rPr>
            </w:pPr>
          </w:p>
          <w:p w14:paraId="15132277" w14:textId="77777777" w:rsidR="00F929C5" w:rsidRPr="008819AF" w:rsidRDefault="00F929C5" w:rsidP="00F929C5">
            <w:pPr>
              <w:rPr>
                <w:rFonts w:eastAsia="Arial"/>
                <w:lang w:bidi="cs-CZ"/>
              </w:rPr>
            </w:pPr>
          </w:p>
          <w:p w14:paraId="15132278" w14:textId="77777777" w:rsidR="00F929C5" w:rsidRPr="008819AF" w:rsidRDefault="00F929C5" w:rsidP="00F929C5">
            <w:pPr>
              <w:rPr>
                <w:rFonts w:eastAsia="Arial"/>
                <w:lang w:bidi="cs-CZ"/>
              </w:rPr>
            </w:pPr>
          </w:p>
          <w:p w14:paraId="15132279" w14:textId="77777777" w:rsidR="00F929C5" w:rsidRPr="008819AF" w:rsidRDefault="00F929C5" w:rsidP="00F929C5">
            <w:pPr>
              <w:rPr>
                <w:rFonts w:eastAsia="Arial"/>
                <w:lang w:bidi="cs-CZ"/>
              </w:rPr>
            </w:pPr>
          </w:p>
          <w:p w14:paraId="1513227A" w14:textId="77777777" w:rsidR="00F929C5" w:rsidRPr="008819AF" w:rsidRDefault="00F929C5" w:rsidP="00F929C5">
            <w:pPr>
              <w:rPr>
                <w:rFonts w:eastAsia="Arial"/>
                <w:lang w:bidi="cs-CZ"/>
              </w:rPr>
            </w:pPr>
          </w:p>
          <w:p w14:paraId="1513227B" w14:textId="77777777" w:rsidR="00F929C5" w:rsidRPr="008819AF" w:rsidRDefault="00F929C5" w:rsidP="00F929C5">
            <w:pPr>
              <w:rPr>
                <w:rFonts w:eastAsia="Arial"/>
                <w:lang w:bidi="cs-CZ"/>
              </w:rPr>
            </w:pPr>
          </w:p>
          <w:p w14:paraId="1513227C" w14:textId="77777777" w:rsidR="00F929C5" w:rsidRPr="008819AF" w:rsidRDefault="00F929C5" w:rsidP="00F929C5">
            <w:pPr>
              <w:rPr>
                <w:rFonts w:eastAsia="Arial"/>
                <w:lang w:bidi="cs-CZ"/>
              </w:rPr>
            </w:pPr>
          </w:p>
          <w:p w14:paraId="1513227D" w14:textId="77777777" w:rsidR="00F929C5" w:rsidRPr="008819AF" w:rsidRDefault="00F929C5" w:rsidP="00F929C5">
            <w:pPr>
              <w:rPr>
                <w:rFonts w:eastAsia="Arial"/>
                <w:lang w:bidi="cs-CZ"/>
              </w:rPr>
            </w:pPr>
          </w:p>
          <w:p w14:paraId="1513227E" w14:textId="77777777" w:rsidR="00F929C5" w:rsidRPr="008819AF" w:rsidRDefault="00F929C5" w:rsidP="00F929C5">
            <w:pPr>
              <w:ind w:left="215" w:hanging="215"/>
              <w:rPr>
                <w:rFonts w:eastAsia="Arial"/>
                <w:lang w:bidi="cs-CZ"/>
              </w:rPr>
            </w:pPr>
            <w:r w:rsidRPr="008819AF">
              <w:rPr>
                <w:rFonts w:eastAsia="Arial"/>
                <w:lang w:bidi="cs-CZ"/>
              </w:rPr>
              <w:t>Ú</w:t>
            </w:r>
          </w:p>
          <w:p w14:paraId="1513227F" w14:textId="77777777" w:rsidR="00F929C5" w:rsidRPr="008819AF" w:rsidRDefault="00F929C5" w:rsidP="00F929C5">
            <w:pPr>
              <w:rPr>
                <w:rFonts w:eastAsia="Arial"/>
                <w:lang w:bidi="cs-CZ"/>
              </w:rPr>
            </w:pPr>
          </w:p>
          <w:p w14:paraId="15132280" w14:textId="77777777" w:rsidR="00F929C5" w:rsidRPr="008819AF" w:rsidRDefault="00F929C5" w:rsidP="00F929C5">
            <w:pPr>
              <w:rPr>
                <w:rFonts w:eastAsia="Arial"/>
                <w:lang w:bidi="cs-CZ"/>
              </w:rPr>
            </w:pPr>
          </w:p>
          <w:p w14:paraId="15132281" w14:textId="77777777" w:rsidR="00F929C5" w:rsidRPr="008819AF" w:rsidRDefault="00F929C5" w:rsidP="00F929C5">
            <w:pPr>
              <w:rPr>
                <w:rFonts w:eastAsia="Arial"/>
                <w:lang w:bidi="cs-CZ"/>
              </w:rPr>
            </w:pPr>
          </w:p>
          <w:p w14:paraId="15132282" w14:textId="77777777" w:rsidR="00F929C5" w:rsidRPr="008819AF" w:rsidRDefault="00F929C5" w:rsidP="00F929C5">
            <w:pPr>
              <w:rPr>
                <w:rFonts w:eastAsia="Arial"/>
                <w:lang w:bidi="cs-CZ"/>
              </w:rPr>
            </w:pPr>
          </w:p>
          <w:p w14:paraId="15132283" w14:textId="77777777" w:rsidR="00F929C5" w:rsidRPr="008819AF" w:rsidRDefault="00F929C5" w:rsidP="00F929C5">
            <w:pPr>
              <w:rPr>
                <w:rFonts w:eastAsia="Arial"/>
                <w:lang w:bidi="cs-CZ"/>
              </w:rPr>
            </w:pPr>
          </w:p>
          <w:p w14:paraId="15132284" w14:textId="77777777" w:rsidR="00F929C5" w:rsidRPr="008819AF" w:rsidRDefault="00F929C5" w:rsidP="00F929C5">
            <w:pPr>
              <w:rPr>
                <w:rFonts w:eastAsia="Arial"/>
                <w:lang w:bidi="cs-CZ"/>
              </w:rPr>
            </w:pPr>
          </w:p>
          <w:p w14:paraId="15132285" w14:textId="77777777" w:rsidR="00F929C5" w:rsidRPr="008819AF" w:rsidRDefault="00F929C5" w:rsidP="00F929C5">
            <w:pPr>
              <w:rPr>
                <w:rFonts w:eastAsia="Arial"/>
                <w:lang w:bidi="cs-CZ"/>
              </w:rPr>
            </w:pPr>
          </w:p>
          <w:p w14:paraId="15132286" w14:textId="77777777" w:rsidR="00F929C5" w:rsidRPr="008819AF" w:rsidRDefault="00F929C5" w:rsidP="00F929C5">
            <w:pPr>
              <w:rPr>
                <w:rFonts w:eastAsia="Arial"/>
                <w:lang w:bidi="cs-CZ"/>
              </w:rPr>
            </w:pPr>
          </w:p>
          <w:p w14:paraId="15132287" w14:textId="77777777" w:rsidR="00F929C5" w:rsidRPr="008819AF" w:rsidRDefault="00F929C5" w:rsidP="00F929C5">
            <w:pPr>
              <w:rPr>
                <w:rFonts w:eastAsia="Arial"/>
                <w:lang w:bidi="cs-CZ"/>
              </w:rPr>
            </w:pPr>
          </w:p>
          <w:p w14:paraId="15132288" w14:textId="77777777" w:rsidR="00F929C5" w:rsidRPr="008819AF" w:rsidRDefault="00F929C5" w:rsidP="00F929C5">
            <w:pPr>
              <w:rPr>
                <w:rFonts w:eastAsia="Arial"/>
                <w:lang w:bidi="cs-CZ"/>
              </w:rPr>
            </w:pPr>
          </w:p>
          <w:p w14:paraId="15132289" w14:textId="77777777" w:rsidR="00F929C5" w:rsidRPr="008819AF" w:rsidRDefault="00F929C5" w:rsidP="00F929C5">
            <w:pPr>
              <w:rPr>
                <w:rFonts w:eastAsia="Arial"/>
                <w:lang w:bidi="cs-CZ"/>
              </w:rPr>
            </w:pPr>
          </w:p>
          <w:p w14:paraId="1513228A" w14:textId="77777777" w:rsidR="00F929C5" w:rsidRPr="008819AF" w:rsidRDefault="00F929C5" w:rsidP="00F929C5">
            <w:pPr>
              <w:rPr>
                <w:rFonts w:eastAsia="Arial"/>
                <w:lang w:bidi="cs-CZ"/>
              </w:rPr>
            </w:pPr>
          </w:p>
          <w:p w14:paraId="1513228B" w14:textId="77777777" w:rsidR="00C778D7" w:rsidRPr="008819AF" w:rsidRDefault="00C778D7" w:rsidP="00F929C5">
            <w:pPr>
              <w:rPr>
                <w:rFonts w:eastAsia="Arial"/>
                <w:lang w:bidi="cs-CZ"/>
              </w:rPr>
            </w:pPr>
          </w:p>
          <w:p w14:paraId="1513228C" w14:textId="77777777" w:rsidR="00C778D7" w:rsidRPr="008819AF" w:rsidRDefault="00C778D7" w:rsidP="00F929C5">
            <w:pPr>
              <w:rPr>
                <w:rFonts w:eastAsia="Arial"/>
                <w:lang w:bidi="cs-CZ"/>
              </w:rPr>
            </w:pPr>
          </w:p>
          <w:p w14:paraId="1513228D" w14:textId="77777777" w:rsidR="00C778D7" w:rsidRPr="008819AF" w:rsidRDefault="00C778D7" w:rsidP="00F929C5">
            <w:pPr>
              <w:rPr>
                <w:rFonts w:eastAsia="Arial"/>
                <w:lang w:bidi="cs-CZ"/>
              </w:rPr>
            </w:pPr>
          </w:p>
          <w:p w14:paraId="1513228E" w14:textId="77777777" w:rsidR="00C778D7" w:rsidRPr="008819AF" w:rsidRDefault="00C778D7" w:rsidP="00F929C5">
            <w:pPr>
              <w:rPr>
                <w:rFonts w:eastAsia="Arial"/>
                <w:lang w:bidi="cs-CZ"/>
              </w:rPr>
            </w:pPr>
          </w:p>
          <w:p w14:paraId="1513228F" w14:textId="77777777" w:rsidR="00F929C5" w:rsidRPr="008819AF" w:rsidRDefault="00F929C5" w:rsidP="00F929C5">
            <w:pPr>
              <w:rPr>
                <w:rFonts w:eastAsia="Arial"/>
                <w:lang w:bidi="cs-CZ"/>
              </w:rPr>
            </w:pPr>
          </w:p>
          <w:p w14:paraId="15132290" w14:textId="77777777" w:rsidR="00F929C5" w:rsidRPr="008819AF" w:rsidRDefault="00F929C5" w:rsidP="00F929C5">
            <w:pPr>
              <w:ind w:left="215" w:hanging="215"/>
              <w:rPr>
                <w:rFonts w:eastAsia="Arial"/>
                <w:lang w:bidi="cs-CZ"/>
              </w:rPr>
            </w:pPr>
            <w:r w:rsidRPr="008819AF">
              <w:rPr>
                <w:rFonts w:eastAsia="Arial"/>
                <w:lang w:bidi="cs-CZ"/>
              </w:rPr>
              <w:t>Ú</w:t>
            </w:r>
          </w:p>
          <w:p w14:paraId="15132291" w14:textId="77777777" w:rsidR="00F929C5" w:rsidRPr="008819AF" w:rsidRDefault="00F929C5" w:rsidP="00F929C5">
            <w:pPr>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292" w14:textId="77777777" w:rsidR="007170C3" w:rsidRPr="008819AF" w:rsidRDefault="007170C3" w:rsidP="0021052F">
            <w:pPr>
              <w:ind w:left="215" w:hanging="215"/>
              <w:rPr>
                <w:rFonts w:eastAsia="Arial"/>
                <w:lang w:bidi="cs-CZ"/>
              </w:rPr>
            </w:pPr>
          </w:p>
          <w:p w14:paraId="15132293" w14:textId="77777777" w:rsidR="007170C3" w:rsidRPr="008819AF" w:rsidRDefault="007170C3" w:rsidP="0021052F">
            <w:pPr>
              <w:ind w:left="215" w:hanging="215"/>
              <w:rPr>
                <w:rFonts w:eastAsia="Arial"/>
                <w:lang w:bidi="cs-CZ"/>
              </w:rPr>
            </w:pPr>
          </w:p>
          <w:p w14:paraId="15132294" w14:textId="77777777" w:rsidR="007170C3" w:rsidRPr="008819AF" w:rsidRDefault="007170C3" w:rsidP="0021052F">
            <w:pPr>
              <w:ind w:left="215" w:hanging="215"/>
              <w:rPr>
                <w:rFonts w:eastAsia="Arial"/>
                <w:lang w:bidi="cs-CZ"/>
              </w:rPr>
            </w:pPr>
          </w:p>
          <w:p w14:paraId="15132295" w14:textId="77777777" w:rsidR="007170C3" w:rsidRPr="008819AF" w:rsidRDefault="007170C3" w:rsidP="0021052F">
            <w:pPr>
              <w:ind w:left="215" w:hanging="215"/>
              <w:rPr>
                <w:rFonts w:eastAsia="Arial"/>
                <w:lang w:bidi="cs-CZ"/>
              </w:rPr>
            </w:pPr>
          </w:p>
          <w:p w14:paraId="15132296" w14:textId="77777777" w:rsidR="007170C3" w:rsidRPr="008819AF" w:rsidRDefault="007170C3" w:rsidP="0021052F">
            <w:pPr>
              <w:ind w:left="215" w:hanging="215"/>
              <w:rPr>
                <w:rFonts w:eastAsia="Arial"/>
                <w:lang w:bidi="cs-CZ"/>
              </w:rPr>
            </w:pPr>
          </w:p>
          <w:p w14:paraId="15132297" w14:textId="77777777" w:rsidR="007170C3" w:rsidRPr="008819AF" w:rsidRDefault="007170C3" w:rsidP="0021052F">
            <w:pPr>
              <w:ind w:left="215" w:hanging="215"/>
              <w:rPr>
                <w:rFonts w:eastAsia="Arial"/>
                <w:lang w:bidi="cs-CZ"/>
              </w:rPr>
            </w:pPr>
          </w:p>
          <w:p w14:paraId="15132298" w14:textId="77777777" w:rsidR="007170C3" w:rsidRPr="008819AF" w:rsidRDefault="007170C3" w:rsidP="0021052F">
            <w:pPr>
              <w:ind w:left="215" w:hanging="215"/>
              <w:rPr>
                <w:rFonts w:eastAsia="Arial"/>
                <w:lang w:bidi="cs-CZ"/>
              </w:rPr>
            </w:pPr>
          </w:p>
          <w:p w14:paraId="15132299" w14:textId="77777777" w:rsidR="007170C3" w:rsidRPr="008819AF" w:rsidRDefault="007170C3" w:rsidP="0021052F">
            <w:pPr>
              <w:ind w:left="215" w:hanging="215"/>
              <w:rPr>
                <w:rFonts w:eastAsia="Arial"/>
                <w:lang w:bidi="cs-CZ"/>
              </w:rPr>
            </w:pPr>
          </w:p>
          <w:p w14:paraId="1513229A" w14:textId="77777777" w:rsidR="007170C3" w:rsidRPr="008819AF" w:rsidRDefault="007170C3" w:rsidP="0021052F">
            <w:pPr>
              <w:ind w:left="215" w:hanging="215"/>
              <w:rPr>
                <w:rFonts w:eastAsia="Arial"/>
                <w:lang w:bidi="cs-CZ"/>
              </w:rPr>
            </w:pPr>
          </w:p>
          <w:p w14:paraId="1513229B" w14:textId="77777777" w:rsidR="007170C3" w:rsidRPr="008819AF" w:rsidRDefault="007170C3" w:rsidP="0021052F">
            <w:pPr>
              <w:ind w:left="215" w:hanging="215"/>
              <w:rPr>
                <w:rFonts w:eastAsia="Arial"/>
                <w:lang w:bidi="cs-CZ"/>
              </w:rPr>
            </w:pPr>
          </w:p>
          <w:p w14:paraId="1513229C" w14:textId="77777777" w:rsidR="007170C3" w:rsidRPr="008819AF" w:rsidRDefault="007170C3" w:rsidP="0021052F">
            <w:pPr>
              <w:ind w:left="215" w:hanging="215"/>
              <w:rPr>
                <w:rFonts w:eastAsia="Arial"/>
                <w:lang w:bidi="cs-CZ"/>
              </w:rPr>
            </w:pPr>
          </w:p>
          <w:p w14:paraId="1513229D" w14:textId="77777777" w:rsidR="007170C3" w:rsidRPr="008819AF" w:rsidRDefault="007170C3" w:rsidP="0021052F">
            <w:pPr>
              <w:ind w:left="215" w:hanging="215"/>
              <w:rPr>
                <w:rFonts w:eastAsia="Arial"/>
                <w:lang w:bidi="cs-CZ"/>
              </w:rPr>
            </w:pPr>
          </w:p>
          <w:p w14:paraId="1513229E" w14:textId="77777777" w:rsidR="007170C3" w:rsidRPr="008819AF" w:rsidRDefault="007170C3" w:rsidP="0021052F">
            <w:pPr>
              <w:ind w:left="215" w:hanging="215"/>
              <w:rPr>
                <w:rFonts w:eastAsia="Arial"/>
                <w:lang w:bidi="cs-CZ"/>
              </w:rPr>
            </w:pPr>
          </w:p>
          <w:p w14:paraId="1513229F" w14:textId="77777777" w:rsidR="007170C3" w:rsidRPr="008819AF" w:rsidRDefault="007170C3" w:rsidP="0021052F">
            <w:pPr>
              <w:ind w:left="215" w:hanging="215"/>
              <w:rPr>
                <w:rFonts w:eastAsia="Arial"/>
                <w:lang w:bidi="cs-CZ"/>
              </w:rPr>
            </w:pPr>
          </w:p>
          <w:p w14:paraId="151322A0" w14:textId="77777777" w:rsidR="007170C3" w:rsidRPr="008819AF" w:rsidRDefault="007170C3" w:rsidP="0021052F">
            <w:pPr>
              <w:rPr>
                <w:rFonts w:eastAsia="Arial"/>
                <w:lang w:bidi="cs-CZ"/>
              </w:rPr>
            </w:pPr>
          </w:p>
          <w:p w14:paraId="151322A1" w14:textId="77777777" w:rsidR="007170C3" w:rsidRPr="008819AF" w:rsidRDefault="007170C3" w:rsidP="0021052F">
            <w:pPr>
              <w:ind w:left="215" w:hanging="215"/>
              <w:rPr>
                <w:rFonts w:eastAsia="Arial"/>
                <w:lang w:bidi="cs-CZ"/>
              </w:rPr>
            </w:pPr>
          </w:p>
          <w:p w14:paraId="151322A2" w14:textId="77777777" w:rsidR="007170C3" w:rsidRPr="008819AF" w:rsidRDefault="007170C3" w:rsidP="0021052F">
            <w:pPr>
              <w:ind w:left="215" w:hanging="215"/>
              <w:rPr>
                <w:rFonts w:eastAsia="Arial"/>
                <w:lang w:bidi="cs-CZ"/>
              </w:rPr>
            </w:pPr>
          </w:p>
          <w:p w14:paraId="151322A3" w14:textId="77777777" w:rsidR="007170C3" w:rsidRPr="008819AF" w:rsidRDefault="007170C3" w:rsidP="0021052F">
            <w:pPr>
              <w:ind w:left="215" w:hanging="215"/>
              <w:rPr>
                <w:rFonts w:eastAsia="Arial"/>
                <w:lang w:bidi="cs-CZ"/>
              </w:rPr>
            </w:pPr>
          </w:p>
          <w:p w14:paraId="151322A4" w14:textId="77777777" w:rsidR="007170C3" w:rsidRPr="008819AF" w:rsidRDefault="007170C3" w:rsidP="0021052F">
            <w:pPr>
              <w:ind w:left="215" w:hanging="215"/>
              <w:rPr>
                <w:rFonts w:eastAsia="Arial"/>
                <w:lang w:bidi="cs-CZ"/>
              </w:rPr>
            </w:pPr>
          </w:p>
          <w:p w14:paraId="151322A5" w14:textId="77777777" w:rsidR="007170C3" w:rsidRPr="008819AF" w:rsidRDefault="007170C3" w:rsidP="0021052F">
            <w:pPr>
              <w:ind w:left="215" w:hanging="215"/>
              <w:rPr>
                <w:rFonts w:eastAsia="Arial"/>
                <w:lang w:bidi="cs-CZ"/>
              </w:rPr>
            </w:pPr>
          </w:p>
          <w:p w14:paraId="151322A6" w14:textId="77777777" w:rsidR="007170C3" w:rsidRPr="008819AF" w:rsidRDefault="007170C3" w:rsidP="0021052F">
            <w:pPr>
              <w:ind w:left="215" w:hanging="215"/>
              <w:rPr>
                <w:rFonts w:eastAsia="Arial"/>
                <w:lang w:bidi="cs-CZ"/>
              </w:rPr>
            </w:pPr>
          </w:p>
          <w:p w14:paraId="151322A7" w14:textId="77777777" w:rsidR="007170C3" w:rsidRPr="008819AF" w:rsidRDefault="007170C3" w:rsidP="0021052F">
            <w:pPr>
              <w:ind w:left="215" w:hanging="215"/>
              <w:rPr>
                <w:rFonts w:eastAsia="Arial"/>
                <w:lang w:bidi="cs-CZ"/>
              </w:rPr>
            </w:pPr>
          </w:p>
          <w:p w14:paraId="151322A8" w14:textId="77777777" w:rsidR="007170C3" w:rsidRPr="008819AF" w:rsidRDefault="007170C3" w:rsidP="0021052F">
            <w:pPr>
              <w:ind w:left="215" w:hanging="215"/>
              <w:rPr>
                <w:rFonts w:eastAsia="Arial"/>
                <w:lang w:bidi="cs-CZ"/>
              </w:rPr>
            </w:pPr>
          </w:p>
          <w:p w14:paraId="151322A9" w14:textId="77777777" w:rsidR="007170C3" w:rsidRPr="008819AF" w:rsidRDefault="007170C3" w:rsidP="0021052F">
            <w:pPr>
              <w:ind w:left="215" w:hanging="215"/>
              <w:rPr>
                <w:rFonts w:eastAsia="Arial"/>
                <w:lang w:bidi="cs-CZ"/>
              </w:rPr>
            </w:pPr>
          </w:p>
          <w:p w14:paraId="151322AA" w14:textId="77777777" w:rsidR="007170C3" w:rsidRPr="008819AF" w:rsidRDefault="007170C3" w:rsidP="0021052F">
            <w:pPr>
              <w:ind w:left="215" w:hanging="215"/>
              <w:rPr>
                <w:rFonts w:eastAsia="Arial"/>
                <w:lang w:bidi="cs-CZ"/>
              </w:rPr>
            </w:pPr>
          </w:p>
        </w:tc>
      </w:tr>
      <w:tr w:rsidR="00F80158" w:rsidRPr="008819AF" w14:paraId="151322E2" w14:textId="77777777" w:rsidTr="003E351D">
        <w:trPr>
          <w:trHeight w:val="3741"/>
          <w:jc w:val="center"/>
        </w:trPr>
        <w:tc>
          <w:tcPr>
            <w:tcW w:w="483" w:type="dxa"/>
            <w:tcBorders>
              <w:top w:val="single" w:sz="4" w:space="0" w:color="000000"/>
              <w:left w:val="single" w:sz="6" w:space="0" w:color="000000"/>
              <w:bottom w:val="single" w:sz="4" w:space="0" w:color="000000"/>
              <w:right w:val="single" w:sz="6" w:space="0" w:color="000000"/>
            </w:tcBorders>
          </w:tcPr>
          <w:p w14:paraId="151322AC" w14:textId="77777777" w:rsidR="007170C3" w:rsidRPr="008819AF" w:rsidRDefault="006F0418" w:rsidP="003E351D">
            <w:pPr>
              <w:ind w:right="-70"/>
              <w:rPr>
                <w:rFonts w:eastAsia="Arial"/>
                <w:lang w:bidi="cs-CZ"/>
              </w:rPr>
            </w:pPr>
            <w:r w:rsidRPr="008819AF">
              <w:rPr>
                <w:rFonts w:eastAsia="Arial"/>
                <w:lang w:bidi="cs-CZ"/>
              </w:rPr>
              <w:lastRenderedPageBreak/>
              <w:t>Č:39</w:t>
            </w:r>
          </w:p>
        </w:tc>
        <w:tc>
          <w:tcPr>
            <w:tcW w:w="6227" w:type="dxa"/>
            <w:gridSpan w:val="2"/>
            <w:tcBorders>
              <w:top w:val="single" w:sz="4" w:space="0" w:color="000000"/>
              <w:left w:val="single" w:sz="6" w:space="0" w:color="000000"/>
              <w:bottom w:val="single" w:sz="4" w:space="0" w:color="000000"/>
              <w:right w:val="single" w:sz="6" w:space="0" w:color="000000"/>
            </w:tcBorders>
          </w:tcPr>
          <w:p w14:paraId="151322AD" w14:textId="77777777" w:rsidR="007170C3" w:rsidRPr="008819AF" w:rsidRDefault="006F0418" w:rsidP="0021052F">
            <w:pPr>
              <w:ind w:left="215" w:hanging="215"/>
              <w:rPr>
                <w:rFonts w:eastAsia="Arial"/>
              </w:rPr>
            </w:pPr>
            <w:r w:rsidRPr="008819AF">
              <w:rPr>
                <w:rFonts w:eastAsia="Arial"/>
              </w:rPr>
              <w:t>Článok 39</w:t>
            </w:r>
          </w:p>
          <w:p w14:paraId="151322AE" w14:textId="77777777" w:rsidR="007170C3" w:rsidRPr="008819AF" w:rsidRDefault="006F0418" w:rsidP="0021052F">
            <w:pPr>
              <w:ind w:left="215" w:hanging="215"/>
              <w:rPr>
                <w:rFonts w:eastAsia="Arial"/>
              </w:rPr>
            </w:pPr>
            <w:r w:rsidRPr="008819AF">
              <w:rPr>
                <w:rFonts w:eastAsia="Arial"/>
              </w:rPr>
              <w:t>Dodržiavanie emisných limitov</w:t>
            </w:r>
          </w:p>
          <w:p w14:paraId="151322AF" w14:textId="77777777" w:rsidR="007170C3" w:rsidRPr="008819AF" w:rsidRDefault="007170C3" w:rsidP="0021052F">
            <w:pPr>
              <w:ind w:left="215" w:hanging="215"/>
              <w:rPr>
                <w:rFonts w:eastAsia="Arial"/>
              </w:rPr>
            </w:pPr>
          </w:p>
          <w:p w14:paraId="151322B0" w14:textId="77777777" w:rsidR="007170C3" w:rsidRPr="008819AF" w:rsidRDefault="006F0418" w:rsidP="0021052F">
            <w:pPr>
              <w:ind w:left="215" w:hanging="1"/>
              <w:rPr>
                <w:rFonts w:eastAsia="Arial"/>
              </w:rPr>
            </w:pPr>
            <w:r w:rsidRPr="008819AF">
              <w:rPr>
                <w:rFonts w:eastAsia="Arial"/>
              </w:rPr>
              <w:t>Emisné limity do ovzdušia sa považujú za dodržané v prípade splnenia podmienok stanovených v prílohe V časti 4.</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2B1" w14:textId="77777777" w:rsidR="007170C3" w:rsidRPr="008819AF" w:rsidRDefault="006F0418" w:rsidP="0021052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2B2" w14:textId="77777777" w:rsidR="007170C3" w:rsidRPr="008819AF" w:rsidRDefault="00A32C9B" w:rsidP="0021052F">
            <w:pPr>
              <w:jc w:val="center"/>
              <w:rPr>
                <w:rFonts w:eastAsia="Arial"/>
                <w:lang w:bidi="cs-CZ"/>
              </w:rPr>
            </w:pPr>
            <w:r w:rsidRPr="008819AF">
              <w:rPr>
                <w:rFonts w:eastAsia="Arial"/>
                <w:lang w:bidi="cs-CZ"/>
              </w:rPr>
              <w:t>NZ</w:t>
            </w:r>
          </w:p>
          <w:p w14:paraId="151322B3" w14:textId="77777777" w:rsidR="007170C3" w:rsidRPr="008819AF" w:rsidRDefault="007170C3" w:rsidP="0021052F">
            <w:pPr>
              <w:ind w:left="215" w:hanging="215"/>
              <w:jc w:val="center"/>
              <w:rPr>
                <w:rFonts w:eastAsia="Arial"/>
                <w:lang w:bidi="cs-CZ"/>
              </w:rPr>
            </w:pPr>
          </w:p>
          <w:p w14:paraId="151322B4" w14:textId="77777777" w:rsidR="007170C3" w:rsidRPr="008819AF" w:rsidRDefault="007170C3" w:rsidP="0021052F">
            <w:pPr>
              <w:ind w:left="215" w:hanging="215"/>
              <w:jc w:val="center"/>
              <w:rPr>
                <w:rFonts w:eastAsia="Arial"/>
                <w:lang w:bidi="cs-CZ"/>
              </w:rPr>
            </w:pPr>
          </w:p>
          <w:p w14:paraId="151322B5" w14:textId="77777777" w:rsidR="007170C3" w:rsidRPr="008819AF" w:rsidRDefault="007170C3" w:rsidP="0021052F">
            <w:pPr>
              <w:ind w:left="215" w:hanging="215"/>
              <w:jc w:val="center"/>
              <w:rPr>
                <w:rFonts w:eastAsia="Arial"/>
                <w:lang w:bidi="cs-CZ"/>
              </w:rPr>
            </w:pPr>
          </w:p>
          <w:p w14:paraId="151322B6" w14:textId="77777777" w:rsidR="007170C3" w:rsidRPr="008819AF" w:rsidRDefault="007170C3" w:rsidP="0021052F">
            <w:pPr>
              <w:ind w:left="215" w:hanging="215"/>
              <w:jc w:val="center"/>
              <w:rPr>
                <w:rFonts w:eastAsia="Arial"/>
                <w:lang w:bidi="cs-CZ"/>
              </w:rPr>
            </w:pPr>
          </w:p>
          <w:p w14:paraId="151322B7" w14:textId="77777777" w:rsidR="007170C3" w:rsidRPr="008819AF" w:rsidRDefault="007170C3" w:rsidP="0021052F">
            <w:pPr>
              <w:ind w:left="215" w:hanging="215"/>
              <w:jc w:val="center"/>
              <w:rPr>
                <w:rFonts w:eastAsia="Arial"/>
                <w:lang w:bidi="cs-CZ"/>
              </w:rPr>
            </w:pPr>
          </w:p>
          <w:p w14:paraId="151322B8" w14:textId="77777777" w:rsidR="007170C3" w:rsidRPr="008819AF" w:rsidRDefault="007170C3" w:rsidP="0021052F">
            <w:pPr>
              <w:ind w:left="215" w:hanging="215"/>
              <w:jc w:val="center"/>
              <w:rPr>
                <w:rFonts w:eastAsia="Arial"/>
                <w:lang w:bidi="cs-CZ"/>
              </w:rPr>
            </w:pPr>
          </w:p>
          <w:p w14:paraId="151322B9" w14:textId="77777777" w:rsidR="007170C3" w:rsidRPr="008819AF" w:rsidRDefault="007170C3" w:rsidP="0021052F">
            <w:pPr>
              <w:ind w:left="215" w:hanging="215"/>
              <w:jc w:val="center"/>
              <w:rPr>
                <w:rFonts w:eastAsia="Arial"/>
                <w:lang w:bidi="cs-CZ"/>
              </w:rPr>
            </w:pPr>
          </w:p>
          <w:p w14:paraId="151322BA" w14:textId="77777777" w:rsidR="007170C3" w:rsidRPr="008819AF" w:rsidRDefault="007170C3" w:rsidP="0021052F">
            <w:pPr>
              <w:ind w:left="215" w:hanging="215"/>
              <w:jc w:val="center"/>
              <w:rPr>
                <w:rFonts w:eastAsia="Arial"/>
                <w:lang w:bidi="cs-CZ"/>
              </w:rPr>
            </w:pPr>
          </w:p>
          <w:p w14:paraId="151322BB" w14:textId="77777777" w:rsidR="007170C3" w:rsidRPr="008819AF" w:rsidRDefault="007170C3" w:rsidP="0021052F">
            <w:pPr>
              <w:ind w:left="215" w:hanging="215"/>
              <w:jc w:val="center"/>
              <w:rPr>
                <w:rFonts w:eastAsia="Arial"/>
                <w:lang w:bidi="cs-CZ"/>
              </w:rPr>
            </w:pPr>
          </w:p>
          <w:p w14:paraId="151322BC" w14:textId="77777777" w:rsidR="007170C3" w:rsidRPr="008819AF" w:rsidRDefault="007170C3" w:rsidP="0021052F">
            <w:pPr>
              <w:ind w:left="215" w:hanging="215"/>
              <w:jc w:val="center"/>
              <w:rPr>
                <w:rFonts w:eastAsia="Arial"/>
                <w:lang w:bidi="cs-CZ"/>
              </w:rPr>
            </w:pPr>
          </w:p>
          <w:p w14:paraId="151322BD" w14:textId="77777777" w:rsidR="007170C3" w:rsidRPr="008819AF" w:rsidRDefault="007170C3" w:rsidP="0021052F">
            <w:pPr>
              <w:ind w:left="215" w:hanging="215"/>
              <w:jc w:val="center"/>
              <w:rPr>
                <w:rFonts w:eastAsia="Arial"/>
                <w:lang w:bidi="cs-CZ"/>
              </w:rPr>
            </w:pPr>
          </w:p>
          <w:p w14:paraId="151322BE" w14:textId="77777777" w:rsidR="007170C3" w:rsidRPr="008819AF" w:rsidRDefault="007170C3" w:rsidP="0021052F">
            <w:pPr>
              <w:ind w:left="215" w:hanging="215"/>
              <w:jc w:val="center"/>
              <w:rPr>
                <w:rFonts w:eastAsia="Arial"/>
                <w:lang w:bidi="cs-CZ"/>
              </w:rPr>
            </w:pPr>
          </w:p>
          <w:p w14:paraId="151322BF" w14:textId="77777777" w:rsidR="007170C3" w:rsidRPr="008819AF" w:rsidRDefault="007170C3" w:rsidP="0021052F">
            <w:pPr>
              <w:ind w:left="215" w:hanging="215"/>
              <w:jc w:val="center"/>
              <w:rPr>
                <w:rFonts w:eastAsia="Arial"/>
                <w:lang w:bidi="cs-CZ"/>
              </w:rPr>
            </w:pPr>
          </w:p>
          <w:p w14:paraId="151322C0" w14:textId="77777777" w:rsidR="007170C3" w:rsidRPr="008819AF" w:rsidRDefault="007170C3" w:rsidP="0021052F">
            <w:pPr>
              <w:ind w:left="215" w:hanging="215"/>
              <w:jc w:val="center"/>
              <w:rPr>
                <w:rFonts w:eastAsia="Arial"/>
                <w:lang w:bidi="cs-CZ"/>
              </w:rPr>
            </w:pPr>
          </w:p>
          <w:p w14:paraId="151322C1" w14:textId="77777777" w:rsidR="00C778D7" w:rsidRPr="008819AF" w:rsidRDefault="00C778D7" w:rsidP="0021052F">
            <w:pPr>
              <w:ind w:left="215" w:hanging="215"/>
              <w:jc w:val="center"/>
              <w:rPr>
                <w:rFonts w:eastAsia="Arial"/>
                <w:lang w:bidi="cs-CZ"/>
              </w:rPr>
            </w:pPr>
          </w:p>
          <w:p w14:paraId="151322C2" w14:textId="77777777" w:rsidR="00C778D7" w:rsidRPr="008819AF" w:rsidRDefault="00C778D7" w:rsidP="0021052F">
            <w:pPr>
              <w:ind w:left="215" w:hanging="215"/>
              <w:jc w:val="center"/>
              <w:rPr>
                <w:rFonts w:eastAsia="Arial"/>
                <w:lang w:bidi="cs-CZ"/>
              </w:rPr>
            </w:pPr>
          </w:p>
          <w:p w14:paraId="151322C3" w14:textId="77777777" w:rsidR="007170C3" w:rsidRPr="008819AF" w:rsidRDefault="007170C3" w:rsidP="0021052F">
            <w:pPr>
              <w:ind w:left="215" w:hanging="215"/>
              <w:jc w:val="center"/>
              <w:rPr>
                <w:rFonts w:eastAsia="Arial"/>
                <w:lang w:bidi="cs-CZ"/>
              </w:rPr>
            </w:pPr>
          </w:p>
          <w:p w14:paraId="151322C4" w14:textId="77777777" w:rsidR="007170C3" w:rsidRPr="008819AF" w:rsidRDefault="006F0418" w:rsidP="0021052F">
            <w:pPr>
              <w:jc w:val="center"/>
              <w:rPr>
                <w:rFonts w:eastAsia="Arial"/>
                <w:lang w:bidi="cs-CZ"/>
              </w:rPr>
            </w:pPr>
            <w:r w:rsidRPr="008819AF">
              <w:rPr>
                <w:rFonts w:eastAsia="Arial"/>
                <w:lang w:bidi="cs-CZ"/>
              </w:rPr>
              <w:t>NV2</w:t>
            </w:r>
          </w:p>
          <w:p w14:paraId="151322C5"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2C6" w14:textId="77777777" w:rsidR="007170C3" w:rsidRPr="008819AF" w:rsidRDefault="00B2138E" w:rsidP="0021052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 62</w:t>
            </w:r>
          </w:p>
          <w:p w14:paraId="151322C7" w14:textId="77777777" w:rsidR="007170C3" w:rsidRPr="008819AF" w:rsidRDefault="006F0418" w:rsidP="0021052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P f)</w:t>
            </w:r>
          </w:p>
          <w:p w14:paraId="151322C8" w14:textId="77777777" w:rsidR="007170C3" w:rsidRPr="008819AF" w:rsidRDefault="007170C3" w:rsidP="0021052F">
            <w:pPr>
              <w:pStyle w:val="BodyText21"/>
              <w:spacing w:before="0" w:line="240" w:lineRule="auto"/>
              <w:jc w:val="center"/>
              <w:rPr>
                <w:rFonts w:ascii="Times New Roman" w:hAnsi="Times New Roman" w:cs="Times New Roman"/>
              </w:rPr>
            </w:pPr>
          </w:p>
          <w:p w14:paraId="151322C9" w14:textId="77777777" w:rsidR="007170C3" w:rsidRPr="008819AF" w:rsidRDefault="007170C3" w:rsidP="0021052F">
            <w:pPr>
              <w:pStyle w:val="BodyText21"/>
              <w:spacing w:before="0" w:line="240" w:lineRule="auto"/>
              <w:jc w:val="center"/>
              <w:rPr>
                <w:rFonts w:ascii="Times New Roman" w:hAnsi="Times New Roman" w:cs="Times New Roman"/>
              </w:rPr>
            </w:pPr>
          </w:p>
          <w:p w14:paraId="151322CA" w14:textId="77777777" w:rsidR="007170C3" w:rsidRPr="008819AF" w:rsidRDefault="007170C3" w:rsidP="0021052F">
            <w:pPr>
              <w:pStyle w:val="BodyText21"/>
              <w:spacing w:before="0" w:line="240" w:lineRule="auto"/>
              <w:jc w:val="center"/>
              <w:rPr>
                <w:rFonts w:ascii="Times New Roman" w:hAnsi="Times New Roman" w:cs="Times New Roman"/>
              </w:rPr>
            </w:pPr>
          </w:p>
          <w:p w14:paraId="151322CB" w14:textId="77777777" w:rsidR="007170C3" w:rsidRPr="008819AF" w:rsidRDefault="007170C3" w:rsidP="0021052F">
            <w:pPr>
              <w:pStyle w:val="BodyText21"/>
              <w:spacing w:before="0" w:line="240" w:lineRule="auto"/>
              <w:jc w:val="center"/>
              <w:rPr>
                <w:rFonts w:ascii="Times New Roman" w:hAnsi="Times New Roman" w:cs="Times New Roman"/>
              </w:rPr>
            </w:pPr>
          </w:p>
          <w:p w14:paraId="151322CC" w14:textId="77777777" w:rsidR="007170C3" w:rsidRPr="008819AF" w:rsidRDefault="007170C3" w:rsidP="0021052F">
            <w:pPr>
              <w:pStyle w:val="BodyText21"/>
              <w:spacing w:before="0" w:line="240" w:lineRule="auto"/>
              <w:jc w:val="center"/>
              <w:rPr>
                <w:rFonts w:ascii="Times New Roman" w:hAnsi="Times New Roman" w:cs="Times New Roman"/>
              </w:rPr>
            </w:pPr>
          </w:p>
          <w:p w14:paraId="151322CD" w14:textId="77777777" w:rsidR="007170C3" w:rsidRPr="008819AF" w:rsidRDefault="007170C3" w:rsidP="0021052F">
            <w:pPr>
              <w:pStyle w:val="BodyText21"/>
              <w:spacing w:before="0" w:line="240" w:lineRule="auto"/>
              <w:jc w:val="center"/>
              <w:rPr>
                <w:rFonts w:ascii="Times New Roman" w:hAnsi="Times New Roman" w:cs="Times New Roman"/>
              </w:rPr>
            </w:pPr>
          </w:p>
          <w:p w14:paraId="151322CE" w14:textId="77777777" w:rsidR="007170C3" w:rsidRPr="008819AF" w:rsidRDefault="007170C3" w:rsidP="0021052F">
            <w:pPr>
              <w:pStyle w:val="BodyText21"/>
              <w:spacing w:before="0" w:line="240" w:lineRule="auto"/>
              <w:jc w:val="center"/>
              <w:rPr>
                <w:rFonts w:ascii="Times New Roman" w:hAnsi="Times New Roman" w:cs="Times New Roman"/>
              </w:rPr>
            </w:pPr>
          </w:p>
          <w:p w14:paraId="151322CF" w14:textId="77777777" w:rsidR="007170C3" w:rsidRPr="008819AF" w:rsidRDefault="007170C3" w:rsidP="0021052F">
            <w:pPr>
              <w:pStyle w:val="BodyText21"/>
              <w:spacing w:before="0" w:line="240" w:lineRule="auto"/>
              <w:jc w:val="center"/>
              <w:rPr>
                <w:rFonts w:ascii="Times New Roman" w:hAnsi="Times New Roman" w:cs="Times New Roman"/>
              </w:rPr>
            </w:pPr>
          </w:p>
          <w:p w14:paraId="151322D0" w14:textId="77777777" w:rsidR="007170C3" w:rsidRPr="008819AF" w:rsidRDefault="007170C3" w:rsidP="0021052F">
            <w:pPr>
              <w:pStyle w:val="BodyText21"/>
              <w:spacing w:before="0" w:line="240" w:lineRule="auto"/>
              <w:jc w:val="center"/>
              <w:rPr>
                <w:rFonts w:ascii="Times New Roman" w:hAnsi="Times New Roman" w:cs="Times New Roman"/>
              </w:rPr>
            </w:pPr>
          </w:p>
          <w:p w14:paraId="151322D1" w14:textId="77777777" w:rsidR="007170C3" w:rsidRPr="008819AF" w:rsidRDefault="007170C3" w:rsidP="0021052F">
            <w:pPr>
              <w:pStyle w:val="BodyText21"/>
              <w:spacing w:before="0" w:line="240" w:lineRule="auto"/>
              <w:jc w:val="center"/>
              <w:rPr>
                <w:rFonts w:ascii="Times New Roman" w:hAnsi="Times New Roman" w:cs="Times New Roman"/>
              </w:rPr>
            </w:pPr>
          </w:p>
          <w:p w14:paraId="151322D2" w14:textId="77777777" w:rsidR="007170C3" w:rsidRPr="008819AF" w:rsidRDefault="007170C3" w:rsidP="0021052F">
            <w:pPr>
              <w:pStyle w:val="BodyText21"/>
              <w:spacing w:before="0" w:line="240" w:lineRule="auto"/>
              <w:jc w:val="center"/>
              <w:rPr>
                <w:rFonts w:ascii="Times New Roman" w:hAnsi="Times New Roman" w:cs="Times New Roman"/>
              </w:rPr>
            </w:pPr>
          </w:p>
          <w:p w14:paraId="151322D3" w14:textId="77777777" w:rsidR="007170C3" w:rsidRPr="008819AF" w:rsidRDefault="007170C3" w:rsidP="0021052F">
            <w:pPr>
              <w:pStyle w:val="BodyText21"/>
              <w:spacing w:before="0" w:line="240" w:lineRule="auto"/>
              <w:jc w:val="center"/>
              <w:rPr>
                <w:rFonts w:ascii="Times New Roman" w:hAnsi="Times New Roman" w:cs="Times New Roman"/>
              </w:rPr>
            </w:pPr>
          </w:p>
          <w:p w14:paraId="151322D4" w14:textId="77777777" w:rsidR="007170C3" w:rsidRPr="008819AF" w:rsidRDefault="007170C3" w:rsidP="0021052F">
            <w:pPr>
              <w:pStyle w:val="BodyText21"/>
              <w:spacing w:before="0" w:line="240" w:lineRule="auto"/>
              <w:jc w:val="center"/>
              <w:rPr>
                <w:rFonts w:ascii="Times New Roman" w:hAnsi="Times New Roman" w:cs="Times New Roman"/>
              </w:rPr>
            </w:pPr>
          </w:p>
          <w:p w14:paraId="151322D5" w14:textId="77777777" w:rsidR="00C778D7" w:rsidRPr="008819AF" w:rsidRDefault="00C778D7" w:rsidP="0021052F">
            <w:pPr>
              <w:pStyle w:val="BodyText21"/>
              <w:spacing w:before="0" w:line="240" w:lineRule="auto"/>
              <w:jc w:val="center"/>
              <w:rPr>
                <w:rFonts w:ascii="Times New Roman" w:hAnsi="Times New Roman" w:cs="Times New Roman"/>
              </w:rPr>
            </w:pPr>
          </w:p>
          <w:p w14:paraId="151322D6" w14:textId="77777777" w:rsidR="00C778D7" w:rsidRPr="008819AF" w:rsidRDefault="00C778D7" w:rsidP="0021052F">
            <w:pPr>
              <w:pStyle w:val="BodyText21"/>
              <w:spacing w:before="0" w:line="240" w:lineRule="auto"/>
              <w:jc w:val="center"/>
              <w:rPr>
                <w:rFonts w:ascii="Times New Roman" w:hAnsi="Times New Roman" w:cs="Times New Roman"/>
              </w:rPr>
            </w:pPr>
          </w:p>
          <w:p w14:paraId="151322D7" w14:textId="77777777" w:rsidR="007170C3" w:rsidRPr="008819AF" w:rsidRDefault="007170C3" w:rsidP="0021052F">
            <w:pPr>
              <w:pStyle w:val="BodyText21"/>
              <w:spacing w:before="0" w:line="240" w:lineRule="auto"/>
              <w:jc w:val="center"/>
              <w:rPr>
                <w:rFonts w:ascii="Times New Roman" w:hAnsi="Times New Roman" w:cs="Times New Roman"/>
              </w:rPr>
            </w:pPr>
          </w:p>
          <w:p w14:paraId="151322D8" w14:textId="77777777" w:rsidR="00EB6011" w:rsidRPr="008819AF" w:rsidRDefault="00EB6011" w:rsidP="0021052F">
            <w:pPr>
              <w:pStyle w:val="BodyText21"/>
              <w:spacing w:before="0" w:line="240" w:lineRule="auto"/>
              <w:jc w:val="center"/>
              <w:rPr>
                <w:rFonts w:ascii="Times New Roman" w:hAnsi="Times New Roman" w:cs="Times New Roman"/>
              </w:rPr>
            </w:pPr>
            <w:r w:rsidRPr="008819AF">
              <w:rPr>
                <w:rFonts w:ascii="Times New Roman" w:hAnsi="Times New Roman" w:cs="Times New Roman"/>
              </w:rPr>
              <w:t>§</w:t>
            </w:r>
            <w:r w:rsidR="00C778D7" w:rsidRPr="008819AF">
              <w:rPr>
                <w:rFonts w:ascii="Times New Roman" w:hAnsi="Times New Roman" w:cs="Times New Roman"/>
              </w:rPr>
              <w:t xml:space="preserve"> </w:t>
            </w:r>
            <w:r w:rsidRPr="008819AF">
              <w:rPr>
                <w:rFonts w:ascii="Times New Roman" w:hAnsi="Times New Roman" w:cs="Times New Roman"/>
              </w:rPr>
              <w:t>20</w:t>
            </w:r>
          </w:p>
          <w:p w14:paraId="151322D9" w14:textId="77777777" w:rsidR="007170C3" w:rsidRPr="008819AF" w:rsidRDefault="007170C3" w:rsidP="0021052F">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2DA" w14:textId="77777777" w:rsidR="007170C3" w:rsidRPr="008819AF" w:rsidRDefault="006F0418" w:rsidP="0021052F">
            <w:pPr>
              <w:tabs>
                <w:tab w:val="left" w:pos="360"/>
                <w:tab w:val="left" w:pos="643"/>
                <w:tab w:val="left" w:pos="708"/>
              </w:tabs>
              <w:rPr>
                <w:rFonts w:eastAsia="a*i*l"/>
              </w:rPr>
            </w:pPr>
            <w:r w:rsidRPr="008819AF">
              <w:rPr>
                <w:rFonts w:eastAsia="a*i*l"/>
              </w:rPr>
              <w:t>Všeobecne záväzný právny predpis, ktorý vydá  ministerstvo, ustanoví</w:t>
            </w:r>
          </w:p>
          <w:p w14:paraId="151322DB" w14:textId="77777777" w:rsidR="007170C3" w:rsidRPr="008819AF" w:rsidRDefault="00C778D7" w:rsidP="0021052F">
            <w:pPr>
              <w:keepNext/>
              <w:ind w:left="72"/>
              <w:outlineLvl w:val="1"/>
              <w:rPr>
                <w:rFonts w:eastAsia="a*i*l"/>
                <w:spacing w:val="-5"/>
              </w:rPr>
            </w:pPr>
            <w:r w:rsidRPr="008819AF">
              <w:rPr>
                <w:rFonts w:eastAsia="a*i*l"/>
                <w:spacing w:val="-5"/>
              </w:rPr>
              <w:t>f)</w:t>
            </w:r>
            <w:r w:rsidRPr="008819AF">
              <w:rPr>
                <w:rFonts w:eastAsia="a*i*l"/>
                <w:spacing w:val="-5"/>
              </w:rPr>
              <w:tab/>
              <w:t>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p w14:paraId="151322DC" w14:textId="77777777" w:rsidR="007170C3" w:rsidRPr="008819AF" w:rsidRDefault="007170C3" w:rsidP="0021052F">
            <w:pPr>
              <w:pStyle w:val="Nadpis2"/>
              <w:ind w:left="72" w:firstLine="0"/>
              <w:jc w:val="left"/>
              <w:rPr>
                <w:rFonts w:ascii="Times New Roman" w:eastAsia="a*i*l" w:hAnsi="Times New Roman" w:cs="Times New Roman"/>
                <w:b w:val="0"/>
                <w:bCs w:val="0"/>
                <w:sz w:val="20"/>
                <w:szCs w:val="20"/>
                <w:lang w:bidi="sk-SK"/>
              </w:rPr>
            </w:pPr>
          </w:p>
          <w:p w14:paraId="151322DD" w14:textId="77777777" w:rsidR="004A0BA7" w:rsidRPr="008819AF" w:rsidRDefault="004A0BA7" w:rsidP="004A0BA7">
            <w:pPr>
              <w:pStyle w:val="Nadpis2"/>
              <w:ind w:left="72" w:firstLine="0"/>
              <w:jc w:val="left"/>
              <w:rPr>
                <w:rFonts w:ascii="Times New Roman" w:eastAsia="a*i*l" w:hAnsi="Times New Roman" w:cs="Times New Roman"/>
                <w:b w:val="0"/>
                <w:bCs w:val="0"/>
                <w:sz w:val="20"/>
                <w:szCs w:val="20"/>
                <w:lang w:bidi="sk-SK"/>
              </w:rPr>
            </w:pPr>
            <w:r w:rsidRPr="008819AF">
              <w:rPr>
                <w:rFonts w:ascii="Times New Roman" w:eastAsia="a*i*l" w:hAnsi="Times New Roman" w:cs="Times New Roman"/>
                <w:b w:val="0"/>
                <w:bCs w:val="0"/>
                <w:sz w:val="20"/>
                <w:szCs w:val="20"/>
                <w:lang w:bidi="sk-SK"/>
              </w:rPr>
              <w:t>Hodnotenie dodržiavania emisných limitov pre spaľovacie zariadenia</w:t>
            </w:r>
          </w:p>
          <w:p w14:paraId="151322DE" w14:textId="77777777" w:rsidR="007170C3" w:rsidRPr="008819AF" w:rsidRDefault="007170C3" w:rsidP="00E82620">
            <w:pPr>
              <w:pStyle w:val="Hlavika"/>
              <w:ind w:left="72" w:hanging="1"/>
            </w:pPr>
          </w:p>
        </w:tc>
        <w:tc>
          <w:tcPr>
            <w:tcW w:w="429" w:type="dxa"/>
            <w:tcBorders>
              <w:top w:val="single" w:sz="4" w:space="0" w:color="000000"/>
              <w:left w:val="single" w:sz="6" w:space="0" w:color="000000"/>
              <w:bottom w:val="single" w:sz="4" w:space="0" w:color="000000"/>
              <w:right w:val="single" w:sz="6" w:space="0" w:color="000000"/>
            </w:tcBorders>
          </w:tcPr>
          <w:p w14:paraId="151322DF" w14:textId="77777777" w:rsidR="007170C3" w:rsidRPr="008819AF" w:rsidRDefault="006F0418" w:rsidP="0021052F">
            <w:pPr>
              <w:ind w:left="215" w:hanging="215"/>
              <w:rPr>
                <w:rFonts w:eastAsia="Arial"/>
                <w:lang w:bidi="cs-CZ"/>
              </w:rPr>
            </w:pPr>
            <w:r w:rsidRPr="008819AF">
              <w:rPr>
                <w:rFonts w:eastAsia="Arial"/>
                <w:lang w:bidi="cs-CZ"/>
              </w:rPr>
              <w:t>Ú</w:t>
            </w:r>
          </w:p>
          <w:p w14:paraId="151322E0"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2E1" w14:textId="77777777" w:rsidR="007170C3" w:rsidRPr="008819AF" w:rsidRDefault="007170C3" w:rsidP="0021052F">
            <w:pPr>
              <w:ind w:left="215" w:hanging="215"/>
              <w:rPr>
                <w:rFonts w:eastAsia="Arial"/>
                <w:lang w:bidi="cs-CZ"/>
              </w:rPr>
            </w:pPr>
          </w:p>
        </w:tc>
      </w:tr>
      <w:tr w:rsidR="00F80158" w:rsidRPr="008819AF" w14:paraId="15132334" w14:textId="77777777" w:rsidTr="003E351D">
        <w:trPr>
          <w:trHeight w:val="70"/>
          <w:jc w:val="center"/>
        </w:trPr>
        <w:tc>
          <w:tcPr>
            <w:tcW w:w="483" w:type="dxa"/>
            <w:tcBorders>
              <w:top w:val="single" w:sz="4" w:space="0" w:color="000000"/>
              <w:left w:val="single" w:sz="6" w:space="0" w:color="000000"/>
              <w:bottom w:val="single" w:sz="4" w:space="0" w:color="000000"/>
              <w:right w:val="single" w:sz="6" w:space="0" w:color="000000"/>
            </w:tcBorders>
          </w:tcPr>
          <w:p w14:paraId="151322E3" w14:textId="77777777" w:rsidR="007170C3" w:rsidRPr="008819AF" w:rsidRDefault="006F0418" w:rsidP="003E351D">
            <w:pPr>
              <w:ind w:right="-70"/>
              <w:rPr>
                <w:rFonts w:eastAsia="Arial"/>
                <w:lang w:bidi="cs-CZ"/>
              </w:rPr>
            </w:pPr>
            <w:r w:rsidRPr="008819AF">
              <w:rPr>
                <w:rFonts w:eastAsia="Arial"/>
                <w:lang w:bidi="cs-CZ"/>
              </w:rPr>
              <w:t>Č:40</w:t>
            </w:r>
          </w:p>
        </w:tc>
        <w:tc>
          <w:tcPr>
            <w:tcW w:w="6227" w:type="dxa"/>
            <w:gridSpan w:val="2"/>
            <w:tcBorders>
              <w:top w:val="single" w:sz="4" w:space="0" w:color="000000"/>
              <w:left w:val="single" w:sz="6" w:space="0" w:color="000000"/>
              <w:bottom w:val="single" w:sz="4" w:space="0" w:color="000000"/>
              <w:right w:val="single" w:sz="6" w:space="0" w:color="000000"/>
            </w:tcBorders>
          </w:tcPr>
          <w:p w14:paraId="151322E4" w14:textId="77777777" w:rsidR="007170C3" w:rsidRPr="008819AF" w:rsidRDefault="006F0418" w:rsidP="0021052F">
            <w:pPr>
              <w:ind w:left="215" w:hanging="215"/>
              <w:rPr>
                <w:rFonts w:eastAsia="Arial"/>
              </w:rPr>
            </w:pPr>
            <w:r w:rsidRPr="008819AF">
              <w:rPr>
                <w:rFonts w:eastAsia="Arial"/>
              </w:rPr>
              <w:t>Článok 40</w:t>
            </w:r>
          </w:p>
          <w:p w14:paraId="151322E5" w14:textId="77777777" w:rsidR="007170C3" w:rsidRPr="008819AF" w:rsidRDefault="006F0418" w:rsidP="0021052F">
            <w:pPr>
              <w:ind w:left="215" w:hanging="215"/>
              <w:rPr>
                <w:rFonts w:eastAsia="Arial"/>
              </w:rPr>
            </w:pPr>
            <w:r w:rsidRPr="008819AF">
              <w:rPr>
                <w:rFonts w:eastAsia="Arial"/>
              </w:rPr>
              <w:t>Viacpalivové spaľovacie zariadenia</w:t>
            </w:r>
          </w:p>
          <w:p w14:paraId="151322E6" w14:textId="77777777" w:rsidR="007170C3" w:rsidRPr="008819AF" w:rsidRDefault="006F0418" w:rsidP="0021052F">
            <w:pPr>
              <w:ind w:left="215" w:hanging="215"/>
              <w:rPr>
                <w:rFonts w:eastAsia="Arial"/>
              </w:rPr>
            </w:pPr>
            <w:r w:rsidRPr="008819AF">
              <w:rPr>
                <w:rFonts w:eastAsia="Arial"/>
              </w:rPr>
              <w:t>1. V prípade viacpalivového spaľovacieho zariadenia, ktoré súčasne používa dve alebo viaceré palivá, príslušný orgán stanoví emisné limity v súlade s týmito krokmi:</w:t>
            </w:r>
          </w:p>
          <w:p w14:paraId="151322E7" w14:textId="77777777" w:rsidR="007170C3" w:rsidRPr="008819AF" w:rsidRDefault="006F0418" w:rsidP="009C63CF">
            <w:pPr>
              <w:numPr>
                <w:ilvl w:val="0"/>
                <w:numId w:val="29"/>
              </w:numPr>
              <w:spacing w:after="120"/>
              <w:ind w:left="497" w:hanging="283"/>
              <w:rPr>
                <w:rFonts w:eastAsia="Arial"/>
              </w:rPr>
            </w:pPr>
            <w:r w:rsidRPr="008819AF">
              <w:rPr>
                <w:rFonts w:eastAsia="Arial"/>
              </w:rPr>
              <w:t>zohľadnenie emisného limitu relevantnej pre každé jednotlivé palivo a každú jednotlivú znečisťujúcu látku, ktorá zodpovedá celkovému menovitému tepelnému príkonu celého spaľovacieho zariadenia, ako je stanovené v prílohe V časti 1 a 2;</w:t>
            </w:r>
          </w:p>
          <w:p w14:paraId="151322E8" w14:textId="77777777" w:rsidR="007170C3" w:rsidRPr="008819AF" w:rsidRDefault="006F0418" w:rsidP="009C63CF">
            <w:pPr>
              <w:numPr>
                <w:ilvl w:val="0"/>
                <w:numId w:val="29"/>
              </w:numPr>
              <w:spacing w:after="120"/>
              <w:ind w:left="497" w:hanging="283"/>
              <w:rPr>
                <w:rFonts w:eastAsia="Arial"/>
              </w:rPr>
            </w:pPr>
            <w:r w:rsidRPr="008819AF">
              <w:rPr>
                <w:rFonts w:eastAsia="Arial"/>
              </w:rPr>
              <w:t>určiť vážené emisné limity pre jednotlivé palivá, ktoré sa získajú vynásobením jednotlivých emisných limitov uvedených v písmene a) tepelným príkonom dodaným každým palivom a vydelením výsledku násobenia súčtom tepelných príkonov dodaných všetkými palivami;</w:t>
            </w:r>
          </w:p>
          <w:p w14:paraId="151322E9" w14:textId="77777777" w:rsidR="007170C3" w:rsidRPr="008819AF" w:rsidRDefault="006F0418" w:rsidP="009C63CF">
            <w:pPr>
              <w:numPr>
                <w:ilvl w:val="0"/>
                <w:numId w:val="29"/>
              </w:numPr>
              <w:ind w:left="497" w:hanging="283"/>
              <w:rPr>
                <w:rFonts w:eastAsia="Arial"/>
              </w:rPr>
            </w:pPr>
            <w:r w:rsidRPr="008819AF">
              <w:rPr>
                <w:rFonts w:eastAsia="Arial"/>
              </w:rPr>
              <w:t>súhrn vážených emisných limitov pre jednotlivé palivá.</w:t>
            </w:r>
          </w:p>
          <w:p w14:paraId="151322EA" w14:textId="77777777" w:rsidR="009000C5" w:rsidRPr="008819AF" w:rsidRDefault="009000C5" w:rsidP="0021052F">
            <w:pPr>
              <w:ind w:left="215" w:hanging="215"/>
              <w:rPr>
                <w:rFonts w:eastAsia="Arial"/>
                <w:lang w:bidi="cs-CZ"/>
              </w:rPr>
            </w:pPr>
          </w:p>
          <w:p w14:paraId="151322EB" w14:textId="77777777" w:rsidR="007170C3" w:rsidRPr="008819AF" w:rsidRDefault="006F0418" w:rsidP="0021052F">
            <w:pPr>
              <w:ind w:left="215" w:hanging="215"/>
              <w:rPr>
                <w:rFonts w:eastAsia="Arial"/>
                <w:lang w:bidi="cs-CZ"/>
              </w:rPr>
            </w:pPr>
            <w:r w:rsidRPr="008819AF">
              <w:rPr>
                <w:rFonts w:eastAsia="Arial"/>
                <w:lang w:bidi="cs-CZ"/>
              </w:rPr>
              <w:t xml:space="preserve">2. V prípade viacpalivových spaľovacích zariadení, na ktoré sa vzťahuje </w:t>
            </w:r>
            <w:r w:rsidRPr="008819AF">
              <w:rPr>
                <w:rFonts w:eastAsia="Arial"/>
                <w:lang w:bidi="cs-CZ"/>
              </w:rPr>
              <w:lastRenderedPageBreak/>
              <w:t>článok 30 ods. 2, ktoré využívajú zvyšky z destilácie a konverzie z rafinácie ropy pre vlastnú spotrebu, samostatne alebo s iným palivom, sa môžu namiesto emisných limitov stanovených podľa odseku 1 uplatňovať tieto emisné limity:</w:t>
            </w:r>
          </w:p>
          <w:p w14:paraId="151322EC" w14:textId="77777777" w:rsidR="007170C3" w:rsidRPr="008819AF" w:rsidRDefault="006F0418" w:rsidP="0021052F">
            <w:pPr>
              <w:ind w:left="497" w:hanging="283"/>
              <w:rPr>
                <w:rFonts w:eastAsia="Arial"/>
                <w:lang w:bidi="cs-CZ"/>
              </w:rPr>
            </w:pPr>
            <w:r w:rsidRPr="008819AF">
              <w:rPr>
                <w:rFonts w:eastAsia="Arial"/>
                <w:lang w:bidi="cs-CZ"/>
              </w:rPr>
              <w:t>a) emisný limit stanovená pre určujúce palivo v prílohe V časť 1, ak počas prevádzkovaní spaľovacieho zariadenia dosiahne podiel, ktorým určujúce palivo prispieva k súčtu tepelných príkonov dodaných všetkými palivami, 50 % alebo viac;</w:t>
            </w:r>
          </w:p>
          <w:p w14:paraId="151322ED" w14:textId="77777777" w:rsidR="007170C3" w:rsidRPr="008819AF" w:rsidRDefault="006F0418" w:rsidP="0021052F">
            <w:pPr>
              <w:ind w:left="497" w:hanging="283"/>
              <w:rPr>
                <w:rFonts w:eastAsia="Arial"/>
                <w:lang w:bidi="cs-CZ"/>
              </w:rPr>
            </w:pPr>
            <w:r w:rsidRPr="008819AF">
              <w:rPr>
                <w:rFonts w:eastAsia="Arial"/>
                <w:lang w:bidi="cs-CZ"/>
              </w:rPr>
              <w:t>b) ak je podiel, ktorým určujúce palivo prispieva k súčtu tepelných príkonov dodaných všetkými palivami, menej ako 50 %, emisný limit sa určí podľa týchto krokov:</w:t>
            </w:r>
          </w:p>
          <w:p w14:paraId="151322EE" w14:textId="77777777" w:rsidR="007170C3" w:rsidRPr="008819AF" w:rsidRDefault="00E82620" w:rsidP="00E82620">
            <w:pPr>
              <w:pStyle w:val="Default"/>
              <w:ind w:left="713" w:hanging="3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i)   </w:t>
            </w:r>
            <w:r w:rsidR="006F0418" w:rsidRPr="008819AF">
              <w:rPr>
                <w:rFonts w:ascii="Times New Roman" w:eastAsia="Arial" w:hAnsi="Times New Roman" w:cs="Times New Roman"/>
                <w:color w:val="auto"/>
                <w:sz w:val="20"/>
                <w:szCs w:val="20"/>
              </w:rPr>
              <w:t>zohľadnenie emisných limitov stanovených v prílohe V časť 1 pre každé používané palivo, ktoré zodpovedajú celkovému menovitému tepelnému príkonu spaľovacieho zariadenia;</w:t>
            </w:r>
          </w:p>
          <w:p w14:paraId="151322EF" w14:textId="77777777" w:rsidR="007170C3" w:rsidRPr="008819AF" w:rsidRDefault="00E82620" w:rsidP="00E82620">
            <w:pPr>
              <w:pStyle w:val="Default"/>
              <w:ind w:left="713" w:hanging="3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ii)  </w:t>
            </w:r>
            <w:r w:rsidR="006F0418" w:rsidRPr="008819AF">
              <w:rPr>
                <w:rFonts w:ascii="Times New Roman" w:eastAsia="Arial" w:hAnsi="Times New Roman" w:cs="Times New Roman"/>
                <w:color w:val="auto"/>
                <w:sz w:val="20"/>
                <w:szCs w:val="20"/>
              </w:rPr>
              <w:t>výpočet emisného limitu určujúceho paliva vynásobením emisného limitu určenej pre dané palivo podľa bodu i) koeficientom 2 a z výsledku odčítaním emisného limitu používaného paliva s najnižšou emisným limitom, ako sa stanovuje v prílohe V časť 1, ktorá zodpovedá celkovému menovitému tepelnému príkonu spaľovacieho zariadenia;</w:t>
            </w:r>
          </w:p>
          <w:p w14:paraId="151322F0" w14:textId="77777777" w:rsidR="007170C3" w:rsidRPr="008819AF" w:rsidRDefault="00E82620" w:rsidP="00E82620">
            <w:pPr>
              <w:pStyle w:val="Default"/>
              <w:ind w:left="713" w:hanging="3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iii) </w:t>
            </w:r>
            <w:r w:rsidR="006F0418" w:rsidRPr="008819AF">
              <w:rPr>
                <w:rFonts w:ascii="Times New Roman" w:eastAsia="Arial" w:hAnsi="Times New Roman" w:cs="Times New Roman"/>
                <w:color w:val="auto"/>
                <w:sz w:val="20"/>
                <w:szCs w:val="20"/>
              </w:rPr>
              <w:t>určenie váženej emisného limitu každého používaného paliva vynásobením emisného limitu určenej podľa bodov i) a ii) tepelným príkonom príslušného paliva a vydelením výsledku súčtom tepelných príkonov dodaných všetkými palivami;</w:t>
            </w:r>
          </w:p>
          <w:p w14:paraId="151322F1" w14:textId="77777777" w:rsidR="007170C3" w:rsidRPr="008819AF" w:rsidRDefault="00E82620" w:rsidP="00E82620">
            <w:pPr>
              <w:pStyle w:val="Default"/>
              <w:ind w:left="399"/>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iv) </w:t>
            </w:r>
            <w:r w:rsidR="006F0418" w:rsidRPr="008819AF">
              <w:rPr>
                <w:rFonts w:ascii="Times New Roman" w:eastAsia="Arial" w:hAnsi="Times New Roman" w:cs="Times New Roman"/>
                <w:color w:val="auto"/>
                <w:sz w:val="20"/>
                <w:szCs w:val="20"/>
              </w:rPr>
              <w:t>súhrn vážených emisných limitov palív stanovených podľa bodu iii).</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2F2" w14:textId="77777777" w:rsidR="00E82620" w:rsidRPr="008819AF" w:rsidRDefault="00E82620" w:rsidP="0021052F">
            <w:pPr>
              <w:ind w:left="215" w:hanging="215"/>
              <w:jc w:val="center"/>
              <w:rPr>
                <w:rFonts w:eastAsia="Arial"/>
                <w:lang w:bidi="cs-CZ"/>
              </w:rPr>
            </w:pPr>
          </w:p>
          <w:p w14:paraId="151322F3" w14:textId="77777777" w:rsidR="007170C3" w:rsidRPr="008819AF" w:rsidRDefault="00E82620" w:rsidP="0021052F">
            <w:pPr>
              <w:ind w:left="215" w:hanging="215"/>
              <w:jc w:val="center"/>
              <w:rPr>
                <w:rFonts w:eastAsia="Arial"/>
                <w:lang w:bidi="cs-CZ"/>
              </w:rPr>
            </w:pPr>
            <w:r w:rsidRPr="008819AF">
              <w:rPr>
                <w:rFonts w:eastAsia="Arial"/>
                <w:lang w:bidi="cs-CZ"/>
              </w:rPr>
              <w:t>N</w:t>
            </w:r>
          </w:p>
          <w:p w14:paraId="151322F4" w14:textId="77777777" w:rsidR="007170C3" w:rsidRPr="008819AF" w:rsidRDefault="007170C3" w:rsidP="0021052F">
            <w:pPr>
              <w:ind w:left="215" w:hanging="215"/>
              <w:jc w:val="center"/>
              <w:rPr>
                <w:rFonts w:eastAsia="Arial"/>
                <w:lang w:bidi="cs-CZ"/>
              </w:rPr>
            </w:pPr>
          </w:p>
          <w:p w14:paraId="151322F5" w14:textId="77777777" w:rsidR="007170C3" w:rsidRPr="008819AF" w:rsidRDefault="007170C3" w:rsidP="0021052F">
            <w:pPr>
              <w:ind w:left="215" w:hanging="215"/>
              <w:jc w:val="center"/>
              <w:rPr>
                <w:rFonts w:eastAsia="Arial"/>
                <w:lang w:bidi="cs-CZ"/>
              </w:rPr>
            </w:pPr>
          </w:p>
          <w:p w14:paraId="151322F6" w14:textId="77777777" w:rsidR="007170C3" w:rsidRPr="008819AF" w:rsidRDefault="007170C3" w:rsidP="0021052F">
            <w:pPr>
              <w:ind w:left="215" w:hanging="215"/>
              <w:jc w:val="center"/>
              <w:rPr>
                <w:rFonts w:eastAsia="Arial"/>
                <w:lang w:bidi="cs-CZ"/>
              </w:rPr>
            </w:pPr>
          </w:p>
          <w:p w14:paraId="151322F7" w14:textId="77777777" w:rsidR="007170C3" w:rsidRPr="008819AF" w:rsidRDefault="007170C3" w:rsidP="0021052F">
            <w:pPr>
              <w:ind w:left="215" w:hanging="215"/>
              <w:jc w:val="center"/>
              <w:rPr>
                <w:rFonts w:eastAsia="Arial"/>
                <w:lang w:bidi="cs-CZ"/>
              </w:rPr>
            </w:pPr>
          </w:p>
          <w:p w14:paraId="151322F8" w14:textId="77777777" w:rsidR="007170C3" w:rsidRPr="008819AF" w:rsidRDefault="007170C3" w:rsidP="0021052F">
            <w:pPr>
              <w:ind w:left="215" w:hanging="215"/>
              <w:jc w:val="center"/>
              <w:rPr>
                <w:rFonts w:eastAsia="Arial"/>
                <w:lang w:bidi="cs-CZ"/>
              </w:rPr>
            </w:pPr>
          </w:p>
          <w:p w14:paraId="151322F9" w14:textId="77777777" w:rsidR="007170C3" w:rsidRPr="008819AF" w:rsidRDefault="007170C3" w:rsidP="0021052F">
            <w:pPr>
              <w:ind w:left="215" w:hanging="215"/>
              <w:jc w:val="center"/>
              <w:rPr>
                <w:rFonts w:eastAsia="Arial"/>
                <w:lang w:bidi="cs-CZ"/>
              </w:rPr>
            </w:pPr>
          </w:p>
          <w:p w14:paraId="151322FA" w14:textId="77777777" w:rsidR="007170C3" w:rsidRPr="008819AF" w:rsidRDefault="007170C3" w:rsidP="0021052F">
            <w:pPr>
              <w:ind w:left="215" w:hanging="215"/>
              <w:jc w:val="center"/>
              <w:rPr>
                <w:rFonts w:eastAsia="Arial"/>
                <w:lang w:bidi="cs-CZ"/>
              </w:rPr>
            </w:pPr>
          </w:p>
          <w:p w14:paraId="151322FB" w14:textId="77777777" w:rsidR="007170C3" w:rsidRPr="008819AF" w:rsidRDefault="007170C3" w:rsidP="0021052F">
            <w:pPr>
              <w:ind w:left="215" w:hanging="215"/>
              <w:jc w:val="center"/>
              <w:rPr>
                <w:rFonts w:eastAsia="Arial"/>
                <w:lang w:bidi="cs-CZ"/>
              </w:rPr>
            </w:pPr>
          </w:p>
          <w:p w14:paraId="151322FC" w14:textId="77777777" w:rsidR="007170C3" w:rsidRPr="008819AF" w:rsidRDefault="007170C3" w:rsidP="0021052F">
            <w:pPr>
              <w:ind w:left="215" w:hanging="215"/>
              <w:jc w:val="center"/>
              <w:rPr>
                <w:rFonts w:eastAsia="Arial"/>
                <w:lang w:bidi="cs-CZ"/>
              </w:rPr>
            </w:pPr>
          </w:p>
          <w:p w14:paraId="151322FD" w14:textId="77777777" w:rsidR="007170C3" w:rsidRPr="008819AF" w:rsidRDefault="007170C3"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2FE" w14:textId="77777777" w:rsidR="00E82620" w:rsidRPr="008819AF" w:rsidRDefault="00E82620" w:rsidP="0021052F">
            <w:pPr>
              <w:jc w:val="center"/>
              <w:rPr>
                <w:rFonts w:eastAsia="Arial"/>
                <w:lang w:bidi="cs-CZ"/>
              </w:rPr>
            </w:pPr>
          </w:p>
          <w:p w14:paraId="151322FF" w14:textId="77777777" w:rsidR="007170C3" w:rsidRPr="008819AF" w:rsidRDefault="006F0418" w:rsidP="0021052F">
            <w:pPr>
              <w:jc w:val="center"/>
              <w:rPr>
                <w:rFonts w:eastAsia="Arial"/>
                <w:lang w:bidi="cs-CZ"/>
              </w:rPr>
            </w:pPr>
            <w:r w:rsidRPr="008819AF">
              <w:rPr>
                <w:rFonts w:eastAsia="Arial"/>
                <w:lang w:bidi="cs-CZ"/>
              </w:rPr>
              <w:t>NV2</w:t>
            </w:r>
          </w:p>
          <w:p w14:paraId="15132300" w14:textId="77777777" w:rsidR="003E351D" w:rsidRPr="008819AF" w:rsidRDefault="003E351D" w:rsidP="0021052F">
            <w:pPr>
              <w:jc w:val="center"/>
              <w:rPr>
                <w:rFonts w:eastAsia="Arial"/>
                <w:lang w:bidi="cs-CZ"/>
              </w:rPr>
            </w:pPr>
          </w:p>
          <w:p w14:paraId="15132301" w14:textId="77777777" w:rsidR="003E351D" w:rsidRPr="008819AF" w:rsidRDefault="003E351D" w:rsidP="0021052F">
            <w:pPr>
              <w:jc w:val="center"/>
              <w:rPr>
                <w:rFonts w:eastAsia="Arial"/>
                <w:lang w:bidi="cs-CZ"/>
              </w:rPr>
            </w:pPr>
          </w:p>
          <w:p w14:paraId="15132302" w14:textId="77777777" w:rsidR="003E351D" w:rsidRPr="008819AF" w:rsidRDefault="003E351D" w:rsidP="0021052F">
            <w:pPr>
              <w:jc w:val="center"/>
              <w:rPr>
                <w:rFonts w:eastAsia="Arial"/>
                <w:lang w:bidi="cs-CZ"/>
              </w:rPr>
            </w:pPr>
          </w:p>
          <w:p w14:paraId="15132303" w14:textId="77777777" w:rsidR="003E351D" w:rsidRPr="008819AF" w:rsidRDefault="003E351D" w:rsidP="0021052F">
            <w:pPr>
              <w:jc w:val="center"/>
              <w:rPr>
                <w:rFonts w:eastAsia="Arial"/>
                <w:lang w:bidi="cs-CZ"/>
              </w:rPr>
            </w:pPr>
          </w:p>
          <w:p w14:paraId="15132304" w14:textId="77777777" w:rsidR="003E351D" w:rsidRPr="008819AF" w:rsidRDefault="003E351D" w:rsidP="0021052F">
            <w:pPr>
              <w:jc w:val="center"/>
              <w:rPr>
                <w:rFonts w:eastAsia="Arial"/>
                <w:lang w:bidi="cs-CZ"/>
              </w:rPr>
            </w:pPr>
          </w:p>
          <w:p w14:paraId="15132305" w14:textId="77777777" w:rsidR="003E351D" w:rsidRPr="008819AF" w:rsidRDefault="003E351D" w:rsidP="0021052F">
            <w:pPr>
              <w:jc w:val="center"/>
              <w:rPr>
                <w:rFonts w:eastAsia="Arial"/>
                <w:lang w:bidi="cs-CZ"/>
              </w:rPr>
            </w:pPr>
          </w:p>
          <w:p w14:paraId="15132306" w14:textId="77777777" w:rsidR="003E351D" w:rsidRPr="008819AF" w:rsidRDefault="003E351D" w:rsidP="0021052F">
            <w:pPr>
              <w:jc w:val="center"/>
              <w:rPr>
                <w:rFonts w:eastAsia="Arial"/>
                <w:lang w:bidi="cs-CZ"/>
              </w:rPr>
            </w:pPr>
          </w:p>
          <w:p w14:paraId="15132307" w14:textId="77777777" w:rsidR="003E351D" w:rsidRPr="008819AF" w:rsidRDefault="003E351D" w:rsidP="0021052F">
            <w:pPr>
              <w:jc w:val="center"/>
              <w:rPr>
                <w:rFonts w:eastAsia="Arial"/>
                <w:lang w:bidi="cs-CZ"/>
              </w:rPr>
            </w:pPr>
          </w:p>
          <w:p w14:paraId="15132308" w14:textId="77777777" w:rsidR="003E351D" w:rsidRPr="008819AF" w:rsidRDefault="003E351D" w:rsidP="0021052F">
            <w:pPr>
              <w:jc w:val="center"/>
              <w:rPr>
                <w:rFonts w:eastAsia="Arial"/>
                <w:lang w:bidi="cs-CZ"/>
              </w:rPr>
            </w:pPr>
          </w:p>
          <w:p w14:paraId="15132309" w14:textId="77777777" w:rsidR="003E351D" w:rsidRPr="008819AF" w:rsidRDefault="003E351D" w:rsidP="0021052F">
            <w:pPr>
              <w:jc w:val="center"/>
              <w:rPr>
                <w:rFonts w:eastAsia="Arial"/>
                <w:lang w:bidi="cs-CZ"/>
              </w:rPr>
            </w:pPr>
          </w:p>
          <w:p w14:paraId="1513230A" w14:textId="77777777" w:rsidR="003E351D" w:rsidRPr="008819AF" w:rsidRDefault="003E351D" w:rsidP="0021052F">
            <w:pPr>
              <w:jc w:val="center"/>
              <w:rPr>
                <w:rFonts w:eastAsia="Arial"/>
                <w:lang w:bidi="cs-CZ"/>
              </w:rPr>
            </w:pPr>
          </w:p>
          <w:p w14:paraId="1513230B" w14:textId="77777777" w:rsidR="003E351D" w:rsidRPr="008819AF" w:rsidRDefault="003E351D" w:rsidP="0021052F">
            <w:pPr>
              <w:jc w:val="center"/>
              <w:rPr>
                <w:rFonts w:eastAsia="Arial"/>
                <w:lang w:bidi="cs-CZ"/>
              </w:rPr>
            </w:pPr>
          </w:p>
          <w:p w14:paraId="1513230C" w14:textId="77777777" w:rsidR="003E351D" w:rsidRPr="008819AF" w:rsidRDefault="003E351D" w:rsidP="0021052F">
            <w:pPr>
              <w:jc w:val="center"/>
              <w:rPr>
                <w:rFonts w:eastAsia="Arial"/>
                <w:lang w:bidi="cs-CZ"/>
              </w:rPr>
            </w:pPr>
          </w:p>
          <w:p w14:paraId="1513230D" w14:textId="77777777" w:rsidR="003E351D" w:rsidRPr="008819AF" w:rsidRDefault="003E351D" w:rsidP="0021052F">
            <w:pPr>
              <w:jc w:val="center"/>
              <w:rPr>
                <w:rFonts w:eastAsia="Arial"/>
                <w:lang w:bidi="cs-CZ"/>
              </w:rPr>
            </w:pPr>
          </w:p>
          <w:p w14:paraId="1513230E" w14:textId="77777777" w:rsidR="003E351D" w:rsidRPr="008819AF" w:rsidRDefault="003E351D" w:rsidP="0021052F">
            <w:pPr>
              <w:jc w:val="center"/>
              <w:rPr>
                <w:rFonts w:eastAsia="Arial"/>
                <w:lang w:bidi="cs-CZ"/>
              </w:rPr>
            </w:pPr>
          </w:p>
          <w:p w14:paraId="1513230F" w14:textId="77777777" w:rsidR="003E351D" w:rsidRPr="008819AF" w:rsidRDefault="003E351D" w:rsidP="0021052F">
            <w:pPr>
              <w:jc w:val="center"/>
              <w:rPr>
                <w:rFonts w:eastAsia="Arial"/>
                <w:lang w:bidi="cs-CZ"/>
              </w:rPr>
            </w:pPr>
            <w:r w:rsidRPr="008819AF">
              <w:rPr>
                <w:rFonts w:eastAsia="Arial"/>
                <w:lang w:bidi="cs-CZ"/>
              </w:rPr>
              <w:lastRenderedPageBreak/>
              <w:t>NV2</w:t>
            </w:r>
          </w:p>
        </w:tc>
        <w:tc>
          <w:tcPr>
            <w:tcW w:w="543" w:type="dxa"/>
            <w:tcBorders>
              <w:top w:val="single" w:sz="4" w:space="0" w:color="000000"/>
              <w:left w:val="single" w:sz="6" w:space="0" w:color="000000"/>
              <w:bottom w:val="single" w:sz="4" w:space="0" w:color="000000"/>
              <w:right w:val="single" w:sz="6" w:space="0" w:color="000000"/>
            </w:tcBorders>
          </w:tcPr>
          <w:p w14:paraId="15132310" w14:textId="77777777" w:rsidR="00E82620" w:rsidRPr="008819AF" w:rsidRDefault="00E82620" w:rsidP="0021052F">
            <w:pPr>
              <w:jc w:val="center"/>
            </w:pPr>
          </w:p>
          <w:p w14:paraId="15132311" w14:textId="77777777" w:rsidR="007170C3" w:rsidRPr="008819AF" w:rsidRDefault="00E82620" w:rsidP="0021052F">
            <w:pPr>
              <w:jc w:val="center"/>
            </w:pPr>
            <w:r w:rsidRPr="008819AF">
              <w:t>Pr.4</w:t>
            </w:r>
          </w:p>
          <w:p w14:paraId="15132312" w14:textId="77777777" w:rsidR="00E82620" w:rsidRPr="008819AF" w:rsidRDefault="00E82620" w:rsidP="0021052F">
            <w:pPr>
              <w:jc w:val="center"/>
            </w:pPr>
            <w:r w:rsidRPr="008819AF">
              <w:t>Časť II</w:t>
            </w:r>
          </w:p>
          <w:p w14:paraId="15132313" w14:textId="77777777" w:rsidR="00E82620" w:rsidRPr="008819AF" w:rsidRDefault="00E82620" w:rsidP="00E82620">
            <w:r w:rsidRPr="008819AF">
              <w:t>Bod1.3</w:t>
            </w:r>
          </w:p>
          <w:p w14:paraId="15132314" w14:textId="77777777" w:rsidR="009000C5" w:rsidRPr="008819AF" w:rsidRDefault="009000C5" w:rsidP="00E82620"/>
          <w:p w14:paraId="15132315" w14:textId="77777777" w:rsidR="009000C5" w:rsidRPr="008819AF" w:rsidRDefault="009000C5" w:rsidP="00E82620"/>
          <w:p w14:paraId="15132316" w14:textId="77777777" w:rsidR="009000C5" w:rsidRPr="008819AF" w:rsidRDefault="009000C5" w:rsidP="00E82620"/>
          <w:p w14:paraId="15132317" w14:textId="77777777" w:rsidR="009000C5" w:rsidRPr="008819AF" w:rsidRDefault="009000C5" w:rsidP="00E82620"/>
          <w:p w14:paraId="15132318" w14:textId="77777777" w:rsidR="009000C5" w:rsidRPr="008819AF" w:rsidRDefault="009000C5" w:rsidP="00E82620"/>
          <w:p w14:paraId="15132319" w14:textId="77777777" w:rsidR="009000C5" w:rsidRPr="008819AF" w:rsidRDefault="009000C5" w:rsidP="00E82620"/>
          <w:p w14:paraId="1513231A" w14:textId="77777777" w:rsidR="009000C5" w:rsidRPr="008819AF" w:rsidRDefault="009000C5" w:rsidP="00E82620"/>
          <w:p w14:paraId="1513231B" w14:textId="77777777" w:rsidR="009000C5" w:rsidRPr="008819AF" w:rsidRDefault="009000C5" w:rsidP="00E82620"/>
          <w:p w14:paraId="1513231C" w14:textId="77777777" w:rsidR="009000C5" w:rsidRPr="008819AF" w:rsidRDefault="009000C5" w:rsidP="00E82620"/>
          <w:p w14:paraId="1513231D" w14:textId="77777777" w:rsidR="009000C5" w:rsidRPr="008819AF" w:rsidRDefault="009000C5" w:rsidP="00E82620"/>
          <w:p w14:paraId="1513231E" w14:textId="77777777" w:rsidR="009000C5" w:rsidRPr="008819AF" w:rsidRDefault="009000C5" w:rsidP="00E82620"/>
          <w:p w14:paraId="1513231F" w14:textId="77777777" w:rsidR="009000C5" w:rsidRPr="008819AF" w:rsidRDefault="009000C5" w:rsidP="009000C5">
            <w:pPr>
              <w:jc w:val="center"/>
            </w:pPr>
            <w:r w:rsidRPr="008819AF">
              <w:lastRenderedPageBreak/>
              <w:t>Pr.4</w:t>
            </w:r>
          </w:p>
          <w:p w14:paraId="15132320" w14:textId="77777777" w:rsidR="009000C5" w:rsidRPr="008819AF" w:rsidRDefault="009000C5" w:rsidP="009000C5">
            <w:pPr>
              <w:jc w:val="center"/>
            </w:pPr>
            <w:r w:rsidRPr="008819AF">
              <w:t>Časť II</w:t>
            </w:r>
          </w:p>
          <w:p w14:paraId="15132321" w14:textId="77777777" w:rsidR="009000C5" w:rsidRPr="008819AF" w:rsidRDefault="009000C5" w:rsidP="009000C5">
            <w:r w:rsidRPr="008819AF">
              <w:t>Bod 3</w:t>
            </w:r>
            <w:r w:rsidR="003E351D" w:rsidRPr="008819AF">
              <w:t>.1</w:t>
            </w:r>
          </w:p>
          <w:p w14:paraId="15132322" w14:textId="77777777" w:rsidR="009000C5" w:rsidRPr="008819AF" w:rsidRDefault="009000C5" w:rsidP="00E82620"/>
        </w:tc>
        <w:tc>
          <w:tcPr>
            <w:tcW w:w="5664" w:type="dxa"/>
            <w:gridSpan w:val="5"/>
            <w:tcBorders>
              <w:top w:val="single" w:sz="4" w:space="0" w:color="000000"/>
              <w:left w:val="single" w:sz="6" w:space="0" w:color="000000"/>
              <w:bottom w:val="single" w:sz="4" w:space="0" w:color="000000"/>
              <w:right w:val="single" w:sz="6" w:space="0" w:color="000000"/>
            </w:tcBorders>
          </w:tcPr>
          <w:p w14:paraId="15132323" w14:textId="77777777" w:rsidR="00E82620" w:rsidRPr="008819AF" w:rsidRDefault="00E82620" w:rsidP="00E82620">
            <w:pPr>
              <w:tabs>
                <w:tab w:val="left" w:pos="360"/>
                <w:tab w:val="left" w:pos="643"/>
                <w:tab w:val="left" w:pos="708"/>
              </w:tabs>
              <w:rPr>
                <w:rFonts w:eastAsia="a*i*l"/>
              </w:rPr>
            </w:pPr>
          </w:p>
          <w:p w14:paraId="15132324" w14:textId="77777777" w:rsidR="00E82620" w:rsidRPr="008819AF" w:rsidRDefault="00E82620" w:rsidP="00E82620">
            <w:pPr>
              <w:ind w:left="309" w:hanging="309"/>
              <w:rPr>
                <w:rFonts w:eastAsia="a*i*l"/>
              </w:rPr>
            </w:pPr>
            <w:r w:rsidRPr="008819AF">
              <w:rPr>
                <w:rFonts w:eastAsia="a*i*l"/>
              </w:rPr>
              <w:t>1.3 Emisný limit vyjadrený ako modifikovaný vážený priemer sa určí takto:</w:t>
            </w:r>
          </w:p>
          <w:p w14:paraId="15132325" w14:textId="77777777" w:rsidR="00E82620" w:rsidRPr="008819AF" w:rsidRDefault="00E82620" w:rsidP="00E82620">
            <w:pPr>
              <w:tabs>
                <w:tab w:val="left" w:pos="360"/>
                <w:tab w:val="left" w:pos="643"/>
                <w:tab w:val="left" w:pos="708"/>
              </w:tabs>
              <w:rPr>
                <w:rFonts w:eastAsia="a*i*l"/>
              </w:rPr>
            </w:pPr>
            <w:r w:rsidRPr="008819AF">
              <w:rPr>
                <w:rFonts w:eastAsia="a*i*l"/>
              </w:rPr>
              <w:t>a)  pre každé palivo a časť zariadenia, ktorá uplatňuje rovnaký emisný limit pre danú znečisťujúcu látku sa určí emisný limit zodpovedajúci celkovému MTP,</w:t>
            </w:r>
          </w:p>
          <w:p w14:paraId="15132326" w14:textId="77777777" w:rsidR="00E82620" w:rsidRPr="008819AF" w:rsidRDefault="00E82620" w:rsidP="00E82620">
            <w:pPr>
              <w:tabs>
                <w:tab w:val="left" w:pos="360"/>
                <w:tab w:val="left" w:pos="643"/>
                <w:tab w:val="left" w:pos="708"/>
              </w:tabs>
              <w:rPr>
                <w:rFonts w:eastAsia="a*i*l"/>
              </w:rPr>
            </w:pPr>
            <w:r w:rsidRPr="008819AF">
              <w:rPr>
                <w:rFonts w:eastAsia="a*i*l"/>
              </w:rPr>
              <w:t>b)  vypočíta sa vážený podiel emisných limitov pre jednotlivé palivá a časti zariadenia; tieto hodnoty sa získajú vynásobením hodnoty emisného limitu platného pre uvedené palivo tepelným vstupom dodaným týmto palivom a tento súčin sa vydelí súčtom tepelných vstupov dodaných všetkými palivami; za časť zariadenia sa považujú všetky spaľovacie jednotky, na ktoré sa uplatňuje rovnaký emisný limit EL</w:t>
            </w:r>
            <w:r w:rsidRPr="008819AF">
              <w:rPr>
                <w:rFonts w:eastAsia="a*i*l"/>
                <w:vertAlign w:val="subscript"/>
              </w:rPr>
              <w:t>i</w:t>
            </w:r>
            <w:r w:rsidRPr="008819AF">
              <w:rPr>
                <w:rFonts w:eastAsia="a*i*l"/>
              </w:rPr>
              <w:t>,</w:t>
            </w:r>
          </w:p>
          <w:p w14:paraId="15132327" w14:textId="77777777" w:rsidR="00E82620" w:rsidRPr="008819AF" w:rsidRDefault="00E82620" w:rsidP="00E82620">
            <w:pPr>
              <w:tabs>
                <w:tab w:val="left" w:pos="360"/>
                <w:tab w:val="left" w:pos="643"/>
                <w:tab w:val="left" w:pos="708"/>
              </w:tabs>
              <w:rPr>
                <w:rFonts w:eastAsia="a*i*l"/>
              </w:rPr>
            </w:pPr>
            <w:r w:rsidRPr="008819AF">
              <w:rPr>
                <w:rFonts w:eastAsia="a*i*l"/>
              </w:rPr>
              <w:t>c)  modifikovaný vážený priemer emisných limitov sa určí ako súčet vážených podielov emisných limitov jednotlivých palív po prepočte na O</w:t>
            </w:r>
            <w:r w:rsidRPr="008819AF">
              <w:rPr>
                <w:rFonts w:eastAsia="a*i*l"/>
                <w:vertAlign w:val="subscript"/>
              </w:rPr>
              <w:t>2ref</w:t>
            </w:r>
            <w:r w:rsidRPr="008819AF">
              <w:rPr>
                <w:rFonts w:eastAsia="a*i*l"/>
              </w:rPr>
              <w:t>.</w:t>
            </w:r>
          </w:p>
          <w:p w14:paraId="15132328" w14:textId="77777777" w:rsidR="007170C3" w:rsidRPr="008819AF" w:rsidRDefault="007170C3" w:rsidP="009000C5">
            <w:pPr>
              <w:pStyle w:val="Hlavika"/>
              <w:ind w:left="72" w:hanging="1"/>
              <w:rPr>
                <w:rFonts w:ascii="Times New Roman" w:hAnsi="Times New Roman" w:cs="Times New Roman"/>
              </w:rPr>
            </w:pPr>
          </w:p>
          <w:p w14:paraId="15132329" w14:textId="77777777" w:rsidR="009000C5" w:rsidRPr="008819AF" w:rsidRDefault="009000C5" w:rsidP="009000C5">
            <w:pPr>
              <w:pStyle w:val="Hlavika"/>
              <w:ind w:left="72" w:hanging="1"/>
              <w:rPr>
                <w:rFonts w:ascii="Times New Roman" w:hAnsi="Times New Roman" w:cs="Times New Roman"/>
              </w:rPr>
            </w:pPr>
            <w:r w:rsidRPr="008819AF">
              <w:rPr>
                <w:rFonts w:ascii="Times New Roman" w:hAnsi="Times New Roman" w:cs="Times New Roman"/>
              </w:rPr>
              <w:lastRenderedPageBreak/>
              <w:t>3.1 Vo viacpalivových spaľovacích zariadeniach rafinérie, ktoré využívajú destilačné zvyšky alebo zvyšky z konverzie z rafinérskej výroby samostatne alebo v zmesi s inými palivami vrátane procesných rafinérskych plynov, v jestvujúcich zariadeniach na spaľovanie palív spätých s rafinériou možno namiesto emisných limitov pre jestvujúce zariadenia podľa § 10 ods. 2 určiť emisné limity s ohľadom na podiel určujúceho paliva; pričom určujúce palivo je palivo, ktoré má najvyššiu hodnotu emisného limitu určenú podľa § 10 ods. </w:t>
            </w:r>
            <w:smartTag w:uri="urn:schemas-microsoft-com:office:smarttags" w:element="metricconverter">
              <w:smartTagPr>
                <w:attr w:name="ProductID" w:val="2 a"/>
              </w:smartTagPr>
              <w:r w:rsidRPr="008819AF">
                <w:rPr>
                  <w:rFonts w:ascii="Times New Roman" w:hAnsi="Times New Roman" w:cs="Times New Roman"/>
                </w:rPr>
                <w:t>2 a </w:t>
              </w:r>
            </w:smartTag>
            <w:r w:rsidRPr="008819AF">
              <w:rPr>
                <w:rFonts w:ascii="Times New Roman" w:hAnsi="Times New Roman" w:cs="Times New Roman"/>
              </w:rPr>
              <w:t xml:space="preserve">ak ide o spaľovanie viacerých palív s rovnakým emisným limitom, palivo s najvyšším tepelným vstupom z týchto palív. </w:t>
            </w:r>
          </w:p>
          <w:p w14:paraId="1513232A" w14:textId="77777777" w:rsidR="009000C5" w:rsidRPr="008819AF" w:rsidRDefault="009000C5" w:rsidP="009000C5">
            <w:pPr>
              <w:pStyle w:val="Hlavika"/>
              <w:ind w:left="72" w:hanging="1"/>
              <w:rPr>
                <w:rFonts w:ascii="Times New Roman" w:hAnsi="Times New Roman" w:cs="Times New Roman"/>
              </w:rPr>
            </w:pPr>
            <w:r w:rsidRPr="008819AF">
              <w:rPr>
                <w:rFonts w:ascii="Times New Roman" w:hAnsi="Times New Roman" w:cs="Times New Roman"/>
              </w:rPr>
              <w:t>Ak podiel určujúceho paliva na tepelnom vstupe je</w:t>
            </w:r>
          </w:p>
          <w:p w14:paraId="1513232B" w14:textId="77777777" w:rsidR="009000C5" w:rsidRPr="008819AF" w:rsidRDefault="009000C5" w:rsidP="009000C5">
            <w:pPr>
              <w:pStyle w:val="Hlavika"/>
              <w:ind w:left="309" w:hanging="238"/>
              <w:rPr>
                <w:rFonts w:ascii="Times New Roman" w:hAnsi="Times New Roman" w:cs="Times New Roman"/>
              </w:rPr>
            </w:pPr>
            <w:r w:rsidRPr="008819AF">
              <w:rPr>
                <w:rFonts w:ascii="Times New Roman" w:hAnsi="Times New Roman" w:cs="Times New Roman"/>
              </w:rPr>
              <w:t xml:space="preserve">a)  ≥ 50 % z celkového tepelného vstupu privedeného do spaľovacieho zariadenia všetkými palivami, platí emisný limit podľa určujúceho paliva, </w:t>
            </w:r>
          </w:p>
          <w:p w14:paraId="1513232C" w14:textId="77777777" w:rsidR="009000C5" w:rsidRPr="008819AF" w:rsidRDefault="009000C5" w:rsidP="009000C5">
            <w:pPr>
              <w:pStyle w:val="Hlavika"/>
              <w:ind w:left="309" w:hanging="238"/>
              <w:rPr>
                <w:rFonts w:ascii="Times New Roman" w:hAnsi="Times New Roman" w:cs="Times New Roman"/>
              </w:rPr>
            </w:pPr>
            <w:r w:rsidRPr="008819AF">
              <w:rPr>
                <w:rFonts w:ascii="Times New Roman" w:hAnsi="Times New Roman" w:cs="Times New Roman"/>
              </w:rPr>
              <w:t>b)  &lt; 50 % z celkového tepelného vstupu privedeného do spaľovacieho zariadenia všetkými palivami, určí sa emisný limit nasledovným postupom:</w:t>
            </w:r>
          </w:p>
          <w:p w14:paraId="1513232D" w14:textId="77777777" w:rsidR="009000C5" w:rsidRPr="008819AF" w:rsidRDefault="009000C5" w:rsidP="009000C5">
            <w:pPr>
              <w:pStyle w:val="Hlavika"/>
              <w:ind w:left="72" w:hanging="1"/>
              <w:rPr>
                <w:rFonts w:ascii="Times New Roman" w:hAnsi="Times New Roman" w:cs="Times New Roman"/>
              </w:rPr>
            </w:pPr>
            <w:r w:rsidRPr="008819AF">
              <w:rPr>
                <w:rFonts w:ascii="Times New Roman" w:hAnsi="Times New Roman" w:cs="Times New Roman"/>
              </w:rPr>
              <w:t>1. určí sa emisný limit pre každé palivo a znečisťujúcu látku podľa celkového MTP zariadenia,</w:t>
            </w:r>
          </w:p>
          <w:p w14:paraId="1513232E" w14:textId="77777777" w:rsidR="009000C5" w:rsidRPr="008819AF" w:rsidRDefault="009000C5" w:rsidP="009000C5">
            <w:pPr>
              <w:pStyle w:val="Hlavika"/>
              <w:ind w:left="72" w:hanging="1"/>
              <w:rPr>
                <w:rFonts w:ascii="Times New Roman" w:hAnsi="Times New Roman" w:cs="Times New Roman"/>
              </w:rPr>
            </w:pPr>
            <w:r w:rsidRPr="008819AF">
              <w:rPr>
                <w:rFonts w:ascii="Times New Roman" w:hAnsi="Times New Roman" w:cs="Times New Roman"/>
              </w:rPr>
              <w:t>2.vypočíta sa ekvivalentná hodnota emisného limitu pre určujúce palivo vynásobením hodnoty emisného limitu platného pre palivo s najväčším tepelným vstupom dvoma a odčítaním hodnoty emisného limitu pre palivo s najnižším emisným limitom,</w:t>
            </w:r>
          </w:p>
          <w:p w14:paraId="1513232F" w14:textId="77777777" w:rsidR="009000C5" w:rsidRPr="008819AF" w:rsidRDefault="009000C5" w:rsidP="009000C5">
            <w:pPr>
              <w:pStyle w:val="Hlavika"/>
              <w:ind w:left="72" w:hanging="1"/>
              <w:rPr>
                <w:rFonts w:ascii="Times New Roman" w:hAnsi="Times New Roman" w:cs="Times New Roman"/>
              </w:rPr>
            </w:pPr>
            <w:r w:rsidRPr="008819AF">
              <w:rPr>
                <w:rFonts w:ascii="Times New Roman" w:hAnsi="Times New Roman" w:cs="Times New Roman"/>
              </w:rPr>
              <w:t>3.vypočíta sa vážený podiel emisných limitov pre jednotlivé palivá; tieto hodnoty sa získajú, keď vypočítanú ekvivalentnú hodnotu emisného limitu určujúceho paliva vynásobíme tepelným vstupom určujúceho paliva a hodnoty emisných limitov ostatných palív vynásobíme tepelným vstupom dodaným príslušným palivom a tieto jednotlivé násobky vydelíme celkovým tepelným vstupom dodaným všetkými palivami,</w:t>
            </w:r>
          </w:p>
          <w:p w14:paraId="15132330" w14:textId="77777777" w:rsidR="009000C5" w:rsidRPr="008819AF" w:rsidRDefault="009000C5" w:rsidP="009000C5">
            <w:pPr>
              <w:pStyle w:val="Hlavika"/>
              <w:ind w:left="72" w:hanging="1"/>
              <w:rPr>
                <w:rFonts w:ascii="Times New Roman" w:hAnsi="Times New Roman" w:cs="Times New Roman"/>
              </w:rPr>
            </w:pPr>
            <w:r w:rsidRPr="008819AF">
              <w:rPr>
                <w:rFonts w:ascii="Times New Roman" w:hAnsi="Times New Roman" w:cs="Times New Roman"/>
              </w:rPr>
              <w:t>4.modifikovaný vážený priemer emisných limitov sa určí ako súčet vážených podielov emisných limitov jednotlivých palív.</w:t>
            </w:r>
          </w:p>
          <w:p w14:paraId="15132331" w14:textId="77777777" w:rsidR="007170C3" w:rsidRPr="008819AF" w:rsidRDefault="007170C3" w:rsidP="009000C5">
            <w:pPr>
              <w:pStyle w:val="Hlavika"/>
              <w:ind w:left="72" w:hanging="1"/>
              <w:rPr>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2332" w14:textId="77777777" w:rsidR="007170C3" w:rsidRPr="008819AF" w:rsidRDefault="007170C3" w:rsidP="0021052F"/>
        </w:tc>
        <w:tc>
          <w:tcPr>
            <w:tcW w:w="821" w:type="dxa"/>
            <w:gridSpan w:val="3"/>
            <w:tcBorders>
              <w:top w:val="single" w:sz="4" w:space="0" w:color="000000"/>
              <w:left w:val="single" w:sz="6" w:space="0" w:color="000000"/>
              <w:bottom w:val="single" w:sz="4" w:space="0" w:color="000000"/>
              <w:right w:val="single" w:sz="6" w:space="0" w:color="000000"/>
            </w:tcBorders>
          </w:tcPr>
          <w:p w14:paraId="15132333" w14:textId="77777777" w:rsidR="007170C3" w:rsidRPr="008819AF" w:rsidRDefault="007170C3" w:rsidP="0021052F">
            <w:pPr>
              <w:ind w:left="215" w:hanging="215"/>
              <w:rPr>
                <w:rFonts w:eastAsia="Arial"/>
                <w:lang w:bidi="cs-CZ"/>
              </w:rPr>
            </w:pPr>
          </w:p>
        </w:tc>
      </w:tr>
      <w:tr w:rsidR="00F80158" w:rsidRPr="008819AF" w14:paraId="15132352" w14:textId="77777777" w:rsidTr="003E351D">
        <w:trPr>
          <w:trHeight w:val="1351"/>
          <w:jc w:val="center"/>
        </w:trPr>
        <w:tc>
          <w:tcPr>
            <w:tcW w:w="483" w:type="dxa"/>
            <w:tcBorders>
              <w:top w:val="single" w:sz="4" w:space="0" w:color="000000"/>
              <w:left w:val="single" w:sz="6" w:space="0" w:color="000000"/>
              <w:bottom w:val="single" w:sz="4" w:space="0" w:color="000000"/>
              <w:right w:val="single" w:sz="6" w:space="0" w:color="000000"/>
            </w:tcBorders>
          </w:tcPr>
          <w:p w14:paraId="15132335"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2336" w14:textId="77777777" w:rsidR="007170C3" w:rsidRPr="008819AF" w:rsidRDefault="006F0418" w:rsidP="0021052F">
            <w:pPr>
              <w:ind w:left="215" w:hanging="215"/>
              <w:rPr>
                <w:rFonts w:eastAsia="Arial"/>
              </w:rPr>
            </w:pPr>
            <w:r w:rsidRPr="008819AF">
              <w:rPr>
                <w:rFonts w:eastAsia="Arial"/>
              </w:rPr>
              <w:t>3. V prípade viacpalivových spaľovacích zariadení, na ktoré sa vzťahuje článok 30 ods. 2, ktoré využívajú zvyšky z destilácie a konverzie z rafinácie ropy pre vlastnú spotrebu, samostatne alebo s iným palivom, sa môžu namiesto emisných limitov stanovených podľa odsekov 1 alebo 2 tohto článku uplatňovať priemerné emisné limity pre oxid siričitý stanovené v prílohe V časť 7.</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337" w14:textId="77777777" w:rsidR="007170C3" w:rsidRPr="008819AF" w:rsidRDefault="007170C3"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338" w14:textId="77777777" w:rsidR="007170C3" w:rsidRPr="008819AF" w:rsidRDefault="006F0418" w:rsidP="0021052F">
            <w:pPr>
              <w:ind w:left="215" w:hanging="215"/>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15132339" w14:textId="77777777" w:rsidR="003E351D" w:rsidRPr="008819AF" w:rsidRDefault="003E351D" w:rsidP="003E351D">
            <w:pPr>
              <w:jc w:val="center"/>
            </w:pPr>
            <w:r w:rsidRPr="008819AF">
              <w:t>Pr.4</w:t>
            </w:r>
          </w:p>
          <w:p w14:paraId="1513233A" w14:textId="77777777" w:rsidR="003E351D" w:rsidRPr="008819AF" w:rsidRDefault="003E351D" w:rsidP="003E351D">
            <w:pPr>
              <w:jc w:val="center"/>
            </w:pPr>
            <w:r w:rsidRPr="008819AF">
              <w:t>Časť II</w:t>
            </w:r>
          </w:p>
          <w:p w14:paraId="1513233B" w14:textId="77777777" w:rsidR="003E351D" w:rsidRPr="008819AF" w:rsidRDefault="003E351D" w:rsidP="003E351D">
            <w:r w:rsidRPr="008819AF">
              <w:t>Bod 3.1</w:t>
            </w:r>
          </w:p>
          <w:p w14:paraId="1513233C" w14:textId="77777777" w:rsidR="007170C3" w:rsidRPr="008819AF" w:rsidRDefault="007170C3" w:rsidP="0021052F">
            <w:pPr>
              <w:jc w:val="cente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33D" w14:textId="77777777" w:rsidR="003E351D" w:rsidRPr="008819AF" w:rsidRDefault="003E351D" w:rsidP="003E351D">
            <w:pPr>
              <w:spacing w:after="120"/>
              <w:jc w:val="both"/>
            </w:pPr>
            <w:r w:rsidRPr="008819AF">
              <w:rPr>
                <w:rFonts w:eastAsia="Arial"/>
              </w:rPr>
              <w:t>3.2</w:t>
            </w:r>
            <w:r w:rsidRPr="008819AF">
              <w:t xml:space="preserve"> Odchylne od bodu 2 a bodu 3.1, ak nedôjde k celkovému zvýšeniu množstva emisií, možno pre jestvujúce viacpalivové zariadenia v rámci rafinérie, ktoré využívajú zvyšky z destilácie a konverzie z rafinácie ropy pre vlastnú spotrebu, samostatne alebo s iným palivom namiesto emisných limitov podľa § 10 ods. 2 určiť emisný limit pre SO</w:t>
            </w:r>
            <w:r w:rsidRPr="008819AF">
              <w:rPr>
                <w:vertAlign w:val="subscript"/>
              </w:rPr>
              <w:t>2</w:t>
            </w:r>
            <w:r w:rsidRPr="008819AF">
              <w:t xml:space="preserve"> takto: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3393"/>
            </w:tblGrid>
            <w:tr w:rsidR="003E351D" w:rsidRPr="008819AF" w14:paraId="15132342" w14:textId="77777777" w:rsidTr="00300A4B">
              <w:trPr>
                <w:trHeight w:val="340"/>
                <w:jc w:val="center"/>
              </w:trPr>
              <w:tc>
                <w:tcPr>
                  <w:tcW w:w="2147" w:type="dxa"/>
                  <w:vMerge w:val="restart"/>
                  <w:vAlign w:val="center"/>
                </w:tcPr>
                <w:p w14:paraId="1513233E" w14:textId="77777777" w:rsidR="003E351D" w:rsidRPr="008819AF" w:rsidRDefault="003E351D" w:rsidP="00300A4B">
                  <w:pPr>
                    <w:pStyle w:val="Odsekzoznamu"/>
                    <w:ind w:left="0"/>
                    <w:rPr>
                      <w:b/>
                      <w:sz w:val="16"/>
                      <w:szCs w:val="16"/>
                    </w:rPr>
                  </w:pPr>
                  <w:r w:rsidRPr="008819AF">
                    <w:rPr>
                      <w:b/>
                      <w:sz w:val="16"/>
                      <w:szCs w:val="16"/>
                    </w:rPr>
                    <w:lastRenderedPageBreak/>
                    <w:t xml:space="preserve">Podmienky platnosti EL </w:t>
                  </w:r>
                </w:p>
              </w:tc>
              <w:tc>
                <w:tcPr>
                  <w:tcW w:w="3393" w:type="dxa"/>
                </w:tcPr>
                <w:p w14:paraId="1513233F" w14:textId="77777777" w:rsidR="003E351D" w:rsidRPr="008819AF" w:rsidRDefault="003E351D" w:rsidP="00300A4B">
                  <w:pPr>
                    <w:pStyle w:val="Normln"/>
                    <w:keepNext/>
                    <w:rPr>
                      <w:sz w:val="16"/>
                      <w:szCs w:val="16"/>
                      <w:lang w:val="sk-SK"/>
                    </w:rPr>
                  </w:pPr>
                  <w:r w:rsidRPr="008819AF">
                    <w:rPr>
                      <w:sz w:val="16"/>
                      <w:szCs w:val="16"/>
                      <w:lang w:val="sk-SK"/>
                    </w:rPr>
                    <w:t xml:space="preserve">Štandardné stavové podmienky, suchý plyn, </w:t>
                  </w:r>
                </w:p>
                <w:p w14:paraId="15132340" w14:textId="77777777" w:rsidR="003E351D" w:rsidRPr="008819AF" w:rsidRDefault="003E351D" w:rsidP="00300A4B">
                  <w:pPr>
                    <w:pStyle w:val="Odsekzoznamu"/>
                    <w:ind w:left="0"/>
                    <w:rPr>
                      <w:sz w:val="16"/>
                      <w:szCs w:val="16"/>
                    </w:rPr>
                  </w:pPr>
                  <w:r w:rsidRPr="008819AF">
                    <w:rPr>
                      <w:sz w:val="16"/>
                      <w:szCs w:val="16"/>
                    </w:rPr>
                    <w:t>Tuhé palivo: O</w:t>
                  </w:r>
                  <w:r w:rsidRPr="008819AF">
                    <w:rPr>
                      <w:sz w:val="16"/>
                      <w:szCs w:val="16"/>
                      <w:vertAlign w:val="subscript"/>
                    </w:rPr>
                    <w:t>2 ref</w:t>
                  </w:r>
                  <w:r w:rsidRPr="008819AF">
                    <w:rPr>
                      <w:sz w:val="16"/>
                      <w:szCs w:val="16"/>
                    </w:rPr>
                    <w:t xml:space="preserve">: 6 % objemu </w:t>
                  </w:r>
                </w:p>
                <w:p w14:paraId="15132341" w14:textId="77777777" w:rsidR="003E351D" w:rsidRPr="008819AF" w:rsidRDefault="003E351D" w:rsidP="00300A4B">
                  <w:pPr>
                    <w:pStyle w:val="Odsekzoznamu"/>
                    <w:ind w:left="0"/>
                    <w:rPr>
                      <w:sz w:val="16"/>
                      <w:szCs w:val="16"/>
                    </w:rPr>
                  </w:pPr>
                  <w:r w:rsidRPr="008819AF">
                    <w:rPr>
                      <w:sz w:val="16"/>
                      <w:szCs w:val="16"/>
                    </w:rPr>
                    <w:t>Kvapalné palivo a plynné palivo: O</w:t>
                  </w:r>
                  <w:r w:rsidRPr="008819AF">
                    <w:rPr>
                      <w:sz w:val="16"/>
                      <w:szCs w:val="16"/>
                      <w:vertAlign w:val="subscript"/>
                    </w:rPr>
                    <w:t>2 ref</w:t>
                  </w:r>
                  <w:r w:rsidRPr="008819AF">
                    <w:rPr>
                      <w:sz w:val="16"/>
                      <w:szCs w:val="16"/>
                    </w:rPr>
                    <w:t>: 3 % objemu</w:t>
                  </w:r>
                </w:p>
              </w:tc>
            </w:tr>
            <w:tr w:rsidR="003E351D" w:rsidRPr="008819AF" w14:paraId="15132345" w14:textId="77777777" w:rsidTr="00300A4B">
              <w:trPr>
                <w:trHeight w:val="340"/>
                <w:jc w:val="center"/>
              </w:trPr>
              <w:tc>
                <w:tcPr>
                  <w:tcW w:w="2147" w:type="dxa"/>
                  <w:vMerge/>
                </w:tcPr>
                <w:p w14:paraId="15132343" w14:textId="77777777" w:rsidR="003E351D" w:rsidRPr="008819AF" w:rsidRDefault="003E351D" w:rsidP="00300A4B">
                  <w:pPr>
                    <w:pStyle w:val="Odsekzoznamu"/>
                    <w:ind w:left="0"/>
                    <w:rPr>
                      <w:sz w:val="16"/>
                      <w:szCs w:val="16"/>
                    </w:rPr>
                  </w:pPr>
                </w:p>
              </w:tc>
              <w:tc>
                <w:tcPr>
                  <w:tcW w:w="3393" w:type="dxa"/>
                </w:tcPr>
                <w:p w14:paraId="15132344" w14:textId="77777777" w:rsidR="003E351D" w:rsidRPr="008819AF" w:rsidRDefault="003E351D" w:rsidP="00300A4B">
                  <w:pPr>
                    <w:pStyle w:val="Odsekzoznamu"/>
                    <w:ind w:left="0"/>
                    <w:rPr>
                      <w:sz w:val="16"/>
                      <w:szCs w:val="16"/>
                    </w:rPr>
                  </w:pPr>
                  <w:r w:rsidRPr="008819AF">
                    <w:rPr>
                      <w:sz w:val="16"/>
                      <w:szCs w:val="16"/>
                    </w:rPr>
                    <w:t xml:space="preserve">Daný EL sa nevzťahuje na plynové turbíny a zážihové motory. </w:t>
                  </w:r>
                </w:p>
              </w:tc>
            </w:tr>
            <w:tr w:rsidR="003E351D" w:rsidRPr="008819AF" w14:paraId="15132348" w14:textId="77777777" w:rsidTr="00300A4B">
              <w:trPr>
                <w:trHeight w:val="340"/>
                <w:jc w:val="center"/>
              </w:trPr>
              <w:tc>
                <w:tcPr>
                  <w:tcW w:w="2147" w:type="dxa"/>
                  <w:vMerge/>
                </w:tcPr>
                <w:p w14:paraId="15132346" w14:textId="77777777" w:rsidR="003E351D" w:rsidRPr="008819AF" w:rsidRDefault="003E351D" w:rsidP="00300A4B">
                  <w:pPr>
                    <w:pStyle w:val="Odsekzoznamu"/>
                    <w:ind w:left="0"/>
                    <w:rPr>
                      <w:sz w:val="16"/>
                      <w:szCs w:val="16"/>
                    </w:rPr>
                  </w:pPr>
                </w:p>
              </w:tc>
              <w:tc>
                <w:tcPr>
                  <w:tcW w:w="3393" w:type="dxa"/>
                  <w:vAlign w:val="center"/>
                </w:tcPr>
                <w:p w14:paraId="15132347" w14:textId="77777777" w:rsidR="003E351D" w:rsidRPr="008819AF" w:rsidRDefault="003E351D" w:rsidP="00300A4B">
                  <w:pPr>
                    <w:pStyle w:val="Odsekzoznamu"/>
                    <w:ind w:left="0"/>
                    <w:jc w:val="center"/>
                    <w:rPr>
                      <w:sz w:val="16"/>
                      <w:szCs w:val="16"/>
                    </w:rPr>
                  </w:pPr>
                  <w:r w:rsidRPr="008819AF">
                    <w:rPr>
                      <w:b/>
                      <w:sz w:val="16"/>
                      <w:szCs w:val="16"/>
                    </w:rPr>
                    <w:t>Emisný limit  SO</w:t>
                  </w:r>
                  <w:r w:rsidRPr="008819AF">
                    <w:rPr>
                      <w:b/>
                      <w:sz w:val="16"/>
                      <w:szCs w:val="16"/>
                      <w:vertAlign w:val="subscript"/>
                    </w:rPr>
                    <w:t>2</w:t>
                  </w:r>
                  <w:r w:rsidRPr="008819AF">
                    <w:rPr>
                      <w:b/>
                      <w:sz w:val="16"/>
                      <w:szCs w:val="16"/>
                    </w:rPr>
                    <w:t xml:space="preserve"> </w:t>
                  </w:r>
                  <w:r w:rsidRPr="008819AF">
                    <w:rPr>
                      <w:b/>
                      <w:sz w:val="16"/>
                      <w:szCs w:val="16"/>
                    </w:rPr>
                    <w:sym w:font="Symbol" w:char="F05B"/>
                  </w:r>
                  <w:r w:rsidRPr="008819AF">
                    <w:rPr>
                      <w:b/>
                      <w:sz w:val="16"/>
                      <w:szCs w:val="16"/>
                    </w:rPr>
                    <w:t>mg/m</w:t>
                  </w:r>
                  <w:r w:rsidRPr="008819AF">
                    <w:rPr>
                      <w:b/>
                      <w:sz w:val="16"/>
                      <w:szCs w:val="16"/>
                      <w:vertAlign w:val="superscript"/>
                    </w:rPr>
                    <w:t>3</w:t>
                  </w:r>
                  <w:r w:rsidRPr="008819AF">
                    <w:rPr>
                      <w:b/>
                      <w:sz w:val="16"/>
                      <w:szCs w:val="16"/>
                    </w:rPr>
                    <w:sym w:font="Symbol" w:char="F05D"/>
                  </w:r>
                </w:p>
              </w:tc>
            </w:tr>
            <w:tr w:rsidR="003E351D" w:rsidRPr="008819AF" w14:paraId="1513234B" w14:textId="77777777" w:rsidTr="00300A4B">
              <w:trPr>
                <w:trHeight w:val="340"/>
                <w:jc w:val="center"/>
              </w:trPr>
              <w:tc>
                <w:tcPr>
                  <w:tcW w:w="2147" w:type="dxa"/>
                  <w:vAlign w:val="center"/>
                </w:tcPr>
                <w:p w14:paraId="15132349" w14:textId="77777777" w:rsidR="003E351D" w:rsidRPr="008819AF" w:rsidRDefault="003E351D" w:rsidP="00300A4B">
                  <w:pPr>
                    <w:pStyle w:val="Odsekzoznamu"/>
                    <w:ind w:left="0"/>
                    <w:rPr>
                      <w:sz w:val="16"/>
                      <w:szCs w:val="16"/>
                    </w:rPr>
                  </w:pPr>
                  <w:r w:rsidRPr="008819AF">
                    <w:rPr>
                      <w:sz w:val="16"/>
                      <w:szCs w:val="16"/>
                    </w:rPr>
                    <w:t>Jestvujúce zariadenia Z1 a Z2</w:t>
                  </w:r>
                </w:p>
              </w:tc>
              <w:tc>
                <w:tcPr>
                  <w:tcW w:w="3393" w:type="dxa"/>
                  <w:vAlign w:val="center"/>
                </w:tcPr>
                <w:p w14:paraId="1513234A" w14:textId="77777777" w:rsidR="003E351D" w:rsidRPr="008819AF" w:rsidRDefault="003E351D" w:rsidP="00300A4B">
                  <w:pPr>
                    <w:pStyle w:val="Odsekzoznamu"/>
                    <w:ind w:left="0"/>
                    <w:jc w:val="center"/>
                    <w:rPr>
                      <w:sz w:val="16"/>
                      <w:szCs w:val="16"/>
                    </w:rPr>
                  </w:pPr>
                  <w:r w:rsidRPr="008819AF">
                    <w:rPr>
                      <w:sz w:val="16"/>
                      <w:szCs w:val="16"/>
                    </w:rPr>
                    <w:t>1 000</w:t>
                  </w:r>
                </w:p>
              </w:tc>
            </w:tr>
            <w:tr w:rsidR="003E351D" w:rsidRPr="008819AF" w14:paraId="1513234E" w14:textId="77777777" w:rsidTr="00300A4B">
              <w:trPr>
                <w:trHeight w:val="340"/>
                <w:jc w:val="center"/>
              </w:trPr>
              <w:tc>
                <w:tcPr>
                  <w:tcW w:w="2147" w:type="dxa"/>
                  <w:vAlign w:val="center"/>
                </w:tcPr>
                <w:p w14:paraId="1513234C" w14:textId="77777777" w:rsidR="003E351D" w:rsidRPr="008819AF" w:rsidRDefault="003E351D" w:rsidP="00300A4B">
                  <w:pPr>
                    <w:pStyle w:val="Odsekzoznamu"/>
                    <w:ind w:left="0"/>
                    <w:rPr>
                      <w:sz w:val="16"/>
                      <w:szCs w:val="16"/>
                    </w:rPr>
                  </w:pPr>
                  <w:r w:rsidRPr="008819AF">
                    <w:rPr>
                      <w:sz w:val="16"/>
                      <w:szCs w:val="16"/>
                    </w:rPr>
                    <w:t>Jestvujúce zariadenia Z3</w:t>
                  </w:r>
                </w:p>
              </w:tc>
              <w:tc>
                <w:tcPr>
                  <w:tcW w:w="3393" w:type="dxa"/>
                  <w:vAlign w:val="center"/>
                </w:tcPr>
                <w:p w14:paraId="1513234D" w14:textId="77777777" w:rsidR="003E351D" w:rsidRPr="008819AF" w:rsidRDefault="003E351D" w:rsidP="00300A4B">
                  <w:pPr>
                    <w:pStyle w:val="Odsekzoznamu"/>
                    <w:ind w:left="0"/>
                    <w:jc w:val="center"/>
                    <w:rPr>
                      <w:sz w:val="16"/>
                      <w:szCs w:val="16"/>
                    </w:rPr>
                  </w:pPr>
                  <w:r w:rsidRPr="008819AF">
                    <w:rPr>
                      <w:sz w:val="16"/>
                      <w:szCs w:val="16"/>
                    </w:rPr>
                    <w:t>600</w:t>
                  </w:r>
                </w:p>
              </w:tc>
            </w:tr>
          </w:tbl>
          <w:p w14:paraId="1513234F" w14:textId="77777777" w:rsidR="007170C3" w:rsidRPr="008819AF" w:rsidRDefault="007170C3" w:rsidP="003E351D">
            <w:pPr>
              <w:rPr>
                <w:b/>
                <w:bCs/>
              </w:rPr>
            </w:pPr>
          </w:p>
        </w:tc>
        <w:tc>
          <w:tcPr>
            <w:tcW w:w="429" w:type="dxa"/>
            <w:tcBorders>
              <w:top w:val="single" w:sz="4" w:space="0" w:color="000000"/>
              <w:left w:val="single" w:sz="6" w:space="0" w:color="000000"/>
              <w:bottom w:val="single" w:sz="4" w:space="0" w:color="000000"/>
              <w:right w:val="single" w:sz="6" w:space="0" w:color="000000"/>
            </w:tcBorders>
          </w:tcPr>
          <w:p w14:paraId="15132350"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351" w14:textId="77777777" w:rsidR="007170C3" w:rsidRPr="008819AF" w:rsidRDefault="007170C3" w:rsidP="0021052F">
            <w:pPr>
              <w:ind w:left="215" w:hanging="215"/>
              <w:rPr>
                <w:rFonts w:eastAsia="Arial"/>
                <w:lang w:bidi="cs-CZ"/>
              </w:rPr>
            </w:pPr>
          </w:p>
        </w:tc>
      </w:tr>
      <w:tr w:rsidR="00F80158" w:rsidRPr="008819AF" w14:paraId="15132360" w14:textId="77777777" w:rsidTr="003E351D">
        <w:trPr>
          <w:trHeight w:val="1524"/>
          <w:jc w:val="center"/>
        </w:trPr>
        <w:tc>
          <w:tcPr>
            <w:tcW w:w="483" w:type="dxa"/>
            <w:tcBorders>
              <w:top w:val="single" w:sz="4" w:space="0" w:color="000000"/>
              <w:left w:val="single" w:sz="6" w:space="0" w:color="000000"/>
              <w:bottom w:val="single" w:sz="4" w:space="0" w:color="000000"/>
              <w:right w:val="single" w:sz="6" w:space="0" w:color="000000"/>
            </w:tcBorders>
          </w:tcPr>
          <w:p w14:paraId="15132353" w14:textId="77777777" w:rsidR="007170C3" w:rsidRPr="008819AF" w:rsidRDefault="006F0418" w:rsidP="003E351D">
            <w:pPr>
              <w:ind w:right="-70"/>
              <w:rPr>
                <w:rFonts w:eastAsia="Arial"/>
                <w:lang w:bidi="cs-CZ"/>
              </w:rPr>
            </w:pPr>
            <w:r w:rsidRPr="008819AF">
              <w:rPr>
                <w:rFonts w:eastAsia="Arial"/>
                <w:lang w:bidi="cs-CZ"/>
              </w:rPr>
              <w:t>Č:41</w:t>
            </w:r>
          </w:p>
        </w:tc>
        <w:tc>
          <w:tcPr>
            <w:tcW w:w="6227" w:type="dxa"/>
            <w:gridSpan w:val="2"/>
            <w:tcBorders>
              <w:top w:val="single" w:sz="4" w:space="0" w:color="000000"/>
              <w:left w:val="single" w:sz="6" w:space="0" w:color="000000"/>
              <w:bottom w:val="single" w:sz="4" w:space="0" w:color="000000"/>
              <w:right w:val="single" w:sz="6" w:space="0" w:color="000000"/>
            </w:tcBorders>
          </w:tcPr>
          <w:p w14:paraId="15132354" w14:textId="77777777" w:rsidR="007170C3" w:rsidRPr="008819AF" w:rsidRDefault="006F0418" w:rsidP="0021052F">
            <w:pPr>
              <w:ind w:left="215" w:hanging="215"/>
              <w:rPr>
                <w:rFonts w:eastAsia="Arial"/>
              </w:rPr>
            </w:pPr>
            <w:r w:rsidRPr="008819AF">
              <w:rPr>
                <w:rFonts w:eastAsia="Arial"/>
              </w:rPr>
              <w:t>Článok 41</w:t>
            </w:r>
          </w:p>
          <w:p w14:paraId="15132355" w14:textId="77777777" w:rsidR="007170C3" w:rsidRPr="008819AF" w:rsidRDefault="006F0418" w:rsidP="0021052F">
            <w:pPr>
              <w:ind w:left="215" w:hanging="215"/>
              <w:rPr>
                <w:rFonts w:eastAsia="Arial"/>
              </w:rPr>
            </w:pPr>
            <w:r w:rsidRPr="008819AF">
              <w:rPr>
                <w:rFonts w:eastAsia="Arial"/>
              </w:rPr>
              <w:t>Vykonávacie predpisy</w:t>
            </w:r>
          </w:p>
          <w:p w14:paraId="15132356" w14:textId="77777777" w:rsidR="007170C3" w:rsidRPr="008819AF" w:rsidRDefault="006F0418" w:rsidP="0021052F">
            <w:pPr>
              <w:ind w:left="497" w:hanging="283"/>
              <w:rPr>
                <w:rFonts w:eastAsia="Arial"/>
              </w:rPr>
            </w:pPr>
            <w:r w:rsidRPr="008819AF">
              <w:rPr>
                <w:rFonts w:eastAsia="Arial"/>
              </w:rPr>
              <w:t>Ustanovia sa vykonávacie predpisy pre:</w:t>
            </w:r>
          </w:p>
          <w:p w14:paraId="15132357" w14:textId="77777777" w:rsidR="007170C3" w:rsidRPr="008819AF" w:rsidRDefault="006F0418" w:rsidP="009C63CF">
            <w:pPr>
              <w:numPr>
                <w:ilvl w:val="0"/>
                <w:numId w:val="30"/>
              </w:numPr>
              <w:tabs>
                <w:tab w:val="left" w:pos="227"/>
              </w:tabs>
              <w:spacing w:after="120"/>
              <w:ind w:left="497" w:hanging="283"/>
              <w:rPr>
                <w:rFonts w:eastAsia="Arial"/>
              </w:rPr>
            </w:pPr>
            <w:r w:rsidRPr="008819AF">
              <w:rPr>
                <w:rFonts w:eastAsia="Arial"/>
              </w:rPr>
              <w:t>určenie období nábehu a odstávky uvedených v článku 3 bod 27 a v prílohe V časť 4 bod 1; a</w:t>
            </w:r>
          </w:p>
          <w:p w14:paraId="15132358" w14:textId="77777777" w:rsidR="007170C3" w:rsidRPr="008819AF" w:rsidRDefault="006F0418" w:rsidP="009C63CF">
            <w:pPr>
              <w:numPr>
                <w:ilvl w:val="0"/>
                <w:numId w:val="30"/>
              </w:numPr>
              <w:tabs>
                <w:tab w:val="left" w:pos="227"/>
              </w:tabs>
              <w:ind w:left="497" w:hanging="283"/>
              <w:rPr>
                <w:rFonts w:eastAsia="Arial"/>
              </w:rPr>
            </w:pPr>
            <w:r w:rsidRPr="008819AF">
              <w:rPr>
                <w:rFonts w:eastAsia="Arial"/>
              </w:rPr>
              <w:t>prechodné národné programy uvedené v článku 32 a najmä stanovenie emisných stropov a súvisiaceho monitorovania a podávania správ.</w:t>
            </w:r>
          </w:p>
          <w:p w14:paraId="15132359" w14:textId="77777777" w:rsidR="007170C3" w:rsidRPr="008819AF" w:rsidRDefault="006F0418" w:rsidP="0021052F">
            <w:pPr>
              <w:ind w:left="215" w:hanging="1"/>
              <w:rPr>
                <w:rFonts w:eastAsia="Arial"/>
              </w:rPr>
            </w:pPr>
            <w:r w:rsidRPr="008819AF">
              <w:rPr>
                <w:rFonts w:eastAsia="Arial"/>
              </w:rPr>
              <w:t>Tieto vykonávacie predpisy sa prijmú v súlade s regulačným postupom uvedeným v článku 75 ods. 2 Komisia predloží vhodné návrhy najneskôr do 7. júla 2011.</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35A" w14:textId="77777777" w:rsidR="007170C3" w:rsidRPr="008819AF" w:rsidRDefault="006F0418" w:rsidP="0021052F">
            <w:pPr>
              <w:ind w:left="215" w:hanging="215"/>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4" w:space="0" w:color="000000"/>
              <w:right w:val="single" w:sz="6" w:space="0" w:color="000000"/>
            </w:tcBorders>
          </w:tcPr>
          <w:p w14:paraId="1513235B" w14:textId="77777777" w:rsidR="007170C3" w:rsidRPr="008819AF" w:rsidRDefault="007170C3"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35C" w14:textId="77777777" w:rsidR="007170C3" w:rsidRPr="008819AF" w:rsidRDefault="007170C3" w:rsidP="0021052F">
            <w:pPr>
              <w:pStyle w:val="BodyText21"/>
              <w:spacing w:before="0"/>
              <w:ind w:left="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35D" w14:textId="77777777" w:rsidR="007170C3" w:rsidRPr="008819AF" w:rsidRDefault="007170C3" w:rsidP="0021052F">
            <w:pPr>
              <w:pStyle w:val="Nadpis6"/>
              <w:ind w:left="72"/>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1513235E"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35F" w14:textId="77777777" w:rsidR="007170C3" w:rsidRPr="008819AF" w:rsidRDefault="007170C3" w:rsidP="0021052F">
            <w:pPr>
              <w:ind w:left="215" w:hanging="215"/>
              <w:rPr>
                <w:rFonts w:eastAsia="Arial"/>
                <w:lang w:bidi="cs-CZ"/>
              </w:rPr>
            </w:pPr>
          </w:p>
        </w:tc>
      </w:tr>
      <w:tr w:rsidR="00F80158" w:rsidRPr="008819AF" w14:paraId="151323F2" w14:textId="77777777" w:rsidTr="003E351D">
        <w:trPr>
          <w:trHeight w:val="1025"/>
          <w:jc w:val="center"/>
        </w:trPr>
        <w:tc>
          <w:tcPr>
            <w:tcW w:w="483" w:type="dxa"/>
            <w:tcBorders>
              <w:top w:val="single" w:sz="4" w:space="0" w:color="000000"/>
              <w:left w:val="single" w:sz="6" w:space="0" w:color="000000"/>
              <w:bottom w:val="single" w:sz="4" w:space="0" w:color="000000"/>
              <w:right w:val="single" w:sz="6" w:space="0" w:color="000000"/>
            </w:tcBorders>
          </w:tcPr>
          <w:p w14:paraId="15132361" w14:textId="77777777" w:rsidR="007170C3" w:rsidRPr="008819AF" w:rsidRDefault="007170C3" w:rsidP="003E351D">
            <w:pPr>
              <w:ind w:right="-70"/>
              <w:rPr>
                <w:rFonts w:eastAsia="Arial"/>
                <w:lang w:bidi="cs-CZ"/>
              </w:rPr>
            </w:pPr>
          </w:p>
          <w:p w14:paraId="15132362" w14:textId="77777777" w:rsidR="007170C3" w:rsidRPr="008819AF" w:rsidRDefault="007170C3" w:rsidP="003E351D">
            <w:pPr>
              <w:ind w:right="-70"/>
              <w:rPr>
                <w:rFonts w:eastAsia="Arial"/>
                <w:lang w:bidi="cs-CZ"/>
              </w:rPr>
            </w:pPr>
          </w:p>
          <w:p w14:paraId="15132363" w14:textId="77777777" w:rsidR="007170C3" w:rsidRPr="008819AF" w:rsidRDefault="007170C3" w:rsidP="003E351D">
            <w:pPr>
              <w:ind w:right="-70"/>
              <w:rPr>
                <w:rFonts w:eastAsia="Arial"/>
                <w:lang w:bidi="cs-CZ"/>
              </w:rPr>
            </w:pPr>
          </w:p>
          <w:p w14:paraId="15132364" w14:textId="77777777" w:rsidR="007170C3" w:rsidRPr="008819AF" w:rsidRDefault="006F0418" w:rsidP="003E351D">
            <w:pPr>
              <w:ind w:right="-70"/>
              <w:rPr>
                <w:rFonts w:eastAsia="Arial"/>
                <w:lang w:bidi="cs-CZ"/>
              </w:rPr>
            </w:pPr>
            <w:r w:rsidRPr="008819AF">
              <w:rPr>
                <w:rFonts w:eastAsia="Arial"/>
                <w:lang w:bidi="cs-CZ"/>
              </w:rPr>
              <w:t>Č:42</w:t>
            </w:r>
          </w:p>
        </w:tc>
        <w:tc>
          <w:tcPr>
            <w:tcW w:w="6227" w:type="dxa"/>
            <w:gridSpan w:val="2"/>
            <w:tcBorders>
              <w:top w:val="single" w:sz="4" w:space="0" w:color="000000"/>
              <w:left w:val="single" w:sz="6" w:space="0" w:color="000000"/>
              <w:bottom w:val="single" w:sz="4" w:space="0" w:color="000000"/>
              <w:right w:val="single" w:sz="6" w:space="0" w:color="000000"/>
            </w:tcBorders>
          </w:tcPr>
          <w:p w14:paraId="15132365" w14:textId="77777777" w:rsidR="007170C3" w:rsidRPr="008819AF" w:rsidRDefault="006F0418" w:rsidP="0021052F">
            <w:pPr>
              <w:ind w:left="215" w:hanging="215"/>
              <w:rPr>
                <w:rFonts w:eastAsia="Arial"/>
              </w:rPr>
            </w:pPr>
            <w:r w:rsidRPr="008819AF">
              <w:rPr>
                <w:rFonts w:eastAsia="Arial"/>
              </w:rPr>
              <w:t>KAPITOLA IV</w:t>
            </w:r>
          </w:p>
          <w:p w14:paraId="15132366" w14:textId="77777777" w:rsidR="007170C3" w:rsidRPr="008819AF" w:rsidRDefault="007170C3" w:rsidP="0021052F">
            <w:pPr>
              <w:ind w:left="215" w:hanging="215"/>
              <w:rPr>
                <w:rFonts w:eastAsia="Arial"/>
              </w:rPr>
            </w:pPr>
          </w:p>
          <w:p w14:paraId="15132367" w14:textId="77777777" w:rsidR="007170C3" w:rsidRPr="008819AF" w:rsidRDefault="006F0418" w:rsidP="0021052F">
            <w:pPr>
              <w:rPr>
                <w:rFonts w:eastAsia="Arial"/>
              </w:rPr>
            </w:pPr>
            <w:r w:rsidRPr="008819AF">
              <w:rPr>
                <w:rFonts w:eastAsia="Arial"/>
              </w:rPr>
              <w:t>OSOBITNÉ USTANOVENIA PRE SPAĽOVNE ODPADOV A ZARIADENIA NA SPOLUSPAĽOVANIE ODPADOV</w:t>
            </w:r>
          </w:p>
          <w:p w14:paraId="15132368" w14:textId="77777777" w:rsidR="007170C3" w:rsidRPr="008819AF" w:rsidRDefault="007170C3" w:rsidP="0021052F">
            <w:pPr>
              <w:ind w:left="215" w:hanging="215"/>
              <w:rPr>
                <w:rFonts w:eastAsia="Arial"/>
              </w:rPr>
            </w:pPr>
          </w:p>
          <w:p w14:paraId="15132369" w14:textId="77777777" w:rsidR="007170C3" w:rsidRPr="008819AF" w:rsidRDefault="006F0418" w:rsidP="0021052F">
            <w:pPr>
              <w:ind w:left="215" w:hanging="215"/>
              <w:rPr>
                <w:rFonts w:eastAsia="Arial"/>
              </w:rPr>
            </w:pPr>
            <w:r w:rsidRPr="008819AF">
              <w:rPr>
                <w:rFonts w:eastAsia="Arial"/>
              </w:rPr>
              <w:t>Článok 42</w:t>
            </w:r>
          </w:p>
          <w:p w14:paraId="1513236A" w14:textId="77777777" w:rsidR="007170C3" w:rsidRPr="008819AF" w:rsidRDefault="006F0418" w:rsidP="0021052F">
            <w:pPr>
              <w:ind w:left="215" w:hanging="215"/>
              <w:rPr>
                <w:rFonts w:eastAsia="Arial"/>
              </w:rPr>
            </w:pPr>
            <w:r w:rsidRPr="008819AF">
              <w:rPr>
                <w:rFonts w:eastAsia="Arial"/>
              </w:rPr>
              <w:t>Rozsah pôsobnosti</w:t>
            </w:r>
          </w:p>
          <w:p w14:paraId="1513236B" w14:textId="77777777" w:rsidR="007170C3" w:rsidRPr="008819AF" w:rsidRDefault="006F0418" w:rsidP="0021052F">
            <w:pPr>
              <w:ind w:left="215" w:hanging="215"/>
              <w:rPr>
                <w:rFonts w:eastAsia="Arial"/>
              </w:rPr>
            </w:pPr>
            <w:r w:rsidRPr="008819AF">
              <w:rPr>
                <w:rFonts w:eastAsia="Arial"/>
              </w:rPr>
              <w:t>1. Táto kapitola sa uplatňuje na spaľovne odpadov a zariadenia na spoluspaľovanie odpadov, ktoré spaľujú alebo spoluspaľujú tuhý alebo kvapalný odpad.</w:t>
            </w:r>
          </w:p>
          <w:p w14:paraId="1513236C" w14:textId="77777777" w:rsidR="007170C3" w:rsidRPr="008819AF" w:rsidRDefault="007170C3" w:rsidP="0021052F">
            <w:pPr>
              <w:ind w:left="215" w:hanging="215"/>
              <w:rPr>
                <w:rFonts w:eastAsia="Arial"/>
              </w:rPr>
            </w:pPr>
          </w:p>
          <w:p w14:paraId="1513236D" w14:textId="77777777" w:rsidR="007170C3" w:rsidRPr="008819AF" w:rsidRDefault="006F0418" w:rsidP="000B58E3">
            <w:pPr>
              <w:ind w:left="84"/>
              <w:rPr>
                <w:rFonts w:eastAsia="Arial"/>
              </w:rPr>
            </w:pPr>
            <w:r w:rsidRPr="008819AF">
              <w:rPr>
                <w:rFonts w:eastAsia="Arial"/>
              </w:rPr>
              <w:t>Táto kapitola sa nevzťahuje na zariadenia používajúce splyňovanie alebo pyrolýzu, ak sú plyny, ktoré týmto tepelným spracovaním odpadu vznikajú, vyčistené do takej miery, že pred ich spaľovaním už nie sú odpadom a nemôžu spôsobovať vznik väčšieho množstva emisií v porovnaní so spaľovaním zemného plynu.</w:t>
            </w:r>
          </w:p>
          <w:p w14:paraId="1513236E" w14:textId="77777777" w:rsidR="000B58E3" w:rsidRPr="008819AF" w:rsidRDefault="000B58E3" w:rsidP="000B58E3">
            <w:pPr>
              <w:ind w:left="84"/>
              <w:rPr>
                <w:rFonts w:eastAsia="Arial"/>
              </w:rPr>
            </w:pPr>
          </w:p>
          <w:p w14:paraId="1513236F" w14:textId="77777777" w:rsidR="007170C3" w:rsidRPr="008819AF" w:rsidRDefault="006F0418" w:rsidP="000B58E3">
            <w:pPr>
              <w:ind w:left="84"/>
              <w:rPr>
                <w:rFonts w:eastAsia="Arial"/>
              </w:rPr>
            </w:pPr>
            <w:r w:rsidRPr="008819AF">
              <w:rPr>
                <w:rFonts w:eastAsia="Arial"/>
              </w:rPr>
              <w:t xml:space="preserve">Na účely tejto kapitoly spaľovne odpadov a zariadenia na spoluspaľovanie odpadov sú všetky spaľovacie linky alebo spoluspaľovacie linky, príjem a </w:t>
            </w:r>
            <w:r w:rsidRPr="008819AF">
              <w:rPr>
                <w:rFonts w:eastAsia="Arial"/>
              </w:rPr>
              <w:lastRenderedPageBreak/>
              <w:t>skladovanie odpadov, interné zariadenia na predúpravu, systémy dodávky odpadov, paliva a vzduchu, kotly, zariadenia na úpravu a čistenie odpadových plynov, zariadenia na spracovanie alebo skladovanie zvyškov a odpadových vôd v areáli, komíny, zariadenia a systémy na riadenie spaľovacích alebo spoluspaľovacích operácií, zaznamenávanie a monitorovanie podmienok spaľovania alebo spoluspaľovania.</w:t>
            </w:r>
          </w:p>
          <w:p w14:paraId="15132370" w14:textId="77777777" w:rsidR="007170C3" w:rsidRPr="008819AF" w:rsidRDefault="007170C3" w:rsidP="000B58E3">
            <w:pPr>
              <w:ind w:left="84"/>
              <w:rPr>
                <w:rFonts w:eastAsia="Arial"/>
              </w:rPr>
            </w:pPr>
          </w:p>
          <w:p w14:paraId="15132371" w14:textId="77777777" w:rsidR="007170C3" w:rsidRPr="008819AF" w:rsidRDefault="006F0418" w:rsidP="000B58E3">
            <w:pPr>
              <w:ind w:left="84"/>
              <w:rPr>
                <w:rFonts w:eastAsia="Arial"/>
              </w:rPr>
            </w:pPr>
            <w:r w:rsidRPr="008819AF">
              <w:rPr>
                <w:rFonts w:eastAsia="Arial"/>
              </w:rPr>
              <w:t>Ak sa pri tepelnom spracovaní odpadu používajú iné postupy ako oxidácia, napríklad pyrolytické, splyňovacie alebo plazmové procesy, spaľovňa odpadov alebo zariadenie na spoluspaľovanie odpadov zahŕňajú postup tepelného spracovania aj postup následného spaľovania.</w:t>
            </w:r>
          </w:p>
          <w:p w14:paraId="15132372" w14:textId="77777777" w:rsidR="007170C3" w:rsidRPr="008819AF" w:rsidRDefault="007170C3" w:rsidP="000B58E3">
            <w:pPr>
              <w:ind w:left="84"/>
              <w:rPr>
                <w:rFonts w:eastAsia="Arial"/>
              </w:rPr>
            </w:pPr>
          </w:p>
          <w:p w14:paraId="15132373" w14:textId="77777777" w:rsidR="007170C3" w:rsidRPr="008819AF" w:rsidRDefault="006F0418" w:rsidP="000B58E3">
            <w:pPr>
              <w:ind w:left="84"/>
              <w:rPr>
                <w:rFonts w:eastAsia="Arial"/>
              </w:rPr>
            </w:pPr>
            <w:r w:rsidRPr="008819AF">
              <w:rPr>
                <w:rFonts w:eastAsia="Arial"/>
              </w:rPr>
              <w:t>Ak spoluspaľovanie odpadov prebieha takým spôsobom, že hlavným účelom zariadenia nie je výroba energie alebo materiálnych výrobkov, ale skôr tepelné spracovanie odpadov, zariadenie sa považuje za spaľovňu odpadov.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374" w14:textId="77777777" w:rsidR="007170C3" w:rsidRPr="008819AF" w:rsidRDefault="00300A4B" w:rsidP="0021052F">
            <w:pPr>
              <w:ind w:left="215" w:hanging="215"/>
              <w:jc w:val="center"/>
              <w:rPr>
                <w:rFonts w:eastAsia="Arial"/>
                <w:lang w:bidi="cs-CZ"/>
              </w:rPr>
            </w:pPr>
            <w:r w:rsidRPr="008819AF">
              <w:rPr>
                <w:rFonts w:eastAsia="Arial"/>
                <w:lang w:bidi="cs-CZ"/>
              </w:rPr>
              <w:lastRenderedPageBreak/>
              <w:t>N</w:t>
            </w:r>
          </w:p>
          <w:p w14:paraId="15132375" w14:textId="77777777" w:rsidR="007170C3" w:rsidRPr="008819AF" w:rsidRDefault="007170C3" w:rsidP="0021052F">
            <w:pPr>
              <w:ind w:left="215" w:hanging="215"/>
              <w:jc w:val="center"/>
              <w:rPr>
                <w:rFonts w:eastAsia="Arial"/>
                <w:lang w:bidi="cs-CZ"/>
              </w:rPr>
            </w:pPr>
          </w:p>
          <w:p w14:paraId="15132376" w14:textId="77777777" w:rsidR="007170C3" w:rsidRPr="008819AF" w:rsidRDefault="007170C3" w:rsidP="0021052F">
            <w:pPr>
              <w:ind w:left="215" w:hanging="215"/>
              <w:jc w:val="center"/>
              <w:rPr>
                <w:rFonts w:eastAsia="Arial"/>
                <w:lang w:bidi="cs-CZ"/>
              </w:rPr>
            </w:pPr>
          </w:p>
          <w:p w14:paraId="15132377" w14:textId="77777777" w:rsidR="007170C3" w:rsidRPr="008819AF" w:rsidRDefault="007170C3" w:rsidP="0021052F">
            <w:pPr>
              <w:ind w:left="215" w:hanging="215"/>
              <w:jc w:val="center"/>
              <w:rPr>
                <w:rFonts w:eastAsia="Arial"/>
                <w:lang w:bidi="cs-CZ"/>
              </w:rPr>
            </w:pPr>
          </w:p>
          <w:p w14:paraId="15132378" w14:textId="77777777" w:rsidR="006055B1" w:rsidRPr="008819AF" w:rsidRDefault="006055B1" w:rsidP="0021052F">
            <w:pPr>
              <w:ind w:left="215" w:hanging="215"/>
              <w:jc w:val="center"/>
              <w:rPr>
                <w:rFonts w:eastAsia="Arial"/>
                <w:lang w:bidi="cs-CZ"/>
              </w:rPr>
            </w:pPr>
          </w:p>
          <w:p w14:paraId="15132379" w14:textId="77777777" w:rsidR="006055B1" w:rsidRPr="008819AF" w:rsidRDefault="006055B1" w:rsidP="0021052F">
            <w:pPr>
              <w:ind w:left="215" w:hanging="215"/>
              <w:jc w:val="center"/>
              <w:rPr>
                <w:rFonts w:eastAsia="Arial"/>
                <w:lang w:bidi="cs-CZ"/>
              </w:rPr>
            </w:pPr>
          </w:p>
          <w:p w14:paraId="1513237A" w14:textId="77777777" w:rsidR="006055B1" w:rsidRPr="008819AF" w:rsidRDefault="006055B1" w:rsidP="0021052F">
            <w:pPr>
              <w:ind w:left="215" w:hanging="215"/>
              <w:jc w:val="center"/>
              <w:rPr>
                <w:rFonts w:eastAsia="Arial"/>
                <w:lang w:bidi="cs-CZ"/>
              </w:rPr>
            </w:pPr>
          </w:p>
          <w:p w14:paraId="1513237B" w14:textId="77777777" w:rsidR="006055B1" w:rsidRPr="008819AF" w:rsidRDefault="006055B1" w:rsidP="0021052F">
            <w:pPr>
              <w:ind w:left="215" w:hanging="215"/>
              <w:jc w:val="center"/>
              <w:rPr>
                <w:rFonts w:eastAsia="Arial"/>
                <w:lang w:bidi="cs-CZ"/>
              </w:rPr>
            </w:pPr>
          </w:p>
          <w:p w14:paraId="1513237C" w14:textId="77777777" w:rsidR="006055B1" w:rsidRPr="008819AF" w:rsidRDefault="006055B1" w:rsidP="0021052F">
            <w:pPr>
              <w:ind w:left="215" w:hanging="215"/>
              <w:jc w:val="center"/>
              <w:rPr>
                <w:rFonts w:eastAsia="Arial"/>
                <w:lang w:bidi="cs-CZ"/>
              </w:rPr>
            </w:pPr>
          </w:p>
          <w:p w14:paraId="1513237D" w14:textId="77777777" w:rsidR="006055B1" w:rsidRPr="008819AF" w:rsidRDefault="006055B1" w:rsidP="0021052F">
            <w:pPr>
              <w:ind w:left="215" w:hanging="215"/>
              <w:jc w:val="center"/>
              <w:rPr>
                <w:rFonts w:eastAsia="Arial"/>
                <w:lang w:bidi="cs-CZ"/>
              </w:rPr>
            </w:pPr>
          </w:p>
          <w:p w14:paraId="1513237E" w14:textId="77777777" w:rsidR="006055B1" w:rsidRPr="008819AF" w:rsidRDefault="006055B1" w:rsidP="0021052F">
            <w:pPr>
              <w:ind w:left="215" w:hanging="215"/>
              <w:jc w:val="center"/>
              <w:rPr>
                <w:rFonts w:eastAsia="Arial"/>
                <w:lang w:bidi="cs-CZ"/>
              </w:rPr>
            </w:pPr>
          </w:p>
          <w:p w14:paraId="1513237F" w14:textId="77777777" w:rsidR="006055B1" w:rsidRPr="008819AF" w:rsidRDefault="006055B1" w:rsidP="0021052F">
            <w:pPr>
              <w:ind w:left="215" w:hanging="215"/>
              <w:jc w:val="center"/>
              <w:rPr>
                <w:rFonts w:eastAsia="Arial"/>
                <w:lang w:bidi="cs-CZ"/>
              </w:rPr>
            </w:pPr>
          </w:p>
          <w:p w14:paraId="15132380" w14:textId="77777777" w:rsidR="006055B1" w:rsidRPr="008819AF" w:rsidRDefault="006055B1" w:rsidP="0021052F">
            <w:pPr>
              <w:ind w:left="215" w:hanging="215"/>
              <w:jc w:val="center"/>
              <w:rPr>
                <w:rFonts w:eastAsia="Arial"/>
                <w:lang w:bidi="cs-CZ"/>
              </w:rPr>
            </w:pPr>
          </w:p>
          <w:p w14:paraId="15132381" w14:textId="77777777" w:rsidR="006055B1" w:rsidRPr="008819AF" w:rsidRDefault="006055B1" w:rsidP="0021052F">
            <w:pPr>
              <w:ind w:left="215" w:hanging="215"/>
              <w:jc w:val="center"/>
              <w:rPr>
                <w:rFonts w:eastAsia="Arial"/>
                <w:lang w:bidi="cs-CZ"/>
              </w:rPr>
            </w:pPr>
          </w:p>
          <w:p w14:paraId="15132382" w14:textId="77777777" w:rsidR="000B58E3" w:rsidRPr="008819AF" w:rsidRDefault="000B58E3" w:rsidP="0021052F">
            <w:pPr>
              <w:ind w:left="215" w:hanging="215"/>
              <w:jc w:val="center"/>
              <w:rPr>
                <w:rFonts w:eastAsia="Arial"/>
                <w:lang w:bidi="cs-CZ"/>
              </w:rPr>
            </w:pPr>
          </w:p>
          <w:p w14:paraId="15132383" w14:textId="77777777" w:rsidR="007170C3" w:rsidRPr="008819AF" w:rsidRDefault="006F0418" w:rsidP="0021052F">
            <w:pPr>
              <w:ind w:left="215" w:hanging="215"/>
              <w:jc w:val="center"/>
              <w:rPr>
                <w:rFonts w:eastAsia="Arial"/>
                <w:lang w:bidi="cs-CZ"/>
              </w:rPr>
            </w:pPr>
            <w:r w:rsidRPr="008819AF">
              <w:rPr>
                <w:rFonts w:eastAsia="Arial"/>
                <w:lang w:bidi="cs-CZ"/>
              </w:rPr>
              <w:t>N</w:t>
            </w:r>
          </w:p>
          <w:p w14:paraId="15132384" w14:textId="77777777" w:rsidR="007170C3" w:rsidRPr="008819AF" w:rsidRDefault="007170C3" w:rsidP="0021052F">
            <w:pPr>
              <w:jc w:val="center"/>
              <w:rPr>
                <w:rFonts w:eastAsia="Arial"/>
                <w:lang w:bidi="cs-CZ"/>
              </w:rPr>
            </w:pPr>
          </w:p>
          <w:p w14:paraId="15132385" w14:textId="77777777" w:rsidR="007170C3" w:rsidRPr="008819AF" w:rsidRDefault="007170C3" w:rsidP="0021052F">
            <w:pPr>
              <w:jc w:val="center"/>
              <w:rPr>
                <w:rFonts w:eastAsia="Arial"/>
                <w:lang w:bidi="cs-CZ"/>
              </w:rPr>
            </w:pPr>
          </w:p>
          <w:p w14:paraId="15132386" w14:textId="77777777" w:rsidR="007170C3" w:rsidRPr="008819AF" w:rsidRDefault="007170C3" w:rsidP="0021052F">
            <w:pPr>
              <w:jc w:val="center"/>
              <w:rPr>
                <w:rFonts w:eastAsia="Arial"/>
                <w:lang w:bidi="cs-CZ"/>
              </w:rPr>
            </w:pPr>
          </w:p>
          <w:p w14:paraId="15132387" w14:textId="77777777" w:rsidR="007170C3" w:rsidRPr="008819AF" w:rsidRDefault="007170C3" w:rsidP="0021052F">
            <w:pPr>
              <w:jc w:val="center"/>
              <w:rPr>
                <w:rFonts w:eastAsia="Arial"/>
                <w:lang w:bidi="cs-CZ"/>
              </w:rPr>
            </w:pPr>
          </w:p>
          <w:p w14:paraId="15132388" w14:textId="77777777" w:rsidR="007170C3" w:rsidRPr="008819AF" w:rsidRDefault="007170C3" w:rsidP="0021052F">
            <w:pPr>
              <w:jc w:val="center"/>
              <w:rPr>
                <w:rFonts w:eastAsia="Arial"/>
                <w:lang w:bidi="cs-CZ"/>
              </w:rPr>
            </w:pPr>
          </w:p>
          <w:p w14:paraId="15132389" w14:textId="77777777" w:rsidR="007170C3" w:rsidRPr="008819AF" w:rsidRDefault="007170C3" w:rsidP="0021052F">
            <w:pPr>
              <w:jc w:val="center"/>
              <w:rPr>
                <w:rFonts w:eastAsia="Arial"/>
                <w:lang w:bidi="cs-CZ"/>
              </w:rPr>
            </w:pPr>
          </w:p>
          <w:p w14:paraId="1513238A" w14:textId="77777777" w:rsidR="007170C3" w:rsidRPr="008819AF" w:rsidRDefault="007170C3" w:rsidP="0021052F">
            <w:pPr>
              <w:jc w:val="center"/>
              <w:rPr>
                <w:rFonts w:eastAsia="Arial"/>
                <w:lang w:bidi="cs-CZ"/>
              </w:rPr>
            </w:pPr>
          </w:p>
          <w:p w14:paraId="1513238B" w14:textId="77777777" w:rsidR="000B58E3" w:rsidRPr="008819AF" w:rsidRDefault="000B58E3" w:rsidP="0021052F">
            <w:pPr>
              <w:jc w:val="center"/>
              <w:rPr>
                <w:rFonts w:eastAsia="Arial"/>
                <w:lang w:bidi="cs-CZ"/>
              </w:rPr>
            </w:pPr>
          </w:p>
          <w:p w14:paraId="1513238C" w14:textId="77777777" w:rsidR="000B58E3" w:rsidRPr="008819AF" w:rsidRDefault="000B58E3" w:rsidP="0021052F">
            <w:pPr>
              <w:jc w:val="center"/>
              <w:rPr>
                <w:rFonts w:eastAsia="Arial"/>
                <w:lang w:bidi="cs-CZ"/>
              </w:rPr>
            </w:pPr>
          </w:p>
          <w:p w14:paraId="1513238D" w14:textId="77777777" w:rsidR="007170C3" w:rsidRPr="008819AF" w:rsidRDefault="007170C3" w:rsidP="0021052F">
            <w:pPr>
              <w:jc w:val="center"/>
              <w:rPr>
                <w:rFonts w:eastAsia="Arial"/>
                <w:lang w:bidi="cs-CZ"/>
              </w:rPr>
            </w:pPr>
          </w:p>
          <w:p w14:paraId="1513238E" w14:textId="77777777" w:rsidR="007170C3" w:rsidRPr="008819AF" w:rsidRDefault="006F0418" w:rsidP="0021052F">
            <w:pPr>
              <w:jc w:val="center"/>
              <w:rPr>
                <w:rFonts w:eastAsia="Arial"/>
                <w:lang w:bidi="cs-CZ"/>
              </w:rPr>
            </w:pPr>
            <w:r w:rsidRPr="008819AF">
              <w:rPr>
                <w:rFonts w:eastAsia="Arial"/>
                <w:lang w:bidi="cs-CZ"/>
              </w:rPr>
              <w:t>N</w:t>
            </w:r>
          </w:p>
          <w:p w14:paraId="1513238F" w14:textId="77777777" w:rsidR="00391354" w:rsidRPr="008819AF" w:rsidRDefault="00391354" w:rsidP="0021052F">
            <w:pPr>
              <w:jc w:val="center"/>
              <w:rPr>
                <w:rFonts w:eastAsia="Arial"/>
                <w:lang w:bidi="cs-CZ"/>
              </w:rPr>
            </w:pPr>
          </w:p>
          <w:p w14:paraId="15132390" w14:textId="77777777" w:rsidR="00391354" w:rsidRPr="008819AF" w:rsidRDefault="00391354" w:rsidP="0021052F">
            <w:pPr>
              <w:jc w:val="center"/>
              <w:rPr>
                <w:rFonts w:eastAsia="Arial"/>
                <w:lang w:bidi="cs-CZ"/>
              </w:rPr>
            </w:pPr>
          </w:p>
          <w:p w14:paraId="15132391" w14:textId="77777777" w:rsidR="00391354" w:rsidRPr="008819AF" w:rsidRDefault="00391354" w:rsidP="0021052F">
            <w:pPr>
              <w:jc w:val="center"/>
              <w:rPr>
                <w:rFonts w:eastAsia="Arial"/>
                <w:lang w:bidi="cs-CZ"/>
              </w:rPr>
            </w:pPr>
          </w:p>
          <w:p w14:paraId="15132392" w14:textId="77777777" w:rsidR="00391354" w:rsidRPr="008819AF" w:rsidRDefault="00391354" w:rsidP="0021052F">
            <w:pPr>
              <w:jc w:val="center"/>
              <w:rPr>
                <w:rFonts w:eastAsia="Arial"/>
                <w:lang w:bidi="cs-CZ"/>
              </w:rPr>
            </w:pPr>
          </w:p>
          <w:p w14:paraId="15132393" w14:textId="77777777" w:rsidR="00391354" w:rsidRPr="008819AF" w:rsidRDefault="00391354" w:rsidP="0021052F">
            <w:pPr>
              <w:jc w:val="center"/>
              <w:rPr>
                <w:rFonts w:eastAsia="Arial"/>
                <w:lang w:bidi="cs-CZ"/>
              </w:rPr>
            </w:pPr>
            <w:r w:rsidRPr="008819AF">
              <w:rPr>
                <w:rFonts w:eastAsia="Arial"/>
                <w:lang w:bidi="cs-CZ"/>
              </w:rPr>
              <w:t>N</w:t>
            </w:r>
          </w:p>
          <w:p w14:paraId="15132394" w14:textId="77777777" w:rsidR="00391354" w:rsidRPr="008819AF" w:rsidRDefault="00391354" w:rsidP="00391354">
            <w:pP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395" w14:textId="77777777" w:rsidR="007170C3" w:rsidRPr="008819AF" w:rsidRDefault="006F0418" w:rsidP="0021052F">
            <w:pPr>
              <w:jc w:val="center"/>
              <w:rPr>
                <w:rFonts w:eastAsia="Arial"/>
                <w:lang w:bidi="cs-CZ"/>
              </w:rPr>
            </w:pPr>
            <w:r w:rsidRPr="008819AF">
              <w:rPr>
                <w:rFonts w:eastAsia="Arial"/>
                <w:lang w:bidi="cs-CZ"/>
              </w:rPr>
              <w:lastRenderedPageBreak/>
              <w:t>NV2</w:t>
            </w:r>
          </w:p>
          <w:p w14:paraId="15132396" w14:textId="77777777" w:rsidR="007170C3" w:rsidRPr="008819AF" w:rsidRDefault="007170C3" w:rsidP="0021052F">
            <w:pPr>
              <w:ind w:left="215" w:hanging="215"/>
              <w:jc w:val="center"/>
              <w:rPr>
                <w:rFonts w:eastAsia="Arial"/>
                <w:lang w:bidi="cs-CZ"/>
              </w:rPr>
            </w:pPr>
          </w:p>
          <w:p w14:paraId="15132397" w14:textId="77777777" w:rsidR="007170C3" w:rsidRPr="008819AF" w:rsidRDefault="007170C3" w:rsidP="0021052F">
            <w:pPr>
              <w:ind w:left="215" w:hanging="215"/>
              <w:jc w:val="center"/>
              <w:rPr>
                <w:rFonts w:eastAsia="Arial"/>
                <w:lang w:bidi="cs-CZ"/>
              </w:rPr>
            </w:pPr>
          </w:p>
          <w:p w14:paraId="15132398" w14:textId="77777777" w:rsidR="007170C3" w:rsidRPr="008819AF" w:rsidRDefault="007170C3" w:rsidP="0021052F">
            <w:pPr>
              <w:ind w:left="215" w:hanging="215"/>
              <w:jc w:val="center"/>
              <w:rPr>
                <w:rFonts w:eastAsia="Arial"/>
                <w:lang w:bidi="cs-CZ"/>
              </w:rPr>
            </w:pPr>
          </w:p>
          <w:p w14:paraId="15132399" w14:textId="77777777" w:rsidR="007170C3" w:rsidRPr="008819AF" w:rsidRDefault="007170C3" w:rsidP="0021052F">
            <w:pPr>
              <w:ind w:left="215" w:hanging="215"/>
              <w:jc w:val="center"/>
              <w:rPr>
                <w:rFonts w:eastAsia="Arial"/>
                <w:lang w:bidi="cs-CZ"/>
              </w:rPr>
            </w:pPr>
          </w:p>
          <w:p w14:paraId="1513239A" w14:textId="77777777" w:rsidR="006055B1" w:rsidRPr="008819AF" w:rsidRDefault="006055B1" w:rsidP="0021052F">
            <w:pPr>
              <w:ind w:left="215" w:hanging="215"/>
              <w:jc w:val="center"/>
              <w:rPr>
                <w:rFonts w:eastAsia="Arial"/>
                <w:lang w:bidi="cs-CZ"/>
              </w:rPr>
            </w:pPr>
          </w:p>
          <w:p w14:paraId="1513239B" w14:textId="77777777" w:rsidR="006055B1" w:rsidRPr="008819AF" w:rsidRDefault="006055B1" w:rsidP="0021052F">
            <w:pPr>
              <w:ind w:left="215" w:hanging="215"/>
              <w:jc w:val="center"/>
              <w:rPr>
                <w:rFonts w:eastAsia="Arial"/>
                <w:lang w:bidi="cs-CZ"/>
              </w:rPr>
            </w:pPr>
          </w:p>
          <w:p w14:paraId="1513239C" w14:textId="77777777" w:rsidR="006055B1" w:rsidRPr="008819AF" w:rsidRDefault="006055B1" w:rsidP="0021052F">
            <w:pPr>
              <w:ind w:left="215" w:hanging="215"/>
              <w:jc w:val="center"/>
              <w:rPr>
                <w:rFonts w:eastAsia="Arial"/>
                <w:lang w:bidi="cs-CZ"/>
              </w:rPr>
            </w:pPr>
          </w:p>
          <w:p w14:paraId="1513239D" w14:textId="77777777" w:rsidR="006055B1" w:rsidRPr="008819AF" w:rsidRDefault="006055B1" w:rsidP="0021052F">
            <w:pPr>
              <w:ind w:left="215" w:hanging="215"/>
              <w:jc w:val="center"/>
              <w:rPr>
                <w:rFonts w:eastAsia="Arial"/>
                <w:lang w:bidi="cs-CZ"/>
              </w:rPr>
            </w:pPr>
          </w:p>
          <w:p w14:paraId="1513239E" w14:textId="77777777" w:rsidR="006055B1" w:rsidRPr="008819AF" w:rsidRDefault="006055B1" w:rsidP="0021052F">
            <w:pPr>
              <w:ind w:left="215" w:hanging="215"/>
              <w:jc w:val="center"/>
              <w:rPr>
                <w:rFonts w:eastAsia="Arial"/>
                <w:lang w:bidi="cs-CZ"/>
              </w:rPr>
            </w:pPr>
          </w:p>
          <w:p w14:paraId="1513239F" w14:textId="77777777" w:rsidR="006055B1" w:rsidRPr="008819AF" w:rsidRDefault="006055B1" w:rsidP="0021052F">
            <w:pPr>
              <w:ind w:left="215" w:hanging="215"/>
              <w:jc w:val="center"/>
              <w:rPr>
                <w:rFonts w:eastAsia="Arial"/>
                <w:lang w:bidi="cs-CZ"/>
              </w:rPr>
            </w:pPr>
          </w:p>
          <w:p w14:paraId="151323A0" w14:textId="77777777" w:rsidR="006055B1" w:rsidRPr="008819AF" w:rsidRDefault="006055B1" w:rsidP="0021052F">
            <w:pPr>
              <w:ind w:left="215" w:hanging="215"/>
              <w:jc w:val="center"/>
              <w:rPr>
                <w:rFonts w:eastAsia="Arial"/>
                <w:lang w:bidi="cs-CZ"/>
              </w:rPr>
            </w:pPr>
          </w:p>
          <w:p w14:paraId="151323A1" w14:textId="77777777" w:rsidR="006055B1" w:rsidRPr="008819AF" w:rsidRDefault="006055B1" w:rsidP="0021052F">
            <w:pPr>
              <w:ind w:left="215" w:hanging="215"/>
              <w:jc w:val="center"/>
              <w:rPr>
                <w:rFonts w:eastAsia="Arial"/>
                <w:lang w:bidi="cs-CZ"/>
              </w:rPr>
            </w:pPr>
          </w:p>
          <w:p w14:paraId="151323A2" w14:textId="77777777" w:rsidR="006055B1" w:rsidRPr="008819AF" w:rsidRDefault="006055B1" w:rsidP="0021052F">
            <w:pPr>
              <w:ind w:left="215" w:hanging="215"/>
              <w:jc w:val="center"/>
              <w:rPr>
                <w:rFonts w:eastAsia="Arial"/>
                <w:lang w:bidi="cs-CZ"/>
              </w:rPr>
            </w:pPr>
          </w:p>
          <w:p w14:paraId="151323A3" w14:textId="77777777" w:rsidR="000B58E3" w:rsidRPr="008819AF" w:rsidRDefault="000B58E3" w:rsidP="0021052F">
            <w:pPr>
              <w:ind w:left="215" w:hanging="215"/>
              <w:jc w:val="center"/>
              <w:rPr>
                <w:rFonts w:eastAsia="Arial"/>
                <w:lang w:bidi="cs-CZ"/>
              </w:rPr>
            </w:pPr>
          </w:p>
          <w:p w14:paraId="151323A4" w14:textId="77777777" w:rsidR="006055B1" w:rsidRPr="008819AF" w:rsidRDefault="006055B1" w:rsidP="0021052F">
            <w:pPr>
              <w:ind w:left="215" w:hanging="215"/>
              <w:jc w:val="center"/>
              <w:rPr>
                <w:rFonts w:eastAsia="Arial"/>
                <w:lang w:bidi="cs-CZ"/>
              </w:rPr>
            </w:pPr>
            <w:r w:rsidRPr="008819AF">
              <w:rPr>
                <w:rFonts w:eastAsia="Arial"/>
                <w:lang w:bidi="cs-CZ"/>
              </w:rPr>
              <w:t>NV2</w:t>
            </w:r>
          </w:p>
          <w:p w14:paraId="151323A5" w14:textId="77777777" w:rsidR="006055B1" w:rsidRPr="008819AF" w:rsidRDefault="006055B1" w:rsidP="0021052F">
            <w:pPr>
              <w:ind w:left="215" w:hanging="215"/>
              <w:jc w:val="center"/>
              <w:rPr>
                <w:rFonts w:eastAsia="Arial"/>
                <w:lang w:bidi="cs-CZ"/>
              </w:rPr>
            </w:pPr>
          </w:p>
          <w:p w14:paraId="151323A6" w14:textId="77777777" w:rsidR="006055B1" w:rsidRPr="008819AF" w:rsidRDefault="006055B1" w:rsidP="0021052F">
            <w:pPr>
              <w:ind w:left="215" w:hanging="215"/>
              <w:jc w:val="center"/>
              <w:rPr>
                <w:rFonts w:eastAsia="Arial"/>
                <w:lang w:bidi="cs-CZ"/>
              </w:rPr>
            </w:pPr>
          </w:p>
          <w:p w14:paraId="151323A7" w14:textId="77777777" w:rsidR="006055B1" w:rsidRPr="008819AF" w:rsidRDefault="006055B1" w:rsidP="0021052F">
            <w:pPr>
              <w:ind w:left="215" w:hanging="215"/>
              <w:jc w:val="center"/>
              <w:rPr>
                <w:rFonts w:eastAsia="Arial"/>
                <w:lang w:bidi="cs-CZ"/>
              </w:rPr>
            </w:pPr>
          </w:p>
          <w:p w14:paraId="151323A8" w14:textId="77777777" w:rsidR="000B58E3" w:rsidRPr="008819AF" w:rsidRDefault="000B58E3" w:rsidP="0021052F">
            <w:pPr>
              <w:ind w:left="215" w:hanging="215"/>
              <w:jc w:val="center"/>
              <w:rPr>
                <w:rFonts w:eastAsia="Arial"/>
                <w:lang w:bidi="cs-CZ"/>
              </w:rPr>
            </w:pPr>
          </w:p>
          <w:p w14:paraId="151323A9" w14:textId="77777777" w:rsidR="000B58E3" w:rsidRPr="008819AF" w:rsidRDefault="000B58E3" w:rsidP="0021052F">
            <w:pPr>
              <w:ind w:left="215" w:hanging="215"/>
              <w:jc w:val="center"/>
              <w:rPr>
                <w:rFonts w:eastAsia="Arial"/>
                <w:lang w:bidi="cs-CZ"/>
              </w:rPr>
            </w:pPr>
          </w:p>
          <w:p w14:paraId="151323AA" w14:textId="77777777" w:rsidR="000B58E3" w:rsidRPr="008819AF" w:rsidRDefault="000B58E3" w:rsidP="0021052F">
            <w:pPr>
              <w:ind w:left="215" w:hanging="215"/>
              <w:jc w:val="center"/>
              <w:rPr>
                <w:rFonts w:eastAsia="Arial"/>
                <w:lang w:bidi="cs-CZ"/>
              </w:rPr>
            </w:pPr>
          </w:p>
          <w:p w14:paraId="151323AB" w14:textId="77777777" w:rsidR="000B58E3" w:rsidRPr="008819AF" w:rsidRDefault="000B58E3" w:rsidP="0021052F">
            <w:pPr>
              <w:ind w:left="215" w:hanging="215"/>
              <w:jc w:val="center"/>
              <w:rPr>
                <w:rFonts w:eastAsia="Arial"/>
                <w:lang w:bidi="cs-CZ"/>
              </w:rPr>
            </w:pPr>
          </w:p>
          <w:p w14:paraId="151323AC" w14:textId="77777777" w:rsidR="000B58E3" w:rsidRPr="008819AF" w:rsidRDefault="000B58E3" w:rsidP="0021052F">
            <w:pPr>
              <w:ind w:left="215" w:hanging="215"/>
              <w:jc w:val="center"/>
              <w:rPr>
                <w:rFonts w:eastAsia="Arial"/>
                <w:lang w:bidi="cs-CZ"/>
              </w:rPr>
            </w:pPr>
          </w:p>
          <w:p w14:paraId="151323AD" w14:textId="77777777" w:rsidR="000B58E3" w:rsidRPr="008819AF" w:rsidRDefault="000B58E3" w:rsidP="0021052F">
            <w:pPr>
              <w:ind w:left="215" w:hanging="215"/>
              <w:jc w:val="center"/>
              <w:rPr>
                <w:rFonts w:eastAsia="Arial"/>
                <w:lang w:bidi="cs-CZ"/>
              </w:rPr>
            </w:pPr>
          </w:p>
          <w:p w14:paraId="151323AE" w14:textId="77777777" w:rsidR="000B58E3" w:rsidRPr="008819AF" w:rsidRDefault="000B58E3" w:rsidP="0021052F">
            <w:pPr>
              <w:ind w:left="215" w:hanging="215"/>
              <w:jc w:val="center"/>
              <w:rPr>
                <w:rFonts w:eastAsia="Arial"/>
                <w:lang w:bidi="cs-CZ"/>
              </w:rPr>
            </w:pPr>
          </w:p>
          <w:p w14:paraId="151323AF" w14:textId="77777777" w:rsidR="007170C3" w:rsidRPr="008819AF" w:rsidRDefault="00A32C9B" w:rsidP="0021052F">
            <w:pPr>
              <w:jc w:val="center"/>
              <w:rPr>
                <w:rFonts w:eastAsia="Arial"/>
                <w:lang w:bidi="cs-CZ"/>
              </w:rPr>
            </w:pPr>
            <w:r w:rsidRPr="008819AF">
              <w:rPr>
                <w:rFonts w:eastAsia="Arial"/>
                <w:lang w:bidi="cs-CZ"/>
              </w:rPr>
              <w:t>N</w:t>
            </w:r>
            <w:r w:rsidR="000B58E3" w:rsidRPr="008819AF">
              <w:rPr>
                <w:rFonts w:eastAsia="Arial"/>
                <w:lang w:bidi="cs-CZ"/>
              </w:rPr>
              <w:t>V</w:t>
            </w:r>
          </w:p>
          <w:p w14:paraId="151323B0" w14:textId="77777777" w:rsidR="007170C3" w:rsidRPr="008819AF" w:rsidRDefault="007170C3" w:rsidP="0021052F">
            <w:pPr>
              <w:jc w:val="center"/>
              <w:rPr>
                <w:rFonts w:eastAsia="Arial"/>
                <w:lang w:bidi="cs-CZ"/>
              </w:rPr>
            </w:pPr>
          </w:p>
          <w:p w14:paraId="151323B1" w14:textId="77777777" w:rsidR="007170C3" w:rsidRPr="008819AF" w:rsidRDefault="007170C3" w:rsidP="0021052F">
            <w:pPr>
              <w:jc w:val="center"/>
              <w:rPr>
                <w:rFonts w:eastAsia="Arial"/>
                <w:lang w:bidi="cs-CZ"/>
              </w:rPr>
            </w:pPr>
          </w:p>
          <w:p w14:paraId="151323B2" w14:textId="77777777" w:rsidR="007170C3" w:rsidRPr="008819AF" w:rsidRDefault="007170C3" w:rsidP="0021052F">
            <w:pPr>
              <w:jc w:val="center"/>
              <w:rPr>
                <w:rFonts w:eastAsia="Arial"/>
                <w:lang w:bidi="cs-CZ"/>
              </w:rPr>
            </w:pPr>
          </w:p>
          <w:p w14:paraId="151323B3" w14:textId="77777777" w:rsidR="007170C3" w:rsidRPr="008819AF" w:rsidRDefault="007170C3" w:rsidP="0021052F">
            <w:pPr>
              <w:jc w:val="center"/>
              <w:rPr>
                <w:rFonts w:eastAsia="Arial"/>
                <w:lang w:bidi="cs-CZ"/>
              </w:rPr>
            </w:pPr>
          </w:p>
          <w:p w14:paraId="151323B4" w14:textId="77777777" w:rsidR="007170C3" w:rsidRPr="008819AF" w:rsidRDefault="00A32C9B" w:rsidP="0021052F">
            <w:pPr>
              <w:jc w:val="center"/>
              <w:rPr>
                <w:rFonts w:eastAsia="Arial"/>
                <w:lang w:bidi="cs-CZ"/>
              </w:rPr>
            </w:pPr>
            <w:r w:rsidRPr="008819AF">
              <w:rPr>
                <w:rFonts w:eastAsia="Arial"/>
                <w:lang w:bidi="cs-CZ"/>
              </w:rPr>
              <w:t>NZ</w:t>
            </w:r>
          </w:p>
          <w:p w14:paraId="151323B5"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3B6" w14:textId="77777777" w:rsidR="007170C3" w:rsidRPr="008819AF" w:rsidRDefault="006055B1" w:rsidP="0021052F">
            <w:pPr>
              <w:pStyle w:val="BodyText21"/>
              <w:spacing w:before="0" w:line="240" w:lineRule="auto"/>
              <w:jc w:val="center"/>
              <w:rPr>
                <w:rFonts w:ascii="Times New Roman" w:hAnsi="Times New Roman" w:cs="Times New Roman"/>
              </w:rPr>
            </w:pPr>
            <w:r w:rsidRPr="008819AF">
              <w:rPr>
                <w:rFonts w:ascii="Times New Roman" w:hAnsi="Times New Roman" w:cs="Times New Roman"/>
              </w:rPr>
              <w:lastRenderedPageBreak/>
              <w:t>§21</w:t>
            </w:r>
          </w:p>
          <w:p w14:paraId="151323B7" w14:textId="77777777" w:rsidR="006055B1" w:rsidRPr="008819AF" w:rsidRDefault="006055B1" w:rsidP="0021052F">
            <w:pPr>
              <w:pStyle w:val="BodyText21"/>
              <w:spacing w:before="0" w:line="240" w:lineRule="auto"/>
              <w:jc w:val="center"/>
              <w:rPr>
                <w:rFonts w:ascii="Times New Roman" w:hAnsi="Times New Roman" w:cs="Times New Roman"/>
              </w:rPr>
            </w:pPr>
            <w:r w:rsidRPr="008819AF">
              <w:rPr>
                <w:rFonts w:ascii="Times New Roman" w:hAnsi="Times New Roman" w:cs="Times New Roman"/>
              </w:rPr>
              <w:t>O1</w:t>
            </w:r>
          </w:p>
          <w:p w14:paraId="151323B8"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3B9"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3BA"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3BB" w14:textId="77777777" w:rsidR="007170C3" w:rsidRPr="008819AF" w:rsidRDefault="007170C3" w:rsidP="0021052F">
            <w:pPr>
              <w:pStyle w:val="Textpsmene"/>
              <w:ind w:left="0" w:firstLine="0"/>
              <w:jc w:val="center"/>
              <w:rPr>
                <w:rFonts w:ascii="Times New Roman" w:hAnsi="Times New Roman" w:cs="Times New Roman"/>
                <w:sz w:val="20"/>
                <w:szCs w:val="20"/>
              </w:rPr>
            </w:pPr>
          </w:p>
          <w:p w14:paraId="151323BC" w14:textId="77777777" w:rsidR="006055B1" w:rsidRPr="008819AF" w:rsidRDefault="006055B1" w:rsidP="0021052F">
            <w:pPr>
              <w:pStyle w:val="Textpsmene"/>
              <w:ind w:left="0" w:firstLine="0"/>
              <w:jc w:val="center"/>
              <w:rPr>
                <w:rFonts w:ascii="Times New Roman" w:hAnsi="Times New Roman" w:cs="Times New Roman"/>
                <w:sz w:val="20"/>
                <w:szCs w:val="20"/>
              </w:rPr>
            </w:pPr>
          </w:p>
          <w:p w14:paraId="151323BD" w14:textId="77777777" w:rsidR="006055B1" w:rsidRPr="008819AF" w:rsidRDefault="006055B1" w:rsidP="0021052F">
            <w:pPr>
              <w:pStyle w:val="Textpsmene"/>
              <w:ind w:left="0" w:firstLine="0"/>
              <w:jc w:val="center"/>
              <w:rPr>
                <w:rFonts w:ascii="Times New Roman" w:hAnsi="Times New Roman" w:cs="Times New Roman"/>
                <w:sz w:val="20"/>
                <w:szCs w:val="20"/>
              </w:rPr>
            </w:pPr>
          </w:p>
          <w:p w14:paraId="151323BE" w14:textId="77777777" w:rsidR="006055B1" w:rsidRPr="008819AF" w:rsidRDefault="006055B1" w:rsidP="0021052F">
            <w:pPr>
              <w:pStyle w:val="Textpsmene"/>
              <w:ind w:left="0" w:firstLine="0"/>
              <w:jc w:val="center"/>
              <w:rPr>
                <w:rFonts w:ascii="Times New Roman" w:hAnsi="Times New Roman" w:cs="Times New Roman"/>
                <w:sz w:val="20"/>
                <w:szCs w:val="20"/>
              </w:rPr>
            </w:pPr>
          </w:p>
          <w:p w14:paraId="151323BF" w14:textId="77777777" w:rsidR="006055B1" w:rsidRPr="008819AF" w:rsidRDefault="006055B1" w:rsidP="0021052F">
            <w:pPr>
              <w:pStyle w:val="Textpsmene"/>
              <w:ind w:left="0" w:firstLine="0"/>
              <w:jc w:val="center"/>
              <w:rPr>
                <w:rFonts w:ascii="Times New Roman" w:hAnsi="Times New Roman" w:cs="Times New Roman"/>
                <w:sz w:val="20"/>
                <w:szCs w:val="20"/>
              </w:rPr>
            </w:pPr>
          </w:p>
          <w:p w14:paraId="151323C0" w14:textId="77777777" w:rsidR="006055B1" w:rsidRPr="008819AF" w:rsidRDefault="006055B1" w:rsidP="0021052F">
            <w:pPr>
              <w:pStyle w:val="Textpsmene"/>
              <w:ind w:left="0" w:firstLine="0"/>
              <w:jc w:val="center"/>
              <w:rPr>
                <w:rFonts w:ascii="Times New Roman" w:hAnsi="Times New Roman" w:cs="Times New Roman"/>
                <w:sz w:val="20"/>
                <w:szCs w:val="20"/>
              </w:rPr>
            </w:pPr>
          </w:p>
          <w:p w14:paraId="151323C1" w14:textId="77777777" w:rsidR="006055B1" w:rsidRPr="008819AF" w:rsidRDefault="006055B1" w:rsidP="0021052F">
            <w:pPr>
              <w:pStyle w:val="Textpsmene"/>
              <w:ind w:left="0" w:firstLine="0"/>
              <w:jc w:val="center"/>
              <w:rPr>
                <w:rFonts w:ascii="Times New Roman" w:hAnsi="Times New Roman" w:cs="Times New Roman"/>
                <w:sz w:val="20"/>
                <w:szCs w:val="20"/>
              </w:rPr>
            </w:pPr>
          </w:p>
          <w:p w14:paraId="151323C2" w14:textId="77777777" w:rsidR="006055B1" w:rsidRPr="008819AF" w:rsidRDefault="006055B1" w:rsidP="0021052F">
            <w:pPr>
              <w:pStyle w:val="Textpsmene"/>
              <w:ind w:left="0" w:firstLine="0"/>
              <w:jc w:val="center"/>
              <w:rPr>
                <w:rFonts w:ascii="Times New Roman" w:hAnsi="Times New Roman" w:cs="Times New Roman"/>
                <w:sz w:val="20"/>
                <w:szCs w:val="20"/>
              </w:rPr>
            </w:pPr>
          </w:p>
          <w:p w14:paraId="151323C3" w14:textId="77777777" w:rsidR="000B58E3" w:rsidRPr="008819AF" w:rsidRDefault="000B58E3" w:rsidP="0021052F">
            <w:pPr>
              <w:pStyle w:val="Textpsmene"/>
              <w:ind w:left="0" w:firstLine="0"/>
              <w:jc w:val="center"/>
              <w:rPr>
                <w:rFonts w:ascii="Times New Roman" w:hAnsi="Times New Roman" w:cs="Times New Roman"/>
                <w:sz w:val="20"/>
                <w:szCs w:val="20"/>
              </w:rPr>
            </w:pPr>
          </w:p>
          <w:p w14:paraId="151323C4" w14:textId="77777777" w:rsidR="000B58E3" w:rsidRPr="008819AF" w:rsidRDefault="000B58E3" w:rsidP="0021052F">
            <w:pPr>
              <w:pStyle w:val="Textpsmene"/>
              <w:ind w:left="0" w:firstLine="0"/>
              <w:jc w:val="center"/>
              <w:rPr>
                <w:rFonts w:ascii="Times New Roman" w:hAnsi="Times New Roman" w:cs="Times New Roman"/>
                <w:sz w:val="20"/>
                <w:szCs w:val="20"/>
              </w:rPr>
            </w:pPr>
          </w:p>
          <w:p w14:paraId="151323C5" w14:textId="77777777" w:rsidR="006055B1" w:rsidRPr="008819AF" w:rsidRDefault="006055B1" w:rsidP="0021052F">
            <w:pPr>
              <w:pStyle w:val="Textpsmene"/>
              <w:ind w:left="0" w:firstLine="0"/>
              <w:jc w:val="center"/>
              <w:rPr>
                <w:rFonts w:ascii="Times New Roman" w:hAnsi="Times New Roman" w:cs="Times New Roman"/>
                <w:sz w:val="20"/>
                <w:szCs w:val="20"/>
              </w:rPr>
            </w:pPr>
            <w:r w:rsidRPr="008819AF">
              <w:rPr>
                <w:rFonts w:ascii="Times New Roman" w:hAnsi="Times New Roman" w:cs="Times New Roman"/>
                <w:sz w:val="20"/>
                <w:szCs w:val="20"/>
              </w:rPr>
              <w:t>§21</w:t>
            </w:r>
          </w:p>
          <w:p w14:paraId="151323C6" w14:textId="77777777" w:rsidR="006055B1" w:rsidRPr="008819AF" w:rsidRDefault="006055B1" w:rsidP="0021052F">
            <w:pPr>
              <w:pStyle w:val="Textpsmene"/>
              <w:ind w:left="0" w:firstLine="0"/>
              <w:jc w:val="center"/>
              <w:rPr>
                <w:rFonts w:ascii="Times New Roman" w:hAnsi="Times New Roman" w:cs="Times New Roman"/>
                <w:sz w:val="20"/>
                <w:szCs w:val="20"/>
              </w:rPr>
            </w:pPr>
            <w:r w:rsidRPr="008819AF">
              <w:rPr>
                <w:rFonts w:ascii="Times New Roman" w:hAnsi="Times New Roman" w:cs="Times New Roman"/>
                <w:sz w:val="20"/>
                <w:szCs w:val="20"/>
              </w:rPr>
              <w:t>O</w:t>
            </w:r>
            <w:r w:rsidR="000B58E3" w:rsidRPr="008819AF">
              <w:rPr>
                <w:rFonts w:ascii="Times New Roman" w:hAnsi="Times New Roman" w:cs="Times New Roman"/>
                <w:sz w:val="20"/>
                <w:szCs w:val="20"/>
              </w:rPr>
              <w:t>3</w:t>
            </w:r>
          </w:p>
          <w:p w14:paraId="151323C7" w14:textId="77777777" w:rsidR="006055B1" w:rsidRPr="008819AF" w:rsidRDefault="006055B1" w:rsidP="0021052F">
            <w:pPr>
              <w:pStyle w:val="Textpsmene"/>
              <w:ind w:left="0" w:firstLine="0"/>
              <w:jc w:val="center"/>
              <w:rPr>
                <w:rFonts w:ascii="Times New Roman" w:hAnsi="Times New Roman" w:cs="Times New Roman"/>
                <w:sz w:val="20"/>
                <w:szCs w:val="20"/>
              </w:rPr>
            </w:pPr>
          </w:p>
          <w:p w14:paraId="151323C8" w14:textId="77777777" w:rsidR="000B58E3" w:rsidRPr="008819AF" w:rsidRDefault="000B58E3" w:rsidP="0021052F">
            <w:pPr>
              <w:pStyle w:val="Textpsmene"/>
              <w:ind w:left="0" w:firstLine="0"/>
              <w:jc w:val="center"/>
              <w:rPr>
                <w:rFonts w:ascii="Times New Roman" w:hAnsi="Times New Roman" w:cs="Times New Roman"/>
                <w:sz w:val="20"/>
                <w:szCs w:val="20"/>
              </w:rPr>
            </w:pPr>
          </w:p>
          <w:p w14:paraId="151323C9" w14:textId="77777777" w:rsidR="000B58E3" w:rsidRPr="008819AF" w:rsidRDefault="000B58E3" w:rsidP="0021052F">
            <w:pPr>
              <w:pStyle w:val="Textpsmene"/>
              <w:ind w:left="0" w:firstLine="0"/>
              <w:jc w:val="center"/>
              <w:rPr>
                <w:rFonts w:ascii="Times New Roman" w:hAnsi="Times New Roman" w:cs="Times New Roman"/>
                <w:sz w:val="20"/>
                <w:szCs w:val="20"/>
              </w:rPr>
            </w:pPr>
          </w:p>
          <w:p w14:paraId="151323CA" w14:textId="77777777" w:rsidR="000B58E3" w:rsidRPr="008819AF" w:rsidRDefault="000B58E3" w:rsidP="0021052F">
            <w:pPr>
              <w:pStyle w:val="Textpsmene"/>
              <w:ind w:left="0" w:firstLine="0"/>
              <w:jc w:val="center"/>
              <w:rPr>
                <w:rFonts w:ascii="Times New Roman" w:hAnsi="Times New Roman" w:cs="Times New Roman"/>
                <w:sz w:val="20"/>
                <w:szCs w:val="20"/>
              </w:rPr>
            </w:pPr>
          </w:p>
          <w:p w14:paraId="151323CB" w14:textId="77777777" w:rsidR="000B58E3" w:rsidRPr="008819AF" w:rsidRDefault="000B58E3" w:rsidP="0021052F">
            <w:pPr>
              <w:pStyle w:val="Textpsmene"/>
              <w:ind w:left="0" w:firstLine="0"/>
              <w:jc w:val="center"/>
              <w:rPr>
                <w:rFonts w:ascii="Times New Roman" w:hAnsi="Times New Roman" w:cs="Times New Roman"/>
                <w:sz w:val="20"/>
                <w:szCs w:val="20"/>
              </w:rPr>
            </w:pPr>
          </w:p>
          <w:p w14:paraId="151323CC" w14:textId="77777777" w:rsidR="000B58E3" w:rsidRPr="008819AF" w:rsidRDefault="000B58E3" w:rsidP="0021052F">
            <w:pPr>
              <w:pStyle w:val="Textpsmene"/>
              <w:ind w:left="0" w:firstLine="0"/>
              <w:jc w:val="center"/>
              <w:rPr>
                <w:rFonts w:ascii="Times New Roman" w:hAnsi="Times New Roman" w:cs="Times New Roman"/>
                <w:sz w:val="20"/>
                <w:szCs w:val="20"/>
              </w:rPr>
            </w:pPr>
          </w:p>
          <w:p w14:paraId="151323CD" w14:textId="77777777" w:rsidR="000B58E3" w:rsidRPr="008819AF" w:rsidRDefault="000B58E3" w:rsidP="0021052F">
            <w:pPr>
              <w:pStyle w:val="Textpsmene"/>
              <w:ind w:left="0" w:firstLine="0"/>
              <w:jc w:val="center"/>
              <w:rPr>
                <w:rFonts w:ascii="Times New Roman" w:hAnsi="Times New Roman" w:cs="Times New Roman"/>
                <w:sz w:val="20"/>
                <w:szCs w:val="20"/>
              </w:rPr>
            </w:pPr>
          </w:p>
          <w:p w14:paraId="151323CE" w14:textId="77777777" w:rsidR="000B58E3" w:rsidRPr="008819AF" w:rsidRDefault="000B58E3" w:rsidP="0021052F">
            <w:pPr>
              <w:pStyle w:val="Textpsmene"/>
              <w:ind w:left="0" w:firstLine="0"/>
              <w:jc w:val="center"/>
              <w:rPr>
                <w:rFonts w:ascii="Times New Roman" w:hAnsi="Times New Roman" w:cs="Times New Roman"/>
                <w:sz w:val="20"/>
                <w:szCs w:val="20"/>
              </w:rPr>
            </w:pPr>
          </w:p>
          <w:p w14:paraId="151323CF" w14:textId="77777777" w:rsidR="000B58E3" w:rsidRPr="008819AF" w:rsidRDefault="000B58E3" w:rsidP="0021052F">
            <w:pPr>
              <w:pStyle w:val="Textpsmene"/>
              <w:ind w:left="0" w:firstLine="0"/>
              <w:jc w:val="center"/>
              <w:rPr>
                <w:rFonts w:ascii="Times New Roman" w:hAnsi="Times New Roman" w:cs="Times New Roman"/>
                <w:sz w:val="20"/>
                <w:szCs w:val="20"/>
              </w:rPr>
            </w:pPr>
          </w:p>
          <w:p w14:paraId="151323D0" w14:textId="77777777" w:rsidR="007170C3" w:rsidRPr="008819AF" w:rsidRDefault="006F0418" w:rsidP="0021052F">
            <w:pPr>
              <w:ind w:left="215" w:hanging="215"/>
              <w:jc w:val="center"/>
              <w:rPr>
                <w:rFonts w:eastAsia="a*i*l"/>
              </w:rPr>
            </w:pPr>
            <w:r w:rsidRPr="008819AF">
              <w:rPr>
                <w:rFonts w:eastAsia="a*i*l"/>
              </w:rPr>
              <w:t>§ 2</w:t>
            </w:r>
            <w:r w:rsidR="000B58E3" w:rsidRPr="008819AF">
              <w:rPr>
                <w:rFonts w:eastAsia="a*i*l"/>
              </w:rPr>
              <w:t>1</w:t>
            </w:r>
          </w:p>
          <w:p w14:paraId="151323D1" w14:textId="77777777" w:rsidR="007170C3" w:rsidRPr="008819AF" w:rsidRDefault="006F0418" w:rsidP="0021052F">
            <w:pPr>
              <w:ind w:left="215" w:hanging="215"/>
              <w:jc w:val="center"/>
              <w:rPr>
                <w:rFonts w:eastAsia="a*i*l"/>
              </w:rPr>
            </w:pPr>
            <w:r w:rsidRPr="008819AF">
              <w:rPr>
                <w:rFonts w:eastAsia="a*i*l"/>
              </w:rPr>
              <w:t xml:space="preserve">O </w:t>
            </w:r>
            <w:r w:rsidR="000B58E3" w:rsidRPr="008819AF">
              <w:rPr>
                <w:rFonts w:eastAsia="a*i*l"/>
              </w:rPr>
              <w:t>4</w:t>
            </w:r>
          </w:p>
          <w:p w14:paraId="151323D2" w14:textId="77777777" w:rsidR="007170C3" w:rsidRPr="008819AF" w:rsidRDefault="007170C3" w:rsidP="0021052F">
            <w:pPr>
              <w:ind w:left="215" w:hanging="215"/>
              <w:jc w:val="center"/>
              <w:rPr>
                <w:rFonts w:eastAsia="a*i*l"/>
              </w:rPr>
            </w:pPr>
          </w:p>
          <w:p w14:paraId="151323D3" w14:textId="77777777" w:rsidR="007170C3" w:rsidRPr="008819AF" w:rsidRDefault="007170C3" w:rsidP="0021052F">
            <w:pPr>
              <w:ind w:left="215" w:hanging="215"/>
              <w:jc w:val="center"/>
              <w:rPr>
                <w:rFonts w:eastAsia="a*i*l"/>
              </w:rPr>
            </w:pPr>
          </w:p>
          <w:p w14:paraId="151323D4" w14:textId="77777777" w:rsidR="007170C3" w:rsidRPr="008819AF" w:rsidRDefault="007170C3" w:rsidP="0021052F">
            <w:pPr>
              <w:ind w:left="215" w:hanging="215"/>
              <w:jc w:val="center"/>
              <w:rPr>
                <w:rFonts w:eastAsia="a*i*l"/>
              </w:rPr>
            </w:pPr>
          </w:p>
          <w:p w14:paraId="151323D5" w14:textId="77777777" w:rsidR="007170C3" w:rsidRPr="008819AF" w:rsidRDefault="006F0418" w:rsidP="0021052F">
            <w:pPr>
              <w:ind w:left="215" w:hanging="215"/>
              <w:jc w:val="center"/>
              <w:rPr>
                <w:rFonts w:eastAsia="a*i*l"/>
              </w:rPr>
            </w:pPr>
            <w:r w:rsidRPr="008819AF">
              <w:rPr>
                <w:rFonts w:eastAsia="a*i*l"/>
              </w:rPr>
              <w:t>§ 20</w:t>
            </w:r>
          </w:p>
          <w:p w14:paraId="151323D6" w14:textId="77777777" w:rsidR="007170C3" w:rsidRPr="008819AF" w:rsidRDefault="006F0418" w:rsidP="0021052F">
            <w:pPr>
              <w:ind w:left="215" w:hanging="215"/>
              <w:jc w:val="center"/>
              <w:rPr>
                <w:rFonts w:eastAsia="a*i*l"/>
              </w:rPr>
            </w:pPr>
            <w:r w:rsidRPr="008819AF">
              <w:rPr>
                <w:rFonts w:eastAsia="a*i*l"/>
              </w:rPr>
              <w:t>O 8</w:t>
            </w:r>
          </w:p>
          <w:p w14:paraId="151323D7" w14:textId="77777777" w:rsidR="007170C3" w:rsidRPr="008819AF" w:rsidRDefault="007170C3" w:rsidP="00391354">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3D8" w14:textId="77777777" w:rsidR="006055B1" w:rsidRPr="008819AF" w:rsidRDefault="006055B1" w:rsidP="006055B1">
            <w:pPr>
              <w:pStyle w:val="Hlavika"/>
              <w:ind w:left="72" w:hanging="1"/>
              <w:rPr>
                <w:rFonts w:ascii="Times New Roman" w:hAnsi="Times New Roman" w:cs="Times New Roman"/>
              </w:rPr>
            </w:pPr>
            <w:r w:rsidRPr="008819AF">
              <w:rPr>
                <w:rFonts w:ascii="Times New Roman" w:hAnsi="Times New Roman" w:cs="Times New Roman"/>
              </w:rPr>
              <w:lastRenderedPageBreak/>
              <w:t>(1) Špecifické požiadavky pre spaľovne odpadov definované v § 20 ods. 7 zákona a zariadenia na spoluspaľovanie odpadov definované v 20 ods. 8 zákona ustanovené v tejto časti sa uplatňujú na zariadenia, ktoré spaľujú alebo spoluspaľujú tuhý alebo kvapalný odpad, vymedzené ako technologický celok so všetkými zariadeniami vrátane všetkých spaľovacích liniek, zariadení na príjem odpadov a skladovanie odpadov, súvisiacich zariadení na predúpravu odpadov, systémov na prísun odpadov, palív a vzduchu, kotlov, zariadení na úpravu a skladovanie zvyškov po spaľovaní, zariadení na čistenie odpadových plynov a odpadových vôd, komínov, zariadení a systémov na riadenie spaľovacieho procesu, alebo spoluspaľovacieho procesu a na zaznamenávanie a monitorovanie podmienok spaľovania, ktoré sú prevádzkové v rámci funkčného celku a priestorového celku.</w:t>
            </w:r>
          </w:p>
          <w:p w14:paraId="151323D9" w14:textId="77777777" w:rsidR="000B58E3" w:rsidRPr="008819AF" w:rsidRDefault="000B58E3" w:rsidP="006055B1">
            <w:pPr>
              <w:pStyle w:val="Hlavika"/>
              <w:ind w:left="72" w:hanging="1"/>
              <w:rPr>
                <w:rFonts w:ascii="Times New Roman" w:hAnsi="Times New Roman" w:cs="Times New Roman"/>
              </w:rPr>
            </w:pPr>
          </w:p>
          <w:p w14:paraId="151323DA" w14:textId="77777777" w:rsidR="000B58E3" w:rsidRPr="008819AF" w:rsidRDefault="000B58E3" w:rsidP="000B58E3">
            <w:pPr>
              <w:pStyle w:val="Hlavika"/>
              <w:ind w:left="72" w:hanging="1"/>
              <w:rPr>
                <w:rFonts w:ascii="Times New Roman" w:hAnsi="Times New Roman" w:cs="Times New Roman"/>
              </w:rPr>
            </w:pPr>
            <w:r w:rsidRPr="008819AF">
              <w:rPr>
                <w:rFonts w:ascii="Times New Roman" w:hAnsi="Times New Roman" w:cs="Times New Roman"/>
              </w:rPr>
              <w:t xml:space="preserve">(3) Špecifické požiadavky tejto časti sa neuplatňujú na zariadenia na splyňovanie a pyrolýzu odpadov, ak plyny získané takýmto tepelným spracovaním odpadu sú vyčistené do takej miery, že pred spaľovaním už nie sú odpadom a zodpovedajú požiadavkám na </w:t>
            </w:r>
            <w:r w:rsidRPr="008819AF">
              <w:rPr>
                <w:rFonts w:ascii="Times New Roman" w:hAnsi="Times New Roman" w:cs="Times New Roman"/>
              </w:rPr>
              <w:lastRenderedPageBreak/>
              <w:t>kvalitu palív podľa § 36 ods. 1 písm. a) a b)  zákona, a pri spaľovaní nemôžu spôsobovať vyššie a iné emisie, ako sú ustanovené emisné limity a technické požiadavky pre spaľovanie zemného plynu.</w:t>
            </w:r>
          </w:p>
          <w:p w14:paraId="151323DB" w14:textId="77777777" w:rsidR="006055B1" w:rsidRPr="008819AF" w:rsidRDefault="006055B1" w:rsidP="0021052F">
            <w:pPr>
              <w:pStyle w:val="Hlavika"/>
              <w:ind w:left="72" w:hanging="1"/>
              <w:rPr>
                <w:rFonts w:ascii="Times New Roman" w:hAnsi="Times New Roman" w:cs="Times New Roman"/>
              </w:rPr>
            </w:pPr>
          </w:p>
          <w:p w14:paraId="151323DC" w14:textId="77777777" w:rsidR="007170C3" w:rsidRPr="008819AF" w:rsidRDefault="007170C3" w:rsidP="0021052F">
            <w:pPr>
              <w:pStyle w:val="Zkladntext0"/>
              <w:ind w:left="72" w:firstLine="0"/>
              <w:rPr>
                <w:rFonts w:ascii="Times New Roman" w:hAnsi="Times New Roman" w:cs="Times New Roman"/>
                <w:b w:val="0"/>
                <w:bCs w:val="0"/>
                <w:sz w:val="20"/>
                <w:szCs w:val="20"/>
              </w:rPr>
            </w:pPr>
          </w:p>
          <w:p w14:paraId="151323DD" w14:textId="77777777" w:rsidR="007170C3" w:rsidRPr="008819AF" w:rsidRDefault="007170C3" w:rsidP="0021052F">
            <w:pPr>
              <w:pStyle w:val="Textpsmene"/>
              <w:tabs>
                <w:tab w:val="clear" w:pos="360"/>
                <w:tab w:val="clear" w:pos="643"/>
                <w:tab w:val="left" w:pos="644"/>
              </w:tabs>
              <w:ind w:left="72" w:firstLine="0"/>
              <w:jc w:val="left"/>
              <w:rPr>
                <w:rFonts w:ascii="Times New Roman" w:hAnsi="Times New Roman" w:cs="Times New Roman"/>
                <w:sz w:val="20"/>
                <w:szCs w:val="20"/>
              </w:rPr>
            </w:pPr>
          </w:p>
          <w:p w14:paraId="151323DE" w14:textId="77777777" w:rsidR="00391354" w:rsidRPr="008819AF" w:rsidRDefault="00391354" w:rsidP="00391354">
            <w:pPr>
              <w:pStyle w:val="Hlavika"/>
              <w:ind w:left="72" w:hanging="1"/>
              <w:rPr>
                <w:rFonts w:ascii="Times New Roman" w:hAnsi="Times New Roman" w:cs="Times New Roman"/>
              </w:rPr>
            </w:pPr>
            <w:r w:rsidRPr="008819AF">
              <w:rPr>
                <w:rFonts w:ascii="Times New Roman" w:hAnsi="Times New Roman" w:cs="Times New Roman"/>
              </w:rPr>
              <w:t>(4) Ak sa pri tepelnom spracovaní odpadu používajú pyrolytické, splyňovacie alebo plazmové procesy, spaľovňa odpadov alebo zariadenie na spoluspaľovanie odpadov zahŕňa proces tepelného spracovania aj proces následného spaľovania.</w:t>
            </w:r>
          </w:p>
          <w:p w14:paraId="151323DF" w14:textId="77777777" w:rsidR="00391354" w:rsidRPr="008819AF" w:rsidRDefault="00391354" w:rsidP="0021052F">
            <w:pPr>
              <w:tabs>
                <w:tab w:val="center" w:pos="4536"/>
                <w:tab w:val="right" w:pos="9072"/>
              </w:tabs>
              <w:ind w:left="72" w:hanging="1"/>
              <w:rPr>
                <w:rFonts w:eastAsia="a*i*l"/>
              </w:rPr>
            </w:pPr>
          </w:p>
          <w:p w14:paraId="151323E0" w14:textId="77777777" w:rsidR="007170C3" w:rsidRPr="008819AF" w:rsidRDefault="0031718E" w:rsidP="0031718E">
            <w:pPr>
              <w:pStyle w:val="Hlavika"/>
              <w:ind w:left="71" w:firstLine="0"/>
              <w:rPr>
                <w:rFonts w:ascii="Times New Roman" w:hAnsi="Times New Roman" w:cs="Times New Roman"/>
                <w:lang w:bidi="cs-CZ"/>
              </w:rPr>
            </w:pPr>
            <w:r w:rsidRPr="008819AF">
              <w:rPr>
                <w:rFonts w:ascii="Times New Roman" w:eastAsia="a*i*l" w:hAnsi="Times New Roman" w:cs="Times New Roman"/>
              </w:rPr>
              <w:t xml:space="preserve">Zariadenie na spoluspaľovanie odpadov je stacionárnym technickým zariadením alebo prenosným technickým zariadením, ktorého hlavným účelom je výroba energie alebo iného materiálového produktu, v ktorom sa odpady používajú ako riadne palivo alebo prídavné palivo alebo v ktorom sa odpady tepelne upravujú na účely ich zneškodnenia oxidáciou, ako aj inými procesmi tepelného spracovania, ako sú pyrolytické, splyňovacie alebo plazmové procesy, ak sa látky vzniknuté pri takomto postupe následne spália, vymedzené podľa vykonávacieho predpisu podľa § 62 písm. f). Ak sa spoluspaľovanie odpadov uskutočňuje tak, že hlavným účelom zariadenia na spoluspaľovanie odpadov nie je výroba energie alebo iného materiálového produktu, ale tepelná úprava odpadov, zariadenie na spoluspaľovanie odpadov sa považuje za spaľovňu odpadov. </w:t>
            </w:r>
          </w:p>
        </w:tc>
        <w:tc>
          <w:tcPr>
            <w:tcW w:w="429" w:type="dxa"/>
            <w:tcBorders>
              <w:top w:val="single" w:sz="4" w:space="0" w:color="000000"/>
              <w:left w:val="single" w:sz="6" w:space="0" w:color="000000"/>
              <w:bottom w:val="single" w:sz="4" w:space="0" w:color="000000"/>
              <w:right w:val="single" w:sz="6" w:space="0" w:color="000000"/>
            </w:tcBorders>
          </w:tcPr>
          <w:p w14:paraId="151323E1" w14:textId="77777777" w:rsidR="007170C3" w:rsidRPr="008819AF" w:rsidRDefault="007170C3" w:rsidP="0021052F">
            <w:pPr>
              <w:ind w:left="215" w:hanging="215"/>
              <w:rPr>
                <w:rFonts w:eastAsia="Arial"/>
                <w:lang w:bidi="cs-CZ"/>
              </w:rPr>
            </w:pPr>
          </w:p>
          <w:p w14:paraId="151323E2" w14:textId="77777777" w:rsidR="007170C3" w:rsidRPr="008819AF" w:rsidRDefault="007170C3" w:rsidP="0021052F">
            <w:pPr>
              <w:ind w:left="215" w:hanging="215"/>
              <w:rPr>
                <w:rFonts w:eastAsia="Arial"/>
                <w:lang w:bidi="cs-CZ"/>
              </w:rPr>
            </w:pPr>
          </w:p>
          <w:p w14:paraId="151323E3" w14:textId="77777777" w:rsidR="007170C3" w:rsidRPr="008819AF" w:rsidRDefault="007170C3" w:rsidP="0021052F">
            <w:pPr>
              <w:ind w:left="215" w:hanging="215"/>
              <w:rPr>
                <w:rFonts w:eastAsia="Arial"/>
                <w:lang w:bidi="cs-CZ"/>
              </w:rPr>
            </w:pPr>
          </w:p>
          <w:p w14:paraId="151323E4" w14:textId="77777777" w:rsidR="007170C3" w:rsidRPr="008819AF" w:rsidRDefault="007170C3" w:rsidP="0021052F">
            <w:pPr>
              <w:ind w:left="215" w:hanging="215"/>
              <w:rPr>
                <w:rFonts w:eastAsia="Arial"/>
                <w:lang w:bidi="cs-CZ"/>
              </w:rPr>
            </w:pPr>
          </w:p>
          <w:p w14:paraId="151323E5" w14:textId="77777777" w:rsidR="007170C3" w:rsidRPr="008819AF" w:rsidRDefault="007170C3" w:rsidP="0021052F">
            <w:pPr>
              <w:ind w:left="215" w:hanging="215"/>
              <w:rPr>
                <w:rFonts w:eastAsia="Arial"/>
                <w:lang w:bidi="cs-CZ"/>
              </w:rPr>
            </w:pPr>
          </w:p>
          <w:p w14:paraId="151323E6" w14:textId="77777777" w:rsidR="007170C3" w:rsidRPr="008819AF" w:rsidRDefault="006F0418" w:rsidP="0021052F">
            <w:pPr>
              <w:ind w:left="215" w:hanging="215"/>
              <w:rPr>
                <w:rFonts w:eastAsia="Arial"/>
                <w:lang w:bidi="cs-CZ"/>
              </w:rPr>
            </w:pPr>
            <w:r w:rsidRPr="008819AF">
              <w:rPr>
                <w:rFonts w:eastAsia="Arial"/>
                <w:lang w:bidi="cs-CZ"/>
              </w:rPr>
              <w:t>Ú</w:t>
            </w:r>
          </w:p>
          <w:p w14:paraId="151323E7" w14:textId="77777777" w:rsidR="007170C3" w:rsidRPr="008819AF" w:rsidRDefault="007170C3" w:rsidP="0021052F">
            <w:pPr>
              <w:ind w:left="215" w:hanging="215"/>
              <w:rPr>
                <w:rFonts w:eastAsia="Arial"/>
                <w:lang w:bidi="cs-CZ"/>
              </w:rPr>
            </w:pPr>
          </w:p>
          <w:p w14:paraId="151323E8" w14:textId="77777777" w:rsidR="007170C3" w:rsidRPr="008819AF" w:rsidRDefault="007170C3" w:rsidP="0021052F">
            <w:pPr>
              <w:ind w:left="215" w:hanging="215"/>
              <w:rPr>
                <w:rFonts w:eastAsia="Arial"/>
                <w:lang w:bidi="cs-CZ"/>
              </w:rPr>
            </w:pPr>
          </w:p>
          <w:p w14:paraId="151323E9" w14:textId="77777777" w:rsidR="007170C3" w:rsidRPr="008819AF" w:rsidRDefault="007170C3" w:rsidP="0021052F">
            <w:pPr>
              <w:ind w:left="215" w:hanging="215"/>
              <w:rPr>
                <w:rFonts w:eastAsia="Arial"/>
                <w:lang w:bidi="cs-CZ"/>
              </w:rPr>
            </w:pPr>
          </w:p>
          <w:p w14:paraId="151323EA" w14:textId="77777777" w:rsidR="007170C3" w:rsidRPr="008819AF" w:rsidRDefault="007170C3" w:rsidP="0021052F">
            <w:pPr>
              <w:ind w:left="215" w:hanging="215"/>
              <w:rPr>
                <w:rFonts w:eastAsia="Arial"/>
                <w:lang w:bidi="cs-CZ"/>
              </w:rPr>
            </w:pPr>
          </w:p>
          <w:p w14:paraId="151323EB" w14:textId="77777777" w:rsidR="007170C3" w:rsidRPr="008819AF" w:rsidRDefault="007170C3" w:rsidP="0021052F">
            <w:pPr>
              <w:ind w:left="215" w:hanging="215"/>
              <w:rPr>
                <w:rFonts w:eastAsia="Arial"/>
                <w:lang w:bidi="cs-CZ"/>
              </w:rPr>
            </w:pPr>
          </w:p>
          <w:p w14:paraId="151323EC" w14:textId="77777777" w:rsidR="007170C3" w:rsidRPr="008819AF" w:rsidRDefault="007170C3" w:rsidP="0021052F">
            <w:pPr>
              <w:ind w:left="215" w:hanging="215"/>
              <w:rPr>
                <w:rFonts w:eastAsia="Arial"/>
                <w:lang w:bidi="cs-CZ"/>
              </w:rPr>
            </w:pPr>
          </w:p>
          <w:p w14:paraId="151323ED" w14:textId="77777777" w:rsidR="007170C3" w:rsidRPr="008819AF" w:rsidRDefault="007170C3" w:rsidP="0021052F">
            <w:pPr>
              <w:ind w:left="215" w:hanging="215"/>
              <w:rPr>
                <w:rFonts w:eastAsia="Arial"/>
                <w:lang w:bidi="cs-CZ"/>
              </w:rPr>
            </w:pPr>
          </w:p>
          <w:p w14:paraId="151323EE" w14:textId="77777777" w:rsidR="007170C3" w:rsidRPr="008819AF" w:rsidRDefault="007170C3" w:rsidP="0021052F">
            <w:pPr>
              <w:ind w:left="215" w:hanging="215"/>
              <w:rPr>
                <w:rFonts w:eastAsia="Arial"/>
                <w:lang w:bidi="cs-CZ"/>
              </w:rPr>
            </w:pPr>
          </w:p>
          <w:p w14:paraId="151323EF" w14:textId="77777777" w:rsidR="007170C3" w:rsidRPr="008819AF" w:rsidRDefault="006F0418" w:rsidP="0021052F">
            <w:pPr>
              <w:ind w:left="215" w:hanging="215"/>
              <w:rPr>
                <w:rFonts w:eastAsia="Arial"/>
                <w:lang w:bidi="cs-CZ"/>
              </w:rPr>
            </w:pPr>
            <w:r w:rsidRPr="008819AF">
              <w:rPr>
                <w:rFonts w:eastAsia="Arial"/>
                <w:lang w:bidi="cs-CZ"/>
              </w:rPr>
              <w:t>Ú</w:t>
            </w:r>
          </w:p>
          <w:p w14:paraId="151323F0"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3F1" w14:textId="77777777" w:rsidR="007170C3" w:rsidRPr="008819AF" w:rsidRDefault="007170C3" w:rsidP="0021052F">
            <w:pPr>
              <w:ind w:left="215" w:hanging="215"/>
              <w:rPr>
                <w:rFonts w:eastAsia="Arial"/>
                <w:lang w:bidi="cs-CZ"/>
              </w:rPr>
            </w:pPr>
          </w:p>
        </w:tc>
      </w:tr>
      <w:tr w:rsidR="00F80158" w:rsidRPr="008819AF" w14:paraId="1513240A" w14:textId="77777777" w:rsidTr="003E351D">
        <w:trPr>
          <w:trHeight w:val="1327"/>
          <w:jc w:val="center"/>
        </w:trPr>
        <w:tc>
          <w:tcPr>
            <w:tcW w:w="483" w:type="dxa"/>
            <w:tcBorders>
              <w:top w:val="single" w:sz="4" w:space="0" w:color="000000"/>
              <w:left w:val="single" w:sz="6" w:space="0" w:color="000000"/>
              <w:bottom w:val="single" w:sz="4" w:space="0" w:color="000000"/>
              <w:right w:val="single" w:sz="6" w:space="0" w:color="000000"/>
            </w:tcBorders>
          </w:tcPr>
          <w:p w14:paraId="151323F3"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23F4" w14:textId="77777777" w:rsidR="007170C3" w:rsidRPr="008819AF" w:rsidRDefault="006F0418" w:rsidP="0021052F">
            <w:pPr>
              <w:ind w:left="215" w:hanging="215"/>
              <w:rPr>
                <w:rFonts w:eastAsia="Arial"/>
              </w:rPr>
            </w:pPr>
            <w:r w:rsidRPr="008819AF">
              <w:rPr>
                <w:rFonts w:eastAsia="Arial"/>
              </w:rPr>
              <w:t>2. Táto kapitola sa neuplatňuje na tieto zariadenia:</w:t>
            </w:r>
          </w:p>
          <w:p w14:paraId="151323F5" w14:textId="77777777" w:rsidR="007170C3" w:rsidRPr="008819AF" w:rsidRDefault="006F0418" w:rsidP="00391354">
            <w:pPr>
              <w:rPr>
                <w:rFonts w:eastAsia="Arial"/>
              </w:rPr>
            </w:pPr>
            <w:r w:rsidRPr="008819AF">
              <w:rPr>
                <w:rFonts w:eastAsia="Arial"/>
              </w:rPr>
              <w:t>a) zariadenia spracúvajúce iba tieto odpady:</w:t>
            </w:r>
          </w:p>
          <w:p w14:paraId="151323F6" w14:textId="77777777" w:rsidR="007170C3" w:rsidRPr="008819AF" w:rsidRDefault="006F0418" w:rsidP="009C63CF">
            <w:pPr>
              <w:numPr>
                <w:ilvl w:val="0"/>
                <w:numId w:val="31"/>
              </w:numPr>
              <w:ind w:left="639" w:hanging="283"/>
              <w:rPr>
                <w:rFonts w:eastAsia="Arial"/>
              </w:rPr>
            </w:pPr>
            <w:r w:rsidRPr="008819AF">
              <w:rPr>
                <w:rFonts w:eastAsia="Arial"/>
              </w:rPr>
              <w:t>odpad uvedený v článku 3 bod 31 písm. b);</w:t>
            </w:r>
          </w:p>
          <w:p w14:paraId="151323F7" w14:textId="77777777" w:rsidR="007170C3" w:rsidRPr="008819AF" w:rsidRDefault="006F0418" w:rsidP="009C63CF">
            <w:pPr>
              <w:numPr>
                <w:ilvl w:val="0"/>
                <w:numId w:val="31"/>
              </w:numPr>
              <w:ind w:left="639" w:hanging="283"/>
              <w:rPr>
                <w:rFonts w:eastAsia="Arial"/>
              </w:rPr>
            </w:pPr>
            <w:r w:rsidRPr="008819AF">
              <w:rPr>
                <w:rFonts w:eastAsia="Arial"/>
              </w:rPr>
              <w:t>rádioaktívny odpad;</w:t>
            </w:r>
          </w:p>
          <w:p w14:paraId="151323F8" w14:textId="77777777" w:rsidR="007170C3" w:rsidRPr="008819AF" w:rsidRDefault="006F0418" w:rsidP="009C63CF">
            <w:pPr>
              <w:numPr>
                <w:ilvl w:val="0"/>
                <w:numId w:val="31"/>
              </w:numPr>
              <w:ind w:left="639" w:hanging="283"/>
              <w:rPr>
                <w:rFonts w:eastAsia="Arial"/>
              </w:rPr>
            </w:pPr>
            <w:r w:rsidRPr="008819AF">
              <w:rPr>
                <w:rFonts w:eastAsia="Arial"/>
              </w:rPr>
              <w:t>telá mŕtvych zvierat v zmysle nariadenia Európskeho parlamentu a Rady (ES) č. 1774/2002 z 3. októbra 2002, ktorým sa stanovujú zdravotné predpisy týkajúce sa živočíšnych vedľajších produktov neurčených pre ľudskú spotrebu(1) Ú. v. ES L 273, 10.10.2002, s. 1.;</w:t>
            </w:r>
          </w:p>
          <w:p w14:paraId="151323F9" w14:textId="77777777" w:rsidR="007170C3" w:rsidRPr="008819AF" w:rsidRDefault="006F0418" w:rsidP="009C63CF">
            <w:pPr>
              <w:numPr>
                <w:ilvl w:val="0"/>
                <w:numId w:val="31"/>
              </w:numPr>
              <w:ind w:left="639" w:hanging="283"/>
              <w:rPr>
                <w:rFonts w:eastAsia="Arial"/>
              </w:rPr>
            </w:pPr>
            <w:r w:rsidRPr="008819AF">
              <w:rPr>
                <w:rFonts w:eastAsia="Arial"/>
              </w:rPr>
              <w:t>odpad vznikajúci pri prieskume a využívaní zdrojov ropy a zemného plynu na zariadeniach na mori, ktorý sa spaľuje v priestoroch týchto zariadení;</w:t>
            </w:r>
          </w:p>
          <w:p w14:paraId="151323FA" w14:textId="77777777" w:rsidR="007170C3" w:rsidRPr="008819AF" w:rsidRDefault="006F0418" w:rsidP="0021052F">
            <w:pPr>
              <w:ind w:left="215" w:hanging="215"/>
              <w:rPr>
                <w:rFonts w:eastAsia="Arial"/>
              </w:rPr>
            </w:pPr>
            <w:r w:rsidRPr="008819AF">
              <w:rPr>
                <w:rFonts w:eastAsia="Arial"/>
              </w:rPr>
              <w:t>b) experimentálne zariadenia používané pri výskume, vývoji a skúškach zameraných na zlepšovanie spaľovacieho procesu, ktoré spracovávajú menej ako 50 ton odpadu za rok.</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3FB" w14:textId="77777777" w:rsidR="007170C3" w:rsidRPr="008819AF" w:rsidRDefault="00391354" w:rsidP="0021052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3FC" w14:textId="77777777" w:rsidR="007170C3" w:rsidRPr="008819AF" w:rsidRDefault="006F0418" w:rsidP="0021052F">
            <w:pPr>
              <w:jc w:val="center"/>
              <w:rPr>
                <w:rFonts w:eastAsia="Arial"/>
                <w:lang w:bidi="cs-CZ"/>
              </w:rPr>
            </w:pPr>
            <w:r w:rsidRPr="008819AF">
              <w:rPr>
                <w:rFonts w:eastAsia="Arial"/>
                <w:lang w:bidi="cs-CZ"/>
              </w:rPr>
              <w:t>NV2</w:t>
            </w:r>
          </w:p>
          <w:p w14:paraId="151323FD"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3FE" w14:textId="77777777" w:rsidR="007170C3" w:rsidRPr="008819AF" w:rsidRDefault="00391354" w:rsidP="0021052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§21</w:t>
            </w:r>
          </w:p>
          <w:p w14:paraId="151323FF" w14:textId="77777777" w:rsidR="00391354" w:rsidRPr="008819AF" w:rsidRDefault="00391354" w:rsidP="0021052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O2</w:t>
            </w:r>
          </w:p>
        </w:tc>
        <w:tc>
          <w:tcPr>
            <w:tcW w:w="5664" w:type="dxa"/>
            <w:gridSpan w:val="5"/>
            <w:tcBorders>
              <w:top w:val="single" w:sz="4" w:space="0" w:color="000000"/>
              <w:left w:val="single" w:sz="6" w:space="0" w:color="000000"/>
              <w:bottom w:val="single" w:sz="4" w:space="0" w:color="000000"/>
              <w:right w:val="single" w:sz="6" w:space="0" w:color="000000"/>
            </w:tcBorders>
          </w:tcPr>
          <w:p w14:paraId="15132400" w14:textId="77777777" w:rsidR="00391354" w:rsidRPr="008819AF" w:rsidRDefault="00391354" w:rsidP="009C63CF">
            <w:pPr>
              <w:numPr>
                <w:ilvl w:val="0"/>
                <w:numId w:val="75"/>
              </w:numPr>
              <w:ind w:left="0" w:firstLine="284"/>
              <w:jc w:val="both"/>
              <w:rPr>
                <w:rFonts w:eastAsia="Calibri"/>
                <w:noProof/>
              </w:rPr>
            </w:pPr>
            <w:r w:rsidRPr="008819AF">
              <w:rPr>
                <w:rFonts w:eastAsia="Calibri"/>
                <w:noProof/>
              </w:rPr>
              <w:t>Ustanovenia tejto časti sa neuplatňujú pre</w:t>
            </w:r>
          </w:p>
          <w:p w14:paraId="15132401" w14:textId="77777777" w:rsidR="00391354" w:rsidRPr="008819AF" w:rsidRDefault="00391354" w:rsidP="009C63CF">
            <w:pPr>
              <w:numPr>
                <w:ilvl w:val="0"/>
                <w:numId w:val="76"/>
              </w:numPr>
              <w:ind w:hanging="283"/>
              <w:jc w:val="both"/>
              <w:rPr>
                <w:rFonts w:eastAsia="Calibri"/>
                <w:noProof/>
              </w:rPr>
            </w:pPr>
            <w:r w:rsidRPr="008819AF">
              <w:rPr>
                <w:rFonts w:eastAsia="Calibri"/>
                <w:noProof/>
              </w:rPr>
              <w:t>experimentálne zariadenie používané na výskum, vývoj a testovanie zamerané na zlepšovanie spaľovacieho procesu, ak v nich možno spaľovať odpad v množstve do 50 t/rok,</w:t>
            </w:r>
          </w:p>
          <w:p w14:paraId="15132402" w14:textId="77777777" w:rsidR="00391354" w:rsidRPr="008819AF" w:rsidRDefault="00391354" w:rsidP="009C63CF">
            <w:pPr>
              <w:numPr>
                <w:ilvl w:val="0"/>
                <w:numId w:val="76"/>
              </w:numPr>
              <w:ind w:hanging="283"/>
              <w:jc w:val="both"/>
              <w:rPr>
                <w:rFonts w:eastAsia="Calibri"/>
                <w:noProof/>
              </w:rPr>
            </w:pPr>
            <w:r w:rsidRPr="008819AF">
              <w:rPr>
                <w:rFonts w:eastAsia="Calibri"/>
                <w:noProof/>
              </w:rPr>
              <w:t>zariadenia, v ktorých sa spaľujú výlučne tieto odpady:</w:t>
            </w:r>
          </w:p>
          <w:p w14:paraId="15132403" w14:textId="77777777" w:rsidR="00391354" w:rsidRPr="008819AF" w:rsidRDefault="00391354" w:rsidP="009C63CF">
            <w:pPr>
              <w:numPr>
                <w:ilvl w:val="1"/>
                <w:numId w:val="76"/>
              </w:numPr>
              <w:ind w:left="568" w:hanging="284"/>
              <w:jc w:val="both"/>
              <w:rPr>
                <w:rFonts w:eastAsia="Calibri"/>
                <w:noProof/>
              </w:rPr>
            </w:pPr>
            <w:r w:rsidRPr="008819AF">
              <w:rPr>
                <w:rFonts w:eastAsia="Calibri"/>
                <w:noProof/>
              </w:rPr>
              <w:t>odpad uvedený v § 8 ods. 2 písm. i),</w:t>
            </w:r>
          </w:p>
          <w:p w14:paraId="15132404" w14:textId="77777777" w:rsidR="00391354" w:rsidRPr="008819AF" w:rsidRDefault="00391354" w:rsidP="009C63CF">
            <w:pPr>
              <w:numPr>
                <w:ilvl w:val="1"/>
                <w:numId w:val="76"/>
              </w:numPr>
              <w:ind w:left="568" w:hanging="284"/>
              <w:jc w:val="both"/>
              <w:rPr>
                <w:rFonts w:eastAsia="Calibri"/>
                <w:noProof/>
              </w:rPr>
            </w:pPr>
            <w:r w:rsidRPr="008819AF">
              <w:rPr>
                <w:rFonts w:eastAsia="Calibri"/>
                <w:noProof/>
              </w:rPr>
              <w:t>rádioaktívny odpad,</w:t>
            </w:r>
          </w:p>
          <w:p w14:paraId="15132405" w14:textId="77777777" w:rsidR="00391354" w:rsidRPr="008819AF" w:rsidRDefault="00391354" w:rsidP="009C63CF">
            <w:pPr>
              <w:numPr>
                <w:ilvl w:val="1"/>
                <w:numId w:val="76"/>
              </w:numPr>
              <w:ind w:left="568" w:hanging="284"/>
              <w:jc w:val="both"/>
              <w:rPr>
                <w:rFonts w:eastAsia="Calibri"/>
                <w:noProof/>
              </w:rPr>
            </w:pPr>
            <w:r w:rsidRPr="008819AF">
              <w:rPr>
                <w:rFonts w:eastAsia="Calibri"/>
                <w:noProof/>
              </w:rPr>
              <w:t>telá mŕtvych zvierat,</w:t>
            </w:r>
            <w:r w:rsidRPr="008819AF">
              <w:rPr>
                <w:rFonts w:eastAsia="Calibri"/>
                <w:noProof/>
                <w:vertAlign w:val="superscript"/>
              </w:rPr>
              <w:t>12</w:t>
            </w:r>
            <w:r w:rsidRPr="008819AF">
              <w:rPr>
                <w:rFonts w:eastAsia="Calibri"/>
                <w:noProof/>
              </w:rPr>
              <w:t>)</w:t>
            </w:r>
          </w:p>
          <w:p w14:paraId="15132406" w14:textId="77777777" w:rsidR="00391354" w:rsidRPr="008819AF" w:rsidRDefault="00391354" w:rsidP="009C63CF">
            <w:pPr>
              <w:numPr>
                <w:ilvl w:val="1"/>
                <w:numId w:val="76"/>
              </w:numPr>
              <w:ind w:left="568" w:hanging="284"/>
              <w:jc w:val="both"/>
              <w:rPr>
                <w:rFonts w:eastAsia="Calibri"/>
                <w:noProof/>
              </w:rPr>
            </w:pPr>
            <w:r w:rsidRPr="008819AF">
              <w:rPr>
                <w:rFonts w:eastAsia="Calibri"/>
                <w:noProof/>
              </w:rPr>
              <w:t>odpad, ktorý pochádza z prieskumu nálezísk ropy a plynu a ich ťažby, ak sa ťažba zabezpečuje z ťažobných ostrovov, kde sa odpad aj spaľuje.</w:t>
            </w:r>
          </w:p>
          <w:p w14:paraId="15132407" w14:textId="77777777" w:rsidR="007170C3" w:rsidRPr="008819AF" w:rsidRDefault="00391354" w:rsidP="00391354">
            <w:pPr>
              <w:pStyle w:val="Textpoznmkypodiarou"/>
              <w:jc w:val="both"/>
              <w:rPr>
                <w:rFonts w:ascii="Times New Roman" w:hAnsi="Times New Roman" w:cs="Times New Roman"/>
              </w:rPr>
            </w:pPr>
            <w:r w:rsidRPr="008819AF">
              <w:rPr>
                <w:rFonts w:ascii="Times New Roman" w:hAnsi="Times New Roman" w:cs="Times New Roman"/>
              </w:rPr>
              <w:t>12)</w:t>
            </w:r>
            <w:r w:rsidRPr="008819AF">
              <w:t xml:space="preserve"> </w:t>
            </w:r>
            <w:r w:rsidRPr="008819AF">
              <w:rPr>
                <w:rFonts w:ascii="Times New Roman" w:hAnsi="Times New Roman" w:cs="Times New Roman"/>
                <w:sz w:val="18"/>
                <w:szCs w:val="18"/>
              </w:rPr>
              <w:t xml:space="preserve">Nariadenie Európskeho parlamentu a Rady(ES)č. 1069/2009 z 21.októbra 2009, ktorým sa ustanovujú zdravotné predpisy týkajúce sa vedľajších živočíšnych produktov a odvodených produktov neurčených na ľudskú spotrebu, a ktorým sa zrušuje nariadenie (ES) č. 1774/2002 (nariadenie o vedľajších živočíšnych produktoch) (Ú.v. EÚ L300, 14. 11. </w:t>
            </w:r>
            <w:r w:rsidRPr="008819AF">
              <w:rPr>
                <w:rFonts w:ascii="Times New Roman" w:hAnsi="Times New Roman" w:cs="Times New Roman"/>
                <w:sz w:val="18"/>
                <w:szCs w:val="18"/>
              </w:rPr>
              <w:lastRenderedPageBreak/>
              <w:t>2009) v platnom znení.</w:t>
            </w:r>
          </w:p>
        </w:tc>
        <w:tc>
          <w:tcPr>
            <w:tcW w:w="429" w:type="dxa"/>
            <w:tcBorders>
              <w:top w:val="single" w:sz="4" w:space="0" w:color="000000"/>
              <w:left w:val="single" w:sz="6" w:space="0" w:color="000000"/>
              <w:bottom w:val="single" w:sz="4" w:space="0" w:color="000000"/>
              <w:right w:val="single" w:sz="6" w:space="0" w:color="000000"/>
            </w:tcBorders>
          </w:tcPr>
          <w:p w14:paraId="15132408" w14:textId="77777777" w:rsidR="007170C3" w:rsidRPr="008819AF" w:rsidRDefault="007170C3" w:rsidP="0021052F"/>
        </w:tc>
        <w:tc>
          <w:tcPr>
            <w:tcW w:w="821" w:type="dxa"/>
            <w:gridSpan w:val="3"/>
            <w:tcBorders>
              <w:top w:val="single" w:sz="4" w:space="0" w:color="000000"/>
              <w:left w:val="single" w:sz="6" w:space="0" w:color="000000"/>
              <w:bottom w:val="single" w:sz="4" w:space="0" w:color="000000"/>
              <w:right w:val="single" w:sz="6" w:space="0" w:color="000000"/>
            </w:tcBorders>
          </w:tcPr>
          <w:p w14:paraId="15132409" w14:textId="77777777" w:rsidR="007170C3" w:rsidRPr="008819AF" w:rsidRDefault="007170C3" w:rsidP="0021052F">
            <w:pPr>
              <w:ind w:left="215" w:hanging="215"/>
              <w:rPr>
                <w:rFonts w:eastAsia="Arial"/>
                <w:lang w:bidi="cs-CZ"/>
              </w:rPr>
            </w:pPr>
          </w:p>
        </w:tc>
      </w:tr>
      <w:tr w:rsidR="00F80158" w:rsidRPr="008819AF" w14:paraId="1513241B" w14:textId="77777777" w:rsidTr="003E351D">
        <w:trPr>
          <w:trHeight w:val="1327"/>
          <w:jc w:val="center"/>
        </w:trPr>
        <w:tc>
          <w:tcPr>
            <w:tcW w:w="483" w:type="dxa"/>
            <w:tcBorders>
              <w:top w:val="single" w:sz="4" w:space="0" w:color="000000"/>
              <w:left w:val="single" w:sz="6" w:space="0" w:color="000000"/>
              <w:bottom w:val="single" w:sz="4" w:space="0" w:color="000000"/>
              <w:right w:val="single" w:sz="6" w:space="0" w:color="000000"/>
            </w:tcBorders>
          </w:tcPr>
          <w:p w14:paraId="1513240B" w14:textId="77777777" w:rsidR="007170C3" w:rsidRPr="008819AF" w:rsidRDefault="006F0418" w:rsidP="003E351D">
            <w:pPr>
              <w:ind w:right="-70"/>
              <w:rPr>
                <w:rFonts w:eastAsia="Arial"/>
                <w:lang w:bidi="cs-CZ"/>
              </w:rPr>
            </w:pPr>
            <w:r w:rsidRPr="008819AF">
              <w:rPr>
                <w:rFonts w:eastAsia="Arial"/>
                <w:lang w:bidi="cs-CZ"/>
              </w:rPr>
              <w:t>Č:43</w:t>
            </w:r>
          </w:p>
        </w:tc>
        <w:tc>
          <w:tcPr>
            <w:tcW w:w="6227" w:type="dxa"/>
            <w:gridSpan w:val="2"/>
            <w:tcBorders>
              <w:top w:val="single" w:sz="4" w:space="0" w:color="000000"/>
              <w:left w:val="single" w:sz="6" w:space="0" w:color="000000"/>
              <w:bottom w:val="single" w:sz="4" w:space="0" w:color="000000"/>
              <w:right w:val="single" w:sz="6" w:space="0" w:color="000000"/>
            </w:tcBorders>
          </w:tcPr>
          <w:p w14:paraId="1513240C" w14:textId="77777777" w:rsidR="007170C3" w:rsidRPr="008819AF" w:rsidRDefault="006F0418" w:rsidP="0021052F">
            <w:pPr>
              <w:ind w:left="215" w:hanging="215"/>
              <w:rPr>
                <w:rFonts w:eastAsia="Arial"/>
              </w:rPr>
            </w:pPr>
            <w:r w:rsidRPr="008819AF">
              <w:rPr>
                <w:rFonts w:eastAsia="Arial"/>
              </w:rPr>
              <w:t>Článok 43</w:t>
            </w:r>
          </w:p>
          <w:p w14:paraId="1513240D" w14:textId="77777777" w:rsidR="007170C3" w:rsidRPr="008819AF" w:rsidRDefault="006F0418" w:rsidP="0021052F">
            <w:pPr>
              <w:ind w:left="215" w:hanging="215"/>
              <w:rPr>
                <w:rFonts w:eastAsia="Arial"/>
              </w:rPr>
            </w:pPr>
            <w:r w:rsidRPr="008819AF">
              <w:rPr>
                <w:rFonts w:eastAsia="Arial"/>
              </w:rPr>
              <w:t>Vymedzenie pojmu zvyšok</w:t>
            </w:r>
          </w:p>
          <w:p w14:paraId="1513240E" w14:textId="77777777" w:rsidR="007170C3" w:rsidRPr="008819AF" w:rsidRDefault="007170C3" w:rsidP="0021052F">
            <w:pPr>
              <w:ind w:left="215" w:hanging="215"/>
              <w:rPr>
                <w:rFonts w:eastAsia="Arial"/>
              </w:rPr>
            </w:pPr>
          </w:p>
          <w:p w14:paraId="1513240F" w14:textId="77777777" w:rsidR="007170C3" w:rsidRPr="008819AF" w:rsidRDefault="006F0418" w:rsidP="0021052F">
            <w:pPr>
              <w:ind w:left="215" w:hanging="1"/>
              <w:rPr>
                <w:rFonts w:eastAsia="Arial"/>
              </w:rPr>
            </w:pPr>
            <w:r w:rsidRPr="008819AF">
              <w:rPr>
                <w:rFonts w:eastAsia="Arial"/>
              </w:rPr>
              <w:t>Na účely tejto kapitoly je „zvyšok“ akýkoľvek kvapalný</w:t>
            </w:r>
            <w:r w:rsidRPr="008819AF">
              <w:t xml:space="preserve"> </w:t>
            </w:r>
            <w:r w:rsidRPr="008819AF">
              <w:rPr>
                <w:rFonts w:eastAsia="Arial"/>
              </w:rPr>
              <w:t>alebo tuhý odpad vzniknutý v spaľovni odpadov alebo v zariadení na spoluspaľovanie odpadov.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410" w14:textId="77777777" w:rsidR="007170C3" w:rsidRPr="008819AF" w:rsidRDefault="00391354" w:rsidP="0021052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411" w14:textId="77777777" w:rsidR="007170C3" w:rsidRPr="008819AF" w:rsidRDefault="006F0418" w:rsidP="0021052F">
            <w:pPr>
              <w:jc w:val="center"/>
              <w:rPr>
                <w:rFonts w:eastAsia="Arial"/>
                <w:lang w:bidi="cs-CZ"/>
              </w:rPr>
            </w:pPr>
            <w:r w:rsidRPr="008819AF">
              <w:rPr>
                <w:rFonts w:eastAsia="Arial"/>
                <w:lang w:bidi="cs-CZ"/>
              </w:rPr>
              <w:t>NV2</w:t>
            </w:r>
          </w:p>
          <w:p w14:paraId="15132412" w14:textId="77777777" w:rsidR="007170C3" w:rsidRPr="008819AF" w:rsidRDefault="007170C3"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413" w14:textId="77777777" w:rsidR="007170C3" w:rsidRPr="008819AF" w:rsidRDefault="00391354" w:rsidP="0021052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§21</w:t>
            </w:r>
          </w:p>
          <w:p w14:paraId="15132414" w14:textId="77777777" w:rsidR="00391354" w:rsidRPr="008819AF" w:rsidRDefault="00391354" w:rsidP="0021052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O5</w:t>
            </w:r>
          </w:p>
          <w:p w14:paraId="15132415" w14:textId="77777777" w:rsidR="00391354" w:rsidRPr="008819AF" w:rsidRDefault="00391354" w:rsidP="0021052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Pa)</w:t>
            </w:r>
          </w:p>
        </w:tc>
        <w:tc>
          <w:tcPr>
            <w:tcW w:w="5664" w:type="dxa"/>
            <w:gridSpan w:val="5"/>
            <w:tcBorders>
              <w:top w:val="single" w:sz="4" w:space="0" w:color="000000"/>
              <w:left w:val="single" w:sz="6" w:space="0" w:color="000000"/>
              <w:bottom w:val="single" w:sz="4" w:space="0" w:color="000000"/>
              <w:right w:val="single" w:sz="6" w:space="0" w:color="000000"/>
            </w:tcBorders>
          </w:tcPr>
          <w:p w14:paraId="15132416" w14:textId="77777777" w:rsidR="00391354" w:rsidRPr="008819AF" w:rsidRDefault="00391354" w:rsidP="00391354">
            <w:pPr>
              <w:pStyle w:val="Hlavika"/>
              <w:ind w:left="72" w:hanging="1"/>
              <w:rPr>
                <w:rFonts w:ascii="Times New Roman" w:hAnsi="Times New Roman" w:cs="Times New Roman"/>
              </w:rPr>
            </w:pPr>
            <w:r w:rsidRPr="008819AF">
              <w:rPr>
                <w:rFonts w:ascii="Times New Roman" w:hAnsi="Times New Roman" w:cs="Times New Roman"/>
              </w:rPr>
              <w:t>(5) Na účely uplatňovania špecifických požiadaviek na spaľovanie odpadu sa rozumie</w:t>
            </w:r>
          </w:p>
          <w:p w14:paraId="15132417" w14:textId="77777777" w:rsidR="007170C3" w:rsidRPr="008819AF" w:rsidRDefault="00391354" w:rsidP="00391354">
            <w:pPr>
              <w:pStyle w:val="Hlavika"/>
              <w:ind w:left="72" w:hanging="1"/>
              <w:rPr>
                <w:rFonts w:ascii="Times New Roman" w:hAnsi="Times New Roman" w:cs="Times New Roman"/>
              </w:rPr>
            </w:pPr>
            <w:r w:rsidRPr="008819AF">
              <w:rPr>
                <w:rFonts w:ascii="Times New Roman" w:hAnsi="Times New Roman" w:cs="Times New Roman"/>
              </w:rPr>
              <w:t>a) zvyškami všetky kvapalné a tuhé odpady vyprodukované spaľovňou odpadov alebo zariadením na spoluspaľovanie odpadov,</w:t>
            </w:r>
          </w:p>
          <w:p w14:paraId="15132418" w14:textId="77777777" w:rsidR="00391354" w:rsidRPr="008819AF" w:rsidRDefault="00391354" w:rsidP="00391354">
            <w:pPr>
              <w:pStyle w:val="Hlavika"/>
              <w:ind w:left="72" w:hanging="1"/>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2419"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41A" w14:textId="77777777" w:rsidR="007170C3" w:rsidRPr="008819AF" w:rsidRDefault="007170C3" w:rsidP="0021052F">
            <w:pPr>
              <w:ind w:left="215" w:hanging="215"/>
              <w:rPr>
                <w:rFonts w:eastAsia="Arial"/>
                <w:lang w:bidi="cs-CZ"/>
              </w:rPr>
            </w:pPr>
          </w:p>
        </w:tc>
      </w:tr>
      <w:tr w:rsidR="00F80158" w:rsidRPr="008819AF" w14:paraId="15132441" w14:textId="77777777" w:rsidTr="003E351D">
        <w:trPr>
          <w:trHeight w:val="835"/>
          <w:jc w:val="center"/>
        </w:trPr>
        <w:tc>
          <w:tcPr>
            <w:tcW w:w="483" w:type="dxa"/>
            <w:tcBorders>
              <w:top w:val="single" w:sz="4" w:space="0" w:color="000000"/>
              <w:left w:val="single" w:sz="6" w:space="0" w:color="000000"/>
              <w:bottom w:val="single" w:sz="4" w:space="0" w:color="000000"/>
              <w:right w:val="single" w:sz="6" w:space="0" w:color="000000"/>
            </w:tcBorders>
          </w:tcPr>
          <w:p w14:paraId="1513241C" w14:textId="77777777" w:rsidR="007170C3" w:rsidRPr="008819AF" w:rsidRDefault="006F0418" w:rsidP="003E351D">
            <w:pPr>
              <w:ind w:right="-70"/>
              <w:rPr>
                <w:rFonts w:eastAsia="Arial"/>
                <w:lang w:bidi="cs-CZ"/>
              </w:rPr>
            </w:pPr>
            <w:r w:rsidRPr="008819AF">
              <w:rPr>
                <w:rFonts w:eastAsia="Arial"/>
                <w:lang w:bidi="cs-CZ"/>
              </w:rPr>
              <w:t>Č:44</w:t>
            </w:r>
          </w:p>
        </w:tc>
        <w:tc>
          <w:tcPr>
            <w:tcW w:w="6227" w:type="dxa"/>
            <w:gridSpan w:val="2"/>
            <w:tcBorders>
              <w:top w:val="single" w:sz="4" w:space="0" w:color="000000"/>
              <w:left w:val="single" w:sz="6" w:space="0" w:color="000000"/>
              <w:bottom w:val="single" w:sz="4" w:space="0" w:color="000000"/>
              <w:right w:val="single" w:sz="6" w:space="0" w:color="000000"/>
            </w:tcBorders>
          </w:tcPr>
          <w:p w14:paraId="1513241D" w14:textId="77777777" w:rsidR="007170C3" w:rsidRPr="008819AF" w:rsidRDefault="006F0418" w:rsidP="0021052F">
            <w:pPr>
              <w:ind w:left="215" w:hanging="215"/>
              <w:rPr>
                <w:rFonts w:eastAsia="Arial"/>
              </w:rPr>
            </w:pPr>
            <w:r w:rsidRPr="008819AF">
              <w:rPr>
                <w:rFonts w:eastAsia="Arial"/>
              </w:rPr>
              <w:t>Článok 44</w:t>
            </w:r>
          </w:p>
          <w:p w14:paraId="1513241E" w14:textId="77777777" w:rsidR="007170C3" w:rsidRPr="008819AF" w:rsidRDefault="006F0418" w:rsidP="0021052F">
            <w:pPr>
              <w:ind w:left="215" w:hanging="215"/>
              <w:rPr>
                <w:rFonts w:eastAsia="Arial"/>
              </w:rPr>
            </w:pPr>
            <w:r w:rsidRPr="008819AF">
              <w:rPr>
                <w:rFonts w:eastAsia="Arial"/>
              </w:rPr>
              <w:t>Žiadosti o povolenia</w:t>
            </w:r>
          </w:p>
          <w:p w14:paraId="1513241F" w14:textId="77777777" w:rsidR="007170C3" w:rsidRPr="008819AF" w:rsidRDefault="007170C3" w:rsidP="0021052F">
            <w:pPr>
              <w:ind w:left="215" w:hanging="215"/>
              <w:rPr>
                <w:rFonts w:eastAsia="Arial"/>
              </w:rPr>
            </w:pPr>
          </w:p>
          <w:p w14:paraId="15132420" w14:textId="77777777" w:rsidR="007170C3" w:rsidRPr="008819AF" w:rsidRDefault="006F0418" w:rsidP="0021052F">
            <w:pPr>
              <w:ind w:left="215" w:hanging="1"/>
              <w:rPr>
                <w:rFonts w:eastAsia="Arial"/>
              </w:rPr>
            </w:pPr>
            <w:r w:rsidRPr="008819AF">
              <w:rPr>
                <w:rFonts w:eastAsia="Arial"/>
              </w:rPr>
              <w:t>Žiadosť o povolenie pre spaľovňu odpadov alebo zariadenie na spoluspaľovanie odpadov musí obsahovať opis plánovaných opatrení, ktorými sa zaručí splnenie týchto požiadaviek:</w:t>
            </w:r>
          </w:p>
          <w:p w14:paraId="15132421" w14:textId="77777777" w:rsidR="007170C3" w:rsidRPr="008819AF" w:rsidRDefault="007170C3" w:rsidP="0021052F">
            <w:pPr>
              <w:ind w:left="215" w:hanging="1"/>
              <w:rPr>
                <w:rFonts w:eastAsia="Arial"/>
              </w:rPr>
            </w:pPr>
          </w:p>
          <w:p w14:paraId="15132422" w14:textId="77777777" w:rsidR="007170C3" w:rsidRPr="008819AF" w:rsidRDefault="006F0418" w:rsidP="009C63CF">
            <w:pPr>
              <w:numPr>
                <w:ilvl w:val="0"/>
                <w:numId w:val="32"/>
              </w:numPr>
              <w:spacing w:after="120"/>
              <w:ind w:left="497" w:hanging="283"/>
              <w:rPr>
                <w:rFonts w:eastAsia="Arial"/>
              </w:rPr>
            </w:pPr>
            <w:r w:rsidRPr="008819AF">
              <w:rPr>
                <w:rFonts w:eastAsia="Arial"/>
              </w:rPr>
              <w:t>zariadenie je navrhnuté, vybavené a bude udržiavané a prevádzkované takým spôsobom, aby požiadavky tejto kapitoly boli splnené s prihliadnutím na kategórie spaľovaných alebo spoluspaľovaných odpadov;</w:t>
            </w:r>
          </w:p>
          <w:p w14:paraId="15132423" w14:textId="77777777" w:rsidR="007170C3" w:rsidRPr="008819AF" w:rsidRDefault="006F0418" w:rsidP="009C63CF">
            <w:pPr>
              <w:numPr>
                <w:ilvl w:val="0"/>
                <w:numId w:val="32"/>
              </w:numPr>
              <w:spacing w:after="120"/>
              <w:ind w:left="497" w:hanging="283"/>
              <w:rPr>
                <w:rFonts w:eastAsia="Arial"/>
              </w:rPr>
            </w:pPr>
            <w:r w:rsidRPr="008819AF">
              <w:rPr>
                <w:rFonts w:eastAsia="Arial"/>
              </w:rPr>
              <w:t>teplo vznikajúce v priebehu spaľovacieho alebo spoluspaľovacieho procesu sa v najväčšej možnej miere zužitkováva prostredníctvom výroby tepla, pary alebo elektriny;</w:t>
            </w:r>
          </w:p>
          <w:p w14:paraId="15132424" w14:textId="77777777" w:rsidR="007170C3" w:rsidRPr="008819AF" w:rsidRDefault="006F0418" w:rsidP="009C63CF">
            <w:pPr>
              <w:numPr>
                <w:ilvl w:val="0"/>
                <w:numId w:val="32"/>
              </w:numPr>
              <w:spacing w:after="120"/>
              <w:ind w:left="497" w:hanging="283"/>
              <w:rPr>
                <w:rFonts w:eastAsia="Arial"/>
              </w:rPr>
            </w:pPr>
            <w:r w:rsidRPr="008819AF">
              <w:rPr>
                <w:rFonts w:eastAsia="Arial"/>
              </w:rPr>
              <w:t>množstvo a škodlivosť zvyškov sa bude minimalizovať a budú sa podľa možností recyklovať;</w:t>
            </w:r>
          </w:p>
          <w:p w14:paraId="15132425" w14:textId="77777777" w:rsidR="007170C3" w:rsidRPr="008819AF" w:rsidRDefault="006F0418" w:rsidP="009C63CF">
            <w:pPr>
              <w:numPr>
                <w:ilvl w:val="0"/>
                <w:numId w:val="32"/>
              </w:numPr>
              <w:ind w:left="497" w:hanging="283"/>
              <w:rPr>
                <w:rFonts w:eastAsia="Arial"/>
              </w:rPr>
            </w:pPr>
            <w:r w:rsidRPr="008819AF">
              <w:rPr>
                <w:rFonts w:eastAsia="Arial"/>
              </w:rPr>
              <w:t>zvyšky, ktorých vzniku nie je možné zabrániť, ktorých množstvo nemožno znížiť, alebo ktoré nemožno recyklovať, sa budú zneškodňovať v súlade s vnútroštátnym právom a právom Únie.</w:t>
            </w:r>
          </w:p>
          <w:p w14:paraId="15132426" w14:textId="77777777" w:rsidR="007170C3" w:rsidRPr="008819AF" w:rsidRDefault="007170C3" w:rsidP="0021052F">
            <w:pPr>
              <w:pStyle w:val="Nadpis8"/>
              <w:jc w:val="left"/>
              <w:rPr>
                <w:rFonts w:ascii="Times New Roman" w:hAnsi="Times New Roman" w:cs="Times New Roman"/>
                <w:i w:val="0"/>
                <w:iCs w:val="0"/>
                <w:lang w:bidi="sk-SK"/>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427" w14:textId="77777777" w:rsidR="007170C3" w:rsidRPr="008819AF" w:rsidRDefault="006F0418" w:rsidP="0021052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428" w14:textId="77777777" w:rsidR="007170C3" w:rsidRPr="008819AF" w:rsidRDefault="00A32C9B" w:rsidP="0021052F">
            <w:pPr>
              <w:jc w:val="center"/>
              <w:rPr>
                <w:rFonts w:eastAsia="Arial"/>
                <w:lang w:bidi="cs-CZ"/>
              </w:rPr>
            </w:pPr>
            <w:r w:rsidRPr="008819AF">
              <w:rPr>
                <w:rFonts w:eastAsia="Arial"/>
                <w:lang w:bidi="cs-CZ"/>
              </w:rPr>
              <w:t>NZ</w:t>
            </w:r>
          </w:p>
          <w:p w14:paraId="15132429" w14:textId="77777777" w:rsidR="007170C3" w:rsidRPr="008819AF" w:rsidRDefault="007170C3" w:rsidP="0021052F">
            <w:pPr>
              <w:jc w:val="center"/>
              <w:rPr>
                <w:rFonts w:eastAsia="Arial"/>
                <w:lang w:bidi="cs-CZ"/>
              </w:rPr>
            </w:pPr>
          </w:p>
          <w:p w14:paraId="1513242A" w14:textId="77777777" w:rsidR="007170C3" w:rsidRPr="008819AF" w:rsidRDefault="007170C3"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42B" w14:textId="77777777" w:rsidR="007170C3" w:rsidRPr="008819AF" w:rsidRDefault="006F0418" w:rsidP="0021052F">
            <w:pPr>
              <w:pStyle w:val="Textpsmene"/>
              <w:ind w:left="0" w:firstLine="0"/>
              <w:jc w:val="center"/>
              <w:rPr>
                <w:rFonts w:ascii="Times New Roman" w:hAnsi="Times New Roman" w:cs="Times New Roman"/>
                <w:sz w:val="20"/>
                <w:szCs w:val="20"/>
              </w:rPr>
            </w:pPr>
            <w:r w:rsidRPr="008819AF">
              <w:rPr>
                <w:rFonts w:ascii="Times New Roman" w:hAnsi="Times New Roman" w:cs="Times New Roman"/>
                <w:sz w:val="20"/>
                <w:szCs w:val="20"/>
              </w:rPr>
              <w:t>§ 28</w:t>
            </w:r>
          </w:p>
          <w:p w14:paraId="1513242C" w14:textId="77777777" w:rsidR="007170C3" w:rsidRPr="008819AF" w:rsidRDefault="006F0418" w:rsidP="0021052F">
            <w:pPr>
              <w:pStyle w:val="Textpsmene"/>
              <w:ind w:left="0" w:firstLine="0"/>
              <w:jc w:val="center"/>
              <w:rPr>
                <w:rFonts w:ascii="Times New Roman" w:hAnsi="Times New Roman" w:cs="Times New Roman"/>
                <w:sz w:val="20"/>
                <w:szCs w:val="20"/>
              </w:rPr>
            </w:pPr>
            <w:r w:rsidRPr="008819AF">
              <w:rPr>
                <w:rFonts w:ascii="Times New Roman" w:hAnsi="Times New Roman" w:cs="Times New Roman"/>
                <w:sz w:val="20"/>
                <w:szCs w:val="20"/>
              </w:rPr>
              <w:t>O 2</w:t>
            </w:r>
          </w:p>
          <w:p w14:paraId="1513242D" w14:textId="77777777" w:rsidR="007170C3" w:rsidRPr="008819AF" w:rsidRDefault="007170C3" w:rsidP="0021052F">
            <w:pPr>
              <w:pStyle w:val="Textpsmene"/>
              <w:ind w:left="0" w:firstLine="0"/>
              <w:jc w:val="center"/>
              <w:rPr>
                <w:rFonts w:ascii="Times New Roman" w:hAnsi="Times New Roman" w:cs="Times New Roman"/>
                <w:sz w:val="20"/>
                <w:szCs w:val="20"/>
              </w:rPr>
            </w:pPr>
          </w:p>
          <w:p w14:paraId="1513242E" w14:textId="77777777" w:rsidR="007170C3" w:rsidRPr="008819AF" w:rsidRDefault="007170C3" w:rsidP="0021052F">
            <w:pPr>
              <w:pStyle w:val="Textpsmene"/>
              <w:ind w:left="0" w:firstLine="0"/>
              <w:jc w:val="center"/>
              <w:rPr>
                <w:rFonts w:ascii="Times New Roman" w:hAnsi="Times New Roman" w:cs="Times New Roman"/>
                <w:sz w:val="20"/>
                <w:szCs w:val="20"/>
              </w:rPr>
            </w:pPr>
          </w:p>
          <w:p w14:paraId="1513242F" w14:textId="77777777" w:rsidR="007170C3" w:rsidRPr="008819AF" w:rsidRDefault="00563A35" w:rsidP="0021052F">
            <w:pPr>
              <w:pStyle w:val="Textpsmene"/>
              <w:ind w:left="0" w:firstLine="0"/>
              <w:jc w:val="center"/>
              <w:rPr>
                <w:rFonts w:ascii="Times New Roman" w:hAnsi="Times New Roman" w:cs="Times New Roman"/>
                <w:sz w:val="20"/>
                <w:szCs w:val="20"/>
              </w:rPr>
            </w:pPr>
            <w:r w:rsidRPr="008819AF">
              <w:rPr>
                <w:rFonts w:ascii="Times New Roman" w:hAnsi="Times New Roman" w:cs="Times New Roman"/>
                <w:sz w:val="20"/>
                <w:szCs w:val="20"/>
              </w:rPr>
              <w:t>Príloha č. 6 bod 3</w:t>
            </w:r>
          </w:p>
        </w:tc>
        <w:tc>
          <w:tcPr>
            <w:tcW w:w="5664" w:type="dxa"/>
            <w:gridSpan w:val="5"/>
            <w:tcBorders>
              <w:top w:val="single" w:sz="4" w:space="0" w:color="000000"/>
              <w:left w:val="single" w:sz="6" w:space="0" w:color="000000"/>
              <w:bottom w:val="single" w:sz="4" w:space="0" w:color="000000"/>
              <w:right w:val="single" w:sz="6" w:space="0" w:color="000000"/>
            </w:tcBorders>
          </w:tcPr>
          <w:p w14:paraId="15132430" w14:textId="77777777" w:rsidR="007170C3" w:rsidRPr="008819AF" w:rsidRDefault="0031718E" w:rsidP="0021052F">
            <w:pPr>
              <w:pStyle w:val="Nra"/>
              <w:shd w:val="clear" w:color="FFFFFF" w:fill="auto"/>
              <w:rPr>
                <w:rFonts w:ascii="Times New Roman" w:hAnsi="Times New Roman" w:cs="Times New Roman"/>
              </w:rPr>
            </w:pPr>
            <w:r w:rsidRPr="008819AF">
              <w:rPr>
                <w:rFonts w:ascii="Times New Roman" w:eastAsia="a*i*l" w:hAnsi="Times New Roman" w:cs="Times New Roman"/>
              </w:rPr>
              <w:t>Podrobnosti o obsahu žiadosti na vydanie povolenia zdroja pre spaľovňu odpadov a pre zariadenie na spoluspaľovanie odpadov sú uvedené v prílohe č. 6 treťom bode.</w:t>
            </w:r>
          </w:p>
          <w:p w14:paraId="15132431" w14:textId="77777777" w:rsidR="007170C3" w:rsidRPr="008819AF" w:rsidRDefault="007170C3" w:rsidP="0021052F">
            <w:pPr>
              <w:pStyle w:val="Nra"/>
              <w:shd w:val="clear" w:color="FFFFFF" w:fill="auto"/>
              <w:rPr>
                <w:rFonts w:ascii="Times New Roman" w:hAnsi="Times New Roman" w:cs="Times New Roman"/>
              </w:rPr>
            </w:pPr>
          </w:p>
          <w:p w14:paraId="15132432" w14:textId="77777777" w:rsidR="0031718E" w:rsidRPr="008819AF" w:rsidRDefault="0031718E" w:rsidP="0031718E">
            <w:pPr>
              <w:pStyle w:val="Nra"/>
              <w:shd w:val="clear" w:color="FFFFFF" w:fill="auto"/>
              <w:rPr>
                <w:rFonts w:ascii="Times New Roman" w:eastAsia="a*i*l" w:hAnsi="Times New Roman" w:cs="Times New Roman"/>
              </w:rPr>
            </w:pPr>
            <w:r w:rsidRPr="008819AF">
              <w:rPr>
                <w:rFonts w:ascii="Times New Roman" w:eastAsia="a*i*l" w:hAnsi="Times New Roman" w:cs="Times New Roman"/>
              </w:rPr>
              <w:t>Žiadosť podľa § 28 ods. 2 pre spaľovňu odpadov a zariadenie na spoluspaľovanie odpadov okrem náležitostí podľa odseku 2 obsahuje opis opatrení a skutočnosti, ktoré preukazujú, že</w:t>
            </w:r>
          </w:p>
          <w:p w14:paraId="15132433" w14:textId="77777777" w:rsidR="0031718E" w:rsidRPr="008819AF" w:rsidRDefault="0031718E" w:rsidP="0031718E">
            <w:pPr>
              <w:pStyle w:val="Nra"/>
              <w:shd w:val="clear" w:color="FFFFFF" w:fill="auto"/>
              <w:rPr>
                <w:rFonts w:ascii="Times New Roman" w:eastAsia="a*i*l" w:hAnsi="Times New Roman" w:cs="Times New Roman"/>
              </w:rPr>
            </w:pPr>
            <w:r w:rsidRPr="008819AF">
              <w:rPr>
                <w:rFonts w:ascii="Times New Roman" w:eastAsia="a*i*l" w:hAnsi="Times New Roman" w:cs="Times New Roman"/>
              </w:rPr>
              <w:t>a) spaľovňa odpadov alebo zariadenie na spoluspaľovanie odpadov sú navrhnuté, vybavené a budú prevádzkované a udržiavané v súlade s požiadavkami ustanovenými vykonávacím predpisom podľa § 62 písm. f) a osobitnými predpismi</w:t>
            </w:r>
            <w:r w:rsidR="00614A68" w:rsidRPr="008819AF">
              <w:rPr>
                <w:rFonts w:ascii="Times New Roman" w:eastAsia="a*i*l" w:hAnsi="Times New Roman" w:cs="Times New Roman"/>
              </w:rPr>
              <w:t>125</w:t>
            </w:r>
            <w:r w:rsidRPr="008819AF">
              <w:rPr>
                <w:rFonts w:ascii="Times New Roman" w:eastAsia="a*i*l" w:hAnsi="Times New Roman" w:cs="Times New Roman"/>
              </w:rPr>
              <w:t>) a pri spaľovaní zohľadňujú kategórie a druhy odpadov,</w:t>
            </w:r>
          </w:p>
          <w:p w14:paraId="15132434" w14:textId="77777777" w:rsidR="0031718E" w:rsidRPr="008819AF" w:rsidRDefault="0031718E" w:rsidP="0031718E">
            <w:pPr>
              <w:pStyle w:val="Nra"/>
              <w:shd w:val="clear" w:color="FFFFFF" w:fill="auto"/>
              <w:rPr>
                <w:rFonts w:ascii="Times New Roman" w:eastAsia="a*i*l" w:hAnsi="Times New Roman" w:cs="Times New Roman"/>
              </w:rPr>
            </w:pPr>
            <w:r w:rsidRPr="008819AF">
              <w:rPr>
                <w:rFonts w:ascii="Times New Roman" w:eastAsia="a*i*l" w:hAnsi="Times New Roman" w:cs="Times New Roman"/>
              </w:rPr>
              <w:t>b) teplo uvoľnené pri spaľovaní odpadov sa podľa možnosti riešenia bude maximálne využívať, napríklad na kombinovanú výrobu tepla a elektriny, na výrobu pary na priemyselné účely alebo na miestne a diaľkové vykurovanie,</w:t>
            </w:r>
          </w:p>
          <w:p w14:paraId="15132435" w14:textId="77777777" w:rsidR="0031718E" w:rsidRPr="008819AF" w:rsidRDefault="0031718E" w:rsidP="0031718E">
            <w:pPr>
              <w:pStyle w:val="Nra"/>
              <w:shd w:val="clear" w:color="FFFFFF" w:fill="auto"/>
              <w:rPr>
                <w:rFonts w:ascii="Times New Roman" w:eastAsia="a*i*l" w:hAnsi="Times New Roman" w:cs="Times New Roman"/>
              </w:rPr>
            </w:pPr>
            <w:r w:rsidRPr="008819AF">
              <w:rPr>
                <w:rFonts w:ascii="Times New Roman" w:eastAsia="a*i*l" w:hAnsi="Times New Roman" w:cs="Times New Roman"/>
              </w:rPr>
              <w:t>c) navrhnutý systém merania znečisťujúcich látok vypúšťaných do ovzdušia a zisťovania technických požiadaviek a podmienok prevádzkovania obsahuje údaje podľa § 28 ods. 1 písm. d) a e) a odseku 3 a zodpovedá špecifickým požiadavkám ustanoveným vykonávacími predpismi podľa § 62 písm. f) a g),</w:t>
            </w:r>
          </w:p>
          <w:p w14:paraId="15132436" w14:textId="77777777" w:rsidR="0031718E" w:rsidRPr="008819AF" w:rsidRDefault="0031718E" w:rsidP="0031718E">
            <w:pPr>
              <w:pStyle w:val="Nra"/>
              <w:shd w:val="clear" w:color="FFFFFF" w:fill="auto"/>
              <w:rPr>
                <w:rFonts w:ascii="Times New Roman" w:eastAsia="a*i*l" w:hAnsi="Times New Roman" w:cs="Times New Roman"/>
              </w:rPr>
            </w:pPr>
            <w:r w:rsidRPr="008819AF">
              <w:rPr>
                <w:rFonts w:ascii="Times New Roman" w:eastAsia="a*i*l" w:hAnsi="Times New Roman" w:cs="Times New Roman"/>
              </w:rPr>
              <w:t>d) množstvo a škodlivosť tuhých a kvapalných zvyškov vznikajúcich pri procesoch spaľovania odpadov sa bude minimalizovať a zvyšky sa budú podľa možnosti recyklovať,</w:t>
            </w:r>
          </w:p>
          <w:p w14:paraId="15132437" w14:textId="77777777" w:rsidR="0031718E" w:rsidRPr="008819AF" w:rsidRDefault="0031718E" w:rsidP="0031718E">
            <w:pPr>
              <w:pStyle w:val="Nra"/>
              <w:shd w:val="clear" w:color="FFFFFF" w:fill="auto"/>
              <w:rPr>
                <w:rFonts w:ascii="Times New Roman" w:eastAsia="a*i*l" w:hAnsi="Times New Roman" w:cs="Times New Roman"/>
              </w:rPr>
            </w:pPr>
            <w:r w:rsidRPr="008819AF">
              <w:rPr>
                <w:rFonts w:ascii="Times New Roman" w:eastAsia="a*i*l" w:hAnsi="Times New Roman" w:cs="Times New Roman"/>
              </w:rPr>
              <w:t>e) zvyšky, ktorých vzniku nie je možné zabrániť a ktorých množstvo nemožno zmenšiť, alebo sa nedajú recyklovať, sa budú zneškodňovať v</w:t>
            </w:r>
            <w:r w:rsidR="00614A68" w:rsidRPr="008819AF">
              <w:rPr>
                <w:rFonts w:ascii="Times New Roman" w:eastAsia="a*i*l" w:hAnsi="Times New Roman" w:cs="Times New Roman"/>
              </w:rPr>
              <w:t xml:space="preserve"> súlade s osobitnými predpismi,126</w:t>
            </w:r>
            <w:r w:rsidRPr="008819AF">
              <w:rPr>
                <w:rFonts w:ascii="Times New Roman" w:eastAsia="a*i*l" w:hAnsi="Times New Roman" w:cs="Times New Roman"/>
              </w:rPr>
              <w:t>)</w:t>
            </w:r>
          </w:p>
          <w:p w14:paraId="15132438" w14:textId="77777777" w:rsidR="0031718E" w:rsidRPr="008819AF" w:rsidRDefault="0031718E" w:rsidP="0031718E">
            <w:pPr>
              <w:pStyle w:val="Nra"/>
              <w:shd w:val="clear" w:color="FFFFFF" w:fill="auto"/>
              <w:rPr>
                <w:rFonts w:ascii="Times New Roman" w:eastAsia="a*i*l" w:hAnsi="Times New Roman" w:cs="Times New Roman"/>
              </w:rPr>
            </w:pPr>
            <w:r w:rsidRPr="008819AF">
              <w:rPr>
                <w:rFonts w:ascii="Times New Roman" w:eastAsia="a*i*l" w:hAnsi="Times New Roman" w:cs="Times New Roman"/>
              </w:rPr>
              <w:t>f) informáciu o druhu činnosti zhodnocova</w:t>
            </w:r>
            <w:r w:rsidR="00614A68" w:rsidRPr="008819AF">
              <w:rPr>
                <w:rFonts w:ascii="Times New Roman" w:eastAsia="a*i*l" w:hAnsi="Times New Roman" w:cs="Times New Roman"/>
              </w:rPr>
              <w:t>nia odpadov58</w:t>
            </w:r>
            <w:r w:rsidRPr="008819AF">
              <w:rPr>
                <w:rFonts w:ascii="Times New Roman" w:eastAsia="a*i*l" w:hAnsi="Times New Roman" w:cs="Times New Roman"/>
              </w:rPr>
              <w:t xml:space="preserve">) alebo </w:t>
            </w:r>
            <w:r w:rsidRPr="008819AF">
              <w:rPr>
                <w:rFonts w:ascii="Times New Roman" w:eastAsia="a*i*l" w:hAnsi="Times New Roman" w:cs="Times New Roman"/>
              </w:rPr>
              <w:lastRenderedPageBreak/>
              <w:t>či</w:t>
            </w:r>
            <w:r w:rsidR="00614A68" w:rsidRPr="008819AF">
              <w:rPr>
                <w:rFonts w:ascii="Times New Roman" w:eastAsia="a*i*l" w:hAnsi="Times New Roman" w:cs="Times New Roman"/>
              </w:rPr>
              <w:t>nnosti zneškodňovania odpadov.59</w:t>
            </w:r>
            <w:r w:rsidRPr="008819AF">
              <w:rPr>
                <w:rFonts w:ascii="Times New Roman" w:eastAsia="a*i*l" w:hAnsi="Times New Roman" w:cs="Times New Roman"/>
              </w:rPr>
              <w:t>)</w:t>
            </w:r>
          </w:p>
          <w:p w14:paraId="15132439" w14:textId="77777777" w:rsidR="007170C3" w:rsidRPr="008819AF" w:rsidRDefault="007170C3" w:rsidP="0021052F">
            <w:pPr>
              <w:tabs>
                <w:tab w:val="left" w:pos="357"/>
              </w:tabs>
              <w:ind w:left="357"/>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243A" w14:textId="77777777" w:rsidR="007170C3" w:rsidRPr="008819AF" w:rsidRDefault="006F0418" w:rsidP="0021052F">
            <w:pPr>
              <w:ind w:left="215" w:hanging="215"/>
              <w:rPr>
                <w:rFonts w:eastAsia="Arial"/>
                <w:lang w:bidi="cs-CZ"/>
              </w:rPr>
            </w:pPr>
            <w:r w:rsidRPr="008819AF">
              <w:rPr>
                <w:rFonts w:eastAsia="Arial"/>
                <w:lang w:bidi="cs-CZ"/>
              </w:rPr>
              <w:lastRenderedPageBreak/>
              <w:t>Ú</w:t>
            </w:r>
          </w:p>
          <w:p w14:paraId="1513243B" w14:textId="77777777" w:rsidR="00F929C5" w:rsidRPr="008819AF" w:rsidRDefault="00F929C5" w:rsidP="0021052F">
            <w:pPr>
              <w:ind w:left="215" w:hanging="215"/>
              <w:rPr>
                <w:rFonts w:eastAsia="Arial"/>
                <w:lang w:bidi="cs-CZ"/>
              </w:rPr>
            </w:pPr>
          </w:p>
          <w:p w14:paraId="1513243C" w14:textId="77777777" w:rsidR="00F929C5" w:rsidRPr="008819AF" w:rsidRDefault="00F929C5" w:rsidP="0021052F">
            <w:pPr>
              <w:ind w:left="215" w:hanging="215"/>
              <w:rPr>
                <w:rFonts w:eastAsia="Arial"/>
                <w:lang w:bidi="cs-CZ"/>
              </w:rPr>
            </w:pPr>
          </w:p>
          <w:p w14:paraId="1513243D" w14:textId="77777777" w:rsidR="00F929C5" w:rsidRPr="008819AF" w:rsidRDefault="00F929C5" w:rsidP="0021052F">
            <w:pPr>
              <w:ind w:left="215" w:hanging="215"/>
              <w:rPr>
                <w:rFonts w:eastAsia="Arial"/>
                <w:lang w:bidi="cs-CZ"/>
              </w:rPr>
            </w:pPr>
          </w:p>
          <w:p w14:paraId="1513243E" w14:textId="77777777" w:rsidR="00F929C5" w:rsidRPr="008819AF" w:rsidRDefault="00F929C5" w:rsidP="00F929C5">
            <w:pPr>
              <w:ind w:left="215" w:hanging="215"/>
              <w:rPr>
                <w:rFonts w:eastAsia="Arial"/>
                <w:lang w:bidi="cs-CZ"/>
              </w:rPr>
            </w:pPr>
            <w:r w:rsidRPr="008819AF">
              <w:rPr>
                <w:rFonts w:eastAsia="Arial"/>
                <w:lang w:bidi="cs-CZ"/>
              </w:rPr>
              <w:t>Ú</w:t>
            </w:r>
          </w:p>
          <w:p w14:paraId="1513243F" w14:textId="77777777" w:rsidR="00F929C5" w:rsidRPr="008819AF" w:rsidRDefault="00F929C5"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440" w14:textId="77777777" w:rsidR="007170C3" w:rsidRPr="008819AF" w:rsidRDefault="007170C3" w:rsidP="0021052F">
            <w:pPr>
              <w:ind w:left="215" w:hanging="215"/>
              <w:rPr>
                <w:rFonts w:eastAsia="Arial"/>
                <w:lang w:bidi="cs-CZ"/>
              </w:rPr>
            </w:pPr>
          </w:p>
        </w:tc>
      </w:tr>
      <w:tr w:rsidR="00F80158" w:rsidRPr="008819AF" w14:paraId="151325BC" w14:textId="77777777" w:rsidTr="003E351D">
        <w:trPr>
          <w:trHeight w:val="539"/>
          <w:jc w:val="center"/>
        </w:trPr>
        <w:tc>
          <w:tcPr>
            <w:tcW w:w="483" w:type="dxa"/>
            <w:tcBorders>
              <w:top w:val="single" w:sz="4" w:space="0" w:color="000000"/>
              <w:left w:val="single" w:sz="6" w:space="0" w:color="000000"/>
              <w:bottom w:val="single" w:sz="4" w:space="0" w:color="000000"/>
              <w:right w:val="single" w:sz="6" w:space="0" w:color="000000"/>
            </w:tcBorders>
          </w:tcPr>
          <w:p w14:paraId="15132442" w14:textId="77777777" w:rsidR="007170C3" w:rsidRPr="008819AF" w:rsidRDefault="006F0418" w:rsidP="003E351D">
            <w:pPr>
              <w:ind w:right="-70"/>
              <w:rPr>
                <w:rFonts w:eastAsia="Arial"/>
                <w:lang w:bidi="cs-CZ"/>
              </w:rPr>
            </w:pPr>
            <w:r w:rsidRPr="008819AF">
              <w:rPr>
                <w:rFonts w:eastAsia="Arial"/>
                <w:lang w:bidi="cs-CZ"/>
              </w:rPr>
              <w:t>Č:45</w:t>
            </w:r>
          </w:p>
        </w:tc>
        <w:tc>
          <w:tcPr>
            <w:tcW w:w="6227" w:type="dxa"/>
            <w:gridSpan w:val="2"/>
            <w:tcBorders>
              <w:top w:val="single" w:sz="4" w:space="0" w:color="000000"/>
              <w:left w:val="single" w:sz="6" w:space="0" w:color="000000"/>
              <w:bottom w:val="single" w:sz="4" w:space="0" w:color="000000"/>
              <w:right w:val="single" w:sz="6" w:space="0" w:color="000000"/>
            </w:tcBorders>
          </w:tcPr>
          <w:p w14:paraId="15132443" w14:textId="77777777" w:rsidR="007170C3" w:rsidRPr="008819AF" w:rsidRDefault="006F0418" w:rsidP="0021052F">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Článok 45</w:t>
            </w:r>
          </w:p>
          <w:p w14:paraId="15132444" w14:textId="77777777" w:rsidR="007170C3" w:rsidRPr="008819AF" w:rsidRDefault="006F0418" w:rsidP="0021052F">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Podmienky povolenia</w:t>
            </w:r>
          </w:p>
          <w:p w14:paraId="15132445" w14:textId="77777777" w:rsidR="007170C3" w:rsidRPr="008819AF" w:rsidRDefault="007170C3" w:rsidP="0021052F">
            <w:pPr>
              <w:pStyle w:val="Default"/>
              <w:rPr>
                <w:rFonts w:ascii="Times New Roman" w:eastAsia="Arial" w:hAnsi="Times New Roman" w:cs="Times New Roman"/>
                <w:color w:val="auto"/>
                <w:sz w:val="20"/>
                <w:szCs w:val="20"/>
              </w:rPr>
            </w:pPr>
          </w:p>
          <w:p w14:paraId="15132446" w14:textId="77777777" w:rsidR="007170C3" w:rsidRPr="008819AF" w:rsidRDefault="006F0418" w:rsidP="0021052F">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Povolenie obsahuje tieto údaje:</w:t>
            </w:r>
          </w:p>
          <w:p w14:paraId="15132447" w14:textId="77777777" w:rsidR="007170C3" w:rsidRPr="008819AF" w:rsidRDefault="007170C3" w:rsidP="0021052F">
            <w:pPr>
              <w:pStyle w:val="Default"/>
              <w:rPr>
                <w:rFonts w:ascii="Times New Roman" w:eastAsia="Arial" w:hAnsi="Times New Roman" w:cs="Times New Roman"/>
                <w:color w:val="auto"/>
                <w:sz w:val="20"/>
                <w:szCs w:val="20"/>
              </w:rPr>
            </w:pPr>
          </w:p>
          <w:p w14:paraId="15132448" w14:textId="77777777" w:rsidR="007170C3" w:rsidRPr="008819AF" w:rsidRDefault="006F0418" w:rsidP="009C63CF">
            <w:pPr>
              <w:pStyle w:val="Default"/>
              <w:numPr>
                <w:ilvl w:val="0"/>
                <w:numId w:val="33"/>
              </w:numPr>
              <w:spacing w:after="120"/>
              <w:ind w:left="45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zoznam všetkých druhov odpadov, ktoré možno spracovávať, pričom sa v prípade, ak je to možné, použijú aspoň tie druhy odpadov, ktoré sú stanovené v európskom zozname odpadov ustanovenom rozhodnutím 2000/532/ES, a ktorý v prípade potreby obsahuje informácie o množstvách každého druhu odpadov;</w:t>
            </w:r>
          </w:p>
          <w:p w14:paraId="15132449" w14:textId="77777777" w:rsidR="007170C3" w:rsidRPr="008819AF" w:rsidRDefault="006F0418" w:rsidP="009C63CF">
            <w:pPr>
              <w:pStyle w:val="Default"/>
              <w:numPr>
                <w:ilvl w:val="0"/>
                <w:numId w:val="33"/>
              </w:numPr>
              <w:spacing w:after="120"/>
              <w:ind w:left="45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celková kapacita spaľovne odpadov alebo zariadenia na spoluspaľovanie odpadov;</w:t>
            </w:r>
          </w:p>
          <w:p w14:paraId="1513244A" w14:textId="77777777" w:rsidR="007170C3" w:rsidRPr="008819AF" w:rsidRDefault="006F0418" w:rsidP="009C63CF">
            <w:pPr>
              <w:pStyle w:val="Default"/>
              <w:numPr>
                <w:ilvl w:val="0"/>
                <w:numId w:val="33"/>
              </w:numPr>
              <w:spacing w:after="120"/>
              <w:ind w:left="45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emisné limity do ovzdušia a vody;</w:t>
            </w:r>
          </w:p>
          <w:p w14:paraId="1513244B" w14:textId="77777777" w:rsidR="007170C3" w:rsidRPr="008819AF" w:rsidRDefault="006F0418" w:rsidP="009C63CF">
            <w:pPr>
              <w:pStyle w:val="Default"/>
              <w:numPr>
                <w:ilvl w:val="0"/>
                <w:numId w:val="33"/>
              </w:numPr>
              <w:spacing w:after="120"/>
              <w:ind w:left="45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požiadavky pre pH, teplotu a prietok vypúšťania odpadových vôd;</w:t>
            </w:r>
          </w:p>
          <w:p w14:paraId="1513244C" w14:textId="77777777" w:rsidR="007170C3" w:rsidRPr="008819AF" w:rsidRDefault="006F0418" w:rsidP="009C63CF">
            <w:pPr>
              <w:pStyle w:val="Default"/>
              <w:numPr>
                <w:ilvl w:val="0"/>
                <w:numId w:val="33"/>
              </w:numPr>
              <w:spacing w:after="120"/>
              <w:ind w:left="45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postupy odberu vzoriek a meracie postupy a frekvencie, ktoré sa majú používať v záujme dodržiavania podmienok stanovených pre monitorovanie emisií;</w:t>
            </w:r>
          </w:p>
          <w:p w14:paraId="1513244D" w14:textId="77777777" w:rsidR="007170C3" w:rsidRPr="008819AF" w:rsidRDefault="006F0418" w:rsidP="009C63CF">
            <w:pPr>
              <w:pStyle w:val="Default"/>
              <w:numPr>
                <w:ilvl w:val="0"/>
                <w:numId w:val="33"/>
              </w:numPr>
              <w:tabs>
                <w:tab w:val="left" w:pos="227"/>
              </w:tabs>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maximálna povolená doba všetkých technicky nevyhnutných odstávok, porúch</w:t>
            </w:r>
            <w:r w:rsidRPr="008819AF">
              <w:rPr>
                <w:rFonts w:ascii="Times New Roman" w:hAnsi="Times New Roman" w:cs="Times New Roman"/>
                <w:color w:val="auto"/>
                <w:sz w:val="20"/>
                <w:szCs w:val="20"/>
              </w:rPr>
              <w:t xml:space="preserve"> </w:t>
            </w:r>
            <w:r w:rsidRPr="008819AF">
              <w:rPr>
                <w:rFonts w:ascii="Times New Roman" w:eastAsia="Arial" w:hAnsi="Times New Roman" w:cs="Times New Roman"/>
                <w:color w:val="auto"/>
                <w:sz w:val="20"/>
                <w:szCs w:val="20"/>
              </w:rPr>
              <w:t>alebo výpadkov čistiacich alebo meracích zariadení, počas ktorých môžu emisie do ovzdušia a vypúšťanie odpadových vôd prekročiť predpísané emisné limity.</w:t>
            </w:r>
          </w:p>
          <w:p w14:paraId="1513244E" w14:textId="77777777" w:rsidR="007170C3" w:rsidRPr="008819AF" w:rsidRDefault="007170C3" w:rsidP="0021052F">
            <w:pPr>
              <w:pStyle w:val="Default"/>
              <w:rPr>
                <w:rFonts w:ascii="Times New Roman" w:eastAsia="Arial" w:hAnsi="Times New Roman" w:cs="Times New Roman"/>
                <w:color w:val="auto"/>
                <w:sz w:val="20"/>
                <w:szCs w:val="20"/>
              </w:rPr>
            </w:pPr>
          </w:p>
          <w:p w14:paraId="1513244F" w14:textId="77777777" w:rsidR="007170C3" w:rsidRPr="008819AF" w:rsidRDefault="006F0418" w:rsidP="0021052F">
            <w:pPr>
              <w:pStyle w:val="Default"/>
              <w:ind w:left="214" w:hanging="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 Okrem požiadaviek stanovených v odseku 1 povolenie pre spaľovňu odpadov alebo zariadenie na spoluspaľovanie odpadov, ktoré používajú nebezpečné odpady, obsahuje tieto údaje:</w:t>
            </w:r>
          </w:p>
          <w:p w14:paraId="15132450" w14:textId="77777777" w:rsidR="007170C3" w:rsidRPr="008819AF" w:rsidRDefault="007170C3" w:rsidP="0021052F">
            <w:pPr>
              <w:pStyle w:val="Default"/>
              <w:rPr>
                <w:rFonts w:ascii="Times New Roman" w:eastAsia="Arial" w:hAnsi="Times New Roman" w:cs="Times New Roman"/>
                <w:color w:val="auto"/>
                <w:sz w:val="20"/>
                <w:szCs w:val="20"/>
              </w:rPr>
            </w:pPr>
          </w:p>
          <w:p w14:paraId="15132451" w14:textId="77777777" w:rsidR="007170C3" w:rsidRPr="008819AF" w:rsidRDefault="006F0418" w:rsidP="009C63CF">
            <w:pPr>
              <w:pStyle w:val="Default"/>
              <w:numPr>
                <w:ilvl w:val="0"/>
                <w:numId w:val="34"/>
              </w:numPr>
              <w:tabs>
                <w:tab w:val="left" w:pos="227"/>
              </w:tabs>
              <w:spacing w:after="120"/>
              <w:ind w:left="45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zoznam množstiev rôznych kategórií nebezpečných odpadov, ktoré sa môžu spracovávať;</w:t>
            </w:r>
          </w:p>
          <w:p w14:paraId="15132452" w14:textId="77777777" w:rsidR="007170C3" w:rsidRPr="008819AF" w:rsidRDefault="006F0418" w:rsidP="009C63CF">
            <w:pPr>
              <w:pStyle w:val="Default"/>
              <w:numPr>
                <w:ilvl w:val="0"/>
                <w:numId w:val="34"/>
              </w:numPr>
              <w:tabs>
                <w:tab w:val="left" w:pos="227"/>
              </w:tabs>
              <w:spacing w:after="120"/>
              <w:ind w:left="45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minimálne a maximálne materiálové toky týchto nebezpečných odpadov, ich najnižšie a najvyššie hodnoty spalného tepla a ich maximálny obsah polychlórovaných bifenylov, pentachlórovaného fenolu, chlóru, fluóru, síry, ťažkých kovov a iných znečisťujúcich látok.</w:t>
            </w:r>
          </w:p>
          <w:p w14:paraId="15132453" w14:textId="77777777" w:rsidR="007170C3" w:rsidRPr="008819AF" w:rsidRDefault="007170C3" w:rsidP="0021052F">
            <w:pPr>
              <w:pStyle w:val="Default"/>
              <w:rPr>
                <w:rFonts w:ascii="Times New Roman" w:eastAsia="Arial" w:hAnsi="Times New Roman" w:cs="Times New Roman"/>
                <w:color w:val="auto"/>
                <w:sz w:val="20"/>
                <w:szCs w:val="20"/>
              </w:rPr>
            </w:pPr>
          </w:p>
          <w:p w14:paraId="15132454" w14:textId="77777777" w:rsidR="007170C3" w:rsidRPr="008819AF" w:rsidRDefault="006F0418" w:rsidP="0021052F">
            <w:pPr>
              <w:pStyle w:val="Default"/>
              <w:ind w:left="214" w:hanging="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 Členské štáty môžu vytvoriť zoznam kategórií odpadov, ktoré má obsahovať povolenie, a ktoré sa môžu spoluspaľovať v určitých kategóriách zariadení na spoluspaľovanie odpadov.</w:t>
            </w:r>
          </w:p>
          <w:p w14:paraId="15132455" w14:textId="77777777" w:rsidR="007170C3" w:rsidRPr="008819AF" w:rsidRDefault="007170C3" w:rsidP="0021052F">
            <w:pPr>
              <w:pStyle w:val="Default"/>
              <w:ind w:left="214" w:hanging="214"/>
              <w:rPr>
                <w:rFonts w:ascii="Times New Roman" w:eastAsia="Arial" w:hAnsi="Times New Roman" w:cs="Times New Roman"/>
                <w:color w:val="auto"/>
                <w:sz w:val="20"/>
                <w:szCs w:val="20"/>
              </w:rPr>
            </w:pPr>
          </w:p>
          <w:p w14:paraId="15132456"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57"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58"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59"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5A"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5B"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5C"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5D"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5E"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5F"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0"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1"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2"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3"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4"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5"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6"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7"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8"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9"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A"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B"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C"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D"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E"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6F"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70"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71"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472" w14:textId="77777777" w:rsidR="007170C3" w:rsidRPr="008819AF" w:rsidRDefault="006F0418" w:rsidP="0021052F">
            <w:pPr>
              <w:pStyle w:val="Default"/>
              <w:ind w:left="214" w:hanging="214"/>
              <w:rPr>
                <w:rFonts w:ascii="Times New Roman" w:hAnsi="Times New Roman" w:cs="Times New Roman"/>
                <w:i/>
                <w:iCs/>
                <w:color w:val="auto"/>
                <w:sz w:val="20"/>
                <w:szCs w:val="20"/>
              </w:rPr>
            </w:pPr>
            <w:r w:rsidRPr="008819AF">
              <w:rPr>
                <w:rFonts w:ascii="Times New Roman" w:eastAsia="Arial" w:hAnsi="Times New Roman" w:cs="Times New Roman"/>
                <w:color w:val="auto"/>
                <w:sz w:val="20"/>
                <w:szCs w:val="20"/>
              </w:rPr>
              <w:t>4. Príslušný orgán musí pravidelne prehodnocovať a, ak je to potrebné, aktualizovať podmienky povolenia.</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473" w14:textId="77777777" w:rsidR="007170C3" w:rsidRPr="008819AF" w:rsidRDefault="006F0418" w:rsidP="0021052F">
            <w:pPr>
              <w:ind w:left="215" w:hanging="215"/>
              <w:jc w:val="center"/>
              <w:rPr>
                <w:rFonts w:eastAsia="Arial"/>
                <w:lang w:bidi="cs-CZ"/>
              </w:rPr>
            </w:pPr>
            <w:r w:rsidRPr="008819AF">
              <w:rPr>
                <w:rFonts w:eastAsia="Arial"/>
                <w:lang w:bidi="cs-CZ"/>
              </w:rPr>
              <w:lastRenderedPageBreak/>
              <w:t>N</w:t>
            </w:r>
          </w:p>
          <w:p w14:paraId="15132474" w14:textId="77777777" w:rsidR="007170C3" w:rsidRPr="008819AF" w:rsidRDefault="007170C3" w:rsidP="0021052F">
            <w:pPr>
              <w:ind w:left="215" w:hanging="215"/>
              <w:jc w:val="center"/>
              <w:rPr>
                <w:rFonts w:eastAsia="Arial"/>
                <w:lang w:bidi="cs-CZ"/>
              </w:rPr>
            </w:pPr>
          </w:p>
          <w:p w14:paraId="15132475" w14:textId="77777777" w:rsidR="007170C3" w:rsidRPr="008819AF" w:rsidRDefault="007170C3" w:rsidP="0021052F">
            <w:pPr>
              <w:ind w:left="215" w:hanging="215"/>
              <w:jc w:val="center"/>
              <w:rPr>
                <w:rFonts w:eastAsia="Arial"/>
                <w:lang w:bidi="cs-CZ"/>
              </w:rPr>
            </w:pPr>
          </w:p>
          <w:p w14:paraId="15132476" w14:textId="77777777" w:rsidR="007170C3" w:rsidRPr="008819AF" w:rsidRDefault="007170C3" w:rsidP="0021052F">
            <w:pPr>
              <w:ind w:left="215" w:hanging="215"/>
              <w:jc w:val="center"/>
              <w:rPr>
                <w:rFonts w:eastAsia="Arial"/>
                <w:lang w:bidi="cs-CZ"/>
              </w:rPr>
            </w:pPr>
          </w:p>
          <w:p w14:paraId="15132477" w14:textId="77777777" w:rsidR="007170C3" w:rsidRPr="008819AF" w:rsidRDefault="007170C3" w:rsidP="0021052F">
            <w:pPr>
              <w:ind w:left="215" w:hanging="215"/>
              <w:jc w:val="center"/>
              <w:rPr>
                <w:rFonts w:eastAsia="Arial"/>
                <w:lang w:bidi="cs-CZ"/>
              </w:rPr>
            </w:pPr>
          </w:p>
          <w:p w14:paraId="15132478" w14:textId="77777777" w:rsidR="007170C3" w:rsidRPr="008819AF" w:rsidRDefault="007170C3" w:rsidP="0021052F">
            <w:pPr>
              <w:ind w:left="215" w:hanging="215"/>
              <w:jc w:val="center"/>
              <w:rPr>
                <w:rFonts w:eastAsia="Arial"/>
                <w:lang w:bidi="cs-CZ"/>
              </w:rPr>
            </w:pPr>
          </w:p>
          <w:p w14:paraId="15132479" w14:textId="77777777" w:rsidR="007170C3" w:rsidRPr="008819AF" w:rsidRDefault="007170C3" w:rsidP="0021052F">
            <w:pPr>
              <w:ind w:left="215" w:hanging="215"/>
              <w:jc w:val="center"/>
              <w:rPr>
                <w:rFonts w:eastAsia="Arial"/>
                <w:lang w:bidi="cs-CZ"/>
              </w:rPr>
            </w:pPr>
          </w:p>
          <w:p w14:paraId="1513247A" w14:textId="77777777" w:rsidR="007170C3" w:rsidRPr="008819AF" w:rsidRDefault="007170C3" w:rsidP="0021052F">
            <w:pPr>
              <w:ind w:left="215" w:hanging="215"/>
              <w:jc w:val="center"/>
              <w:rPr>
                <w:rFonts w:eastAsia="Arial"/>
                <w:lang w:bidi="cs-CZ"/>
              </w:rPr>
            </w:pPr>
          </w:p>
          <w:p w14:paraId="1513247B" w14:textId="77777777" w:rsidR="007170C3" w:rsidRPr="008819AF" w:rsidRDefault="007170C3" w:rsidP="0021052F">
            <w:pPr>
              <w:ind w:left="215" w:hanging="215"/>
              <w:jc w:val="center"/>
              <w:rPr>
                <w:rFonts w:eastAsia="Arial"/>
                <w:lang w:bidi="cs-CZ"/>
              </w:rPr>
            </w:pPr>
          </w:p>
          <w:p w14:paraId="1513247C" w14:textId="77777777" w:rsidR="007170C3" w:rsidRPr="008819AF" w:rsidRDefault="007170C3" w:rsidP="0021052F">
            <w:pPr>
              <w:ind w:left="215" w:hanging="215"/>
              <w:jc w:val="center"/>
              <w:rPr>
                <w:rFonts w:eastAsia="Arial"/>
                <w:lang w:bidi="cs-CZ"/>
              </w:rPr>
            </w:pPr>
          </w:p>
          <w:p w14:paraId="1513247D" w14:textId="77777777" w:rsidR="007170C3" w:rsidRPr="008819AF" w:rsidRDefault="007170C3" w:rsidP="0021052F">
            <w:pPr>
              <w:ind w:left="215" w:hanging="215"/>
              <w:jc w:val="center"/>
              <w:rPr>
                <w:rFonts w:eastAsia="Arial"/>
                <w:lang w:bidi="cs-CZ"/>
              </w:rPr>
            </w:pPr>
          </w:p>
          <w:p w14:paraId="1513247E" w14:textId="77777777" w:rsidR="007170C3" w:rsidRPr="008819AF" w:rsidRDefault="007170C3" w:rsidP="0021052F">
            <w:pPr>
              <w:ind w:left="215" w:hanging="215"/>
              <w:jc w:val="center"/>
              <w:rPr>
                <w:rFonts w:eastAsia="Arial"/>
                <w:lang w:bidi="cs-CZ"/>
              </w:rPr>
            </w:pPr>
          </w:p>
          <w:p w14:paraId="1513247F" w14:textId="77777777" w:rsidR="007170C3" w:rsidRPr="008819AF" w:rsidRDefault="007170C3" w:rsidP="0021052F">
            <w:pPr>
              <w:ind w:left="215" w:hanging="215"/>
              <w:jc w:val="center"/>
              <w:rPr>
                <w:rFonts w:eastAsia="Arial"/>
                <w:lang w:bidi="cs-CZ"/>
              </w:rPr>
            </w:pPr>
          </w:p>
          <w:p w14:paraId="15132480" w14:textId="77777777" w:rsidR="007170C3" w:rsidRPr="008819AF" w:rsidRDefault="007170C3" w:rsidP="0021052F">
            <w:pPr>
              <w:ind w:left="215" w:hanging="215"/>
              <w:jc w:val="center"/>
              <w:rPr>
                <w:rFonts w:eastAsia="Arial"/>
                <w:lang w:bidi="cs-CZ"/>
              </w:rPr>
            </w:pPr>
          </w:p>
          <w:p w14:paraId="15132481" w14:textId="77777777" w:rsidR="007170C3" w:rsidRPr="008819AF" w:rsidRDefault="007170C3" w:rsidP="0021052F">
            <w:pPr>
              <w:ind w:left="215" w:hanging="215"/>
              <w:jc w:val="center"/>
              <w:rPr>
                <w:rFonts w:eastAsia="Arial"/>
                <w:lang w:bidi="cs-CZ"/>
              </w:rPr>
            </w:pPr>
          </w:p>
          <w:p w14:paraId="15132482" w14:textId="77777777" w:rsidR="007170C3" w:rsidRPr="008819AF" w:rsidRDefault="007170C3" w:rsidP="0021052F">
            <w:pPr>
              <w:ind w:left="215" w:hanging="215"/>
              <w:jc w:val="center"/>
              <w:rPr>
                <w:rFonts w:eastAsia="Arial"/>
                <w:lang w:bidi="cs-CZ"/>
              </w:rPr>
            </w:pPr>
          </w:p>
          <w:p w14:paraId="15132483" w14:textId="77777777" w:rsidR="007170C3" w:rsidRPr="008819AF" w:rsidRDefault="007170C3" w:rsidP="0021052F">
            <w:pPr>
              <w:ind w:left="215" w:hanging="215"/>
              <w:jc w:val="center"/>
              <w:rPr>
                <w:rFonts w:eastAsia="Arial"/>
                <w:lang w:bidi="cs-CZ"/>
              </w:rPr>
            </w:pPr>
          </w:p>
          <w:p w14:paraId="15132484" w14:textId="77777777" w:rsidR="007170C3" w:rsidRPr="008819AF" w:rsidRDefault="007170C3" w:rsidP="0021052F">
            <w:pPr>
              <w:ind w:left="215" w:hanging="215"/>
              <w:jc w:val="center"/>
              <w:rPr>
                <w:rFonts w:eastAsia="Arial"/>
                <w:lang w:bidi="cs-CZ"/>
              </w:rPr>
            </w:pPr>
          </w:p>
          <w:p w14:paraId="15132485" w14:textId="77777777" w:rsidR="007170C3" w:rsidRPr="008819AF" w:rsidRDefault="007170C3" w:rsidP="0021052F">
            <w:pPr>
              <w:ind w:left="215" w:hanging="215"/>
              <w:jc w:val="center"/>
              <w:rPr>
                <w:rFonts w:eastAsia="Arial"/>
                <w:lang w:bidi="cs-CZ"/>
              </w:rPr>
            </w:pPr>
          </w:p>
          <w:p w14:paraId="15132486" w14:textId="77777777" w:rsidR="007170C3" w:rsidRPr="008819AF" w:rsidRDefault="007170C3" w:rsidP="0021052F">
            <w:pPr>
              <w:ind w:left="215" w:hanging="215"/>
              <w:jc w:val="center"/>
              <w:rPr>
                <w:rFonts w:eastAsia="Arial"/>
                <w:lang w:bidi="cs-CZ"/>
              </w:rPr>
            </w:pPr>
          </w:p>
          <w:p w14:paraId="15132487" w14:textId="77777777" w:rsidR="007170C3" w:rsidRPr="008819AF" w:rsidRDefault="007170C3" w:rsidP="0021052F">
            <w:pPr>
              <w:ind w:left="215" w:hanging="215"/>
              <w:jc w:val="center"/>
              <w:rPr>
                <w:rFonts w:eastAsia="Arial"/>
                <w:lang w:bidi="cs-CZ"/>
              </w:rPr>
            </w:pPr>
          </w:p>
          <w:p w14:paraId="15132488" w14:textId="77777777" w:rsidR="007170C3" w:rsidRPr="008819AF" w:rsidRDefault="007170C3" w:rsidP="0021052F">
            <w:pPr>
              <w:ind w:left="215" w:hanging="215"/>
              <w:jc w:val="center"/>
              <w:rPr>
                <w:rFonts w:eastAsia="Arial"/>
                <w:lang w:bidi="cs-CZ"/>
              </w:rPr>
            </w:pPr>
          </w:p>
          <w:p w14:paraId="15132489" w14:textId="77777777" w:rsidR="007170C3" w:rsidRPr="008819AF" w:rsidRDefault="007170C3" w:rsidP="0021052F">
            <w:pPr>
              <w:ind w:left="215" w:hanging="215"/>
              <w:jc w:val="center"/>
              <w:rPr>
                <w:rFonts w:eastAsia="Arial"/>
                <w:lang w:bidi="cs-CZ"/>
              </w:rPr>
            </w:pPr>
          </w:p>
          <w:p w14:paraId="1513248A" w14:textId="77777777" w:rsidR="007170C3" w:rsidRPr="008819AF" w:rsidRDefault="007170C3" w:rsidP="0021052F">
            <w:pPr>
              <w:ind w:left="215" w:hanging="215"/>
              <w:jc w:val="center"/>
              <w:rPr>
                <w:rFonts w:eastAsia="Arial"/>
                <w:lang w:bidi="cs-CZ"/>
              </w:rPr>
            </w:pPr>
          </w:p>
          <w:p w14:paraId="1513248B" w14:textId="77777777" w:rsidR="007170C3" w:rsidRPr="008819AF" w:rsidRDefault="007170C3" w:rsidP="0021052F">
            <w:pPr>
              <w:ind w:left="215" w:hanging="215"/>
              <w:jc w:val="center"/>
              <w:rPr>
                <w:rFonts w:eastAsia="Arial"/>
                <w:lang w:bidi="cs-CZ"/>
              </w:rPr>
            </w:pPr>
          </w:p>
          <w:p w14:paraId="1513248C" w14:textId="77777777" w:rsidR="007170C3" w:rsidRPr="008819AF" w:rsidRDefault="007170C3" w:rsidP="0021052F">
            <w:pPr>
              <w:ind w:left="215" w:hanging="215"/>
              <w:jc w:val="center"/>
              <w:rPr>
                <w:rFonts w:eastAsia="Arial"/>
                <w:lang w:bidi="cs-CZ"/>
              </w:rPr>
            </w:pPr>
          </w:p>
          <w:p w14:paraId="1513248D" w14:textId="77777777" w:rsidR="007170C3" w:rsidRPr="008819AF" w:rsidRDefault="007170C3" w:rsidP="0021052F">
            <w:pPr>
              <w:ind w:left="215" w:hanging="215"/>
              <w:jc w:val="center"/>
              <w:rPr>
                <w:rFonts w:eastAsia="Arial"/>
                <w:lang w:bidi="cs-CZ"/>
              </w:rPr>
            </w:pPr>
          </w:p>
          <w:p w14:paraId="1513248E" w14:textId="77777777" w:rsidR="007170C3" w:rsidRPr="008819AF" w:rsidRDefault="007170C3" w:rsidP="0021052F">
            <w:pPr>
              <w:ind w:left="215" w:hanging="215"/>
              <w:jc w:val="center"/>
              <w:rPr>
                <w:rFonts w:eastAsia="Arial"/>
                <w:lang w:bidi="cs-CZ"/>
              </w:rPr>
            </w:pPr>
          </w:p>
          <w:p w14:paraId="1513248F" w14:textId="77777777" w:rsidR="007170C3" w:rsidRPr="008819AF" w:rsidRDefault="007170C3" w:rsidP="0021052F">
            <w:pPr>
              <w:ind w:left="215" w:hanging="215"/>
              <w:jc w:val="center"/>
              <w:rPr>
                <w:rFonts w:eastAsia="Arial"/>
                <w:lang w:bidi="cs-CZ"/>
              </w:rPr>
            </w:pPr>
          </w:p>
          <w:p w14:paraId="15132490" w14:textId="77777777" w:rsidR="007170C3" w:rsidRPr="008819AF" w:rsidRDefault="007170C3" w:rsidP="0021052F">
            <w:pPr>
              <w:ind w:left="215" w:hanging="215"/>
              <w:jc w:val="center"/>
              <w:rPr>
                <w:rFonts w:eastAsia="Arial"/>
                <w:lang w:bidi="cs-CZ"/>
              </w:rPr>
            </w:pPr>
          </w:p>
          <w:p w14:paraId="15132491" w14:textId="77777777" w:rsidR="007170C3" w:rsidRPr="008819AF" w:rsidRDefault="007170C3" w:rsidP="0021052F">
            <w:pPr>
              <w:ind w:left="215" w:hanging="215"/>
              <w:jc w:val="center"/>
              <w:rPr>
                <w:rFonts w:eastAsia="Arial"/>
                <w:lang w:bidi="cs-CZ"/>
              </w:rPr>
            </w:pPr>
          </w:p>
          <w:p w14:paraId="15132492" w14:textId="77777777" w:rsidR="007170C3" w:rsidRPr="008819AF" w:rsidRDefault="007170C3" w:rsidP="0021052F">
            <w:pPr>
              <w:ind w:left="215" w:hanging="215"/>
              <w:jc w:val="center"/>
              <w:rPr>
                <w:rFonts w:eastAsia="Arial"/>
                <w:lang w:bidi="cs-CZ"/>
              </w:rPr>
            </w:pPr>
          </w:p>
          <w:p w14:paraId="15132493" w14:textId="77777777" w:rsidR="007170C3" w:rsidRPr="008819AF" w:rsidRDefault="007170C3" w:rsidP="0021052F">
            <w:pPr>
              <w:ind w:left="215" w:hanging="215"/>
              <w:jc w:val="center"/>
              <w:rPr>
                <w:rFonts w:eastAsia="Arial"/>
                <w:lang w:bidi="cs-CZ"/>
              </w:rPr>
            </w:pPr>
          </w:p>
          <w:p w14:paraId="15132494" w14:textId="77777777" w:rsidR="007170C3" w:rsidRPr="008819AF" w:rsidRDefault="007170C3" w:rsidP="0021052F">
            <w:pPr>
              <w:ind w:left="215" w:hanging="215"/>
              <w:jc w:val="center"/>
              <w:rPr>
                <w:rFonts w:eastAsia="Arial"/>
                <w:lang w:bidi="cs-CZ"/>
              </w:rPr>
            </w:pPr>
          </w:p>
          <w:p w14:paraId="15132495" w14:textId="77777777" w:rsidR="009A031E" w:rsidRPr="008819AF" w:rsidRDefault="009A031E" w:rsidP="0021052F">
            <w:pPr>
              <w:ind w:left="215" w:hanging="215"/>
              <w:jc w:val="center"/>
              <w:rPr>
                <w:rFonts w:eastAsia="Arial"/>
                <w:lang w:bidi="cs-CZ"/>
              </w:rPr>
            </w:pPr>
          </w:p>
          <w:p w14:paraId="15132496" w14:textId="77777777" w:rsidR="007868CA" w:rsidRPr="008819AF" w:rsidRDefault="007868CA" w:rsidP="0021052F">
            <w:pPr>
              <w:ind w:left="215" w:hanging="215"/>
              <w:jc w:val="center"/>
              <w:rPr>
                <w:rFonts w:eastAsia="Arial"/>
                <w:lang w:bidi="cs-CZ"/>
              </w:rPr>
            </w:pPr>
          </w:p>
          <w:p w14:paraId="15132497" w14:textId="77777777" w:rsidR="007868CA" w:rsidRPr="008819AF" w:rsidRDefault="007868CA" w:rsidP="0021052F">
            <w:pPr>
              <w:ind w:left="215" w:hanging="215"/>
              <w:jc w:val="center"/>
              <w:rPr>
                <w:rFonts w:eastAsia="Arial"/>
                <w:lang w:bidi="cs-CZ"/>
              </w:rPr>
            </w:pPr>
          </w:p>
          <w:p w14:paraId="15132498" w14:textId="77777777" w:rsidR="007170C3" w:rsidRPr="008819AF" w:rsidRDefault="006F0418" w:rsidP="0021052F">
            <w:pPr>
              <w:ind w:left="215" w:hanging="215"/>
              <w:jc w:val="center"/>
              <w:rPr>
                <w:rFonts w:eastAsia="Arial"/>
                <w:lang w:bidi="cs-CZ"/>
              </w:rPr>
            </w:pPr>
            <w:r w:rsidRPr="008819AF">
              <w:rPr>
                <w:rFonts w:eastAsia="Arial"/>
                <w:lang w:bidi="cs-CZ"/>
              </w:rPr>
              <w:lastRenderedPageBreak/>
              <w:t>N</w:t>
            </w:r>
          </w:p>
          <w:p w14:paraId="15132499" w14:textId="77777777" w:rsidR="007170C3" w:rsidRPr="008819AF" w:rsidRDefault="007170C3" w:rsidP="0021052F">
            <w:pPr>
              <w:ind w:left="215" w:hanging="215"/>
              <w:jc w:val="center"/>
              <w:rPr>
                <w:rFonts w:eastAsia="Arial"/>
                <w:lang w:bidi="cs-CZ"/>
              </w:rPr>
            </w:pPr>
          </w:p>
          <w:p w14:paraId="1513249A" w14:textId="77777777" w:rsidR="007170C3" w:rsidRPr="008819AF" w:rsidRDefault="007170C3" w:rsidP="0021052F">
            <w:pPr>
              <w:ind w:left="215" w:hanging="215"/>
              <w:jc w:val="center"/>
              <w:rPr>
                <w:rFonts w:eastAsia="Arial"/>
                <w:lang w:bidi="cs-CZ"/>
              </w:rPr>
            </w:pPr>
          </w:p>
          <w:p w14:paraId="1513249B" w14:textId="77777777" w:rsidR="007170C3" w:rsidRPr="008819AF" w:rsidRDefault="007170C3" w:rsidP="0021052F">
            <w:pPr>
              <w:ind w:left="215" w:hanging="215"/>
              <w:jc w:val="center"/>
              <w:rPr>
                <w:rFonts w:eastAsia="Arial"/>
                <w:lang w:bidi="cs-CZ"/>
              </w:rPr>
            </w:pPr>
          </w:p>
          <w:p w14:paraId="1513249C" w14:textId="77777777" w:rsidR="007170C3" w:rsidRPr="008819AF" w:rsidRDefault="007170C3" w:rsidP="0021052F">
            <w:pPr>
              <w:ind w:left="215" w:hanging="215"/>
              <w:jc w:val="center"/>
              <w:rPr>
                <w:rFonts w:eastAsia="Arial"/>
                <w:lang w:bidi="cs-CZ"/>
              </w:rPr>
            </w:pPr>
          </w:p>
          <w:p w14:paraId="1513249D" w14:textId="77777777" w:rsidR="007170C3" w:rsidRPr="008819AF" w:rsidRDefault="007170C3" w:rsidP="0021052F">
            <w:pPr>
              <w:ind w:left="215" w:hanging="215"/>
              <w:jc w:val="center"/>
              <w:rPr>
                <w:rFonts w:eastAsia="Arial"/>
                <w:lang w:bidi="cs-CZ"/>
              </w:rPr>
            </w:pPr>
          </w:p>
          <w:p w14:paraId="1513249E" w14:textId="77777777" w:rsidR="007170C3" w:rsidRPr="008819AF" w:rsidRDefault="007170C3" w:rsidP="0021052F">
            <w:pPr>
              <w:ind w:left="215" w:hanging="215"/>
              <w:jc w:val="center"/>
              <w:rPr>
                <w:rFonts w:eastAsia="Arial"/>
                <w:lang w:bidi="cs-CZ"/>
              </w:rPr>
            </w:pPr>
          </w:p>
          <w:p w14:paraId="1513249F" w14:textId="77777777" w:rsidR="007170C3" w:rsidRPr="008819AF" w:rsidRDefault="007170C3" w:rsidP="0021052F">
            <w:pPr>
              <w:ind w:left="215" w:hanging="215"/>
              <w:jc w:val="center"/>
              <w:rPr>
                <w:rFonts w:eastAsia="Arial"/>
                <w:lang w:bidi="cs-CZ"/>
              </w:rPr>
            </w:pPr>
          </w:p>
          <w:p w14:paraId="151324A0" w14:textId="77777777" w:rsidR="007170C3" w:rsidRPr="008819AF" w:rsidRDefault="007170C3" w:rsidP="0021052F">
            <w:pPr>
              <w:ind w:left="215" w:hanging="215"/>
              <w:jc w:val="center"/>
              <w:rPr>
                <w:rFonts w:eastAsia="Arial"/>
                <w:lang w:bidi="cs-CZ"/>
              </w:rPr>
            </w:pPr>
          </w:p>
          <w:p w14:paraId="151324A1" w14:textId="77777777" w:rsidR="007170C3" w:rsidRPr="008819AF" w:rsidRDefault="007170C3" w:rsidP="0021052F">
            <w:pPr>
              <w:ind w:left="215" w:hanging="215"/>
              <w:jc w:val="center"/>
              <w:rPr>
                <w:rFonts w:eastAsia="Arial"/>
                <w:lang w:bidi="cs-CZ"/>
              </w:rPr>
            </w:pPr>
          </w:p>
          <w:p w14:paraId="151324A2" w14:textId="77777777" w:rsidR="007170C3" w:rsidRPr="008819AF" w:rsidRDefault="007170C3" w:rsidP="0021052F">
            <w:pPr>
              <w:ind w:left="215" w:hanging="215"/>
              <w:jc w:val="center"/>
              <w:rPr>
                <w:rFonts w:eastAsia="Arial"/>
                <w:lang w:bidi="cs-CZ"/>
              </w:rPr>
            </w:pPr>
          </w:p>
          <w:p w14:paraId="151324A3" w14:textId="77777777" w:rsidR="007170C3" w:rsidRPr="008819AF" w:rsidRDefault="007170C3" w:rsidP="0021052F">
            <w:pPr>
              <w:ind w:left="215" w:hanging="215"/>
              <w:jc w:val="center"/>
              <w:rPr>
                <w:rFonts w:eastAsia="Arial"/>
                <w:lang w:bidi="cs-CZ"/>
              </w:rPr>
            </w:pPr>
          </w:p>
          <w:p w14:paraId="151324A4" w14:textId="77777777" w:rsidR="007170C3" w:rsidRPr="008819AF" w:rsidRDefault="007170C3" w:rsidP="0021052F">
            <w:pPr>
              <w:ind w:left="215" w:hanging="215"/>
              <w:jc w:val="center"/>
              <w:rPr>
                <w:rFonts w:eastAsia="Arial"/>
                <w:lang w:bidi="cs-CZ"/>
              </w:rPr>
            </w:pPr>
          </w:p>
          <w:p w14:paraId="151324A5" w14:textId="77777777" w:rsidR="007170C3" w:rsidRPr="008819AF" w:rsidRDefault="007170C3" w:rsidP="0021052F">
            <w:pPr>
              <w:ind w:left="215" w:hanging="215"/>
              <w:jc w:val="center"/>
              <w:rPr>
                <w:rFonts w:eastAsia="Arial"/>
                <w:lang w:bidi="cs-CZ"/>
              </w:rPr>
            </w:pPr>
          </w:p>
          <w:p w14:paraId="151324A6" w14:textId="77777777" w:rsidR="007170C3" w:rsidRPr="008819AF" w:rsidRDefault="007170C3" w:rsidP="0021052F">
            <w:pPr>
              <w:ind w:left="215" w:hanging="215"/>
              <w:jc w:val="center"/>
              <w:rPr>
                <w:rFonts w:eastAsia="Arial"/>
                <w:lang w:bidi="cs-CZ"/>
              </w:rPr>
            </w:pPr>
          </w:p>
          <w:p w14:paraId="151324A7" w14:textId="77777777" w:rsidR="007170C3" w:rsidRPr="008819AF" w:rsidRDefault="007170C3" w:rsidP="0021052F">
            <w:pPr>
              <w:ind w:left="215" w:hanging="215"/>
              <w:jc w:val="center"/>
              <w:rPr>
                <w:rFonts w:eastAsia="Arial"/>
                <w:lang w:bidi="cs-CZ"/>
              </w:rPr>
            </w:pPr>
          </w:p>
          <w:p w14:paraId="151324A8" w14:textId="77777777" w:rsidR="007170C3" w:rsidRPr="008819AF" w:rsidRDefault="007170C3" w:rsidP="0021052F">
            <w:pPr>
              <w:ind w:left="215" w:hanging="215"/>
              <w:jc w:val="center"/>
              <w:rPr>
                <w:rFonts w:eastAsia="Arial"/>
                <w:lang w:bidi="cs-CZ"/>
              </w:rPr>
            </w:pPr>
          </w:p>
          <w:p w14:paraId="151324A9" w14:textId="77777777" w:rsidR="007170C3" w:rsidRPr="008819AF" w:rsidRDefault="007170C3" w:rsidP="0021052F">
            <w:pPr>
              <w:ind w:left="215" w:hanging="215"/>
              <w:jc w:val="center"/>
              <w:rPr>
                <w:rFonts w:eastAsia="Arial"/>
                <w:lang w:bidi="cs-CZ"/>
              </w:rPr>
            </w:pPr>
          </w:p>
          <w:p w14:paraId="151324AA" w14:textId="77777777" w:rsidR="007170C3" w:rsidRPr="008819AF" w:rsidRDefault="007170C3" w:rsidP="0021052F">
            <w:pPr>
              <w:ind w:left="215" w:hanging="215"/>
              <w:jc w:val="center"/>
              <w:rPr>
                <w:rFonts w:eastAsia="Arial"/>
                <w:lang w:bidi="cs-CZ"/>
              </w:rPr>
            </w:pPr>
          </w:p>
          <w:p w14:paraId="151324AB" w14:textId="77777777" w:rsidR="007170C3" w:rsidRPr="008819AF" w:rsidRDefault="007170C3" w:rsidP="0021052F">
            <w:pPr>
              <w:ind w:left="215" w:hanging="215"/>
              <w:jc w:val="center"/>
              <w:rPr>
                <w:rFonts w:eastAsia="Arial"/>
                <w:lang w:bidi="cs-CZ"/>
              </w:rPr>
            </w:pPr>
          </w:p>
          <w:p w14:paraId="151324AC" w14:textId="77777777" w:rsidR="007170C3" w:rsidRPr="008819AF" w:rsidRDefault="007170C3" w:rsidP="0021052F">
            <w:pPr>
              <w:ind w:left="215" w:hanging="215"/>
              <w:jc w:val="center"/>
              <w:rPr>
                <w:rFonts w:eastAsia="Arial"/>
                <w:lang w:bidi="cs-CZ"/>
              </w:rPr>
            </w:pPr>
          </w:p>
          <w:p w14:paraId="151324AD" w14:textId="77777777" w:rsidR="007170C3" w:rsidRPr="008819AF" w:rsidRDefault="007170C3" w:rsidP="0021052F">
            <w:pPr>
              <w:ind w:left="215" w:hanging="215"/>
              <w:jc w:val="center"/>
              <w:rPr>
                <w:rFonts w:eastAsia="Arial"/>
                <w:lang w:bidi="cs-CZ"/>
              </w:rPr>
            </w:pPr>
          </w:p>
          <w:p w14:paraId="151324AE" w14:textId="77777777" w:rsidR="007170C3" w:rsidRPr="008819AF" w:rsidRDefault="007170C3" w:rsidP="0021052F">
            <w:pPr>
              <w:ind w:left="215" w:hanging="215"/>
              <w:jc w:val="center"/>
              <w:rPr>
                <w:rFonts w:eastAsia="Arial"/>
                <w:lang w:bidi="cs-CZ"/>
              </w:rPr>
            </w:pPr>
          </w:p>
          <w:p w14:paraId="151324AF" w14:textId="77777777" w:rsidR="007170C3" w:rsidRPr="008819AF" w:rsidRDefault="007170C3" w:rsidP="0021052F">
            <w:pPr>
              <w:ind w:left="215" w:hanging="215"/>
              <w:jc w:val="center"/>
              <w:rPr>
                <w:rFonts w:eastAsia="Arial"/>
                <w:lang w:bidi="cs-CZ"/>
              </w:rPr>
            </w:pPr>
          </w:p>
          <w:p w14:paraId="151324B0" w14:textId="77777777" w:rsidR="007170C3" w:rsidRPr="008819AF" w:rsidRDefault="007170C3" w:rsidP="0021052F">
            <w:pPr>
              <w:ind w:left="215" w:hanging="215"/>
              <w:jc w:val="center"/>
              <w:rPr>
                <w:rFonts w:eastAsia="Arial"/>
                <w:lang w:bidi="cs-CZ"/>
              </w:rPr>
            </w:pPr>
          </w:p>
          <w:p w14:paraId="151324B1" w14:textId="77777777" w:rsidR="007170C3" w:rsidRPr="008819AF" w:rsidRDefault="007170C3" w:rsidP="0021052F">
            <w:pPr>
              <w:ind w:left="215" w:hanging="215"/>
              <w:jc w:val="center"/>
              <w:rPr>
                <w:rFonts w:eastAsia="Arial"/>
                <w:lang w:bidi="cs-CZ"/>
              </w:rPr>
            </w:pPr>
          </w:p>
          <w:p w14:paraId="151324B2" w14:textId="77777777" w:rsidR="007170C3" w:rsidRPr="008819AF" w:rsidRDefault="007170C3" w:rsidP="0021052F">
            <w:pPr>
              <w:ind w:left="215" w:hanging="215"/>
              <w:jc w:val="center"/>
              <w:rPr>
                <w:rFonts w:eastAsia="Arial"/>
                <w:lang w:bidi="cs-CZ"/>
              </w:rPr>
            </w:pPr>
          </w:p>
          <w:p w14:paraId="151324B3" w14:textId="77777777" w:rsidR="007170C3" w:rsidRPr="008819AF" w:rsidRDefault="007170C3" w:rsidP="0021052F">
            <w:pPr>
              <w:ind w:left="215" w:hanging="215"/>
              <w:jc w:val="center"/>
              <w:rPr>
                <w:rFonts w:eastAsia="Arial"/>
                <w:lang w:bidi="cs-CZ"/>
              </w:rPr>
            </w:pPr>
          </w:p>
          <w:p w14:paraId="151324B4" w14:textId="77777777" w:rsidR="007170C3" w:rsidRPr="008819AF" w:rsidRDefault="007170C3" w:rsidP="0021052F">
            <w:pPr>
              <w:ind w:left="215" w:hanging="215"/>
              <w:jc w:val="center"/>
              <w:rPr>
                <w:rFonts w:eastAsia="Arial"/>
                <w:lang w:bidi="cs-CZ"/>
              </w:rPr>
            </w:pPr>
          </w:p>
          <w:p w14:paraId="151324B5" w14:textId="77777777" w:rsidR="007170C3" w:rsidRPr="008819AF" w:rsidRDefault="007170C3" w:rsidP="0021052F">
            <w:pPr>
              <w:ind w:left="215" w:hanging="215"/>
              <w:jc w:val="center"/>
              <w:rPr>
                <w:rFonts w:eastAsia="Arial"/>
                <w:lang w:bidi="cs-CZ"/>
              </w:rPr>
            </w:pPr>
          </w:p>
          <w:p w14:paraId="151324B6" w14:textId="77777777" w:rsidR="007170C3" w:rsidRPr="008819AF" w:rsidRDefault="007170C3" w:rsidP="0021052F">
            <w:pPr>
              <w:ind w:left="215" w:hanging="215"/>
              <w:jc w:val="center"/>
              <w:rPr>
                <w:rFonts w:eastAsia="Arial"/>
                <w:lang w:bidi="cs-CZ"/>
              </w:rPr>
            </w:pPr>
          </w:p>
          <w:p w14:paraId="151324B7" w14:textId="77777777" w:rsidR="007170C3" w:rsidRPr="008819AF" w:rsidRDefault="007170C3" w:rsidP="0021052F">
            <w:pPr>
              <w:ind w:left="215" w:hanging="215"/>
              <w:jc w:val="center"/>
              <w:rPr>
                <w:rFonts w:eastAsia="Arial"/>
                <w:lang w:bidi="cs-CZ"/>
              </w:rPr>
            </w:pPr>
          </w:p>
          <w:p w14:paraId="151324B8" w14:textId="77777777" w:rsidR="007170C3" w:rsidRPr="008819AF" w:rsidRDefault="007170C3" w:rsidP="0021052F">
            <w:pPr>
              <w:ind w:left="215" w:hanging="215"/>
              <w:jc w:val="center"/>
              <w:rPr>
                <w:rFonts w:eastAsia="Arial"/>
                <w:lang w:bidi="cs-CZ"/>
              </w:rPr>
            </w:pPr>
          </w:p>
          <w:p w14:paraId="151324B9" w14:textId="77777777" w:rsidR="00A20BEE" w:rsidRPr="008819AF" w:rsidRDefault="00A20BEE" w:rsidP="0021052F">
            <w:pPr>
              <w:ind w:left="215" w:hanging="215"/>
              <w:jc w:val="center"/>
              <w:rPr>
                <w:rFonts w:eastAsia="Arial"/>
                <w:lang w:bidi="cs-CZ"/>
              </w:rPr>
            </w:pPr>
          </w:p>
          <w:p w14:paraId="151324BA" w14:textId="77777777" w:rsidR="00A20BEE" w:rsidRPr="008819AF" w:rsidRDefault="00A20BEE" w:rsidP="0021052F">
            <w:pPr>
              <w:ind w:left="215" w:hanging="215"/>
              <w:jc w:val="center"/>
              <w:rPr>
                <w:rFonts w:eastAsia="Arial"/>
                <w:lang w:bidi="cs-CZ"/>
              </w:rPr>
            </w:pPr>
          </w:p>
          <w:p w14:paraId="151324BB" w14:textId="77777777" w:rsidR="007170C3" w:rsidRPr="008819AF" w:rsidRDefault="007170C3" w:rsidP="0021052F">
            <w:pPr>
              <w:ind w:left="215" w:hanging="215"/>
              <w:jc w:val="center"/>
              <w:rPr>
                <w:rFonts w:eastAsia="Arial"/>
                <w:lang w:bidi="cs-CZ"/>
              </w:rPr>
            </w:pPr>
          </w:p>
          <w:p w14:paraId="151324BC" w14:textId="77777777" w:rsidR="007170C3" w:rsidRPr="008819AF" w:rsidRDefault="006F0418" w:rsidP="0021052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4BD" w14:textId="77777777" w:rsidR="007170C3" w:rsidRPr="008819AF" w:rsidRDefault="00A32C9B" w:rsidP="0021052F">
            <w:pPr>
              <w:jc w:val="center"/>
              <w:rPr>
                <w:rFonts w:eastAsia="Arial"/>
                <w:lang w:bidi="cs-CZ"/>
              </w:rPr>
            </w:pPr>
            <w:r w:rsidRPr="008819AF">
              <w:rPr>
                <w:rFonts w:eastAsia="Arial"/>
                <w:lang w:bidi="cs-CZ"/>
              </w:rPr>
              <w:lastRenderedPageBreak/>
              <w:t>NZ</w:t>
            </w:r>
          </w:p>
          <w:p w14:paraId="151324BE" w14:textId="77777777" w:rsidR="007170C3" w:rsidRPr="008819AF" w:rsidRDefault="007170C3" w:rsidP="0021052F">
            <w:pPr>
              <w:ind w:left="215" w:hanging="215"/>
              <w:jc w:val="center"/>
              <w:rPr>
                <w:rFonts w:eastAsia="Arial"/>
                <w:lang w:bidi="cs-CZ"/>
              </w:rPr>
            </w:pPr>
          </w:p>
          <w:p w14:paraId="151324BF" w14:textId="77777777" w:rsidR="007170C3" w:rsidRPr="008819AF" w:rsidRDefault="007170C3" w:rsidP="0021052F">
            <w:pPr>
              <w:ind w:left="215" w:hanging="215"/>
              <w:jc w:val="center"/>
              <w:rPr>
                <w:rFonts w:eastAsia="Arial"/>
                <w:lang w:bidi="cs-CZ"/>
              </w:rPr>
            </w:pPr>
          </w:p>
          <w:p w14:paraId="151324C0" w14:textId="77777777" w:rsidR="007170C3" w:rsidRPr="008819AF" w:rsidRDefault="007170C3" w:rsidP="0021052F">
            <w:pPr>
              <w:ind w:left="215" w:hanging="215"/>
              <w:jc w:val="center"/>
              <w:rPr>
                <w:rFonts w:eastAsia="Arial"/>
                <w:lang w:bidi="cs-CZ"/>
              </w:rPr>
            </w:pPr>
          </w:p>
          <w:p w14:paraId="151324C1" w14:textId="77777777" w:rsidR="007170C3" w:rsidRPr="008819AF" w:rsidRDefault="007170C3" w:rsidP="0021052F">
            <w:pPr>
              <w:ind w:left="215" w:hanging="215"/>
              <w:jc w:val="center"/>
              <w:rPr>
                <w:rFonts w:eastAsia="Arial"/>
                <w:lang w:bidi="cs-CZ"/>
              </w:rPr>
            </w:pPr>
          </w:p>
          <w:p w14:paraId="151324C2" w14:textId="77777777" w:rsidR="007170C3" w:rsidRPr="008819AF" w:rsidRDefault="007170C3" w:rsidP="0021052F">
            <w:pPr>
              <w:ind w:left="215" w:hanging="215"/>
              <w:jc w:val="center"/>
              <w:rPr>
                <w:rFonts w:eastAsia="Arial"/>
                <w:lang w:bidi="cs-CZ"/>
              </w:rPr>
            </w:pPr>
          </w:p>
          <w:p w14:paraId="151324C3" w14:textId="77777777" w:rsidR="007170C3" w:rsidRPr="008819AF" w:rsidRDefault="007170C3" w:rsidP="0021052F">
            <w:pPr>
              <w:ind w:left="215" w:hanging="215"/>
              <w:jc w:val="center"/>
              <w:rPr>
                <w:rFonts w:eastAsia="Arial"/>
                <w:lang w:bidi="cs-CZ"/>
              </w:rPr>
            </w:pPr>
          </w:p>
          <w:p w14:paraId="151324C4" w14:textId="77777777" w:rsidR="007170C3" w:rsidRPr="008819AF" w:rsidRDefault="007170C3" w:rsidP="0021052F">
            <w:pPr>
              <w:ind w:left="215" w:hanging="215"/>
              <w:jc w:val="center"/>
              <w:rPr>
                <w:rFonts w:eastAsia="Arial"/>
                <w:lang w:bidi="cs-CZ"/>
              </w:rPr>
            </w:pPr>
          </w:p>
          <w:p w14:paraId="151324C5" w14:textId="77777777" w:rsidR="007170C3" w:rsidRPr="008819AF" w:rsidRDefault="007170C3" w:rsidP="0021052F">
            <w:pPr>
              <w:ind w:left="215" w:hanging="215"/>
              <w:jc w:val="center"/>
              <w:rPr>
                <w:rFonts w:eastAsia="Arial"/>
                <w:lang w:bidi="cs-CZ"/>
              </w:rPr>
            </w:pPr>
          </w:p>
          <w:p w14:paraId="151324C6" w14:textId="77777777" w:rsidR="007170C3" w:rsidRPr="008819AF" w:rsidRDefault="007170C3" w:rsidP="0021052F">
            <w:pPr>
              <w:ind w:left="215" w:hanging="215"/>
              <w:jc w:val="center"/>
              <w:rPr>
                <w:rFonts w:eastAsia="Arial"/>
                <w:lang w:bidi="cs-CZ"/>
              </w:rPr>
            </w:pPr>
          </w:p>
          <w:p w14:paraId="151324C7" w14:textId="77777777" w:rsidR="007170C3" w:rsidRPr="008819AF" w:rsidRDefault="007170C3" w:rsidP="0021052F">
            <w:pPr>
              <w:ind w:left="215" w:hanging="215"/>
              <w:jc w:val="center"/>
              <w:rPr>
                <w:rFonts w:eastAsia="Arial"/>
                <w:lang w:bidi="cs-CZ"/>
              </w:rPr>
            </w:pPr>
          </w:p>
          <w:p w14:paraId="151324C8" w14:textId="77777777" w:rsidR="007170C3" w:rsidRPr="008819AF" w:rsidRDefault="007170C3" w:rsidP="0021052F">
            <w:pPr>
              <w:ind w:left="215" w:hanging="215"/>
              <w:jc w:val="center"/>
              <w:rPr>
                <w:rFonts w:eastAsia="Arial"/>
                <w:lang w:bidi="cs-CZ"/>
              </w:rPr>
            </w:pPr>
          </w:p>
          <w:p w14:paraId="151324C9" w14:textId="77777777" w:rsidR="007170C3" w:rsidRPr="008819AF" w:rsidRDefault="007170C3" w:rsidP="0021052F">
            <w:pPr>
              <w:ind w:left="215" w:hanging="215"/>
              <w:jc w:val="center"/>
              <w:rPr>
                <w:rFonts w:eastAsia="Arial"/>
                <w:lang w:bidi="cs-CZ"/>
              </w:rPr>
            </w:pPr>
          </w:p>
          <w:p w14:paraId="151324CA" w14:textId="77777777" w:rsidR="007170C3" w:rsidRPr="008819AF" w:rsidRDefault="007170C3" w:rsidP="0021052F">
            <w:pPr>
              <w:ind w:left="215" w:hanging="215"/>
              <w:jc w:val="center"/>
              <w:rPr>
                <w:rFonts w:eastAsia="Arial"/>
                <w:lang w:bidi="cs-CZ"/>
              </w:rPr>
            </w:pPr>
          </w:p>
          <w:p w14:paraId="151324CB" w14:textId="77777777" w:rsidR="007170C3" w:rsidRPr="008819AF" w:rsidRDefault="007170C3" w:rsidP="0021052F">
            <w:pPr>
              <w:ind w:left="215" w:hanging="215"/>
              <w:jc w:val="center"/>
              <w:rPr>
                <w:rFonts w:eastAsia="Arial"/>
                <w:lang w:bidi="cs-CZ"/>
              </w:rPr>
            </w:pPr>
          </w:p>
          <w:p w14:paraId="151324CC" w14:textId="77777777" w:rsidR="007170C3" w:rsidRPr="008819AF" w:rsidRDefault="007170C3" w:rsidP="0021052F">
            <w:pPr>
              <w:ind w:left="215" w:hanging="215"/>
              <w:jc w:val="center"/>
              <w:rPr>
                <w:rFonts w:eastAsia="Arial"/>
                <w:lang w:bidi="cs-CZ"/>
              </w:rPr>
            </w:pPr>
          </w:p>
          <w:p w14:paraId="151324CD" w14:textId="77777777" w:rsidR="007170C3" w:rsidRPr="008819AF" w:rsidRDefault="007170C3" w:rsidP="0021052F">
            <w:pPr>
              <w:ind w:left="215" w:hanging="215"/>
              <w:jc w:val="center"/>
              <w:rPr>
                <w:rFonts w:eastAsia="Arial"/>
                <w:lang w:bidi="cs-CZ"/>
              </w:rPr>
            </w:pPr>
          </w:p>
          <w:p w14:paraId="151324CE" w14:textId="77777777" w:rsidR="007170C3" w:rsidRPr="008819AF" w:rsidRDefault="007170C3" w:rsidP="0021052F">
            <w:pPr>
              <w:ind w:left="215" w:hanging="215"/>
              <w:jc w:val="center"/>
              <w:rPr>
                <w:rFonts w:eastAsia="Arial"/>
                <w:lang w:bidi="cs-CZ"/>
              </w:rPr>
            </w:pPr>
          </w:p>
          <w:p w14:paraId="151324CF" w14:textId="77777777" w:rsidR="007170C3" w:rsidRPr="008819AF" w:rsidRDefault="007170C3" w:rsidP="0021052F">
            <w:pPr>
              <w:ind w:left="215" w:hanging="215"/>
              <w:jc w:val="center"/>
              <w:rPr>
                <w:rFonts w:eastAsia="Arial"/>
                <w:lang w:bidi="cs-CZ"/>
              </w:rPr>
            </w:pPr>
          </w:p>
          <w:p w14:paraId="151324D0" w14:textId="77777777" w:rsidR="007170C3" w:rsidRPr="008819AF" w:rsidRDefault="007170C3" w:rsidP="0021052F">
            <w:pPr>
              <w:ind w:left="215" w:hanging="215"/>
              <w:jc w:val="center"/>
              <w:rPr>
                <w:rFonts w:eastAsia="Arial"/>
                <w:lang w:bidi="cs-CZ"/>
              </w:rPr>
            </w:pPr>
          </w:p>
          <w:p w14:paraId="151324D1" w14:textId="77777777" w:rsidR="007170C3" w:rsidRPr="008819AF" w:rsidRDefault="007170C3" w:rsidP="0021052F">
            <w:pPr>
              <w:ind w:left="215" w:hanging="215"/>
              <w:jc w:val="center"/>
              <w:rPr>
                <w:rFonts w:eastAsia="Arial"/>
                <w:lang w:bidi="cs-CZ"/>
              </w:rPr>
            </w:pPr>
          </w:p>
          <w:p w14:paraId="151324D2" w14:textId="77777777" w:rsidR="007170C3" w:rsidRPr="008819AF" w:rsidRDefault="007170C3" w:rsidP="0021052F">
            <w:pPr>
              <w:ind w:left="215" w:hanging="215"/>
              <w:jc w:val="center"/>
              <w:rPr>
                <w:rFonts w:eastAsia="Arial"/>
                <w:lang w:bidi="cs-CZ"/>
              </w:rPr>
            </w:pPr>
          </w:p>
          <w:p w14:paraId="151324D3" w14:textId="77777777" w:rsidR="007170C3" w:rsidRPr="008819AF" w:rsidRDefault="007170C3" w:rsidP="0021052F">
            <w:pPr>
              <w:ind w:left="215" w:hanging="215"/>
              <w:jc w:val="center"/>
              <w:rPr>
                <w:rFonts w:eastAsia="Arial"/>
                <w:lang w:bidi="cs-CZ"/>
              </w:rPr>
            </w:pPr>
          </w:p>
          <w:p w14:paraId="151324D4" w14:textId="77777777" w:rsidR="007170C3" w:rsidRPr="008819AF" w:rsidRDefault="007170C3" w:rsidP="0021052F">
            <w:pPr>
              <w:ind w:left="215" w:hanging="215"/>
              <w:jc w:val="center"/>
              <w:rPr>
                <w:rFonts w:eastAsia="Arial"/>
                <w:lang w:bidi="cs-CZ"/>
              </w:rPr>
            </w:pPr>
          </w:p>
          <w:p w14:paraId="151324D5" w14:textId="77777777" w:rsidR="007170C3" w:rsidRPr="008819AF" w:rsidRDefault="007170C3" w:rsidP="0021052F">
            <w:pPr>
              <w:ind w:left="215" w:hanging="215"/>
              <w:jc w:val="center"/>
              <w:rPr>
                <w:rFonts w:eastAsia="Arial"/>
                <w:lang w:bidi="cs-CZ"/>
              </w:rPr>
            </w:pPr>
          </w:p>
          <w:p w14:paraId="151324D6" w14:textId="77777777" w:rsidR="007170C3" w:rsidRPr="008819AF" w:rsidRDefault="007170C3" w:rsidP="0021052F">
            <w:pPr>
              <w:ind w:left="215" w:hanging="215"/>
              <w:jc w:val="center"/>
              <w:rPr>
                <w:rFonts w:eastAsia="Arial"/>
                <w:lang w:bidi="cs-CZ"/>
              </w:rPr>
            </w:pPr>
          </w:p>
          <w:p w14:paraId="151324D7" w14:textId="77777777" w:rsidR="007170C3" w:rsidRPr="008819AF" w:rsidRDefault="007170C3" w:rsidP="0021052F">
            <w:pPr>
              <w:ind w:left="215" w:hanging="215"/>
              <w:jc w:val="center"/>
              <w:rPr>
                <w:rFonts w:eastAsia="Arial"/>
                <w:lang w:bidi="cs-CZ"/>
              </w:rPr>
            </w:pPr>
          </w:p>
          <w:p w14:paraId="151324D8" w14:textId="77777777" w:rsidR="007170C3" w:rsidRPr="008819AF" w:rsidRDefault="007170C3" w:rsidP="0021052F">
            <w:pPr>
              <w:ind w:left="215" w:hanging="215"/>
              <w:jc w:val="center"/>
              <w:rPr>
                <w:rFonts w:eastAsia="Arial"/>
                <w:lang w:bidi="cs-CZ"/>
              </w:rPr>
            </w:pPr>
          </w:p>
          <w:p w14:paraId="151324D9" w14:textId="77777777" w:rsidR="007170C3" w:rsidRPr="008819AF" w:rsidRDefault="007170C3" w:rsidP="0021052F">
            <w:pPr>
              <w:ind w:left="215" w:hanging="215"/>
              <w:jc w:val="center"/>
              <w:rPr>
                <w:rFonts w:eastAsia="Arial"/>
                <w:lang w:bidi="cs-CZ"/>
              </w:rPr>
            </w:pPr>
          </w:p>
          <w:p w14:paraId="151324DA" w14:textId="77777777" w:rsidR="007170C3" w:rsidRPr="008819AF" w:rsidRDefault="007170C3" w:rsidP="0021052F">
            <w:pPr>
              <w:ind w:left="215" w:hanging="215"/>
              <w:jc w:val="center"/>
              <w:rPr>
                <w:rFonts w:eastAsia="Arial"/>
                <w:lang w:bidi="cs-CZ"/>
              </w:rPr>
            </w:pPr>
          </w:p>
          <w:p w14:paraId="151324DB" w14:textId="77777777" w:rsidR="007170C3" w:rsidRPr="008819AF" w:rsidRDefault="007170C3" w:rsidP="0021052F">
            <w:pPr>
              <w:ind w:left="215" w:hanging="215"/>
              <w:jc w:val="center"/>
              <w:rPr>
                <w:rFonts w:eastAsia="Arial"/>
                <w:lang w:bidi="cs-CZ"/>
              </w:rPr>
            </w:pPr>
          </w:p>
          <w:p w14:paraId="151324DC" w14:textId="77777777" w:rsidR="007170C3" w:rsidRPr="008819AF" w:rsidRDefault="007170C3" w:rsidP="0021052F">
            <w:pPr>
              <w:ind w:left="215" w:hanging="215"/>
              <w:jc w:val="center"/>
              <w:rPr>
                <w:rFonts w:eastAsia="Arial"/>
                <w:lang w:bidi="cs-CZ"/>
              </w:rPr>
            </w:pPr>
          </w:p>
          <w:p w14:paraId="151324DD" w14:textId="77777777" w:rsidR="007170C3" w:rsidRPr="008819AF" w:rsidRDefault="007170C3" w:rsidP="0021052F">
            <w:pPr>
              <w:ind w:left="215" w:hanging="215"/>
              <w:jc w:val="center"/>
              <w:rPr>
                <w:rFonts w:eastAsia="Arial"/>
                <w:lang w:bidi="cs-CZ"/>
              </w:rPr>
            </w:pPr>
          </w:p>
          <w:p w14:paraId="151324DE" w14:textId="77777777" w:rsidR="0002292A" w:rsidRPr="008819AF" w:rsidRDefault="0002292A" w:rsidP="0021052F">
            <w:pPr>
              <w:ind w:left="215" w:hanging="215"/>
              <w:jc w:val="center"/>
              <w:rPr>
                <w:rFonts w:eastAsia="Arial"/>
                <w:lang w:bidi="cs-CZ"/>
              </w:rPr>
            </w:pPr>
          </w:p>
          <w:p w14:paraId="151324DF" w14:textId="77777777" w:rsidR="007170C3" w:rsidRPr="008819AF" w:rsidRDefault="007170C3" w:rsidP="0021052F">
            <w:pPr>
              <w:ind w:left="215" w:hanging="215"/>
              <w:jc w:val="center"/>
              <w:rPr>
                <w:rFonts w:eastAsia="Arial"/>
                <w:lang w:bidi="cs-CZ"/>
              </w:rPr>
            </w:pPr>
          </w:p>
          <w:p w14:paraId="151324E0" w14:textId="77777777" w:rsidR="007868CA" w:rsidRPr="008819AF" w:rsidRDefault="007868CA" w:rsidP="0021052F">
            <w:pPr>
              <w:ind w:left="215" w:hanging="215"/>
              <w:jc w:val="center"/>
              <w:rPr>
                <w:rFonts w:eastAsia="Arial"/>
                <w:lang w:bidi="cs-CZ"/>
              </w:rPr>
            </w:pPr>
          </w:p>
          <w:p w14:paraId="151324E1" w14:textId="77777777" w:rsidR="007868CA" w:rsidRPr="008819AF" w:rsidRDefault="007868CA" w:rsidP="0021052F">
            <w:pPr>
              <w:ind w:left="215" w:hanging="215"/>
              <w:jc w:val="center"/>
              <w:rPr>
                <w:rFonts w:eastAsia="Arial"/>
                <w:lang w:bidi="cs-CZ"/>
              </w:rPr>
            </w:pPr>
          </w:p>
          <w:p w14:paraId="151324E2" w14:textId="77777777" w:rsidR="007170C3" w:rsidRPr="008819AF" w:rsidRDefault="00A32C9B" w:rsidP="0021052F">
            <w:pPr>
              <w:jc w:val="center"/>
              <w:rPr>
                <w:rFonts w:eastAsia="Arial"/>
                <w:lang w:bidi="cs-CZ"/>
              </w:rPr>
            </w:pPr>
            <w:r w:rsidRPr="008819AF">
              <w:rPr>
                <w:rFonts w:eastAsia="Arial"/>
                <w:lang w:bidi="cs-CZ"/>
              </w:rPr>
              <w:lastRenderedPageBreak/>
              <w:t>NZ</w:t>
            </w:r>
          </w:p>
          <w:p w14:paraId="151324E3" w14:textId="77777777" w:rsidR="007170C3" w:rsidRPr="008819AF" w:rsidRDefault="007170C3" w:rsidP="0021052F">
            <w:pPr>
              <w:jc w:val="center"/>
              <w:rPr>
                <w:rFonts w:eastAsia="Arial"/>
                <w:lang w:bidi="cs-CZ"/>
              </w:rPr>
            </w:pPr>
          </w:p>
          <w:p w14:paraId="151324E4" w14:textId="77777777" w:rsidR="007170C3" w:rsidRPr="008819AF" w:rsidRDefault="007170C3" w:rsidP="0021052F">
            <w:pPr>
              <w:jc w:val="center"/>
              <w:rPr>
                <w:rFonts w:eastAsia="Arial"/>
                <w:lang w:bidi="cs-CZ"/>
              </w:rPr>
            </w:pPr>
          </w:p>
          <w:p w14:paraId="151324E5" w14:textId="77777777" w:rsidR="007170C3" w:rsidRPr="008819AF" w:rsidRDefault="007170C3" w:rsidP="0021052F">
            <w:pPr>
              <w:jc w:val="center"/>
              <w:rPr>
                <w:rFonts w:eastAsia="Arial"/>
                <w:lang w:bidi="cs-CZ"/>
              </w:rPr>
            </w:pPr>
          </w:p>
          <w:p w14:paraId="151324E6" w14:textId="77777777" w:rsidR="007170C3" w:rsidRPr="008819AF" w:rsidRDefault="007170C3" w:rsidP="0021052F">
            <w:pPr>
              <w:jc w:val="center"/>
              <w:rPr>
                <w:rFonts w:eastAsia="Arial"/>
                <w:lang w:bidi="cs-CZ"/>
              </w:rPr>
            </w:pPr>
          </w:p>
          <w:p w14:paraId="151324E7" w14:textId="77777777" w:rsidR="007170C3" w:rsidRPr="008819AF" w:rsidRDefault="007170C3" w:rsidP="0021052F">
            <w:pPr>
              <w:jc w:val="center"/>
              <w:rPr>
                <w:rFonts w:eastAsia="Arial"/>
                <w:lang w:bidi="cs-CZ"/>
              </w:rPr>
            </w:pPr>
          </w:p>
          <w:p w14:paraId="151324E8" w14:textId="77777777" w:rsidR="007170C3" w:rsidRPr="008819AF" w:rsidRDefault="007170C3" w:rsidP="0021052F">
            <w:pPr>
              <w:jc w:val="center"/>
              <w:rPr>
                <w:rFonts w:eastAsia="Arial"/>
                <w:lang w:bidi="cs-CZ"/>
              </w:rPr>
            </w:pPr>
          </w:p>
          <w:p w14:paraId="151324E9" w14:textId="77777777" w:rsidR="007170C3" w:rsidRPr="008819AF" w:rsidRDefault="007170C3" w:rsidP="0021052F">
            <w:pPr>
              <w:jc w:val="center"/>
              <w:rPr>
                <w:rFonts w:eastAsia="Arial"/>
                <w:lang w:bidi="cs-CZ"/>
              </w:rPr>
            </w:pPr>
          </w:p>
          <w:p w14:paraId="151324EA" w14:textId="77777777" w:rsidR="007170C3" w:rsidRPr="008819AF" w:rsidRDefault="007170C3" w:rsidP="0021052F">
            <w:pPr>
              <w:jc w:val="center"/>
              <w:rPr>
                <w:rFonts w:eastAsia="Arial"/>
                <w:lang w:bidi="cs-CZ"/>
              </w:rPr>
            </w:pPr>
          </w:p>
          <w:p w14:paraId="151324EB" w14:textId="77777777" w:rsidR="007170C3" w:rsidRPr="008819AF" w:rsidRDefault="007170C3" w:rsidP="0021052F">
            <w:pPr>
              <w:jc w:val="center"/>
              <w:rPr>
                <w:rFonts w:eastAsia="Arial"/>
                <w:lang w:bidi="cs-CZ"/>
              </w:rPr>
            </w:pPr>
          </w:p>
          <w:p w14:paraId="151324EC" w14:textId="77777777" w:rsidR="007170C3" w:rsidRPr="008819AF" w:rsidRDefault="007170C3" w:rsidP="0021052F">
            <w:pPr>
              <w:jc w:val="center"/>
              <w:rPr>
                <w:rFonts w:eastAsia="Arial"/>
                <w:lang w:bidi="cs-CZ"/>
              </w:rPr>
            </w:pPr>
          </w:p>
          <w:p w14:paraId="151324ED" w14:textId="77777777" w:rsidR="007170C3" w:rsidRPr="008819AF" w:rsidRDefault="007170C3" w:rsidP="0021052F">
            <w:pPr>
              <w:jc w:val="center"/>
              <w:rPr>
                <w:rFonts w:eastAsia="Arial"/>
                <w:lang w:bidi="cs-CZ"/>
              </w:rPr>
            </w:pPr>
          </w:p>
          <w:p w14:paraId="151324EE" w14:textId="77777777" w:rsidR="007170C3" w:rsidRPr="008819AF" w:rsidRDefault="007170C3" w:rsidP="0021052F">
            <w:pPr>
              <w:jc w:val="center"/>
              <w:rPr>
                <w:rFonts w:eastAsia="Arial"/>
                <w:lang w:bidi="cs-CZ"/>
              </w:rPr>
            </w:pPr>
          </w:p>
          <w:p w14:paraId="151324EF" w14:textId="77777777" w:rsidR="007170C3" w:rsidRPr="008819AF" w:rsidRDefault="007170C3" w:rsidP="0021052F">
            <w:pPr>
              <w:jc w:val="center"/>
              <w:rPr>
                <w:rFonts w:eastAsia="Arial"/>
                <w:lang w:bidi="cs-CZ"/>
              </w:rPr>
            </w:pPr>
          </w:p>
          <w:p w14:paraId="151324F0" w14:textId="77777777" w:rsidR="007170C3" w:rsidRPr="008819AF" w:rsidRDefault="007170C3" w:rsidP="0021052F">
            <w:pPr>
              <w:jc w:val="center"/>
              <w:rPr>
                <w:rFonts w:eastAsia="Arial"/>
                <w:lang w:bidi="cs-CZ"/>
              </w:rPr>
            </w:pPr>
          </w:p>
          <w:p w14:paraId="151324F1" w14:textId="77777777" w:rsidR="007170C3" w:rsidRPr="008819AF" w:rsidRDefault="007170C3" w:rsidP="0021052F">
            <w:pPr>
              <w:jc w:val="center"/>
              <w:rPr>
                <w:rFonts w:eastAsia="Arial"/>
                <w:lang w:bidi="cs-CZ"/>
              </w:rPr>
            </w:pPr>
          </w:p>
          <w:p w14:paraId="151324F2" w14:textId="77777777" w:rsidR="007170C3" w:rsidRPr="008819AF" w:rsidRDefault="007170C3" w:rsidP="0021052F">
            <w:pPr>
              <w:jc w:val="center"/>
              <w:rPr>
                <w:rFonts w:eastAsia="Arial"/>
                <w:lang w:bidi="cs-CZ"/>
              </w:rPr>
            </w:pPr>
          </w:p>
          <w:p w14:paraId="151324F3" w14:textId="77777777" w:rsidR="007170C3" w:rsidRPr="008819AF" w:rsidRDefault="007170C3" w:rsidP="0021052F">
            <w:pPr>
              <w:jc w:val="center"/>
              <w:rPr>
                <w:rFonts w:eastAsia="Arial"/>
                <w:lang w:bidi="cs-CZ"/>
              </w:rPr>
            </w:pPr>
          </w:p>
          <w:p w14:paraId="151324F4" w14:textId="77777777" w:rsidR="007170C3" w:rsidRPr="008819AF" w:rsidRDefault="007170C3" w:rsidP="0021052F">
            <w:pPr>
              <w:jc w:val="center"/>
              <w:rPr>
                <w:rFonts w:eastAsia="Arial"/>
                <w:lang w:bidi="cs-CZ"/>
              </w:rPr>
            </w:pPr>
          </w:p>
          <w:p w14:paraId="151324F5" w14:textId="77777777" w:rsidR="007170C3" w:rsidRPr="008819AF" w:rsidRDefault="007170C3" w:rsidP="0021052F">
            <w:pPr>
              <w:jc w:val="center"/>
              <w:rPr>
                <w:rFonts w:eastAsia="Arial"/>
                <w:lang w:bidi="cs-CZ"/>
              </w:rPr>
            </w:pPr>
          </w:p>
          <w:p w14:paraId="151324F6" w14:textId="77777777" w:rsidR="007170C3" w:rsidRPr="008819AF" w:rsidRDefault="007170C3" w:rsidP="0021052F">
            <w:pPr>
              <w:jc w:val="center"/>
              <w:rPr>
                <w:rFonts w:eastAsia="Arial"/>
                <w:lang w:bidi="cs-CZ"/>
              </w:rPr>
            </w:pPr>
          </w:p>
          <w:p w14:paraId="151324F7" w14:textId="77777777" w:rsidR="007170C3" w:rsidRPr="008819AF" w:rsidRDefault="007170C3" w:rsidP="0021052F">
            <w:pPr>
              <w:jc w:val="center"/>
              <w:rPr>
                <w:rFonts w:eastAsia="Arial"/>
                <w:lang w:bidi="cs-CZ"/>
              </w:rPr>
            </w:pPr>
          </w:p>
          <w:p w14:paraId="151324F8" w14:textId="77777777" w:rsidR="007170C3" w:rsidRPr="008819AF" w:rsidRDefault="007170C3" w:rsidP="0021052F">
            <w:pPr>
              <w:jc w:val="center"/>
              <w:rPr>
                <w:rFonts w:eastAsia="Arial"/>
                <w:lang w:bidi="cs-CZ"/>
              </w:rPr>
            </w:pPr>
          </w:p>
          <w:p w14:paraId="151324F9" w14:textId="77777777" w:rsidR="007170C3" w:rsidRPr="008819AF" w:rsidRDefault="007170C3" w:rsidP="0021052F">
            <w:pPr>
              <w:jc w:val="center"/>
              <w:rPr>
                <w:rFonts w:eastAsia="Arial"/>
                <w:lang w:bidi="cs-CZ"/>
              </w:rPr>
            </w:pPr>
          </w:p>
          <w:p w14:paraId="151324FA" w14:textId="77777777" w:rsidR="007170C3" w:rsidRPr="008819AF" w:rsidRDefault="007170C3" w:rsidP="0021052F">
            <w:pPr>
              <w:jc w:val="center"/>
              <w:rPr>
                <w:rFonts w:eastAsia="Arial"/>
                <w:lang w:bidi="cs-CZ"/>
              </w:rPr>
            </w:pPr>
          </w:p>
          <w:p w14:paraId="151324FB" w14:textId="77777777" w:rsidR="007170C3" w:rsidRPr="008819AF" w:rsidRDefault="007170C3" w:rsidP="0021052F">
            <w:pPr>
              <w:jc w:val="center"/>
              <w:rPr>
                <w:rFonts w:eastAsia="Arial"/>
                <w:lang w:bidi="cs-CZ"/>
              </w:rPr>
            </w:pPr>
          </w:p>
          <w:p w14:paraId="151324FC" w14:textId="77777777" w:rsidR="007170C3" w:rsidRPr="008819AF" w:rsidRDefault="007170C3" w:rsidP="0021052F">
            <w:pPr>
              <w:jc w:val="center"/>
              <w:rPr>
                <w:rFonts w:eastAsia="Arial"/>
                <w:lang w:bidi="cs-CZ"/>
              </w:rPr>
            </w:pPr>
          </w:p>
          <w:p w14:paraId="151324FD" w14:textId="77777777" w:rsidR="007170C3" w:rsidRPr="008819AF" w:rsidRDefault="007170C3" w:rsidP="0021052F">
            <w:pPr>
              <w:jc w:val="center"/>
              <w:rPr>
                <w:rFonts w:eastAsia="Arial"/>
                <w:lang w:bidi="cs-CZ"/>
              </w:rPr>
            </w:pPr>
          </w:p>
          <w:p w14:paraId="151324FE" w14:textId="77777777" w:rsidR="007170C3" w:rsidRPr="008819AF" w:rsidRDefault="007170C3" w:rsidP="0021052F">
            <w:pPr>
              <w:jc w:val="center"/>
              <w:rPr>
                <w:rFonts w:eastAsia="Arial"/>
                <w:lang w:bidi="cs-CZ"/>
              </w:rPr>
            </w:pPr>
          </w:p>
          <w:p w14:paraId="151324FF" w14:textId="77777777" w:rsidR="007170C3" w:rsidRPr="008819AF" w:rsidRDefault="007170C3" w:rsidP="0021052F">
            <w:pPr>
              <w:jc w:val="center"/>
              <w:rPr>
                <w:rFonts w:eastAsia="Arial"/>
                <w:lang w:bidi="cs-CZ"/>
              </w:rPr>
            </w:pPr>
          </w:p>
          <w:p w14:paraId="15132500" w14:textId="77777777" w:rsidR="007170C3" w:rsidRPr="008819AF" w:rsidRDefault="007170C3" w:rsidP="0021052F">
            <w:pPr>
              <w:jc w:val="center"/>
              <w:rPr>
                <w:rFonts w:eastAsia="Arial"/>
                <w:lang w:bidi="cs-CZ"/>
              </w:rPr>
            </w:pPr>
          </w:p>
          <w:p w14:paraId="15132501" w14:textId="77777777" w:rsidR="007170C3" w:rsidRPr="008819AF" w:rsidRDefault="007170C3" w:rsidP="0021052F">
            <w:pPr>
              <w:jc w:val="center"/>
              <w:rPr>
                <w:rFonts w:eastAsia="Arial"/>
                <w:lang w:bidi="cs-CZ"/>
              </w:rPr>
            </w:pPr>
          </w:p>
          <w:p w14:paraId="15132502" w14:textId="77777777" w:rsidR="007170C3" w:rsidRPr="008819AF" w:rsidRDefault="007170C3" w:rsidP="0021052F">
            <w:pPr>
              <w:jc w:val="center"/>
              <w:rPr>
                <w:rFonts w:eastAsia="Arial"/>
                <w:lang w:bidi="cs-CZ"/>
              </w:rPr>
            </w:pPr>
          </w:p>
          <w:p w14:paraId="15132503" w14:textId="77777777" w:rsidR="007170C3" w:rsidRPr="008819AF" w:rsidRDefault="007170C3" w:rsidP="0021052F">
            <w:pPr>
              <w:jc w:val="center"/>
              <w:rPr>
                <w:rFonts w:eastAsia="Arial"/>
                <w:lang w:bidi="cs-CZ"/>
              </w:rPr>
            </w:pPr>
          </w:p>
          <w:p w14:paraId="15132504" w14:textId="77777777" w:rsidR="00A20BEE" w:rsidRPr="008819AF" w:rsidRDefault="00A20BEE" w:rsidP="0021052F">
            <w:pPr>
              <w:jc w:val="center"/>
              <w:rPr>
                <w:rFonts w:eastAsia="Arial"/>
                <w:lang w:bidi="cs-CZ"/>
              </w:rPr>
            </w:pPr>
          </w:p>
          <w:p w14:paraId="15132505" w14:textId="77777777" w:rsidR="00A20BEE" w:rsidRPr="008819AF" w:rsidRDefault="00A20BEE" w:rsidP="0021052F">
            <w:pPr>
              <w:jc w:val="center"/>
              <w:rPr>
                <w:rFonts w:eastAsia="Arial"/>
                <w:lang w:bidi="cs-CZ"/>
              </w:rPr>
            </w:pPr>
          </w:p>
          <w:p w14:paraId="15132506" w14:textId="77777777" w:rsidR="007170C3" w:rsidRPr="008819AF" w:rsidRDefault="00A32C9B" w:rsidP="0021052F">
            <w:pPr>
              <w:jc w:val="center"/>
              <w:rPr>
                <w:rFonts w:eastAsia="Arial"/>
                <w:lang w:bidi="cs-CZ"/>
              </w:rPr>
            </w:pPr>
            <w:r w:rsidRPr="008819AF">
              <w:rPr>
                <w:rFonts w:eastAsia="Arial"/>
                <w:lang w:bidi="cs-CZ"/>
              </w:rPr>
              <w:t>NZ</w:t>
            </w:r>
          </w:p>
          <w:p w14:paraId="15132507" w14:textId="77777777" w:rsidR="007170C3" w:rsidRPr="008819AF" w:rsidRDefault="007170C3"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508" w14:textId="77777777" w:rsidR="007170C3" w:rsidRPr="008819AF" w:rsidRDefault="00FA7467" w:rsidP="0021052F">
            <w:pPr>
              <w:tabs>
                <w:tab w:val="left" w:pos="360"/>
                <w:tab w:val="left" w:pos="643"/>
              </w:tabs>
              <w:ind w:left="72"/>
              <w:jc w:val="center"/>
              <w:rPr>
                <w:rFonts w:eastAsia="a*i*l"/>
              </w:rPr>
            </w:pPr>
            <w:r w:rsidRPr="008819AF">
              <w:rPr>
                <w:rFonts w:eastAsia="a*i*l"/>
              </w:rPr>
              <w:lastRenderedPageBreak/>
              <w:t>§ 27  O 5</w:t>
            </w:r>
          </w:p>
          <w:p w14:paraId="15132509" w14:textId="77777777" w:rsidR="007170C3" w:rsidRPr="008819AF" w:rsidRDefault="00FA7467" w:rsidP="0021052F">
            <w:pPr>
              <w:tabs>
                <w:tab w:val="left" w:pos="360"/>
                <w:tab w:val="left" w:pos="643"/>
              </w:tabs>
              <w:ind w:left="72"/>
              <w:jc w:val="center"/>
              <w:rPr>
                <w:rFonts w:eastAsia="a*i*l"/>
              </w:rPr>
            </w:pPr>
            <w:r w:rsidRPr="008819AF">
              <w:rPr>
                <w:rFonts w:eastAsia="a*i*l"/>
              </w:rPr>
              <w:t>P a) až p</w:t>
            </w:r>
            <w:r w:rsidR="006F0418" w:rsidRPr="008819AF">
              <w:rPr>
                <w:rFonts w:eastAsia="a*i*l"/>
              </w:rPr>
              <w:t>)</w:t>
            </w:r>
          </w:p>
          <w:p w14:paraId="1513250A" w14:textId="77777777" w:rsidR="007170C3" w:rsidRPr="008819AF" w:rsidRDefault="007170C3" w:rsidP="0021052F">
            <w:pPr>
              <w:tabs>
                <w:tab w:val="left" w:pos="360"/>
                <w:tab w:val="left" w:pos="643"/>
              </w:tabs>
              <w:ind w:left="72"/>
              <w:jc w:val="center"/>
              <w:rPr>
                <w:rFonts w:eastAsia="a*i*l"/>
              </w:rPr>
            </w:pPr>
          </w:p>
          <w:p w14:paraId="1513250B" w14:textId="77777777" w:rsidR="007170C3" w:rsidRPr="008819AF" w:rsidRDefault="007170C3" w:rsidP="0021052F">
            <w:pPr>
              <w:tabs>
                <w:tab w:val="left" w:pos="360"/>
                <w:tab w:val="left" w:pos="643"/>
              </w:tabs>
              <w:ind w:left="72"/>
              <w:jc w:val="center"/>
              <w:rPr>
                <w:rFonts w:eastAsia="a*i*l"/>
              </w:rPr>
            </w:pPr>
          </w:p>
          <w:p w14:paraId="1513250C" w14:textId="77777777" w:rsidR="007170C3" w:rsidRPr="008819AF" w:rsidRDefault="007170C3" w:rsidP="0021052F">
            <w:pPr>
              <w:tabs>
                <w:tab w:val="left" w:pos="360"/>
                <w:tab w:val="left" w:pos="643"/>
              </w:tabs>
              <w:ind w:left="72"/>
              <w:jc w:val="center"/>
              <w:rPr>
                <w:rFonts w:eastAsia="a*i*l"/>
              </w:rPr>
            </w:pPr>
          </w:p>
          <w:p w14:paraId="1513250D" w14:textId="77777777" w:rsidR="007170C3" w:rsidRPr="008819AF" w:rsidRDefault="007170C3" w:rsidP="0021052F">
            <w:pPr>
              <w:tabs>
                <w:tab w:val="left" w:pos="360"/>
                <w:tab w:val="left" w:pos="643"/>
              </w:tabs>
              <w:ind w:left="72"/>
              <w:jc w:val="center"/>
              <w:rPr>
                <w:rFonts w:eastAsia="a*i*l"/>
              </w:rPr>
            </w:pPr>
          </w:p>
          <w:p w14:paraId="1513250E" w14:textId="77777777" w:rsidR="007170C3" w:rsidRPr="008819AF" w:rsidRDefault="007170C3" w:rsidP="0021052F">
            <w:pPr>
              <w:tabs>
                <w:tab w:val="left" w:pos="360"/>
                <w:tab w:val="left" w:pos="643"/>
              </w:tabs>
              <w:ind w:left="72"/>
              <w:jc w:val="center"/>
              <w:rPr>
                <w:rFonts w:eastAsia="a*i*l"/>
              </w:rPr>
            </w:pPr>
          </w:p>
          <w:p w14:paraId="1513250F" w14:textId="77777777" w:rsidR="007170C3" w:rsidRPr="008819AF" w:rsidRDefault="007170C3" w:rsidP="0021052F">
            <w:pPr>
              <w:tabs>
                <w:tab w:val="left" w:pos="360"/>
                <w:tab w:val="left" w:pos="643"/>
              </w:tabs>
              <w:ind w:left="72"/>
              <w:jc w:val="center"/>
              <w:rPr>
                <w:rFonts w:eastAsia="a*i*l"/>
              </w:rPr>
            </w:pPr>
          </w:p>
          <w:p w14:paraId="15132510" w14:textId="77777777" w:rsidR="007170C3" w:rsidRPr="008819AF" w:rsidRDefault="007170C3" w:rsidP="0021052F">
            <w:pPr>
              <w:tabs>
                <w:tab w:val="left" w:pos="360"/>
                <w:tab w:val="left" w:pos="643"/>
              </w:tabs>
              <w:ind w:left="72"/>
              <w:jc w:val="center"/>
              <w:rPr>
                <w:rFonts w:eastAsia="a*i*l"/>
              </w:rPr>
            </w:pPr>
          </w:p>
          <w:p w14:paraId="15132511" w14:textId="77777777" w:rsidR="007170C3" w:rsidRPr="008819AF" w:rsidRDefault="007170C3" w:rsidP="0021052F">
            <w:pPr>
              <w:tabs>
                <w:tab w:val="left" w:pos="360"/>
                <w:tab w:val="left" w:pos="643"/>
              </w:tabs>
              <w:ind w:left="72"/>
              <w:jc w:val="center"/>
              <w:rPr>
                <w:rFonts w:eastAsia="a*i*l"/>
              </w:rPr>
            </w:pPr>
          </w:p>
          <w:p w14:paraId="15132512" w14:textId="77777777" w:rsidR="007170C3" w:rsidRPr="008819AF" w:rsidRDefault="007170C3" w:rsidP="0021052F">
            <w:pPr>
              <w:tabs>
                <w:tab w:val="left" w:pos="360"/>
                <w:tab w:val="left" w:pos="643"/>
              </w:tabs>
              <w:ind w:left="72"/>
              <w:jc w:val="center"/>
              <w:rPr>
                <w:rFonts w:eastAsia="a*i*l"/>
              </w:rPr>
            </w:pPr>
          </w:p>
          <w:p w14:paraId="15132513" w14:textId="77777777" w:rsidR="007170C3" w:rsidRPr="008819AF" w:rsidRDefault="007170C3" w:rsidP="0021052F">
            <w:pPr>
              <w:tabs>
                <w:tab w:val="left" w:pos="360"/>
                <w:tab w:val="left" w:pos="643"/>
              </w:tabs>
              <w:ind w:left="72"/>
              <w:jc w:val="center"/>
              <w:rPr>
                <w:rFonts w:eastAsia="a*i*l"/>
              </w:rPr>
            </w:pPr>
          </w:p>
          <w:p w14:paraId="15132514" w14:textId="77777777" w:rsidR="007170C3" w:rsidRPr="008819AF" w:rsidRDefault="007170C3" w:rsidP="0021052F">
            <w:pPr>
              <w:tabs>
                <w:tab w:val="left" w:pos="360"/>
                <w:tab w:val="left" w:pos="643"/>
              </w:tabs>
              <w:ind w:left="72"/>
              <w:jc w:val="center"/>
              <w:rPr>
                <w:rFonts w:eastAsia="a*i*l"/>
              </w:rPr>
            </w:pPr>
          </w:p>
          <w:p w14:paraId="15132515" w14:textId="77777777" w:rsidR="007170C3" w:rsidRPr="008819AF" w:rsidRDefault="007170C3" w:rsidP="0021052F">
            <w:pPr>
              <w:tabs>
                <w:tab w:val="left" w:pos="360"/>
                <w:tab w:val="left" w:pos="643"/>
              </w:tabs>
              <w:ind w:left="72"/>
              <w:jc w:val="center"/>
              <w:rPr>
                <w:rFonts w:eastAsia="a*i*l"/>
              </w:rPr>
            </w:pPr>
          </w:p>
          <w:p w14:paraId="15132516" w14:textId="77777777" w:rsidR="007170C3" w:rsidRPr="008819AF" w:rsidRDefault="007170C3" w:rsidP="0021052F">
            <w:pPr>
              <w:tabs>
                <w:tab w:val="left" w:pos="360"/>
                <w:tab w:val="left" w:pos="643"/>
              </w:tabs>
              <w:ind w:left="72"/>
              <w:jc w:val="center"/>
              <w:rPr>
                <w:rFonts w:eastAsia="a*i*l"/>
              </w:rPr>
            </w:pPr>
          </w:p>
          <w:p w14:paraId="15132517" w14:textId="77777777" w:rsidR="007170C3" w:rsidRPr="008819AF" w:rsidRDefault="007170C3" w:rsidP="0021052F">
            <w:pPr>
              <w:tabs>
                <w:tab w:val="left" w:pos="360"/>
                <w:tab w:val="left" w:pos="643"/>
              </w:tabs>
              <w:ind w:left="72"/>
              <w:jc w:val="center"/>
              <w:rPr>
                <w:rFonts w:eastAsia="a*i*l"/>
              </w:rPr>
            </w:pPr>
          </w:p>
          <w:p w14:paraId="15132518" w14:textId="77777777" w:rsidR="007170C3" w:rsidRPr="008819AF" w:rsidRDefault="007170C3" w:rsidP="0021052F">
            <w:pPr>
              <w:tabs>
                <w:tab w:val="left" w:pos="360"/>
                <w:tab w:val="left" w:pos="643"/>
              </w:tabs>
              <w:ind w:left="72"/>
              <w:jc w:val="center"/>
              <w:rPr>
                <w:rFonts w:eastAsia="a*i*l"/>
              </w:rPr>
            </w:pPr>
          </w:p>
          <w:p w14:paraId="15132519" w14:textId="77777777" w:rsidR="007170C3" w:rsidRPr="008819AF" w:rsidRDefault="007170C3" w:rsidP="0021052F">
            <w:pPr>
              <w:tabs>
                <w:tab w:val="left" w:pos="360"/>
                <w:tab w:val="left" w:pos="643"/>
              </w:tabs>
              <w:ind w:left="72"/>
              <w:jc w:val="center"/>
              <w:rPr>
                <w:rFonts w:eastAsia="a*i*l"/>
              </w:rPr>
            </w:pPr>
          </w:p>
          <w:p w14:paraId="1513251A" w14:textId="77777777" w:rsidR="007170C3" w:rsidRPr="008819AF" w:rsidRDefault="007170C3" w:rsidP="0021052F">
            <w:pPr>
              <w:tabs>
                <w:tab w:val="left" w:pos="360"/>
                <w:tab w:val="left" w:pos="643"/>
              </w:tabs>
              <w:ind w:left="72"/>
              <w:jc w:val="center"/>
              <w:rPr>
                <w:rFonts w:eastAsia="a*i*l"/>
              </w:rPr>
            </w:pPr>
          </w:p>
          <w:p w14:paraId="1513251B" w14:textId="77777777" w:rsidR="007170C3" w:rsidRPr="008819AF" w:rsidRDefault="007170C3" w:rsidP="0021052F">
            <w:pPr>
              <w:tabs>
                <w:tab w:val="left" w:pos="360"/>
                <w:tab w:val="left" w:pos="643"/>
              </w:tabs>
              <w:ind w:left="72"/>
              <w:jc w:val="center"/>
              <w:rPr>
                <w:rFonts w:eastAsia="a*i*l"/>
              </w:rPr>
            </w:pPr>
          </w:p>
          <w:p w14:paraId="1513251C" w14:textId="77777777" w:rsidR="007170C3" w:rsidRPr="008819AF" w:rsidRDefault="007170C3" w:rsidP="0021052F">
            <w:pPr>
              <w:tabs>
                <w:tab w:val="left" w:pos="360"/>
                <w:tab w:val="left" w:pos="643"/>
              </w:tabs>
              <w:ind w:left="72"/>
              <w:jc w:val="center"/>
              <w:rPr>
                <w:rFonts w:eastAsia="a*i*l"/>
              </w:rPr>
            </w:pPr>
          </w:p>
          <w:p w14:paraId="1513251D" w14:textId="77777777" w:rsidR="007170C3" w:rsidRPr="008819AF" w:rsidRDefault="007170C3" w:rsidP="0021052F">
            <w:pPr>
              <w:tabs>
                <w:tab w:val="left" w:pos="360"/>
                <w:tab w:val="left" w:pos="643"/>
              </w:tabs>
              <w:ind w:left="72"/>
              <w:jc w:val="center"/>
              <w:rPr>
                <w:rFonts w:eastAsia="a*i*l"/>
              </w:rPr>
            </w:pPr>
          </w:p>
          <w:p w14:paraId="1513251E" w14:textId="77777777" w:rsidR="007170C3" w:rsidRPr="008819AF" w:rsidRDefault="007170C3" w:rsidP="0021052F">
            <w:pPr>
              <w:tabs>
                <w:tab w:val="left" w:pos="360"/>
                <w:tab w:val="left" w:pos="643"/>
              </w:tabs>
              <w:ind w:left="72"/>
              <w:jc w:val="center"/>
              <w:rPr>
                <w:rFonts w:eastAsia="a*i*l"/>
              </w:rPr>
            </w:pPr>
          </w:p>
          <w:p w14:paraId="1513251F" w14:textId="77777777" w:rsidR="007170C3" w:rsidRPr="008819AF" w:rsidRDefault="007170C3" w:rsidP="0021052F">
            <w:pPr>
              <w:tabs>
                <w:tab w:val="left" w:pos="360"/>
                <w:tab w:val="left" w:pos="643"/>
              </w:tabs>
              <w:ind w:left="72"/>
              <w:jc w:val="center"/>
              <w:rPr>
                <w:rFonts w:eastAsia="a*i*l"/>
              </w:rPr>
            </w:pPr>
          </w:p>
          <w:p w14:paraId="15132520" w14:textId="77777777" w:rsidR="007170C3" w:rsidRPr="008819AF" w:rsidRDefault="007170C3" w:rsidP="0021052F">
            <w:pPr>
              <w:tabs>
                <w:tab w:val="left" w:pos="360"/>
                <w:tab w:val="left" w:pos="643"/>
              </w:tabs>
              <w:ind w:left="72"/>
              <w:jc w:val="center"/>
              <w:rPr>
                <w:rFonts w:eastAsia="a*i*l"/>
              </w:rPr>
            </w:pPr>
          </w:p>
          <w:p w14:paraId="15132521" w14:textId="77777777" w:rsidR="007170C3" w:rsidRPr="008819AF" w:rsidRDefault="007170C3" w:rsidP="0021052F">
            <w:pPr>
              <w:tabs>
                <w:tab w:val="left" w:pos="360"/>
                <w:tab w:val="left" w:pos="643"/>
              </w:tabs>
              <w:ind w:left="72"/>
              <w:jc w:val="center"/>
              <w:rPr>
                <w:rFonts w:eastAsia="a*i*l"/>
              </w:rPr>
            </w:pPr>
          </w:p>
          <w:p w14:paraId="15132522" w14:textId="77777777" w:rsidR="007170C3" w:rsidRPr="008819AF" w:rsidRDefault="007170C3" w:rsidP="0021052F">
            <w:pPr>
              <w:tabs>
                <w:tab w:val="left" w:pos="360"/>
                <w:tab w:val="left" w:pos="643"/>
              </w:tabs>
              <w:ind w:left="72"/>
              <w:jc w:val="center"/>
              <w:rPr>
                <w:rFonts w:eastAsia="a*i*l"/>
              </w:rPr>
            </w:pPr>
          </w:p>
          <w:p w14:paraId="15132523" w14:textId="77777777" w:rsidR="007170C3" w:rsidRPr="008819AF" w:rsidRDefault="007170C3" w:rsidP="0021052F">
            <w:pPr>
              <w:tabs>
                <w:tab w:val="left" w:pos="360"/>
                <w:tab w:val="left" w:pos="643"/>
              </w:tabs>
              <w:ind w:left="72"/>
              <w:jc w:val="center"/>
              <w:rPr>
                <w:rFonts w:eastAsia="a*i*l"/>
              </w:rPr>
            </w:pPr>
          </w:p>
          <w:p w14:paraId="15132524" w14:textId="77777777" w:rsidR="007170C3" w:rsidRPr="008819AF" w:rsidRDefault="007170C3" w:rsidP="0021052F">
            <w:pPr>
              <w:tabs>
                <w:tab w:val="left" w:pos="360"/>
                <w:tab w:val="left" w:pos="643"/>
              </w:tabs>
              <w:ind w:left="72"/>
              <w:jc w:val="center"/>
              <w:rPr>
                <w:rFonts w:eastAsia="a*i*l"/>
              </w:rPr>
            </w:pPr>
          </w:p>
          <w:p w14:paraId="15132525" w14:textId="77777777" w:rsidR="007170C3" w:rsidRPr="008819AF" w:rsidRDefault="007170C3" w:rsidP="0021052F">
            <w:pPr>
              <w:tabs>
                <w:tab w:val="left" w:pos="360"/>
                <w:tab w:val="left" w:pos="643"/>
              </w:tabs>
              <w:ind w:left="72"/>
              <w:jc w:val="center"/>
              <w:rPr>
                <w:rFonts w:eastAsia="a*i*l"/>
              </w:rPr>
            </w:pPr>
          </w:p>
          <w:p w14:paraId="15132526" w14:textId="77777777" w:rsidR="007170C3" w:rsidRPr="008819AF" w:rsidRDefault="007170C3" w:rsidP="0021052F">
            <w:pPr>
              <w:tabs>
                <w:tab w:val="left" w:pos="360"/>
                <w:tab w:val="left" w:pos="643"/>
              </w:tabs>
              <w:ind w:left="72"/>
              <w:jc w:val="center"/>
              <w:rPr>
                <w:rFonts w:eastAsia="a*i*l"/>
              </w:rPr>
            </w:pPr>
          </w:p>
          <w:p w14:paraId="15132527" w14:textId="77777777" w:rsidR="007170C3" w:rsidRPr="008819AF" w:rsidRDefault="007170C3" w:rsidP="0021052F">
            <w:pPr>
              <w:tabs>
                <w:tab w:val="left" w:pos="360"/>
                <w:tab w:val="left" w:pos="643"/>
              </w:tabs>
              <w:jc w:val="center"/>
              <w:rPr>
                <w:rFonts w:eastAsia="a*i*l"/>
              </w:rPr>
            </w:pPr>
          </w:p>
          <w:p w14:paraId="15132528" w14:textId="77777777" w:rsidR="007868CA" w:rsidRPr="008819AF" w:rsidRDefault="007868CA" w:rsidP="0021052F">
            <w:pPr>
              <w:tabs>
                <w:tab w:val="left" w:pos="360"/>
                <w:tab w:val="left" w:pos="643"/>
              </w:tabs>
              <w:jc w:val="center"/>
              <w:rPr>
                <w:rFonts w:eastAsia="a*i*l"/>
              </w:rPr>
            </w:pPr>
          </w:p>
          <w:p w14:paraId="15132529" w14:textId="77777777" w:rsidR="007868CA" w:rsidRPr="008819AF" w:rsidRDefault="007868CA" w:rsidP="0021052F">
            <w:pPr>
              <w:tabs>
                <w:tab w:val="left" w:pos="360"/>
                <w:tab w:val="left" w:pos="643"/>
              </w:tabs>
              <w:jc w:val="center"/>
              <w:rPr>
                <w:rFonts w:eastAsia="a*i*l"/>
              </w:rPr>
            </w:pPr>
          </w:p>
          <w:p w14:paraId="1513252A" w14:textId="77777777" w:rsidR="007170C3" w:rsidRPr="008819AF" w:rsidRDefault="006F0418" w:rsidP="0021052F">
            <w:pPr>
              <w:tabs>
                <w:tab w:val="left" w:pos="360"/>
                <w:tab w:val="left" w:pos="643"/>
              </w:tabs>
              <w:jc w:val="center"/>
              <w:rPr>
                <w:rFonts w:eastAsia="a*i*l"/>
              </w:rPr>
            </w:pPr>
            <w:r w:rsidRPr="008819AF">
              <w:rPr>
                <w:rFonts w:eastAsia="a*i*l"/>
              </w:rPr>
              <w:lastRenderedPageBreak/>
              <w:t>§ 28</w:t>
            </w:r>
          </w:p>
          <w:p w14:paraId="1513252B" w14:textId="77777777" w:rsidR="007170C3" w:rsidRPr="008819AF" w:rsidRDefault="006F0418" w:rsidP="0021052F">
            <w:pPr>
              <w:tabs>
                <w:tab w:val="left" w:pos="360"/>
                <w:tab w:val="left" w:pos="643"/>
              </w:tabs>
              <w:jc w:val="center"/>
              <w:rPr>
                <w:rFonts w:eastAsia="a*i*l"/>
              </w:rPr>
            </w:pPr>
            <w:r w:rsidRPr="008819AF">
              <w:rPr>
                <w:rFonts w:eastAsia="a*i*l"/>
              </w:rPr>
              <w:t>O 1</w:t>
            </w:r>
          </w:p>
          <w:p w14:paraId="1513252C" w14:textId="77777777" w:rsidR="007170C3" w:rsidRPr="008819AF" w:rsidRDefault="006F0418" w:rsidP="0021052F">
            <w:pPr>
              <w:tabs>
                <w:tab w:val="left" w:pos="360"/>
                <w:tab w:val="left" w:pos="643"/>
              </w:tabs>
              <w:jc w:val="center"/>
              <w:rPr>
                <w:rFonts w:eastAsia="a*i*l"/>
              </w:rPr>
            </w:pPr>
            <w:r w:rsidRPr="008819AF">
              <w:rPr>
                <w:rFonts w:eastAsia="a*i*l"/>
              </w:rPr>
              <w:t>P a) až k)</w:t>
            </w:r>
          </w:p>
          <w:p w14:paraId="1513252D" w14:textId="77777777" w:rsidR="007170C3" w:rsidRPr="008819AF" w:rsidRDefault="007170C3" w:rsidP="0021052F">
            <w:pPr>
              <w:tabs>
                <w:tab w:val="left" w:pos="360"/>
                <w:tab w:val="left" w:pos="643"/>
              </w:tabs>
              <w:ind w:left="72"/>
              <w:jc w:val="center"/>
              <w:rPr>
                <w:rFonts w:eastAsia="a*i*l"/>
              </w:rPr>
            </w:pPr>
          </w:p>
          <w:p w14:paraId="1513252E" w14:textId="77777777" w:rsidR="007170C3" w:rsidRPr="008819AF" w:rsidRDefault="007170C3" w:rsidP="0021052F">
            <w:pPr>
              <w:tabs>
                <w:tab w:val="left" w:pos="360"/>
                <w:tab w:val="left" w:pos="643"/>
              </w:tabs>
              <w:ind w:left="72"/>
              <w:jc w:val="center"/>
              <w:rPr>
                <w:rFonts w:eastAsia="a*i*l"/>
              </w:rPr>
            </w:pPr>
          </w:p>
          <w:p w14:paraId="1513252F" w14:textId="77777777" w:rsidR="007170C3" w:rsidRPr="008819AF" w:rsidRDefault="007170C3" w:rsidP="0021052F">
            <w:pPr>
              <w:tabs>
                <w:tab w:val="left" w:pos="360"/>
                <w:tab w:val="left" w:pos="643"/>
              </w:tabs>
              <w:ind w:left="72"/>
              <w:jc w:val="center"/>
              <w:rPr>
                <w:rFonts w:eastAsia="a*i*l"/>
              </w:rPr>
            </w:pPr>
          </w:p>
          <w:p w14:paraId="15132530" w14:textId="77777777" w:rsidR="007170C3" w:rsidRPr="008819AF" w:rsidRDefault="007170C3" w:rsidP="0021052F">
            <w:pPr>
              <w:tabs>
                <w:tab w:val="left" w:pos="360"/>
                <w:tab w:val="left" w:pos="643"/>
              </w:tabs>
              <w:ind w:left="72"/>
              <w:jc w:val="center"/>
              <w:rPr>
                <w:rFonts w:eastAsia="a*i*l"/>
              </w:rPr>
            </w:pPr>
          </w:p>
          <w:p w14:paraId="15132531" w14:textId="77777777" w:rsidR="007170C3" w:rsidRPr="008819AF" w:rsidRDefault="007170C3" w:rsidP="0021052F">
            <w:pPr>
              <w:tabs>
                <w:tab w:val="left" w:pos="360"/>
                <w:tab w:val="left" w:pos="643"/>
              </w:tabs>
              <w:ind w:left="72"/>
              <w:jc w:val="center"/>
              <w:rPr>
                <w:rFonts w:eastAsia="a*i*l"/>
              </w:rPr>
            </w:pPr>
          </w:p>
          <w:p w14:paraId="15132532" w14:textId="77777777" w:rsidR="007170C3" w:rsidRPr="008819AF" w:rsidRDefault="007170C3" w:rsidP="0021052F">
            <w:pPr>
              <w:tabs>
                <w:tab w:val="left" w:pos="360"/>
                <w:tab w:val="left" w:pos="643"/>
              </w:tabs>
              <w:ind w:left="72"/>
              <w:jc w:val="center"/>
              <w:rPr>
                <w:rFonts w:eastAsia="a*i*l"/>
              </w:rPr>
            </w:pPr>
          </w:p>
          <w:p w14:paraId="15132533" w14:textId="77777777" w:rsidR="007170C3" w:rsidRPr="008819AF" w:rsidRDefault="007170C3" w:rsidP="0021052F">
            <w:pPr>
              <w:tabs>
                <w:tab w:val="left" w:pos="360"/>
                <w:tab w:val="left" w:pos="643"/>
              </w:tabs>
              <w:ind w:left="72"/>
              <w:jc w:val="center"/>
              <w:rPr>
                <w:rFonts w:eastAsia="a*i*l"/>
              </w:rPr>
            </w:pPr>
          </w:p>
          <w:p w14:paraId="15132534" w14:textId="77777777" w:rsidR="007170C3" w:rsidRPr="008819AF" w:rsidRDefault="007170C3" w:rsidP="0021052F">
            <w:pPr>
              <w:tabs>
                <w:tab w:val="left" w:pos="360"/>
                <w:tab w:val="left" w:pos="643"/>
              </w:tabs>
              <w:ind w:left="72"/>
              <w:jc w:val="center"/>
              <w:rPr>
                <w:rFonts w:eastAsia="a*i*l"/>
              </w:rPr>
            </w:pPr>
          </w:p>
          <w:p w14:paraId="15132535" w14:textId="77777777" w:rsidR="007170C3" w:rsidRPr="008819AF" w:rsidRDefault="007170C3" w:rsidP="0021052F">
            <w:pPr>
              <w:tabs>
                <w:tab w:val="left" w:pos="360"/>
                <w:tab w:val="left" w:pos="643"/>
              </w:tabs>
              <w:ind w:left="72"/>
              <w:jc w:val="center"/>
              <w:rPr>
                <w:rFonts w:eastAsia="a*i*l"/>
              </w:rPr>
            </w:pPr>
          </w:p>
          <w:p w14:paraId="15132536" w14:textId="77777777" w:rsidR="007170C3" w:rsidRPr="008819AF" w:rsidRDefault="007170C3" w:rsidP="0021052F">
            <w:pPr>
              <w:tabs>
                <w:tab w:val="left" w:pos="360"/>
                <w:tab w:val="left" w:pos="643"/>
              </w:tabs>
              <w:ind w:left="72"/>
              <w:jc w:val="center"/>
              <w:rPr>
                <w:rFonts w:eastAsia="a*i*l"/>
              </w:rPr>
            </w:pPr>
          </w:p>
          <w:p w14:paraId="15132537" w14:textId="77777777" w:rsidR="007170C3" w:rsidRPr="008819AF" w:rsidRDefault="007170C3" w:rsidP="0021052F">
            <w:pPr>
              <w:tabs>
                <w:tab w:val="left" w:pos="360"/>
                <w:tab w:val="left" w:pos="643"/>
              </w:tabs>
              <w:ind w:left="72"/>
              <w:jc w:val="center"/>
              <w:rPr>
                <w:rFonts w:eastAsia="a*i*l"/>
              </w:rPr>
            </w:pPr>
          </w:p>
          <w:p w14:paraId="15132538" w14:textId="77777777" w:rsidR="007170C3" w:rsidRPr="008819AF" w:rsidRDefault="007170C3" w:rsidP="0021052F">
            <w:pPr>
              <w:tabs>
                <w:tab w:val="left" w:pos="360"/>
                <w:tab w:val="left" w:pos="643"/>
              </w:tabs>
              <w:ind w:left="72"/>
              <w:jc w:val="center"/>
              <w:rPr>
                <w:rFonts w:eastAsia="a*i*l"/>
              </w:rPr>
            </w:pPr>
          </w:p>
          <w:p w14:paraId="15132539" w14:textId="77777777" w:rsidR="007170C3" w:rsidRPr="008819AF" w:rsidRDefault="007170C3" w:rsidP="0021052F">
            <w:pPr>
              <w:tabs>
                <w:tab w:val="left" w:pos="360"/>
                <w:tab w:val="left" w:pos="643"/>
              </w:tabs>
              <w:ind w:left="72"/>
              <w:jc w:val="center"/>
              <w:rPr>
                <w:rFonts w:eastAsia="a*i*l"/>
              </w:rPr>
            </w:pPr>
          </w:p>
          <w:p w14:paraId="1513253A" w14:textId="77777777" w:rsidR="007170C3" w:rsidRPr="008819AF" w:rsidRDefault="007170C3" w:rsidP="0021052F">
            <w:pPr>
              <w:tabs>
                <w:tab w:val="left" w:pos="360"/>
                <w:tab w:val="left" w:pos="643"/>
              </w:tabs>
              <w:ind w:left="72"/>
              <w:jc w:val="center"/>
              <w:rPr>
                <w:rFonts w:eastAsia="a*i*l"/>
              </w:rPr>
            </w:pPr>
          </w:p>
          <w:p w14:paraId="1513253B" w14:textId="77777777" w:rsidR="007170C3" w:rsidRPr="008819AF" w:rsidRDefault="007170C3" w:rsidP="0021052F">
            <w:pPr>
              <w:tabs>
                <w:tab w:val="left" w:pos="360"/>
                <w:tab w:val="left" w:pos="643"/>
              </w:tabs>
              <w:ind w:left="72"/>
              <w:jc w:val="center"/>
              <w:rPr>
                <w:rFonts w:eastAsia="a*i*l"/>
              </w:rPr>
            </w:pPr>
          </w:p>
          <w:p w14:paraId="1513253C" w14:textId="77777777" w:rsidR="007170C3" w:rsidRPr="008819AF" w:rsidRDefault="007170C3" w:rsidP="0021052F">
            <w:pPr>
              <w:tabs>
                <w:tab w:val="left" w:pos="360"/>
                <w:tab w:val="left" w:pos="643"/>
              </w:tabs>
              <w:ind w:left="72"/>
              <w:jc w:val="center"/>
              <w:rPr>
                <w:rFonts w:eastAsia="a*i*l"/>
              </w:rPr>
            </w:pPr>
          </w:p>
          <w:p w14:paraId="1513253D" w14:textId="77777777" w:rsidR="007170C3" w:rsidRPr="008819AF" w:rsidRDefault="007170C3" w:rsidP="0021052F">
            <w:pPr>
              <w:tabs>
                <w:tab w:val="left" w:pos="360"/>
                <w:tab w:val="left" w:pos="643"/>
              </w:tabs>
              <w:ind w:left="72"/>
              <w:jc w:val="center"/>
              <w:rPr>
                <w:rFonts w:eastAsia="a*i*l"/>
              </w:rPr>
            </w:pPr>
          </w:p>
          <w:p w14:paraId="1513253E" w14:textId="77777777" w:rsidR="007170C3" w:rsidRPr="008819AF" w:rsidRDefault="007170C3" w:rsidP="0021052F">
            <w:pPr>
              <w:tabs>
                <w:tab w:val="left" w:pos="360"/>
                <w:tab w:val="left" w:pos="643"/>
              </w:tabs>
              <w:ind w:left="72"/>
              <w:jc w:val="center"/>
              <w:rPr>
                <w:rFonts w:eastAsia="a*i*l"/>
              </w:rPr>
            </w:pPr>
          </w:p>
          <w:p w14:paraId="1513253F" w14:textId="77777777" w:rsidR="007170C3" w:rsidRPr="008819AF" w:rsidRDefault="007170C3" w:rsidP="0021052F">
            <w:pPr>
              <w:tabs>
                <w:tab w:val="left" w:pos="360"/>
                <w:tab w:val="left" w:pos="643"/>
              </w:tabs>
              <w:ind w:left="72"/>
              <w:jc w:val="center"/>
              <w:rPr>
                <w:rFonts w:eastAsia="a*i*l"/>
              </w:rPr>
            </w:pPr>
          </w:p>
          <w:p w14:paraId="15132540" w14:textId="77777777" w:rsidR="007170C3" w:rsidRPr="008819AF" w:rsidRDefault="007170C3" w:rsidP="0021052F">
            <w:pPr>
              <w:tabs>
                <w:tab w:val="left" w:pos="360"/>
                <w:tab w:val="left" w:pos="643"/>
              </w:tabs>
              <w:ind w:left="72"/>
              <w:jc w:val="center"/>
              <w:rPr>
                <w:rFonts w:eastAsia="a*i*l"/>
              </w:rPr>
            </w:pPr>
          </w:p>
          <w:p w14:paraId="15132541" w14:textId="77777777" w:rsidR="007170C3" w:rsidRPr="008819AF" w:rsidRDefault="007170C3" w:rsidP="0021052F">
            <w:pPr>
              <w:tabs>
                <w:tab w:val="left" w:pos="360"/>
                <w:tab w:val="left" w:pos="643"/>
              </w:tabs>
              <w:ind w:left="72"/>
              <w:jc w:val="center"/>
              <w:rPr>
                <w:rFonts w:eastAsia="a*i*l"/>
              </w:rPr>
            </w:pPr>
          </w:p>
          <w:p w14:paraId="15132542" w14:textId="77777777" w:rsidR="007170C3" w:rsidRPr="008819AF" w:rsidRDefault="007170C3" w:rsidP="0021052F">
            <w:pPr>
              <w:tabs>
                <w:tab w:val="left" w:pos="360"/>
                <w:tab w:val="left" w:pos="643"/>
              </w:tabs>
              <w:ind w:left="72"/>
              <w:jc w:val="center"/>
              <w:rPr>
                <w:rFonts w:eastAsia="a*i*l"/>
              </w:rPr>
            </w:pPr>
          </w:p>
          <w:p w14:paraId="15132543" w14:textId="77777777" w:rsidR="007170C3" w:rsidRPr="008819AF" w:rsidRDefault="007170C3" w:rsidP="0021052F">
            <w:pPr>
              <w:tabs>
                <w:tab w:val="left" w:pos="360"/>
                <w:tab w:val="left" w:pos="643"/>
              </w:tabs>
              <w:ind w:left="72"/>
              <w:jc w:val="center"/>
              <w:rPr>
                <w:rFonts w:eastAsia="a*i*l"/>
              </w:rPr>
            </w:pPr>
          </w:p>
          <w:p w14:paraId="15132544" w14:textId="77777777" w:rsidR="007170C3" w:rsidRPr="008819AF" w:rsidRDefault="007170C3" w:rsidP="0021052F">
            <w:pPr>
              <w:tabs>
                <w:tab w:val="left" w:pos="360"/>
                <w:tab w:val="left" w:pos="643"/>
              </w:tabs>
              <w:ind w:left="72"/>
              <w:jc w:val="center"/>
              <w:rPr>
                <w:rFonts w:eastAsia="a*i*l"/>
              </w:rPr>
            </w:pPr>
          </w:p>
          <w:p w14:paraId="15132545" w14:textId="77777777" w:rsidR="007170C3" w:rsidRPr="008819AF" w:rsidRDefault="007170C3" w:rsidP="0021052F">
            <w:pPr>
              <w:tabs>
                <w:tab w:val="left" w:pos="360"/>
                <w:tab w:val="left" w:pos="643"/>
              </w:tabs>
              <w:ind w:left="72"/>
              <w:jc w:val="center"/>
              <w:rPr>
                <w:rFonts w:eastAsia="a*i*l"/>
              </w:rPr>
            </w:pPr>
          </w:p>
          <w:p w14:paraId="15132546" w14:textId="77777777" w:rsidR="007170C3" w:rsidRPr="008819AF" w:rsidRDefault="007170C3" w:rsidP="0021052F">
            <w:pPr>
              <w:tabs>
                <w:tab w:val="left" w:pos="360"/>
                <w:tab w:val="left" w:pos="643"/>
              </w:tabs>
              <w:ind w:left="72"/>
              <w:jc w:val="center"/>
              <w:rPr>
                <w:rFonts w:eastAsia="a*i*l"/>
              </w:rPr>
            </w:pPr>
          </w:p>
          <w:p w14:paraId="15132547" w14:textId="77777777" w:rsidR="007170C3" w:rsidRPr="008819AF" w:rsidRDefault="007170C3" w:rsidP="0021052F">
            <w:pPr>
              <w:tabs>
                <w:tab w:val="left" w:pos="360"/>
                <w:tab w:val="left" w:pos="643"/>
              </w:tabs>
              <w:ind w:left="72"/>
              <w:jc w:val="center"/>
              <w:rPr>
                <w:rFonts w:eastAsia="a*i*l"/>
              </w:rPr>
            </w:pPr>
          </w:p>
          <w:p w14:paraId="15132548" w14:textId="77777777" w:rsidR="007170C3" w:rsidRPr="008819AF" w:rsidRDefault="007170C3" w:rsidP="0021052F">
            <w:pPr>
              <w:tabs>
                <w:tab w:val="left" w:pos="360"/>
                <w:tab w:val="left" w:pos="643"/>
              </w:tabs>
              <w:ind w:left="72"/>
              <w:jc w:val="center"/>
              <w:rPr>
                <w:rFonts w:eastAsia="a*i*l"/>
              </w:rPr>
            </w:pPr>
          </w:p>
          <w:p w14:paraId="15132549" w14:textId="77777777" w:rsidR="007170C3" w:rsidRPr="008819AF" w:rsidRDefault="007170C3" w:rsidP="0021052F">
            <w:pPr>
              <w:tabs>
                <w:tab w:val="left" w:pos="360"/>
                <w:tab w:val="left" w:pos="643"/>
              </w:tabs>
              <w:ind w:left="72"/>
              <w:jc w:val="center"/>
              <w:rPr>
                <w:rFonts w:eastAsia="a*i*l"/>
              </w:rPr>
            </w:pPr>
          </w:p>
          <w:p w14:paraId="1513254A" w14:textId="77777777" w:rsidR="00A20BEE" w:rsidRPr="008819AF" w:rsidRDefault="00A20BEE" w:rsidP="0021052F">
            <w:pPr>
              <w:tabs>
                <w:tab w:val="left" w:pos="360"/>
                <w:tab w:val="left" w:pos="643"/>
              </w:tabs>
              <w:ind w:left="72"/>
              <w:jc w:val="center"/>
              <w:rPr>
                <w:rFonts w:eastAsia="a*i*l"/>
              </w:rPr>
            </w:pPr>
          </w:p>
          <w:p w14:paraId="1513254B" w14:textId="77777777" w:rsidR="00A20BEE" w:rsidRPr="008819AF" w:rsidRDefault="00A20BEE" w:rsidP="0021052F">
            <w:pPr>
              <w:tabs>
                <w:tab w:val="left" w:pos="360"/>
                <w:tab w:val="left" w:pos="643"/>
              </w:tabs>
              <w:ind w:left="72"/>
              <w:jc w:val="center"/>
              <w:rPr>
                <w:rFonts w:eastAsia="a*i*l"/>
              </w:rPr>
            </w:pPr>
          </w:p>
          <w:p w14:paraId="1513254C" w14:textId="77777777" w:rsidR="007170C3" w:rsidRPr="008819AF" w:rsidRDefault="007170C3" w:rsidP="0021052F">
            <w:pPr>
              <w:tabs>
                <w:tab w:val="left" w:pos="360"/>
                <w:tab w:val="left" w:pos="643"/>
              </w:tabs>
              <w:ind w:left="72"/>
              <w:jc w:val="center"/>
              <w:rPr>
                <w:rFonts w:eastAsia="a*i*l"/>
              </w:rPr>
            </w:pPr>
          </w:p>
          <w:p w14:paraId="1513254D" w14:textId="77777777" w:rsidR="007170C3" w:rsidRPr="008819AF" w:rsidRDefault="006F0418" w:rsidP="0021052F">
            <w:pPr>
              <w:tabs>
                <w:tab w:val="left" w:pos="360"/>
                <w:tab w:val="left" w:pos="643"/>
              </w:tabs>
              <w:ind w:left="72"/>
              <w:jc w:val="center"/>
              <w:rPr>
                <w:rFonts w:eastAsia="a*i*l"/>
              </w:rPr>
            </w:pPr>
            <w:r w:rsidRPr="008819AF">
              <w:rPr>
                <w:rFonts w:eastAsia="a*i*l"/>
              </w:rPr>
              <w:t>§ 28</w:t>
            </w:r>
          </w:p>
          <w:p w14:paraId="1513254E" w14:textId="77777777" w:rsidR="007170C3" w:rsidRPr="008819AF" w:rsidRDefault="006F0418" w:rsidP="0021052F">
            <w:pPr>
              <w:tabs>
                <w:tab w:val="left" w:pos="360"/>
                <w:tab w:val="left" w:pos="643"/>
              </w:tabs>
              <w:ind w:left="72"/>
              <w:jc w:val="center"/>
              <w:rPr>
                <w:rFonts w:eastAsia="a*i*l"/>
              </w:rPr>
            </w:pPr>
            <w:r w:rsidRPr="008819AF">
              <w:rPr>
                <w:rFonts w:eastAsia="a*i*l"/>
              </w:rPr>
              <w:t>O 6</w:t>
            </w:r>
          </w:p>
          <w:p w14:paraId="1513254F" w14:textId="77777777" w:rsidR="007170C3" w:rsidRPr="008819AF" w:rsidRDefault="007170C3" w:rsidP="0021052F">
            <w:pPr>
              <w:pStyle w:val="Textpsmene"/>
              <w:ind w:left="72"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550" w14:textId="77777777" w:rsidR="00FA7467" w:rsidRPr="008819AF" w:rsidRDefault="0002292A" w:rsidP="0002292A">
            <w:pPr>
              <w:tabs>
                <w:tab w:val="left" w:pos="-426"/>
              </w:tabs>
              <w:rPr>
                <w:rFonts w:eastAsia="a*i*l"/>
              </w:rPr>
            </w:pPr>
            <w:r w:rsidRPr="008819AF">
              <w:rPr>
                <w:rFonts w:eastAsia="a*i*l"/>
              </w:rPr>
              <w:lastRenderedPageBreak/>
              <w:t xml:space="preserve">V povolení zdroja sa uvedú najmä tieto údaje: </w:t>
            </w:r>
            <w:r w:rsidR="00FA7467" w:rsidRPr="008819AF">
              <w:rPr>
                <w:rFonts w:eastAsia="a*i*l"/>
              </w:rPr>
              <w:t>identifikačné údaje prevádzkovateľa,</w:t>
            </w:r>
          </w:p>
          <w:p w14:paraId="15132551" w14:textId="77777777" w:rsidR="0002292A" w:rsidRPr="008819AF" w:rsidRDefault="0002292A" w:rsidP="009C63CF">
            <w:pPr>
              <w:numPr>
                <w:ilvl w:val="1"/>
                <w:numId w:val="64"/>
              </w:numPr>
              <w:tabs>
                <w:tab w:val="left" w:pos="-426"/>
              </w:tabs>
              <w:ind w:left="24"/>
              <w:rPr>
                <w:rFonts w:eastAsia="a*i*l"/>
              </w:rPr>
            </w:pPr>
            <w:r w:rsidRPr="008819AF">
              <w:rPr>
                <w:rFonts w:eastAsia="a*i*l"/>
              </w:rPr>
              <w:t>iden</w:t>
            </w:r>
            <w:r w:rsidR="007868CA" w:rsidRPr="008819AF">
              <w:rPr>
                <w:rFonts w:eastAsia="a*i*l"/>
              </w:rPr>
              <w:t>tifikačné údaje prevádzkovateľa; ak ide o fyzickú osobu identifikačnými údajmi sa rozumejú meno, priezvisko, rok narodenia a adresa trvalého pobytu,</w:t>
            </w:r>
          </w:p>
          <w:p w14:paraId="15132552" w14:textId="77777777" w:rsidR="0002292A" w:rsidRPr="008819AF" w:rsidRDefault="0002292A" w:rsidP="009C63CF">
            <w:pPr>
              <w:numPr>
                <w:ilvl w:val="1"/>
                <w:numId w:val="64"/>
              </w:numPr>
              <w:tabs>
                <w:tab w:val="left" w:pos="-426"/>
              </w:tabs>
              <w:ind w:left="24"/>
              <w:rPr>
                <w:rFonts w:eastAsia="a*i*l"/>
              </w:rPr>
            </w:pPr>
            <w:r w:rsidRPr="008819AF">
              <w:rPr>
                <w:rFonts w:eastAsia="a*i*l"/>
              </w:rPr>
              <w:t>rozhodujúce údaje o stacionárnom zdroji, jeho zariadeniach a projektovaných kapacitách,</w:t>
            </w:r>
          </w:p>
          <w:p w14:paraId="15132553" w14:textId="77777777" w:rsidR="0002292A" w:rsidRPr="008819AF" w:rsidRDefault="0002292A" w:rsidP="009C63CF">
            <w:pPr>
              <w:numPr>
                <w:ilvl w:val="1"/>
                <w:numId w:val="64"/>
              </w:numPr>
              <w:tabs>
                <w:tab w:val="left" w:pos="-426"/>
              </w:tabs>
              <w:ind w:left="24"/>
              <w:rPr>
                <w:rFonts w:eastAsia="a*i*l"/>
              </w:rPr>
            </w:pPr>
            <w:r w:rsidRPr="008819AF">
              <w:rPr>
                <w:rFonts w:eastAsia="a*i*l"/>
              </w:rPr>
              <w:t xml:space="preserve">vymedzenie, začlenenie a kategória stacionárneho zdroja, </w:t>
            </w:r>
          </w:p>
          <w:p w14:paraId="15132554" w14:textId="77777777" w:rsidR="0002292A" w:rsidRPr="008819AF" w:rsidRDefault="0002292A" w:rsidP="009C63CF">
            <w:pPr>
              <w:numPr>
                <w:ilvl w:val="1"/>
                <w:numId w:val="64"/>
              </w:numPr>
              <w:tabs>
                <w:tab w:val="left" w:pos="-426"/>
              </w:tabs>
              <w:ind w:left="24"/>
              <w:rPr>
                <w:rFonts w:eastAsia="a*i*l"/>
              </w:rPr>
            </w:pPr>
            <w:r w:rsidRPr="008819AF">
              <w:rPr>
                <w:rFonts w:eastAsia="a*i*l"/>
              </w:rPr>
              <w:t xml:space="preserve">vymedzenie a začlenenie zariadení stacionárneho zdroja, </w:t>
            </w:r>
          </w:p>
          <w:p w14:paraId="15132555" w14:textId="77777777" w:rsidR="0002292A" w:rsidRPr="008819AF" w:rsidRDefault="0002292A" w:rsidP="009C63CF">
            <w:pPr>
              <w:numPr>
                <w:ilvl w:val="1"/>
                <w:numId w:val="64"/>
              </w:numPr>
              <w:tabs>
                <w:tab w:val="left" w:pos="-426"/>
              </w:tabs>
              <w:ind w:left="24"/>
              <w:rPr>
                <w:rFonts w:eastAsia="a*i*l"/>
              </w:rPr>
            </w:pPr>
            <w:r w:rsidRPr="008819AF">
              <w:rPr>
                <w:rFonts w:eastAsia="a*i*l"/>
              </w:rPr>
              <w:t xml:space="preserve">používané palivá a suroviny, ktoré môžu mať vplyv na emisie, </w:t>
            </w:r>
          </w:p>
          <w:p w14:paraId="15132556" w14:textId="77777777" w:rsidR="0002292A" w:rsidRPr="008819AF" w:rsidRDefault="0002292A" w:rsidP="009C63CF">
            <w:pPr>
              <w:numPr>
                <w:ilvl w:val="1"/>
                <w:numId w:val="64"/>
              </w:numPr>
              <w:tabs>
                <w:tab w:val="left" w:pos="-426"/>
              </w:tabs>
              <w:ind w:left="24"/>
              <w:rPr>
                <w:rFonts w:eastAsia="a*i*l"/>
              </w:rPr>
            </w:pPr>
            <w:r w:rsidRPr="008819AF">
              <w:rPr>
                <w:rFonts w:eastAsia="a*i*l"/>
              </w:rPr>
              <w:t>technické požiadavky a podmienky prevádzkovania,</w:t>
            </w:r>
          </w:p>
          <w:p w14:paraId="15132557" w14:textId="77777777" w:rsidR="0002292A" w:rsidRPr="008819AF" w:rsidRDefault="0002292A" w:rsidP="009C63CF">
            <w:pPr>
              <w:numPr>
                <w:ilvl w:val="1"/>
                <w:numId w:val="64"/>
              </w:numPr>
              <w:tabs>
                <w:tab w:val="left" w:pos="-426"/>
              </w:tabs>
              <w:ind w:left="24"/>
              <w:rPr>
                <w:rFonts w:eastAsia="a*i*l"/>
              </w:rPr>
            </w:pPr>
            <w:r w:rsidRPr="008819AF">
              <w:rPr>
                <w:rFonts w:eastAsia="a*i*l"/>
              </w:rPr>
              <w:t>emisné limity a podmienky ich platnosti,</w:t>
            </w:r>
          </w:p>
          <w:p w14:paraId="15132558" w14:textId="77777777" w:rsidR="0002292A" w:rsidRPr="008819AF" w:rsidRDefault="0002292A" w:rsidP="009C63CF">
            <w:pPr>
              <w:numPr>
                <w:ilvl w:val="1"/>
                <w:numId w:val="64"/>
              </w:numPr>
              <w:tabs>
                <w:tab w:val="left" w:pos="-426"/>
              </w:tabs>
              <w:ind w:left="24"/>
              <w:rPr>
                <w:rFonts w:eastAsia="a*i*l"/>
              </w:rPr>
            </w:pPr>
            <w:r w:rsidRPr="008819AF">
              <w:rPr>
                <w:rFonts w:eastAsia="a*i*l"/>
              </w:rPr>
              <w:t xml:space="preserve">požiadavky na hodnotenie dodržiavania emisných limitov, technických požiadaviek a podmienok prevádzkovania alebo odkaz na ustanovené požiadavky, </w:t>
            </w:r>
          </w:p>
          <w:p w14:paraId="15132559" w14:textId="77777777" w:rsidR="0002292A" w:rsidRPr="008819AF" w:rsidRDefault="0002292A" w:rsidP="009C63CF">
            <w:pPr>
              <w:numPr>
                <w:ilvl w:val="1"/>
                <w:numId w:val="64"/>
              </w:numPr>
              <w:tabs>
                <w:tab w:val="left" w:pos="-426"/>
              </w:tabs>
              <w:ind w:left="24"/>
              <w:rPr>
                <w:rFonts w:eastAsia="a*i*l"/>
              </w:rPr>
            </w:pPr>
            <w:r w:rsidRPr="008819AF">
              <w:rPr>
                <w:rFonts w:eastAsia="a*i*l"/>
              </w:rPr>
              <w:t>podmienky na obmedzenie prevádzkovania pri poruche alebo výpadku odlučovacieho zariadenia, ak ide o veľké spaľovacie zariadenie, spaľovňu odpadov a zariadenie na spoluspaľovanie odpadov,</w:t>
            </w:r>
          </w:p>
          <w:p w14:paraId="1513255A" w14:textId="77777777" w:rsidR="0002292A" w:rsidRPr="008819AF" w:rsidRDefault="0002292A" w:rsidP="009C63CF">
            <w:pPr>
              <w:numPr>
                <w:ilvl w:val="1"/>
                <w:numId w:val="64"/>
              </w:numPr>
              <w:tabs>
                <w:tab w:val="left" w:pos="-426"/>
              </w:tabs>
              <w:ind w:left="24"/>
              <w:rPr>
                <w:rFonts w:eastAsia="a*i*l"/>
              </w:rPr>
            </w:pPr>
            <w:r w:rsidRPr="008819AF">
              <w:rPr>
                <w:rFonts w:eastAsia="a*i*l"/>
              </w:rPr>
              <w:t>požiadavky zabezpečenia rozptylu emisií,</w:t>
            </w:r>
          </w:p>
          <w:p w14:paraId="1513255B" w14:textId="77777777" w:rsidR="0002292A" w:rsidRPr="008819AF" w:rsidRDefault="0002292A" w:rsidP="009C63CF">
            <w:pPr>
              <w:numPr>
                <w:ilvl w:val="1"/>
                <w:numId w:val="64"/>
              </w:numPr>
              <w:tabs>
                <w:tab w:val="left" w:pos="-426"/>
              </w:tabs>
              <w:ind w:left="24"/>
              <w:rPr>
                <w:rFonts w:eastAsia="a*i*l"/>
              </w:rPr>
            </w:pPr>
            <w:r w:rsidRPr="008819AF">
              <w:rPr>
                <w:rFonts w:eastAsia="a*i*l"/>
              </w:rPr>
              <w:t xml:space="preserve">požiadavky na monitorovanie emisií, </w:t>
            </w:r>
          </w:p>
          <w:p w14:paraId="1513255C" w14:textId="77777777" w:rsidR="0002292A" w:rsidRPr="008819AF" w:rsidRDefault="0002292A" w:rsidP="009C63CF">
            <w:pPr>
              <w:numPr>
                <w:ilvl w:val="1"/>
                <w:numId w:val="64"/>
              </w:numPr>
              <w:tabs>
                <w:tab w:val="left" w:pos="-426"/>
              </w:tabs>
              <w:ind w:left="24"/>
              <w:rPr>
                <w:rFonts w:eastAsia="a*i*l"/>
              </w:rPr>
            </w:pPr>
            <w:r w:rsidRPr="008819AF">
              <w:rPr>
                <w:rFonts w:eastAsia="a*i*l"/>
              </w:rPr>
              <w:t xml:space="preserve">požiadavky na monitorovanie kvality ovzdušia v okolí zdroja, ak ide o zdroj podľa § 5 ods. </w:t>
            </w:r>
            <w:r w:rsidR="007868CA" w:rsidRPr="008819AF">
              <w:rPr>
                <w:rFonts w:eastAsia="a*i*l"/>
              </w:rPr>
              <w:t>8</w:t>
            </w:r>
            <w:r w:rsidRPr="008819AF">
              <w:rPr>
                <w:rFonts w:eastAsia="a*i*l"/>
              </w:rPr>
              <w:t>,</w:t>
            </w:r>
          </w:p>
          <w:p w14:paraId="1513255D" w14:textId="77777777" w:rsidR="0002292A" w:rsidRPr="008819AF" w:rsidRDefault="0002292A" w:rsidP="009C63CF">
            <w:pPr>
              <w:numPr>
                <w:ilvl w:val="1"/>
                <w:numId w:val="64"/>
              </w:numPr>
              <w:tabs>
                <w:tab w:val="left" w:pos="-426"/>
              </w:tabs>
              <w:ind w:left="24"/>
              <w:rPr>
                <w:rFonts w:eastAsia="a*i*l"/>
              </w:rPr>
            </w:pPr>
            <w:r w:rsidRPr="008819AF">
              <w:rPr>
                <w:rFonts w:eastAsia="a*i*l"/>
              </w:rPr>
              <w:t>ďalšie opatrenia na predchádzanie a zníženie nepriaznivých vplyvov, vrátane kompenzačných opatrení, ak ich povoľujúci orgán uloží,</w:t>
            </w:r>
          </w:p>
          <w:p w14:paraId="1513255E" w14:textId="77777777" w:rsidR="0002292A" w:rsidRPr="008819AF" w:rsidRDefault="0002292A" w:rsidP="009C63CF">
            <w:pPr>
              <w:numPr>
                <w:ilvl w:val="1"/>
                <w:numId w:val="64"/>
              </w:numPr>
              <w:tabs>
                <w:tab w:val="left" w:pos="-426"/>
              </w:tabs>
              <w:ind w:left="24"/>
              <w:rPr>
                <w:rFonts w:eastAsia="a*i*l"/>
              </w:rPr>
            </w:pPr>
            <w:r w:rsidRPr="008819AF">
              <w:rPr>
                <w:rFonts w:eastAsia="a*i*l"/>
              </w:rPr>
              <w:t>informácie o súlade rozhodnutia s podmienkami uvedenými v právoplatnom rozhodnutí vydanom v zisťovacom konaní alebo v záverečnom stanovisku a informáciu o účasti verejnosti pri povolení zdr</w:t>
            </w:r>
            <w:r w:rsidR="007868CA" w:rsidRPr="008819AF">
              <w:rPr>
                <w:rFonts w:eastAsia="a*i*l"/>
              </w:rPr>
              <w:t>oja podľa osobitného predpisu,48</w:t>
            </w:r>
            <w:r w:rsidRPr="008819AF">
              <w:rPr>
                <w:rFonts w:eastAsia="a*i*l"/>
              </w:rPr>
              <w:t>) ak sa na povoľovaný zdroj takéto rozhodnutia vzťahujú,</w:t>
            </w:r>
          </w:p>
          <w:p w14:paraId="1513255F" w14:textId="77777777" w:rsidR="0002292A" w:rsidRPr="008819AF" w:rsidRDefault="0002292A" w:rsidP="009C63CF">
            <w:pPr>
              <w:numPr>
                <w:ilvl w:val="1"/>
                <w:numId w:val="64"/>
              </w:numPr>
              <w:tabs>
                <w:tab w:val="left" w:pos="-426"/>
              </w:tabs>
              <w:ind w:left="24"/>
              <w:rPr>
                <w:rFonts w:eastAsia="a*i*l"/>
              </w:rPr>
            </w:pPr>
            <w:r w:rsidRPr="008819AF">
              <w:rPr>
                <w:rFonts w:eastAsia="a*i*l"/>
              </w:rPr>
              <w:t>osobitné náležitosti podľa § 28 ods. 1, ak ide o spaľovňu odpadov alebo zariadenie na spoluspaľovanie odpadov,</w:t>
            </w:r>
          </w:p>
          <w:p w14:paraId="15132560" w14:textId="77777777" w:rsidR="0002292A" w:rsidRPr="008819AF" w:rsidRDefault="0002292A" w:rsidP="009C63CF">
            <w:pPr>
              <w:numPr>
                <w:ilvl w:val="1"/>
                <w:numId w:val="64"/>
              </w:numPr>
              <w:tabs>
                <w:tab w:val="left" w:pos="-426"/>
              </w:tabs>
              <w:ind w:left="24"/>
              <w:rPr>
                <w:rFonts w:eastAsia="a*i*l"/>
              </w:rPr>
            </w:pPr>
            <w:r w:rsidRPr="008819AF">
              <w:rPr>
                <w:rFonts w:eastAsia="a*i*l"/>
              </w:rPr>
              <w:t>ďalšie podmienky týkajúce sa prevádzkovania zdroja a jeho zariadení.</w:t>
            </w:r>
          </w:p>
          <w:p w14:paraId="15132561" w14:textId="77777777" w:rsidR="00FA7467" w:rsidRPr="008819AF" w:rsidRDefault="00FA7467" w:rsidP="0002292A">
            <w:pPr>
              <w:tabs>
                <w:tab w:val="left" w:pos="-426"/>
              </w:tabs>
              <w:ind w:left="216"/>
              <w:rPr>
                <w:rFonts w:eastAsia="a*i*l"/>
              </w:rPr>
            </w:pPr>
          </w:p>
          <w:p w14:paraId="15132562" w14:textId="77777777" w:rsidR="0002292A" w:rsidRPr="008819AF" w:rsidRDefault="0002292A" w:rsidP="0002292A">
            <w:pPr>
              <w:tabs>
                <w:tab w:val="left" w:pos="-426"/>
              </w:tabs>
              <w:rPr>
                <w:rFonts w:eastAsia="a*i*l"/>
              </w:rPr>
            </w:pPr>
            <w:r w:rsidRPr="008819AF">
              <w:rPr>
                <w:rFonts w:eastAsia="a*i*l"/>
              </w:rPr>
              <w:t xml:space="preserve">V povolení zdroja pre spaľovne odpadov alebo pre zariadenia na </w:t>
            </w:r>
            <w:r w:rsidRPr="008819AF">
              <w:rPr>
                <w:rFonts w:eastAsia="a*i*l"/>
              </w:rPr>
              <w:lastRenderedPageBreak/>
              <w:t>spoluspaľovanie odpadov sa uvedie najmä</w:t>
            </w:r>
          </w:p>
          <w:p w14:paraId="15132563" w14:textId="77777777" w:rsidR="0002292A" w:rsidRPr="008819AF" w:rsidRDefault="0002292A" w:rsidP="0002292A">
            <w:pPr>
              <w:tabs>
                <w:tab w:val="left" w:pos="-426"/>
              </w:tabs>
              <w:rPr>
                <w:rFonts w:eastAsia="a*i*l"/>
              </w:rPr>
            </w:pPr>
            <w:r w:rsidRPr="008819AF">
              <w:rPr>
                <w:rFonts w:eastAsia="a*i*l"/>
              </w:rPr>
              <w:t xml:space="preserve">a) zoznam druhov </w:t>
            </w:r>
            <w:r w:rsidR="00401E90" w:rsidRPr="008819AF">
              <w:rPr>
                <w:rFonts w:eastAsia="a*i*l"/>
              </w:rPr>
              <w:t>odpadov podľa katalógu odpadov,57</w:t>
            </w:r>
            <w:r w:rsidRPr="008819AF">
              <w:rPr>
                <w:rFonts w:eastAsia="a*i*l"/>
              </w:rPr>
              <w:t>) ktoré možno spaľovať, a ak je to možné aj ich množstvá,</w:t>
            </w:r>
          </w:p>
          <w:p w14:paraId="15132564" w14:textId="77777777" w:rsidR="0002292A" w:rsidRPr="008819AF" w:rsidRDefault="0002292A" w:rsidP="0002292A">
            <w:pPr>
              <w:tabs>
                <w:tab w:val="left" w:pos="-426"/>
              </w:tabs>
              <w:rPr>
                <w:rFonts w:eastAsia="a*i*l"/>
              </w:rPr>
            </w:pPr>
            <w:r w:rsidRPr="008819AF">
              <w:rPr>
                <w:rFonts w:eastAsia="a*i*l"/>
              </w:rPr>
              <w:t xml:space="preserve">b) zoznam a množstvo jednotlivých druhov nebezpečných odpadov </w:t>
            </w:r>
            <w:r w:rsidR="00401E90" w:rsidRPr="008819AF">
              <w:rPr>
                <w:rFonts w:eastAsia="a*i*l"/>
              </w:rPr>
              <w:t>58</w:t>
            </w:r>
            <w:r w:rsidRPr="008819AF">
              <w:rPr>
                <w:rFonts w:eastAsia="a*i*l"/>
              </w:rPr>
              <w:t>) ich minimálny a maximálny hmotnostný tok, najmenšiu a najväčšiu výhrevnosť a maximálny obsah znečisťujúcich látok, najmä polychlorovaných bifenylov, pentachlórfenolu, chlóru, fluóru, síry, ťažkých kovov a ďalších znečisťujúcich látok,</w:t>
            </w:r>
          </w:p>
          <w:p w14:paraId="15132565" w14:textId="77777777" w:rsidR="0002292A" w:rsidRPr="008819AF" w:rsidRDefault="0002292A" w:rsidP="0002292A">
            <w:pPr>
              <w:tabs>
                <w:tab w:val="left" w:pos="-426"/>
              </w:tabs>
              <w:rPr>
                <w:rFonts w:eastAsia="a*i*l"/>
              </w:rPr>
            </w:pPr>
            <w:r w:rsidRPr="008819AF">
              <w:rPr>
                <w:rFonts w:eastAsia="a*i*l"/>
              </w:rPr>
              <w:t xml:space="preserve">c) </w:t>
            </w:r>
            <w:r w:rsidR="00401E90" w:rsidRPr="008819AF">
              <w:rPr>
                <w:rFonts w:eastAsia="a*i*l"/>
              </w:rPr>
              <w:t>menovitú</w:t>
            </w:r>
            <w:r w:rsidRPr="008819AF">
              <w:rPr>
                <w:rFonts w:eastAsia="a*i*l"/>
              </w:rPr>
              <w:t xml:space="preserve"> kapacitu spaľovne odpadov alebo zariadenia na spoluspaľovanie odpadov ako súhrn výrobcom určených a prevádzkovateľom potvrdených spaľovacích výkonov všetkých spaľovacích </w:t>
            </w:r>
            <w:r w:rsidR="00401E90" w:rsidRPr="008819AF">
              <w:rPr>
                <w:rFonts w:eastAsia="a*i*l"/>
              </w:rPr>
              <w:t>pecí</w:t>
            </w:r>
            <w:r w:rsidRPr="008819AF">
              <w:rPr>
                <w:rFonts w:eastAsia="a*i*l"/>
              </w:rPr>
              <w:t>, ktoré tvoria komplex spaľovne odpadov alebo zariadenia na spoluspaľovanie odpadov, vyjadrených množstvom spaľovaných odpadov za hodinu pri zohľadnení výhrevnosti odpadov,</w:t>
            </w:r>
          </w:p>
          <w:p w14:paraId="15132566" w14:textId="77777777" w:rsidR="0002292A" w:rsidRPr="008819AF" w:rsidRDefault="0002292A" w:rsidP="0002292A">
            <w:pPr>
              <w:tabs>
                <w:tab w:val="left" w:pos="-426"/>
              </w:tabs>
              <w:rPr>
                <w:rFonts w:eastAsia="a*i*l"/>
              </w:rPr>
            </w:pPr>
            <w:r w:rsidRPr="008819AF">
              <w:rPr>
                <w:rFonts w:eastAsia="a*i*l"/>
              </w:rPr>
              <w:t>d) druh činnosti zhodnocovania odpadov</w:t>
            </w:r>
            <w:r w:rsidR="00401E90" w:rsidRPr="008819AF">
              <w:rPr>
                <w:rFonts w:eastAsia="a*i*l"/>
              </w:rPr>
              <w:t>59</w:t>
            </w:r>
            <w:r w:rsidRPr="008819AF">
              <w:rPr>
                <w:rFonts w:eastAsia="a*i*l"/>
              </w:rPr>
              <w:t>) alebo činnosti zneškodňovania odpadov</w:t>
            </w:r>
            <w:r w:rsidR="00401E90" w:rsidRPr="008819AF">
              <w:rPr>
                <w:rFonts w:eastAsia="a*i*l"/>
              </w:rPr>
              <w:t>60</w:t>
            </w:r>
            <w:r w:rsidRPr="008819AF">
              <w:rPr>
                <w:rFonts w:eastAsia="a*i*l"/>
              </w:rPr>
              <w:t>) na základe vyjadrenia dotknutého orgánu</w:t>
            </w:r>
            <w:r w:rsidR="00401E90" w:rsidRPr="008819AF">
              <w:rPr>
                <w:rFonts w:eastAsia="a*i*l"/>
              </w:rPr>
              <w:t>61)</w:t>
            </w:r>
          </w:p>
          <w:p w14:paraId="15132567" w14:textId="77777777" w:rsidR="0002292A" w:rsidRPr="008819AF" w:rsidRDefault="0002292A" w:rsidP="0002292A">
            <w:pPr>
              <w:tabs>
                <w:tab w:val="left" w:pos="-426"/>
              </w:tabs>
              <w:rPr>
                <w:rFonts w:eastAsia="a*i*l"/>
              </w:rPr>
            </w:pPr>
            <w:r w:rsidRPr="008819AF">
              <w:rPr>
                <w:rFonts w:eastAsia="a*i*l"/>
              </w:rPr>
              <w:t>e) poloha meracích miest, spôsob odberu vzoriek a meracie metódy na kontinuálne meranie emisií jednotlivých znečisťujúcich látok, technických požiadaviek a podmienok prevádzkovania a stavových parametrov spalín,</w:t>
            </w:r>
          </w:p>
          <w:p w14:paraId="15132568" w14:textId="77777777" w:rsidR="0002292A" w:rsidRPr="008819AF" w:rsidRDefault="0002292A" w:rsidP="0002292A">
            <w:pPr>
              <w:tabs>
                <w:tab w:val="left" w:pos="-426"/>
              </w:tabs>
              <w:rPr>
                <w:rFonts w:eastAsia="a*i*l"/>
              </w:rPr>
            </w:pPr>
            <w:r w:rsidRPr="008819AF">
              <w:rPr>
                <w:rFonts w:eastAsia="a*i*l"/>
              </w:rPr>
              <w:t xml:space="preserve">f) podmienky diskontinuálnych meraní vrátane špecifikácie metód a metodík príslušných analýz spolu s početnosťou meraní a určenia miesta odberu vzorky, </w:t>
            </w:r>
          </w:p>
          <w:p w14:paraId="15132569" w14:textId="77777777" w:rsidR="0002292A" w:rsidRPr="008819AF" w:rsidRDefault="0002292A" w:rsidP="0002292A">
            <w:pPr>
              <w:tabs>
                <w:tab w:val="left" w:pos="-426"/>
              </w:tabs>
              <w:rPr>
                <w:rFonts w:eastAsia="a*i*l"/>
              </w:rPr>
            </w:pPr>
            <w:r w:rsidRPr="008819AF">
              <w:rPr>
                <w:rFonts w:eastAsia="a*i*l"/>
              </w:rPr>
              <w:t>g) maximálny čas technicky nevyhnutných odstavení, porúch alebo výpadkov čistiacich a meracích zariadení, počas ktorého môžu byť prekročené emisné limity určené pre znečisťujúce látky vypúšťané do ovzdušia a do vody,</w:t>
            </w:r>
          </w:p>
          <w:p w14:paraId="1513256A" w14:textId="77777777" w:rsidR="0002292A" w:rsidRPr="008819AF" w:rsidRDefault="0002292A" w:rsidP="0002292A">
            <w:pPr>
              <w:tabs>
                <w:tab w:val="left" w:pos="-426"/>
              </w:tabs>
              <w:rPr>
                <w:rFonts w:eastAsia="a*i*l"/>
              </w:rPr>
            </w:pPr>
            <w:r w:rsidRPr="008819AF">
              <w:rPr>
                <w:rFonts w:eastAsia="a*i*l"/>
              </w:rPr>
              <w:t>h) emisné limity pre znečisťujúce látky vypúšťané do vody,</w:t>
            </w:r>
          </w:p>
          <w:p w14:paraId="1513256B" w14:textId="77777777" w:rsidR="0002292A" w:rsidRPr="008819AF" w:rsidRDefault="0002292A" w:rsidP="0002292A">
            <w:pPr>
              <w:tabs>
                <w:tab w:val="left" w:pos="-426"/>
              </w:tabs>
              <w:rPr>
                <w:rFonts w:eastAsia="a*i*l"/>
              </w:rPr>
            </w:pPr>
            <w:r w:rsidRPr="008819AF">
              <w:rPr>
                <w:rFonts w:eastAsia="a*i*l"/>
              </w:rPr>
              <w:t>i) požiadavky na pH, teplotu a prietok vypúšťania odpadových vôd,</w:t>
            </w:r>
          </w:p>
          <w:p w14:paraId="1513256C" w14:textId="77777777" w:rsidR="0002292A" w:rsidRPr="008819AF" w:rsidRDefault="0002292A" w:rsidP="0002292A">
            <w:pPr>
              <w:tabs>
                <w:tab w:val="left" w:pos="-426"/>
              </w:tabs>
              <w:rPr>
                <w:rFonts w:eastAsia="a*i*l"/>
              </w:rPr>
            </w:pPr>
            <w:r w:rsidRPr="008819AF">
              <w:rPr>
                <w:rFonts w:eastAsia="a*i*l"/>
              </w:rPr>
              <w:t>j) podmienky orgánov štátnej správy podľa odseku 4,</w:t>
            </w:r>
          </w:p>
          <w:p w14:paraId="1513256D" w14:textId="77777777" w:rsidR="007170C3" w:rsidRPr="008819AF" w:rsidRDefault="0002292A" w:rsidP="0002292A">
            <w:pPr>
              <w:tabs>
                <w:tab w:val="left" w:pos="-426"/>
              </w:tabs>
              <w:rPr>
                <w:rFonts w:eastAsia="a*i*l"/>
              </w:rPr>
            </w:pPr>
            <w:r w:rsidRPr="008819AF">
              <w:rPr>
                <w:rFonts w:eastAsia="a*i*l"/>
              </w:rPr>
              <w:t>k) ďalšie podmienky týkajúce sa prevádzky spaľovne odpadov alebo zariadenia na spoluspaľovanie odpadov.</w:t>
            </w:r>
          </w:p>
          <w:p w14:paraId="1513256E" w14:textId="77777777" w:rsidR="00A20BEE" w:rsidRPr="008819AF" w:rsidRDefault="00A20BEE" w:rsidP="00A20BEE">
            <w:pPr>
              <w:pStyle w:val="odsek"/>
              <w:tabs>
                <w:tab w:val="left" w:pos="-426"/>
              </w:tabs>
              <w:ind w:left="34" w:hanging="34"/>
              <w:outlineLvl w:val="5"/>
              <w:rPr>
                <w:rFonts w:ascii="Times New Roman" w:hAnsi="Times New Roman" w:cs="Times New Roman"/>
                <w:color w:val="auto"/>
                <w:sz w:val="20"/>
                <w:szCs w:val="20"/>
              </w:rPr>
            </w:pPr>
            <w:r w:rsidRPr="008819AF">
              <w:rPr>
                <w:rFonts w:ascii="Times New Roman" w:hAnsi="Times New Roman" w:cs="Times New Roman"/>
                <w:color w:val="auto"/>
                <w:sz w:val="20"/>
                <w:szCs w:val="20"/>
              </w:rPr>
              <w:t>Okresný úrad najmenej jedenkrát za desať rokov preskúmava podmienky prevádzkovania spaľovne odpadov alebo zariadenia na spoluspaľovanie odpadov. Ak na základe preskúmania okresný úrad dôjde k záveru, že</w:t>
            </w:r>
          </w:p>
          <w:p w14:paraId="1513256F" w14:textId="77777777" w:rsidR="00A20BEE" w:rsidRPr="008819AF" w:rsidRDefault="00A20BEE" w:rsidP="00A20BEE">
            <w:pPr>
              <w:pStyle w:val="odsek"/>
              <w:tabs>
                <w:tab w:val="left" w:pos="-426"/>
              </w:tabs>
              <w:spacing w:before="0"/>
              <w:outlineLvl w:val="5"/>
              <w:rPr>
                <w:rFonts w:ascii="Times New Roman" w:hAnsi="Times New Roman" w:cs="Times New Roman"/>
                <w:color w:val="auto"/>
                <w:sz w:val="20"/>
                <w:szCs w:val="20"/>
              </w:rPr>
            </w:pPr>
            <w:r w:rsidRPr="008819AF">
              <w:rPr>
                <w:rFonts w:ascii="Times New Roman" w:hAnsi="Times New Roman" w:cs="Times New Roman"/>
                <w:color w:val="auto"/>
                <w:sz w:val="20"/>
                <w:szCs w:val="20"/>
              </w:rPr>
              <w:t>a)</w:t>
            </w:r>
            <w:r w:rsidRPr="008819AF">
              <w:rPr>
                <w:rFonts w:ascii="Times New Roman" w:hAnsi="Times New Roman" w:cs="Times New Roman"/>
                <w:color w:val="auto"/>
                <w:sz w:val="20"/>
                <w:szCs w:val="20"/>
              </w:rPr>
              <w:tab/>
              <w:t>nie je potrebné upraviť podmienky povolenia, vydá rozhodnutie o predĺžení platnosti povolenia,</w:t>
            </w:r>
          </w:p>
          <w:p w14:paraId="15132570" w14:textId="77777777" w:rsidR="00A20BEE" w:rsidRPr="008819AF" w:rsidRDefault="00A20BEE" w:rsidP="00A20BEE">
            <w:pPr>
              <w:pStyle w:val="odsek"/>
              <w:tabs>
                <w:tab w:val="left" w:pos="-426"/>
              </w:tabs>
              <w:spacing w:before="0"/>
              <w:ind w:left="0" w:firstLine="0"/>
              <w:jc w:val="left"/>
              <w:outlineLvl w:val="5"/>
              <w:rPr>
                <w:rFonts w:ascii="Times New Roman" w:hAnsi="Times New Roman" w:cs="Times New Roman"/>
                <w:color w:val="auto"/>
                <w:sz w:val="20"/>
                <w:szCs w:val="20"/>
              </w:rPr>
            </w:pPr>
            <w:r w:rsidRPr="008819AF">
              <w:rPr>
                <w:rFonts w:ascii="Times New Roman" w:hAnsi="Times New Roman" w:cs="Times New Roman"/>
                <w:color w:val="auto"/>
                <w:sz w:val="20"/>
                <w:szCs w:val="20"/>
              </w:rPr>
              <w:lastRenderedPageBreak/>
              <w:t>b)</w:t>
            </w:r>
            <w:r w:rsidRPr="008819AF">
              <w:rPr>
                <w:rFonts w:ascii="Times New Roman" w:hAnsi="Times New Roman" w:cs="Times New Roman"/>
                <w:color w:val="auto"/>
                <w:sz w:val="20"/>
                <w:szCs w:val="20"/>
              </w:rPr>
              <w:tab/>
              <w:t>je potrebné upraviť alebo určiť nové podmienky na prevádzkovanie zdroja, začne konanie vo veci aktualizácie povolenia zdroja podľa § 27 ods. 13 písm. b) a vo výzve prevádzkovateľovi stanoví lehotu na predloženie potrebných podkladov. Ak ide o určenie nových emisných limitov alebo podstatnú zmenu zariadenia, na konanie sa vzťahujú ustanovenia odsekov 1 až 5.</w:t>
            </w:r>
          </w:p>
        </w:tc>
        <w:tc>
          <w:tcPr>
            <w:tcW w:w="429" w:type="dxa"/>
            <w:tcBorders>
              <w:top w:val="single" w:sz="4" w:space="0" w:color="000000"/>
              <w:left w:val="single" w:sz="6" w:space="0" w:color="000000"/>
              <w:bottom w:val="single" w:sz="4" w:space="0" w:color="000000"/>
              <w:right w:val="single" w:sz="6" w:space="0" w:color="000000"/>
            </w:tcBorders>
          </w:tcPr>
          <w:p w14:paraId="15132571" w14:textId="77777777" w:rsidR="007170C3" w:rsidRPr="008819AF" w:rsidRDefault="006F0418" w:rsidP="0021052F">
            <w:pPr>
              <w:ind w:left="215" w:hanging="215"/>
              <w:rPr>
                <w:rFonts w:eastAsia="Arial"/>
                <w:lang w:bidi="cs-CZ"/>
              </w:rPr>
            </w:pPr>
            <w:r w:rsidRPr="008819AF">
              <w:rPr>
                <w:rFonts w:eastAsia="Arial"/>
                <w:lang w:bidi="cs-CZ"/>
              </w:rPr>
              <w:lastRenderedPageBreak/>
              <w:t>Ú</w:t>
            </w:r>
          </w:p>
          <w:p w14:paraId="15132572" w14:textId="77777777" w:rsidR="007170C3" w:rsidRPr="008819AF" w:rsidRDefault="007170C3" w:rsidP="0021052F">
            <w:pPr>
              <w:ind w:left="215" w:hanging="215"/>
              <w:rPr>
                <w:rFonts w:eastAsia="Arial"/>
                <w:lang w:bidi="cs-CZ"/>
              </w:rPr>
            </w:pPr>
          </w:p>
          <w:p w14:paraId="15132573" w14:textId="77777777" w:rsidR="007170C3" w:rsidRPr="008819AF" w:rsidRDefault="007170C3" w:rsidP="0021052F">
            <w:pPr>
              <w:ind w:left="215" w:hanging="215"/>
              <w:rPr>
                <w:rFonts w:eastAsia="Arial"/>
                <w:lang w:bidi="cs-CZ"/>
              </w:rPr>
            </w:pPr>
          </w:p>
          <w:p w14:paraId="15132574" w14:textId="77777777" w:rsidR="007170C3" w:rsidRPr="008819AF" w:rsidRDefault="007170C3" w:rsidP="0021052F">
            <w:pPr>
              <w:ind w:left="215" w:hanging="215"/>
              <w:rPr>
                <w:rFonts w:eastAsia="Arial"/>
                <w:lang w:bidi="cs-CZ"/>
              </w:rPr>
            </w:pPr>
          </w:p>
          <w:p w14:paraId="15132575" w14:textId="77777777" w:rsidR="007170C3" w:rsidRPr="008819AF" w:rsidRDefault="007170C3" w:rsidP="0021052F">
            <w:pPr>
              <w:ind w:left="215" w:hanging="215"/>
              <w:rPr>
                <w:rFonts w:eastAsia="Arial"/>
                <w:lang w:bidi="cs-CZ"/>
              </w:rPr>
            </w:pPr>
          </w:p>
          <w:p w14:paraId="15132576" w14:textId="77777777" w:rsidR="007170C3" w:rsidRPr="008819AF" w:rsidRDefault="007170C3" w:rsidP="0021052F">
            <w:pPr>
              <w:ind w:left="215" w:hanging="215"/>
              <w:rPr>
                <w:rFonts w:eastAsia="Arial"/>
                <w:lang w:bidi="cs-CZ"/>
              </w:rPr>
            </w:pPr>
          </w:p>
          <w:p w14:paraId="15132577" w14:textId="77777777" w:rsidR="007170C3" w:rsidRPr="008819AF" w:rsidRDefault="007170C3" w:rsidP="0021052F">
            <w:pPr>
              <w:ind w:left="215" w:hanging="215"/>
              <w:rPr>
                <w:rFonts w:eastAsia="Arial"/>
                <w:lang w:bidi="cs-CZ"/>
              </w:rPr>
            </w:pPr>
          </w:p>
          <w:p w14:paraId="15132578" w14:textId="77777777" w:rsidR="007170C3" w:rsidRPr="008819AF" w:rsidRDefault="007170C3" w:rsidP="0021052F">
            <w:pPr>
              <w:ind w:left="215" w:hanging="215"/>
              <w:rPr>
                <w:rFonts w:eastAsia="Arial"/>
                <w:lang w:bidi="cs-CZ"/>
              </w:rPr>
            </w:pPr>
          </w:p>
          <w:p w14:paraId="15132579" w14:textId="77777777" w:rsidR="007170C3" w:rsidRPr="008819AF" w:rsidRDefault="007170C3" w:rsidP="0021052F">
            <w:pPr>
              <w:ind w:left="215" w:hanging="215"/>
              <w:rPr>
                <w:rFonts w:eastAsia="Arial"/>
                <w:lang w:bidi="cs-CZ"/>
              </w:rPr>
            </w:pPr>
          </w:p>
          <w:p w14:paraId="1513257A" w14:textId="77777777" w:rsidR="007170C3" w:rsidRPr="008819AF" w:rsidRDefault="007170C3" w:rsidP="0021052F">
            <w:pPr>
              <w:ind w:left="215" w:hanging="215"/>
              <w:rPr>
                <w:rFonts w:eastAsia="Arial"/>
                <w:lang w:bidi="cs-CZ"/>
              </w:rPr>
            </w:pPr>
          </w:p>
          <w:p w14:paraId="1513257B" w14:textId="77777777" w:rsidR="007170C3" w:rsidRPr="008819AF" w:rsidRDefault="007170C3" w:rsidP="0021052F">
            <w:pPr>
              <w:ind w:left="215" w:hanging="215"/>
              <w:rPr>
                <w:rFonts w:eastAsia="Arial"/>
                <w:lang w:bidi="cs-CZ"/>
              </w:rPr>
            </w:pPr>
          </w:p>
          <w:p w14:paraId="1513257C" w14:textId="77777777" w:rsidR="007170C3" w:rsidRPr="008819AF" w:rsidRDefault="007170C3" w:rsidP="0021052F">
            <w:pPr>
              <w:ind w:left="215" w:hanging="215"/>
              <w:rPr>
                <w:rFonts w:eastAsia="Arial"/>
                <w:lang w:bidi="cs-CZ"/>
              </w:rPr>
            </w:pPr>
          </w:p>
          <w:p w14:paraId="1513257D" w14:textId="77777777" w:rsidR="007170C3" w:rsidRPr="008819AF" w:rsidRDefault="007170C3" w:rsidP="0021052F">
            <w:pPr>
              <w:ind w:left="215" w:hanging="215"/>
              <w:rPr>
                <w:rFonts w:eastAsia="Arial"/>
                <w:lang w:bidi="cs-CZ"/>
              </w:rPr>
            </w:pPr>
          </w:p>
          <w:p w14:paraId="1513257E" w14:textId="77777777" w:rsidR="007170C3" w:rsidRPr="008819AF" w:rsidRDefault="007170C3" w:rsidP="0021052F">
            <w:pPr>
              <w:ind w:left="215" w:hanging="215"/>
              <w:rPr>
                <w:rFonts w:eastAsia="Arial"/>
                <w:lang w:bidi="cs-CZ"/>
              </w:rPr>
            </w:pPr>
          </w:p>
          <w:p w14:paraId="1513257F" w14:textId="77777777" w:rsidR="007170C3" w:rsidRPr="008819AF" w:rsidRDefault="007170C3" w:rsidP="0021052F">
            <w:pPr>
              <w:ind w:left="215" w:hanging="215"/>
              <w:rPr>
                <w:rFonts w:eastAsia="Arial"/>
                <w:lang w:bidi="cs-CZ"/>
              </w:rPr>
            </w:pPr>
          </w:p>
          <w:p w14:paraId="15132580" w14:textId="77777777" w:rsidR="007170C3" w:rsidRPr="008819AF" w:rsidRDefault="007170C3" w:rsidP="0021052F">
            <w:pPr>
              <w:ind w:left="215" w:hanging="215"/>
              <w:rPr>
                <w:rFonts w:eastAsia="Arial"/>
                <w:lang w:bidi="cs-CZ"/>
              </w:rPr>
            </w:pPr>
          </w:p>
          <w:p w14:paraId="15132581" w14:textId="77777777" w:rsidR="007170C3" w:rsidRPr="008819AF" w:rsidRDefault="007170C3" w:rsidP="0021052F">
            <w:pPr>
              <w:ind w:left="215" w:hanging="215"/>
              <w:rPr>
                <w:rFonts w:eastAsia="Arial"/>
                <w:lang w:bidi="cs-CZ"/>
              </w:rPr>
            </w:pPr>
          </w:p>
          <w:p w14:paraId="15132582" w14:textId="77777777" w:rsidR="007170C3" w:rsidRPr="008819AF" w:rsidRDefault="007170C3" w:rsidP="0021052F">
            <w:pPr>
              <w:ind w:left="215" w:hanging="215"/>
              <w:rPr>
                <w:rFonts w:eastAsia="Arial"/>
                <w:lang w:bidi="cs-CZ"/>
              </w:rPr>
            </w:pPr>
          </w:p>
          <w:p w14:paraId="15132583" w14:textId="77777777" w:rsidR="007170C3" w:rsidRPr="008819AF" w:rsidRDefault="007170C3" w:rsidP="0021052F">
            <w:pPr>
              <w:ind w:left="215" w:hanging="215"/>
              <w:rPr>
                <w:rFonts w:eastAsia="Arial"/>
                <w:lang w:bidi="cs-CZ"/>
              </w:rPr>
            </w:pPr>
          </w:p>
          <w:p w14:paraId="15132584" w14:textId="77777777" w:rsidR="007170C3" w:rsidRPr="008819AF" w:rsidRDefault="007170C3" w:rsidP="0021052F">
            <w:pPr>
              <w:ind w:left="215" w:hanging="215"/>
              <w:rPr>
                <w:rFonts w:eastAsia="Arial"/>
                <w:lang w:bidi="cs-CZ"/>
              </w:rPr>
            </w:pPr>
          </w:p>
          <w:p w14:paraId="15132585" w14:textId="77777777" w:rsidR="007170C3" w:rsidRPr="008819AF" w:rsidRDefault="007170C3" w:rsidP="0021052F">
            <w:pPr>
              <w:ind w:left="215" w:hanging="215"/>
              <w:rPr>
                <w:rFonts w:eastAsia="Arial"/>
                <w:lang w:bidi="cs-CZ"/>
              </w:rPr>
            </w:pPr>
          </w:p>
          <w:p w14:paraId="15132586" w14:textId="77777777" w:rsidR="007170C3" w:rsidRPr="008819AF" w:rsidRDefault="007170C3" w:rsidP="0021052F">
            <w:pPr>
              <w:ind w:left="215" w:hanging="215"/>
              <w:rPr>
                <w:rFonts w:eastAsia="Arial"/>
                <w:lang w:bidi="cs-CZ"/>
              </w:rPr>
            </w:pPr>
          </w:p>
          <w:p w14:paraId="15132587" w14:textId="77777777" w:rsidR="007170C3" w:rsidRPr="008819AF" w:rsidRDefault="007170C3" w:rsidP="0021052F">
            <w:pPr>
              <w:ind w:left="215" w:hanging="215"/>
              <w:rPr>
                <w:rFonts w:eastAsia="Arial"/>
                <w:lang w:bidi="cs-CZ"/>
              </w:rPr>
            </w:pPr>
          </w:p>
          <w:p w14:paraId="15132588" w14:textId="77777777" w:rsidR="007170C3" w:rsidRPr="008819AF" w:rsidRDefault="007170C3" w:rsidP="0021052F">
            <w:pPr>
              <w:ind w:left="215" w:hanging="215"/>
              <w:rPr>
                <w:rFonts w:eastAsia="Arial"/>
                <w:lang w:bidi="cs-CZ"/>
              </w:rPr>
            </w:pPr>
          </w:p>
          <w:p w14:paraId="15132589" w14:textId="77777777" w:rsidR="007170C3" w:rsidRPr="008819AF" w:rsidRDefault="007170C3" w:rsidP="0021052F">
            <w:pPr>
              <w:ind w:left="215" w:hanging="215"/>
              <w:rPr>
                <w:rFonts w:eastAsia="Arial"/>
                <w:lang w:bidi="cs-CZ"/>
              </w:rPr>
            </w:pPr>
          </w:p>
          <w:p w14:paraId="1513258A" w14:textId="77777777" w:rsidR="007170C3" w:rsidRPr="008819AF" w:rsidRDefault="007170C3" w:rsidP="0021052F">
            <w:pPr>
              <w:ind w:left="215" w:hanging="215"/>
              <w:rPr>
                <w:rFonts w:eastAsia="Arial"/>
                <w:lang w:bidi="cs-CZ"/>
              </w:rPr>
            </w:pPr>
          </w:p>
          <w:p w14:paraId="1513258B" w14:textId="77777777" w:rsidR="007170C3" w:rsidRPr="008819AF" w:rsidRDefault="007170C3" w:rsidP="0021052F">
            <w:pPr>
              <w:ind w:left="215" w:hanging="215"/>
              <w:rPr>
                <w:rFonts w:eastAsia="Arial"/>
                <w:lang w:bidi="cs-CZ"/>
              </w:rPr>
            </w:pPr>
          </w:p>
          <w:p w14:paraId="1513258C" w14:textId="77777777" w:rsidR="007170C3" w:rsidRPr="008819AF" w:rsidRDefault="007170C3" w:rsidP="0021052F">
            <w:pPr>
              <w:ind w:left="215" w:hanging="215"/>
              <w:rPr>
                <w:rFonts w:eastAsia="Arial"/>
                <w:lang w:bidi="cs-CZ"/>
              </w:rPr>
            </w:pPr>
          </w:p>
          <w:p w14:paraId="1513258D" w14:textId="77777777" w:rsidR="00FA7467" w:rsidRPr="008819AF" w:rsidRDefault="00FA7467" w:rsidP="0021052F">
            <w:pPr>
              <w:ind w:left="215" w:hanging="215"/>
              <w:rPr>
                <w:rFonts w:eastAsia="Arial"/>
                <w:lang w:bidi="cs-CZ"/>
              </w:rPr>
            </w:pPr>
          </w:p>
          <w:p w14:paraId="1513258E" w14:textId="77777777" w:rsidR="00FA7467" w:rsidRPr="008819AF" w:rsidRDefault="00FA7467" w:rsidP="0021052F">
            <w:pPr>
              <w:ind w:left="215" w:hanging="215"/>
              <w:rPr>
                <w:rFonts w:eastAsia="Arial"/>
                <w:lang w:bidi="cs-CZ"/>
              </w:rPr>
            </w:pPr>
          </w:p>
          <w:p w14:paraId="1513258F" w14:textId="77777777" w:rsidR="00FA7467" w:rsidRPr="008819AF" w:rsidRDefault="00FA7467" w:rsidP="0021052F">
            <w:pPr>
              <w:ind w:left="215" w:hanging="215"/>
              <w:rPr>
                <w:rFonts w:eastAsia="Arial"/>
                <w:lang w:bidi="cs-CZ"/>
              </w:rPr>
            </w:pPr>
          </w:p>
          <w:p w14:paraId="15132590" w14:textId="77777777" w:rsidR="00FA7467" w:rsidRPr="008819AF" w:rsidRDefault="00FA7467" w:rsidP="0021052F">
            <w:pPr>
              <w:ind w:left="215" w:hanging="215"/>
              <w:rPr>
                <w:rFonts w:eastAsia="Arial"/>
                <w:lang w:bidi="cs-CZ"/>
              </w:rPr>
            </w:pPr>
          </w:p>
          <w:p w14:paraId="15132591" w14:textId="77777777" w:rsidR="00FA7467" w:rsidRPr="008819AF" w:rsidRDefault="00FA7467" w:rsidP="0021052F">
            <w:pPr>
              <w:ind w:left="215" w:hanging="215"/>
              <w:rPr>
                <w:rFonts w:eastAsia="Arial"/>
                <w:lang w:bidi="cs-CZ"/>
              </w:rPr>
            </w:pPr>
          </w:p>
          <w:p w14:paraId="15132592" w14:textId="77777777" w:rsidR="00FA7467" w:rsidRPr="008819AF" w:rsidRDefault="00FA7467" w:rsidP="0021052F">
            <w:pPr>
              <w:ind w:left="215" w:hanging="215"/>
              <w:rPr>
                <w:rFonts w:eastAsia="Arial"/>
                <w:lang w:bidi="cs-CZ"/>
              </w:rPr>
            </w:pPr>
          </w:p>
          <w:p w14:paraId="15132593" w14:textId="77777777" w:rsidR="00FA7467" w:rsidRPr="008819AF" w:rsidRDefault="00FA7467" w:rsidP="0021052F">
            <w:pPr>
              <w:ind w:left="215" w:hanging="215"/>
              <w:rPr>
                <w:rFonts w:eastAsia="Arial"/>
                <w:lang w:bidi="cs-CZ"/>
              </w:rPr>
            </w:pPr>
          </w:p>
          <w:p w14:paraId="15132594" w14:textId="77777777" w:rsidR="00F929C5" w:rsidRPr="008819AF" w:rsidRDefault="00F929C5" w:rsidP="0021052F">
            <w:pPr>
              <w:ind w:left="215" w:hanging="215"/>
              <w:rPr>
                <w:rFonts w:eastAsia="Arial"/>
                <w:lang w:bidi="cs-CZ"/>
              </w:rPr>
            </w:pPr>
          </w:p>
          <w:p w14:paraId="15132595" w14:textId="77777777" w:rsidR="007868CA" w:rsidRPr="008819AF" w:rsidRDefault="007868CA" w:rsidP="0021052F">
            <w:pPr>
              <w:ind w:left="215" w:hanging="215"/>
              <w:rPr>
                <w:rFonts w:eastAsia="Arial"/>
                <w:lang w:bidi="cs-CZ"/>
              </w:rPr>
            </w:pPr>
          </w:p>
          <w:p w14:paraId="15132596" w14:textId="77777777" w:rsidR="007170C3" w:rsidRPr="008819AF" w:rsidRDefault="006F0418" w:rsidP="0021052F">
            <w:pPr>
              <w:ind w:left="215" w:hanging="215"/>
              <w:rPr>
                <w:rFonts w:eastAsia="Arial"/>
                <w:lang w:bidi="cs-CZ"/>
              </w:rPr>
            </w:pPr>
            <w:r w:rsidRPr="008819AF">
              <w:rPr>
                <w:rFonts w:eastAsia="Arial"/>
                <w:lang w:bidi="cs-CZ"/>
              </w:rPr>
              <w:lastRenderedPageBreak/>
              <w:t>Ú</w:t>
            </w:r>
          </w:p>
          <w:p w14:paraId="15132597" w14:textId="77777777" w:rsidR="007170C3" w:rsidRPr="008819AF" w:rsidRDefault="007170C3" w:rsidP="0021052F">
            <w:pPr>
              <w:ind w:left="215" w:hanging="215"/>
              <w:rPr>
                <w:rFonts w:eastAsia="Arial"/>
                <w:lang w:bidi="cs-CZ"/>
              </w:rPr>
            </w:pPr>
          </w:p>
          <w:p w14:paraId="15132598" w14:textId="77777777" w:rsidR="007170C3" w:rsidRPr="008819AF" w:rsidRDefault="007170C3" w:rsidP="0021052F">
            <w:pPr>
              <w:ind w:left="215" w:hanging="215"/>
              <w:rPr>
                <w:rFonts w:eastAsia="Arial"/>
                <w:lang w:bidi="cs-CZ"/>
              </w:rPr>
            </w:pPr>
          </w:p>
          <w:p w14:paraId="15132599" w14:textId="77777777" w:rsidR="007170C3" w:rsidRPr="008819AF" w:rsidRDefault="007170C3" w:rsidP="0021052F">
            <w:pPr>
              <w:ind w:left="215" w:hanging="215"/>
              <w:rPr>
                <w:rFonts w:eastAsia="Arial"/>
                <w:lang w:bidi="cs-CZ"/>
              </w:rPr>
            </w:pPr>
          </w:p>
          <w:p w14:paraId="1513259A" w14:textId="77777777" w:rsidR="007170C3" w:rsidRPr="008819AF" w:rsidRDefault="007170C3" w:rsidP="0021052F">
            <w:pPr>
              <w:ind w:left="215" w:hanging="215"/>
              <w:rPr>
                <w:rFonts w:eastAsia="Arial"/>
                <w:lang w:bidi="cs-CZ"/>
              </w:rPr>
            </w:pPr>
          </w:p>
          <w:p w14:paraId="1513259B" w14:textId="77777777" w:rsidR="007170C3" w:rsidRPr="008819AF" w:rsidRDefault="007170C3" w:rsidP="0021052F">
            <w:pPr>
              <w:ind w:left="215" w:hanging="215"/>
              <w:rPr>
                <w:rFonts w:eastAsia="Arial"/>
                <w:lang w:bidi="cs-CZ"/>
              </w:rPr>
            </w:pPr>
          </w:p>
          <w:p w14:paraId="1513259C" w14:textId="77777777" w:rsidR="007170C3" w:rsidRPr="008819AF" w:rsidRDefault="007170C3" w:rsidP="0021052F">
            <w:pPr>
              <w:ind w:left="215" w:hanging="215"/>
              <w:rPr>
                <w:rFonts w:eastAsia="Arial"/>
                <w:lang w:bidi="cs-CZ"/>
              </w:rPr>
            </w:pPr>
          </w:p>
          <w:p w14:paraId="1513259D" w14:textId="77777777" w:rsidR="007170C3" w:rsidRPr="008819AF" w:rsidRDefault="007170C3" w:rsidP="0021052F">
            <w:pPr>
              <w:ind w:left="215" w:hanging="215"/>
              <w:rPr>
                <w:rFonts w:eastAsia="Arial"/>
                <w:lang w:bidi="cs-CZ"/>
              </w:rPr>
            </w:pPr>
          </w:p>
          <w:p w14:paraId="1513259E" w14:textId="77777777" w:rsidR="00FA7467" w:rsidRPr="008819AF" w:rsidRDefault="00FA7467" w:rsidP="0021052F">
            <w:pPr>
              <w:ind w:left="215" w:hanging="215"/>
              <w:rPr>
                <w:rFonts w:eastAsia="Arial"/>
                <w:lang w:bidi="cs-CZ"/>
              </w:rPr>
            </w:pPr>
          </w:p>
          <w:p w14:paraId="1513259F" w14:textId="77777777" w:rsidR="00FA7467" w:rsidRPr="008819AF" w:rsidRDefault="00FA7467" w:rsidP="0021052F">
            <w:pPr>
              <w:ind w:left="215" w:hanging="215"/>
              <w:rPr>
                <w:rFonts w:eastAsia="Arial"/>
                <w:lang w:bidi="cs-CZ"/>
              </w:rPr>
            </w:pPr>
          </w:p>
          <w:p w14:paraId="151325A0" w14:textId="77777777" w:rsidR="00FA7467" w:rsidRPr="008819AF" w:rsidRDefault="00FA7467" w:rsidP="0021052F">
            <w:pPr>
              <w:ind w:left="215" w:hanging="215"/>
              <w:rPr>
                <w:rFonts w:eastAsia="Arial"/>
                <w:lang w:bidi="cs-CZ"/>
              </w:rPr>
            </w:pPr>
          </w:p>
          <w:p w14:paraId="151325A1" w14:textId="77777777" w:rsidR="00FA7467" w:rsidRPr="008819AF" w:rsidRDefault="00FA7467" w:rsidP="0021052F">
            <w:pPr>
              <w:ind w:left="215" w:hanging="215"/>
              <w:rPr>
                <w:rFonts w:eastAsia="Arial"/>
                <w:lang w:bidi="cs-CZ"/>
              </w:rPr>
            </w:pPr>
          </w:p>
          <w:p w14:paraId="151325A2" w14:textId="77777777" w:rsidR="00FA7467" w:rsidRPr="008819AF" w:rsidRDefault="00FA7467" w:rsidP="0021052F">
            <w:pPr>
              <w:ind w:left="215" w:hanging="215"/>
              <w:rPr>
                <w:rFonts w:eastAsia="Arial"/>
                <w:lang w:bidi="cs-CZ"/>
              </w:rPr>
            </w:pPr>
          </w:p>
          <w:p w14:paraId="151325A3" w14:textId="77777777" w:rsidR="00FA7467" w:rsidRPr="008819AF" w:rsidRDefault="00FA7467" w:rsidP="0021052F">
            <w:pPr>
              <w:ind w:left="215" w:hanging="215"/>
              <w:rPr>
                <w:rFonts w:eastAsia="Arial"/>
                <w:lang w:bidi="cs-CZ"/>
              </w:rPr>
            </w:pPr>
          </w:p>
          <w:p w14:paraId="151325A4" w14:textId="77777777" w:rsidR="00FA7467" w:rsidRPr="008819AF" w:rsidRDefault="00FA7467" w:rsidP="0021052F">
            <w:pPr>
              <w:ind w:left="215" w:hanging="215"/>
              <w:rPr>
                <w:rFonts w:eastAsia="Arial"/>
                <w:lang w:bidi="cs-CZ"/>
              </w:rPr>
            </w:pPr>
          </w:p>
          <w:p w14:paraId="151325A5" w14:textId="77777777" w:rsidR="00FA7467" w:rsidRPr="008819AF" w:rsidRDefault="00FA7467" w:rsidP="0021052F">
            <w:pPr>
              <w:ind w:left="215" w:hanging="215"/>
              <w:rPr>
                <w:rFonts w:eastAsia="Arial"/>
                <w:lang w:bidi="cs-CZ"/>
              </w:rPr>
            </w:pPr>
          </w:p>
          <w:p w14:paraId="151325A6" w14:textId="77777777" w:rsidR="00FA7467" w:rsidRPr="008819AF" w:rsidRDefault="00FA7467" w:rsidP="0021052F">
            <w:pPr>
              <w:ind w:left="215" w:hanging="215"/>
              <w:rPr>
                <w:rFonts w:eastAsia="Arial"/>
                <w:lang w:bidi="cs-CZ"/>
              </w:rPr>
            </w:pPr>
          </w:p>
          <w:p w14:paraId="151325A7" w14:textId="77777777" w:rsidR="00FA7467" w:rsidRPr="008819AF" w:rsidRDefault="00FA7467" w:rsidP="0021052F">
            <w:pPr>
              <w:ind w:left="215" w:hanging="215"/>
              <w:rPr>
                <w:rFonts w:eastAsia="Arial"/>
                <w:lang w:bidi="cs-CZ"/>
              </w:rPr>
            </w:pPr>
          </w:p>
          <w:p w14:paraId="151325A8" w14:textId="77777777" w:rsidR="00FA7467" w:rsidRPr="008819AF" w:rsidRDefault="00FA7467" w:rsidP="0021052F">
            <w:pPr>
              <w:ind w:left="215" w:hanging="215"/>
              <w:rPr>
                <w:rFonts w:eastAsia="Arial"/>
                <w:lang w:bidi="cs-CZ"/>
              </w:rPr>
            </w:pPr>
          </w:p>
          <w:p w14:paraId="151325A9" w14:textId="77777777" w:rsidR="00FA7467" w:rsidRPr="008819AF" w:rsidRDefault="00FA7467" w:rsidP="0021052F">
            <w:pPr>
              <w:ind w:left="215" w:hanging="215"/>
              <w:rPr>
                <w:rFonts w:eastAsia="Arial"/>
                <w:lang w:bidi="cs-CZ"/>
              </w:rPr>
            </w:pPr>
          </w:p>
          <w:p w14:paraId="151325AA" w14:textId="77777777" w:rsidR="00FA7467" w:rsidRPr="008819AF" w:rsidRDefault="00FA7467" w:rsidP="0021052F">
            <w:pPr>
              <w:ind w:left="215" w:hanging="215"/>
              <w:rPr>
                <w:rFonts w:eastAsia="Arial"/>
                <w:lang w:bidi="cs-CZ"/>
              </w:rPr>
            </w:pPr>
          </w:p>
          <w:p w14:paraId="151325AB" w14:textId="77777777" w:rsidR="00FA7467" w:rsidRPr="008819AF" w:rsidRDefault="00FA7467" w:rsidP="0021052F">
            <w:pPr>
              <w:ind w:left="215" w:hanging="215"/>
              <w:rPr>
                <w:rFonts w:eastAsia="Arial"/>
                <w:lang w:bidi="cs-CZ"/>
              </w:rPr>
            </w:pPr>
          </w:p>
          <w:p w14:paraId="151325AC" w14:textId="77777777" w:rsidR="00FA7467" w:rsidRPr="008819AF" w:rsidRDefault="00FA7467" w:rsidP="0021052F">
            <w:pPr>
              <w:ind w:left="215" w:hanging="215"/>
              <w:rPr>
                <w:rFonts w:eastAsia="Arial"/>
                <w:lang w:bidi="cs-CZ"/>
              </w:rPr>
            </w:pPr>
          </w:p>
          <w:p w14:paraId="151325AD" w14:textId="77777777" w:rsidR="00FA7467" w:rsidRPr="008819AF" w:rsidRDefault="00FA7467" w:rsidP="0021052F">
            <w:pPr>
              <w:ind w:left="215" w:hanging="215"/>
              <w:rPr>
                <w:rFonts w:eastAsia="Arial"/>
                <w:lang w:bidi="cs-CZ"/>
              </w:rPr>
            </w:pPr>
          </w:p>
          <w:p w14:paraId="151325AE" w14:textId="77777777" w:rsidR="00FA7467" w:rsidRPr="008819AF" w:rsidRDefault="00FA7467" w:rsidP="0021052F">
            <w:pPr>
              <w:ind w:left="215" w:hanging="215"/>
              <w:rPr>
                <w:rFonts w:eastAsia="Arial"/>
                <w:lang w:bidi="cs-CZ"/>
              </w:rPr>
            </w:pPr>
          </w:p>
          <w:p w14:paraId="151325AF" w14:textId="77777777" w:rsidR="00FA7467" w:rsidRPr="008819AF" w:rsidRDefault="00FA7467" w:rsidP="0021052F">
            <w:pPr>
              <w:ind w:left="215" w:hanging="215"/>
              <w:rPr>
                <w:rFonts w:eastAsia="Arial"/>
                <w:lang w:bidi="cs-CZ"/>
              </w:rPr>
            </w:pPr>
          </w:p>
          <w:p w14:paraId="151325B0" w14:textId="77777777" w:rsidR="00FA7467" w:rsidRPr="008819AF" w:rsidRDefault="00FA7467" w:rsidP="0021052F">
            <w:pPr>
              <w:ind w:left="215" w:hanging="215"/>
              <w:rPr>
                <w:rFonts w:eastAsia="Arial"/>
                <w:lang w:bidi="cs-CZ"/>
              </w:rPr>
            </w:pPr>
          </w:p>
          <w:p w14:paraId="151325B1" w14:textId="77777777" w:rsidR="00FA7467" w:rsidRPr="008819AF" w:rsidRDefault="00FA7467" w:rsidP="0021052F">
            <w:pPr>
              <w:ind w:left="215" w:hanging="215"/>
              <w:rPr>
                <w:rFonts w:eastAsia="Arial"/>
                <w:lang w:bidi="cs-CZ"/>
              </w:rPr>
            </w:pPr>
          </w:p>
          <w:p w14:paraId="151325B2" w14:textId="77777777" w:rsidR="00FA7467" w:rsidRPr="008819AF" w:rsidRDefault="00FA7467" w:rsidP="0021052F">
            <w:pPr>
              <w:ind w:left="215" w:hanging="215"/>
              <w:rPr>
                <w:rFonts w:eastAsia="Arial"/>
                <w:lang w:bidi="cs-CZ"/>
              </w:rPr>
            </w:pPr>
          </w:p>
          <w:p w14:paraId="151325B3" w14:textId="77777777" w:rsidR="00FA7467" w:rsidRPr="008819AF" w:rsidRDefault="00FA7467" w:rsidP="0021052F">
            <w:pPr>
              <w:ind w:left="215" w:hanging="215"/>
              <w:rPr>
                <w:rFonts w:eastAsia="Arial"/>
                <w:lang w:bidi="cs-CZ"/>
              </w:rPr>
            </w:pPr>
          </w:p>
          <w:p w14:paraId="151325B4" w14:textId="77777777" w:rsidR="00FA7467" w:rsidRPr="008819AF" w:rsidRDefault="00FA7467" w:rsidP="0021052F">
            <w:pPr>
              <w:ind w:left="215" w:hanging="215"/>
              <w:rPr>
                <w:rFonts w:eastAsia="Arial"/>
                <w:lang w:bidi="cs-CZ"/>
              </w:rPr>
            </w:pPr>
          </w:p>
          <w:p w14:paraId="151325B5" w14:textId="77777777" w:rsidR="00FA7467" w:rsidRPr="008819AF" w:rsidRDefault="00FA7467" w:rsidP="0021052F">
            <w:pPr>
              <w:ind w:left="215" w:hanging="215"/>
              <w:rPr>
                <w:rFonts w:eastAsia="Arial"/>
                <w:lang w:bidi="cs-CZ"/>
              </w:rPr>
            </w:pPr>
          </w:p>
          <w:p w14:paraId="151325B6" w14:textId="77777777" w:rsidR="00FA7467" w:rsidRPr="008819AF" w:rsidRDefault="00FA7467" w:rsidP="0021052F">
            <w:pPr>
              <w:ind w:left="215" w:hanging="215"/>
              <w:rPr>
                <w:rFonts w:eastAsia="Arial"/>
                <w:lang w:bidi="cs-CZ"/>
              </w:rPr>
            </w:pPr>
          </w:p>
          <w:p w14:paraId="151325B7" w14:textId="77777777" w:rsidR="00FA7467" w:rsidRPr="008819AF" w:rsidRDefault="00FA7467" w:rsidP="0021052F">
            <w:pPr>
              <w:ind w:left="215" w:hanging="215"/>
              <w:rPr>
                <w:rFonts w:eastAsia="Arial"/>
                <w:lang w:bidi="cs-CZ"/>
              </w:rPr>
            </w:pPr>
          </w:p>
          <w:p w14:paraId="151325B8" w14:textId="77777777" w:rsidR="00FA7467" w:rsidRPr="008819AF" w:rsidRDefault="00FA7467" w:rsidP="0021052F">
            <w:pPr>
              <w:ind w:left="215" w:hanging="215"/>
              <w:rPr>
                <w:rFonts w:eastAsia="Arial"/>
                <w:lang w:bidi="cs-CZ"/>
              </w:rPr>
            </w:pPr>
          </w:p>
          <w:p w14:paraId="151325B9" w14:textId="77777777" w:rsidR="00A20BEE" w:rsidRPr="008819AF" w:rsidRDefault="00A20BEE" w:rsidP="0021052F">
            <w:pPr>
              <w:ind w:left="215" w:hanging="215"/>
              <w:rPr>
                <w:rFonts w:eastAsia="Arial"/>
                <w:lang w:bidi="cs-CZ"/>
              </w:rPr>
            </w:pPr>
          </w:p>
          <w:p w14:paraId="151325BA" w14:textId="77777777" w:rsidR="007170C3" w:rsidRPr="008819AF" w:rsidRDefault="006F0418" w:rsidP="0021052F">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151325BB" w14:textId="77777777" w:rsidR="007170C3" w:rsidRPr="008819AF" w:rsidRDefault="007170C3" w:rsidP="0021052F">
            <w:pPr>
              <w:ind w:left="215" w:hanging="215"/>
              <w:rPr>
                <w:rFonts w:eastAsia="Arial"/>
                <w:lang w:bidi="cs-CZ"/>
              </w:rPr>
            </w:pPr>
          </w:p>
        </w:tc>
      </w:tr>
      <w:tr w:rsidR="00F80158" w:rsidRPr="008819AF" w14:paraId="15132632" w14:textId="77777777" w:rsidTr="003E351D">
        <w:trPr>
          <w:trHeight w:val="1524"/>
          <w:jc w:val="center"/>
        </w:trPr>
        <w:tc>
          <w:tcPr>
            <w:tcW w:w="483" w:type="dxa"/>
            <w:tcBorders>
              <w:top w:val="single" w:sz="4" w:space="0" w:color="000000"/>
              <w:left w:val="single" w:sz="6" w:space="0" w:color="000000"/>
              <w:bottom w:val="single" w:sz="4" w:space="0" w:color="000000"/>
              <w:right w:val="single" w:sz="6" w:space="0" w:color="000000"/>
            </w:tcBorders>
          </w:tcPr>
          <w:p w14:paraId="151325BD" w14:textId="77777777" w:rsidR="007170C3" w:rsidRPr="008819AF" w:rsidRDefault="006F0418" w:rsidP="003E351D">
            <w:pPr>
              <w:ind w:right="-70"/>
              <w:rPr>
                <w:rFonts w:eastAsia="Arial"/>
                <w:lang w:bidi="cs-CZ"/>
              </w:rPr>
            </w:pPr>
            <w:r w:rsidRPr="008819AF">
              <w:rPr>
                <w:rFonts w:eastAsia="Arial"/>
                <w:lang w:bidi="cs-CZ"/>
              </w:rPr>
              <w:lastRenderedPageBreak/>
              <w:t>Č:46</w:t>
            </w:r>
          </w:p>
        </w:tc>
        <w:tc>
          <w:tcPr>
            <w:tcW w:w="6227" w:type="dxa"/>
            <w:gridSpan w:val="2"/>
            <w:tcBorders>
              <w:top w:val="single" w:sz="4" w:space="0" w:color="000000"/>
              <w:left w:val="single" w:sz="6" w:space="0" w:color="000000"/>
              <w:bottom w:val="single" w:sz="4" w:space="0" w:color="000000"/>
              <w:right w:val="single" w:sz="6" w:space="0" w:color="000000"/>
            </w:tcBorders>
          </w:tcPr>
          <w:p w14:paraId="151325BE" w14:textId="77777777" w:rsidR="007170C3" w:rsidRPr="008819AF" w:rsidRDefault="006F0418" w:rsidP="0021052F">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Článok 46</w:t>
            </w:r>
          </w:p>
          <w:p w14:paraId="151325BF" w14:textId="77777777" w:rsidR="007170C3" w:rsidRPr="008819AF" w:rsidRDefault="006F0418" w:rsidP="0021052F">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Riadenie emisií</w:t>
            </w:r>
          </w:p>
          <w:p w14:paraId="151325C0" w14:textId="77777777" w:rsidR="007170C3" w:rsidRPr="008819AF" w:rsidRDefault="009A031E" w:rsidP="009A031E">
            <w:pPr>
              <w:pStyle w:val="Default"/>
              <w:ind w:left="368" w:hanging="368"/>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(1)  </w:t>
            </w:r>
            <w:r w:rsidR="006F0418" w:rsidRPr="008819AF">
              <w:rPr>
                <w:rFonts w:ascii="Times New Roman" w:eastAsia="Arial" w:hAnsi="Times New Roman" w:cs="Times New Roman"/>
                <w:color w:val="auto"/>
                <w:sz w:val="20"/>
                <w:szCs w:val="20"/>
              </w:rPr>
              <w:t>Odpadové plyny zo spaľovní odpadov a zariadení na spoluspaľovanie odpadov musia byť vypúšťané riadeným spôsobom cez komín, ktorého výška sa vypočíta tak, aby bolo chránené ľudské zdravie a životné prostredie.</w:t>
            </w:r>
          </w:p>
          <w:p w14:paraId="151325C1" w14:textId="77777777" w:rsidR="009A031E" w:rsidRPr="008819AF" w:rsidRDefault="009A031E" w:rsidP="009A031E">
            <w:pPr>
              <w:pStyle w:val="Default"/>
              <w:rPr>
                <w:rFonts w:ascii="Times New Roman" w:eastAsia="Arial" w:hAnsi="Times New Roman" w:cs="Times New Roman"/>
                <w:color w:val="auto"/>
                <w:sz w:val="20"/>
                <w:szCs w:val="20"/>
              </w:rPr>
            </w:pPr>
          </w:p>
          <w:p w14:paraId="151325C2" w14:textId="77777777" w:rsidR="009A031E" w:rsidRPr="008819AF" w:rsidRDefault="009A031E" w:rsidP="009A031E">
            <w:pPr>
              <w:pStyle w:val="Default"/>
              <w:rPr>
                <w:rFonts w:ascii="Times New Roman" w:eastAsia="Arial" w:hAnsi="Times New Roman" w:cs="Times New Roman"/>
                <w:color w:val="auto"/>
                <w:sz w:val="20"/>
                <w:szCs w:val="20"/>
              </w:rPr>
            </w:pPr>
          </w:p>
          <w:p w14:paraId="151325C3" w14:textId="77777777" w:rsidR="009A031E" w:rsidRPr="008819AF" w:rsidRDefault="009A031E" w:rsidP="009A031E">
            <w:pPr>
              <w:pStyle w:val="Default"/>
              <w:rPr>
                <w:rFonts w:ascii="Times New Roman" w:eastAsia="Arial" w:hAnsi="Times New Roman" w:cs="Times New Roman"/>
                <w:color w:val="auto"/>
                <w:sz w:val="20"/>
                <w:szCs w:val="20"/>
              </w:rPr>
            </w:pPr>
          </w:p>
          <w:p w14:paraId="151325C4" w14:textId="77777777" w:rsidR="009A031E" w:rsidRPr="008819AF" w:rsidRDefault="009A031E" w:rsidP="009A031E">
            <w:pPr>
              <w:pStyle w:val="Default"/>
              <w:rPr>
                <w:rFonts w:ascii="Times New Roman" w:eastAsia="Arial" w:hAnsi="Times New Roman" w:cs="Times New Roman"/>
                <w:color w:val="auto"/>
                <w:sz w:val="20"/>
                <w:szCs w:val="20"/>
              </w:rPr>
            </w:pPr>
          </w:p>
          <w:p w14:paraId="151325C5" w14:textId="77777777" w:rsidR="009A031E" w:rsidRPr="008819AF" w:rsidRDefault="009A031E" w:rsidP="009A031E">
            <w:pPr>
              <w:pStyle w:val="Default"/>
              <w:rPr>
                <w:rFonts w:ascii="Times New Roman" w:eastAsia="Arial" w:hAnsi="Times New Roman" w:cs="Times New Roman"/>
                <w:color w:val="auto"/>
                <w:sz w:val="20"/>
                <w:szCs w:val="20"/>
              </w:rPr>
            </w:pPr>
          </w:p>
          <w:p w14:paraId="151325C6" w14:textId="77777777" w:rsidR="009A031E" w:rsidRPr="008819AF" w:rsidRDefault="009A031E" w:rsidP="009A031E">
            <w:pPr>
              <w:pStyle w:val="Default"/>
              <w:rPr>
                <w:rFonts w:ascii="Times New Roman" w:eastAsia="Arial" w:hAnsi="Times New Roman" w:cs="Times New Roman"/>
                <w:color w:val="auto"/>
                <w:sz w:val="20"/>
                <w:szCs w:val="20"/>
              </w:rPr>
            </w:pPr>
          </w:p>
          <w:p w14:paraId="151325C7"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5C8"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5C9" w14:textId="77777777" w:rsidR="009A031E" w:rsidRPr="008819AF" w:rsidRDefault="009A031E" w:rsidP="0021052F">
            <w:pPr>
              <w:pStyle w:val="Default"/>
              <w:ind w:left="214" w:hanging="214"/>
              <w:rPr>
                <w:rFonts w:ascii="Times New Roman" w:eastAsia="Arial" w:hAnsi="Times New Roman" w:cs="Times New Roman"/>
                <w:color w:val="auto"/>
                <w:sz w:val="20"/>
                <w:szCs w:val="20"/>
              </w:rPr>
            </w:pPr>
          </w:p>
          <w:p w14:paraId="151325CA" w14:textId="77777777" w:rsidR="007170C3" w:rsidRPr="008819AF" w:rsidRDefault="006F0418" w:rsidP="0021052F">
            <w:pPr>
              <w:pStyle w:val="Default"/>
              <w:ind w:left="214" w:hanging="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 Emisie do ovzdušia zo spaľovní odpadov a zariadení na spoluspaľovanie odpadov nesmú prekročiť emisné limity stanovené v prílohe VI časti 3 a 4 alebo určené v súlade s časťou 4 uvedenej prílohy.</w:t>
            </w:r>
          </w:p>
          <w:p w14:paraId="151325CB" w14:textId="77777777" w:rsidR="007170C3" w:rsidRPr="008819AF" w:rsidRDefault="006F0418" w:rsidP="0021052F">
            <w:pPr>
              <w:pStyle w:val="Default"/>
              <w:ind w:left="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Ak v zariadení na spoluspaľovanie odpadov pochádza viac ako 40 % vznikajúceho tepla z nebezpečných odpadov alebo sa v zariadení spoluspaľuje neupravený zmesový komunálny odpad, platia emisné limity stanovené v prílohe VI časť 3.</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5CC" w14:textId="77777777" w:rsidR="007170C3" w:rsidRPr="008819AF" w:rsidRDefault="006F0418" w:rsidP="0021052F">
            <w:pPr>
              <w:ind w:left="215" w:hanging="215"/>
              <w:jc w:val="center"/>
              <w:rPr>
                <w:rFonts w:eastAsia="Arial"/>
                <w:lang w:bidi="cs-CZ"/>
              </w:rPr>
            </w:pPr>
            <w:r w:rsidRPr="008819AF">
              <w:rPr>
                <w:rFonts w:eastAsia="Arial"/>
                <w:lang w:bidi="cs-CZ"/>
              </w:rPr>
              <w:t>N</w:t>
            </w:r>
          </w:p>
          <w:p w14:paraId="151325CD" w14:textId="77777777" w:rsidR="007170C3" w:rsidRPr="008819AF" w:rsidRDefault="007170C3" w:rsidP="0021052F">
            <w:pPr>
              <w:ind w:left="215" w:hanging="215"/>
              <w:jc w:val="center"/>
              <w:rPr>
                <w:rFonts w:eastAsia="Arial"/>
                <w:lang w:bidi="cs-CZ"/>
              </w:rPr>
            </w:pPr>
          </w:p>
          <w:p w14:paraId="151325CE" w14:textId="77777777" w:rsidR="007170C3" w:rsidRPr="008819AF" w:rsidRDefault="007170C3" w:rsidP="0021052F">
            <w:pPr>
              <w:ind w:left="215" w:hanging="215"/>
              <w:jc w:val="center"/>
              <w:rPr>
                <w:rFonts w:eastAsia="Arial"/>
                <w:lang w:bidi="cs-CZ"/>
              </w:rPr>
            </w:pPr>
          </w:p>
          <w:p w14:paraId="151325CF" w14:textId="77777777" w:rsidR="007170C3" w:rsidRPr="008819AF" w:rsidRDefault="007170C3" w:rsidP="0021052F">
            <w:pPr>
              <w:ind w:left="215" w:hanging="215"/>
              <w:jc w:val="center"/>
              <w:rPr>
                <w:rFonts w:eastAsia="Arial"/>
                <w:lang w:bidi="cs-CZ"/>
              </w:rPr>
            </w:pPr>
          </w:p>
          <w:p w14:paraId="151325D0" w14:textId="77777777" w:rsidR="007170C3" w:rsidRPr="008819AF" w:rsidRDefault="007170C3" w:rsidP="0021052F">
            <w:pPr>
              <w:ind w:left="215" w:hanging="215"/>
              <w:jc w:val="center"/>
              <w:rPr>
                <w:rFonts w:eastAsia="Arial"/>
                <w:lang w:bidi="cs-CZ"/>
              </w:rPr>
            </w:pPr>
          </w:p>
          <w:p w14:paraId="151325D1" w14:textId="77777777" w:rsidR="007170C3" w:rsidRPr="008819AF" w:rsidRDefault="007170C3" w:rsidP="0021052F">
            <w:pPr>
              <w:ind w:left="215" w:hanging="215"/>
              <w:jc w:val="center"/>
              <w:rPr>
                <w:rFonts w:eastAsia="Arial"/>
                <w:lang w:bidi="cs-CZ"/>
              </w:rPr>
            </w:pPr>
          </w:p>
          <w:p w14:paraId="151325D2" w14:textId="77777777" w:rsidR="007170C3" w:rsidRPr="008819AF" w:rsidRDefault="007170C3" w:rsidP="0021052F">
            <w:pPr>
              <w:ind w:left="215" w:hanging="215"/>
              <w:jc w:val="center"/>
              <w:rPr>
                <w:rFonts w:eastAsia="Arial"/>
                <w:lang w:bidi="cs-CZ"/>
              </w:rPr>
            </w:pPr>
          </w:p>
          <w:p w14:paraId="151325D3" w14:textId="77777777" w:rsidR="007170C3" w:rsidRPr="008819AF" w:rsidRDefault="007170C3" w:rsidP="0021052F">
            <w:pPr>
              <w:ind w:left="215" w:hanging="215"/>
              <w:jc w:val="center"/>
              <w:rPr>
                <w:rFonts w:eastAsia="Arial"/>
                <w:lang w:bidi="cs-CZ"/>
              </w:rPr>
            </w:pPr>
          </w:p>
          <w:p w14:paraId="151325D4" w14:textId="77777777" w:rsidR="007170C3" w:rsidRPr="008819AF" w:rsidRDefault="007170C3" w:rsidP="0021052F">
            <w:pPr>
              <w:ind w:left="215" w:hanging="215"/>
              <w:jc w:val="center"/>
              <w:rPr>
                <w:rFonts w:eastAsia="Arial"/>
                <w:lang w:bidi="cs-CZ"/>
              </w:rPr>
            </w:pPr>
          </w:p>
          <w:p w14:paraId="151325D5" w14:textId="77777777" w:rsidR="007170C3" w:rsidRPr="008819AF" w:rsidRDefault="007170C3" w:rsidP="0021052F">
            <w:pPr>
              <w:ind w:left="215" w:hanging="215"/>
              <w:jc w:val="center"/>
              <w:rPr>
                <w:rFonts w:eastAsia="Arial"/>
                <w:lang w:bidi="cs-CZ"/>
              </w:rPr>
            </w:pPr>
          </w:p>
          <w:p w14:paraId="151325D6" w14:textId="77777777" w:rsidR="007170C3" w:rsidRPr="008819AF" w:rsidRDefault="007170C3" w:rsidP="0021052F">
            <w:pPr>
              <w:ind w:left="215" w:hanging="215"/>
              <w:jc w:val="center"/>
              <w:rPr>
                <w:rFonts w:eastAsia="Arial"/>
                <w:lang w:bidi="cs-CZ"/>
              </w:rPr>
            </w:pPr>
          </w:p>
          <w:p w14:paraId="151325D7" w14:textId="77777777" w:rsidR="007170C3" w:rsidRPr="008819AF" w:rsidRDefault="007170C3" w:rsidP="0021052F">
            <w:pPr>
              <w:ind w:left="215" w:hanging="215"/>
              <w:jc w:val="center"/>
              <w:rPr>
                <w:rFonts w:eastAsia="Arial"/>
                <w:lang w:bidi="cs-CZ"/>
              </w:rPr>
            </w:pPr>
          </w:p>
          <w:p w14:paraId="151325D8" w14:textId="77777777" w:rsidR="007170C3" w:rsidRPr="008819AF" w:rsidRDefault="007170C3" w:rsidP="0021052F">
            <w:pPr>
              <w:ind w:left="215" w:hanging="215"/>
              <w:jc w:val="center"/>
              <w:rPr>
                <w:rFonts w:eastAsia="Arial"/>
                <w:lang w:bidi="cs-CZ"/>
              </w:rPr>
            </w:pPr>
          </w:p>
          <w:p w14:paraId="151325D9" w14:textId="77777777" w:rsidR="007170C3" w:rsidRPr="008819AF" w:rsidRDefault="007170C3" w:rsidP="0021052F">
            <w:pPr>
              <w:ind w:left="215" w:hanging="215"/>
              <w:jc w:val="center"/>
              <w:rPr>
                <w:rFonts w:eastAsia="Arial"/>
                <w:lang w:bidi="cs-CZ"/>
              </w:rPr>
            </w:pPr>
          </w:p>
          <w:p w14:paraId="151325DA" w14:textId="77777777" w:rsidR="007170C3" w:rsidRPr="008819AF" w:rsidRDefault="007170C3" w:rsidP="0021052F">
            <w:pPr>
              <w:ind w:left="215" w:hanging="215"/>
              <w:jc w:val="center"/>
              <w:rPr>
                <w:rFonts w:eastAsia="Arial"/>
                <w:lang w:bidi="cs-CZ"/>
              </w:rPr>
            </w:pPr>
          </w:p>
          <w:p w14:paraId="151325DB" w14:textId="77777777" w:rsidR="007170C3" w:rsidRPr="008819AF" w:rsidRDefault="008336CD" w:rsidP="0021052F">
            <w:pPr>
              <w:ind w:left="215" w:hanging="215"/>
              <w:jc w:val="center"/>
              <w:rPr>
                <w:rFonts w:eastAsia="Arial"/>
                <w:lang w:bidi="cs-CZ"/>
              </w:rPr>
            </w:pPr>
            <w:r w:rsidRPr="008819AF">
              <w:rPr>
                <w:rFonts w:eastAsia="Arial"/>
                <w:lang w:bidi="cs-CZ"/>
              </w:rPr>
              <w:t>N</w:t>
            </w:r>
          </w:p>
          <w:p w14:paraId="151325DC" w14:textId="77777777" w:rsidR="009A031E" w:rsidRPr="008819AF" w:rsidRDefault="009A031E" w:rsidP="0021052F">
            <w:pPr>
              <w:ind w:left="215" w:hanging="215"/>
              <w:jc w:val="center"/>
              <w:rPr>
                <w:rFonts w:eastAsia="Arial"/>
                <w:lang w:bidi="cs-CZ"/>
              </w:rPr>
            </w:pPr>
          </w:p>
          <w:p w14:paraId="151325DD" w14:textId="77777777" w:rsidR="009A031E" w:rsidRPr="008819AF" w:rsidRDefault="009A031E" w:rsidP="0021052F">
            <w:pPr>
              <w:ind w:left="215" w:hanging="215"/>
              <w:jc w:val="center"/>
              <w:rPr>
                <w:rFonts w:eastAsia="Arial"/>
                <w:lang w:bidi="cs-CZ"/>
              </w:rPr>
            </w:pPr>
          </w:p>
          <w:p w14:paraId="151325DE" w14:textId="77777777" w:rsidR="009A031E" w:rsidRPr="008819AF" w:rsidRDefault="009A031E" w:rsidP="0021052F">
            <w:pPr>
              <w:ind w:left="215" w:hanging="215"/>
              <w:jc w:val="center"/>
              <w:rPr>
                <w:rFonts w:eastAsia="Arial"/>
                <w:lang w:bidi="cs-CZ"/>
              </w:rPr>
            </w:pPr>
          </w:p>
          <w:p w14:paraId="151325DF" w14:textId="77777777" w:rsidR="009A031E" w:rsidRPr="008819AF" w:rsidRDefault="009A031E" w:rsidP="0021052F">
            <w:pPr>
              <w:ind w:left="215" w:hanging="215"/>
              <w:jc w:val="center"/>
              <w:rPr>
                <w:rFonts w:eastAsia="Arial"/>
                <w:lang w:bidi="cs-CZ"/>
              </w:rPr>
            </w:pPr>
          </w:p>
          <w:p w14:paraId="151325E0" w14:textId="77777777" w:rsidR="009A031E" w:rsidRPr="008819AF" w:rsidRDefault="009A031E" w:rsidP="0021052F">
            <w:pPr>
              <w:ind w:left="215" w:hanging="215"/>
              <w:jc w:val="center"/>
              <w:rPr>
                <w:rFonts w:eastAsia="Arial"/>
                <w:lang w:bidi="cs-CZ"/>
              </w:rPr>
            </w:pPr>
          </w:p>
          <w:p w14:paraId="151325E1" w14:textId="77777777" w:rsidR="009A031E" w:rsidRPr="008819AF" w:rsidRDefault="009A031E" w:rsidP="0021052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5E2" w14:textId="77777777" w:rsidR="007170C3" w:rsidRPr="008819AF" w:rsidRDefault="00A32C9B" w:rsidP="0021052F">
            <w:pPr>
              <w:jc w:val="center"/>
              <w:rPr>
                <w:rFonts w:eastAsia="Arial"/>
                <w:lang w:bidi="cs-CZ"/>
              </w:rPr>
            </w:pPr>
            <w:r w:rsidRPr="008819AF">
              <w:rPr>
                <w:rFonts w:eastAsia="Arial"/>
                <w:lang w:bidi="cs-CZ"/>
              </w:rPr>
              <w:t>NZ</w:t>
            </w:r>
          </w:p>
          <w:p w14:paraId="151325E3" w14:textId="77777777" w:rsidR="007170C3" w:rsidRPr="008819AF" w:rsidRDefault="007170C3" w:rsidP="0021052F">
            <w:pPr>
              <w:ind w:left="215" w:hanging="215"/>
              <w:jc w:val="center"/>
              <w:rPr>
                <w:rFonts w:eastAsia="Arial"/>
                <w:lang w:bidi="cs-CZ"/>
              </w:rPr>
            </w:pPr>
          </w:p>
          <w:p w14:paraId="151325E4" w14:textId="77777777" w:rsidR="007170C3" w:rsidRPr="008819AF" w:rsidRDefault="007170C3" w:rsidP="0021052F">
            <w:pPr>
              <w:ind w:left="215" w:hanging="215"/>
              <w:jc w:val="center"/>
              <w:rPr>
                <w:rFonts w:eastAsia="Arial"/>
                <w:lang w:bidi="cs-CZ"/>
              </w:rPr>
            </w:pPr>
          </w:p>
          <w:p w14:paraId="151325E5" w14:textId="77777777" w:rsidR="007170C3" w:rsidRPr="008819AF" w:rsidRDefault="007170C3" w:rsidP="0021052F">
            <w:pPr>
              <w:ind w:left="215" w:hanging="215"/>
              <w:jc w:val="center"/>
              <w:rPr>
                <w:rFonts w:eastAsia="Arial"/>
                <w:lang w:bidi="cs-CZ"/>
              </w:rPr>
            </w:pPr>
          </w:p>
          <w:p w14:paraId="151325E6" w14:textId="77777777" w:rsidR="007170C3" w:rsidRPr="008819AF" w:rsidRDefault="007170C3" w:rsidP="0021052F">
            <w:pPr>
              <w:ind w:left="215" w:hanging="215"/>
              <w:jc w:val="center"/>
              <w:rPr>
                <w:rFonts w:eastAsia="Arial"/>
                <w:lang w:bidi="cs-CZ"/>
              </w:rPr>
            </w:pPr>
          </w:p>
          <w:p w14:paraId="151325E7" w14:textId="77777777" w:rsidR="007170C3" w:rsidRPr="008819AF" w:rsidRDefault="007170C3" w:rsidP="0021052F">
            <w:pPr>
              <w:ind w:left="215" w:hanging="215"/>
              <w:jc w:val="center"/>
              <w:rPr>
                <w:rFonts w:eastAsia="Arial"/>
                <w:lang w:bidi="cs-CZ"/>
              </w:rPr>
            </w:pPr>
          </w:p>
          <w:p w14:paraId="151325E8" w14:textId="77777777" w:rsidR="007170C3" w:rsidRPr="008819AF" w:rsidRDefault="007170C3" w:rsidP="0021052F">
            <w:pPr>
              <w:ind w:left="215" w:hanging="215"/>
              <w:jc w:val="center"/>
              <w:rPr>
                <w:rFonts w:eastAsia="Arial"/>
                <w:lang w:bidi="cs-CZ"/>
              </w:rPr>
            </w:pPr>
          </w:p>
          <w:p w14:paraId="151325E9" w14:textId="77777777" w:rsidR="007170C3" w:rsidRPr="008819AF" w:rsidRDefault="007170C3" w:rsidP="0021052F">
            <w:pPr>
              <w:ind w:left="215" w:hanging="215"/>
              <w:jc w:val="center"/>
              <w:rPr>
                <w:rFonts w:eastAsia="Arial"/>
                <w:lang w:bidi="cs-CZ"/>
              </w:rPr>
            </w:pPr>
          </w:p>
          <w:p w14:paraId="151325EA" w14:textId="77777777" w:rsidR="007170C3" w:rsidRPr="008819AF" w:rsidRDefault="007170C3" w:rsidP="0021052F">
            <w:pPr>
              <w:ind w:left="215" w:hanging="215"/>
              <w:jc w:val="center"/>
              <w:rPr>
                <w:rFonts w:eastAsia="Arial"/>
                <w:lang w:bidi="cs-CZ"/>
              </w:rPr>
            </w:pPr>
          </w:p>
          <w:p w14:paraId="151325EB" w14:textId="77777777" w:rsidR="007170C3" w:rsidRPr="008819AF" w:rsidRDefault="007170C3" w:rsidP="0021052F">
            <w:pPr>
              <w:ind w:left="215" w:hanging="215"/>
              <w:jc w:val="center"/>
              <w:rPr>
                <w:rFonts w:eastAsia="Arial"/>
                <w:lang w:bidi="cs-CZ"/>
              </w:rPr>
            </w:pPr>
          </w:p>
          <w:p w14:paraId="151325EC" w14:textId="77777777" w:rsidR="007170C3" w:rsidRPr="008819AF" w:rsidRDefault="007170C3" w:rsidP="0021052F">
            <w:pPr>
              <w:ind w:left="215" w:hanging="215"/>
              <w:jc w:val="center"/>
              <w:rPr>
                <w:rFonts w:eastAsia="Arial"/>
                <w:lang w:bidi="cs-CZ"/>
              </w:rPr>
            </w:pPr>
          </w:p>
          <w:p w14:paraId="151325ED" w14:textId="77777777" w:rsidR="007170C3" w:rsidRPr="008819AF" w:rsidRDefault="007170C3" w:rsidP="0021052F">
            <w:pPr>
              <w:ind w:left="215" w:hanging="215"/>
              <w:jc w:val="center"/>
              <w:rPr>
                <w:rFonts w:eastAsia="Arial"/>
                <w:lang w:bidi="cs-CZ"/>
              </w:rPr>
            </w:pPr>
          </w:p>
          <w:p w14:paraId="151325EE" w14:textId="77777777" w:rsidR="007170C3" w:rsidRPr="008819AF" w:rsidRDefault="007170C3" w:rsidP="0021052F">
            <w:pPr>
              <w:ind w:left="215" w:hanging="215"/>
              <w:jc w:val="center"/>
              <w:rPr>
                <w:rFonts w:eastAsia="Arial"/>
                <w:lang w:bidi="cs-CZ"/>
              </w:rPr>
            </w:pPr>
          </w:p>
          <w:p w14:paraId="151325EF" w14:textId="77777777" w:rsidR="007170C3" w:rsidRPr="008819AF" w:rsidRDefault="007170C3" w:rsidP="0021052F">
            <w:pPr>
              <w:ind w:left="215" w:hanging="215"/>
              <w:jc w:val="center"/>
              <w:rPr>
                <w:rFonts w:eastAsia="Arial"/>
                <w:lang w:bidi="cs-CZ"/>
              </w:rPr>
            </w:pPr>
          </w:p>
          <w:p w14:paraId="151325F0" w14:textId="77777777" w:rsidR="007170C3" w:rsidRPr="008819AF" w:rsidRDefault="007170C3" w:rsidP="0021052F">
            <w:pPr>
              <w:ind w:left="215" w:hanging="215"/>
              <w:jc w:val="center"/>
              <w:rPr>
                <w:rFonts w:eastAsia="Arial"/>
                <w:lang w:bidi="cs-CZ"/>
              </w:rPr>
            </w:pPr>
          </w:p>
          <w:p w14:paraId="151325F1" w14:textId="77777777" w:rsidR="007170C3" w:rsidRPr="008819AF" w:rsidRDefault="00A32C9B" w:rsidP="0021052F">
            <w:pPr>
              <w:jc w:val="center"/>
              <w:rPr>
                <w:rFonts w:eastAsia="Arial"/>
                <w:lang w:bidi="cs-CZ"/>
              </w:rPr>
            </w:pPr>
            <w:r w:rsidRPr="008819AF">
              <w:rPr>
                <w:rFonts w:eastAsia="Arial"/>
                <w:lang w:bidi="cs-CZ"/>
              </w:rPr>
              <w:t>NZ</w:t>
            </w:r>
          </w:p>
          <w:p w14:paraId="151325F2" w14:textId="77777777" w:rsidR="007170C3" w:rsidRPr="008819AF" w:rsidRDefault="007170C3" w:rsidP="0021052F">
            <w:pPr>
              <w:ind w:left="215" w:hanging="215"/>
              <w:jc w:val="center"/>
              <w:rPr>
                <w:rFonts w:eastAsia="Arial"/>
                <w:lang w:bidi="cs-CZ"/>
              </w:rPr>
            </w:pPr>
          </w:p>
          <w:p w14:paraId="151325F3" w14:textId="77777777" w:rsidR="007170C3" w:rsidRPr="008819AF" w:rsidRDefault="007170C3" w:rsidP="0021052F">
            <w:pPr>
              <w:ind w:left="215" w:hanging="215"/>
              <w:jc w:val="center"/>
              <w:rPr>
                <w:rFonts w:eastAsia="Arial"/>
                <w:lang w:bidi="cs-CZ"/>
              </w:rPr>
            </w:pPr>
          </w:p>
          <w:p w14:paraId="151325F4" w14:textId="77777777" w:rsidR="007170C3" w:rsidRPr="008819AF" w:rsidRDefault="007170C3" w:rsidP="0021052F">
            <w:pPr>
              <w:ind w:left="215" w:hanging="215"/>
              <w:jc w:val="center"/>
              <w:rPr>
                <w:rFonts w:eastAsia="Arial"/>
                <w:lang w:bidi="cs-CZ"/>
              </w:rPr>
            </w:pPr>
          </w:p>
          <w:p w14:paraId="151325F5" w14:textId="77777777" w:rsidR="007170C3" w:rsidRPr="008819AF" w:rsidRDefault="007170C3" w:rsidP="0021052F">
            <w:pPr>
              <w:ind w:left="215" w:hanging="215"/>
              <w:jc w:val="center"/>
              <w:rPr>
                <w:rFonts w:eastAsia="Arial"/>
                <w:lang w:bidi="cs-CZ"/>
              </w:rPr>
            </w:pPr>
          </w:p>
          <w:p w14:paraId="151325F6" w14:textId="77777777" w:rsidR="007170C3" w:rsidRPr="008819AF" w:rsidRDefault="007170C3" w:rsidP="0021052F">
            <w:pPr>
              <w:ind w:left="215" w:hanging="215"/>
              <w:jc w:val="center"/>
              <w:rPr>
                <w:rFonts w:eastAsia="Arial"/>
                <w:lang w:bidi="cs-CZ"/>
              </w:rPr>
            </w:pPr>
          </w:p>
          <w:p w14:paraId="151325F7" w14:textId="77777777" w:rsidR="007170C3" w:rsidRPr="008819AF" w:rsidRDefault="006F0418" w:rsidP="0021052F">
            <w:pPr>
              <w:ind w:left="215" w:hanging="215"/>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151325F8" w14:textId="77777777" w:rsidR="007170C3" w:rsidRPr="008819AF" w:rsidRDefault="006F0418"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 29</w:t>
            </w:r>
          </w:p>
          <w:p w14:paraId="151325F9" w14:textId="77777777" w:rsidR="007170C3" w:rsidRPr="008819AF" w:rsidRDefault="006F0418"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O 1 P a) až d)</w:t>
            </w:r>
          </w:p>
          <w:p w14:paraId="151325FA"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5FB"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5FC"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5FD"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5FE"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5FF"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00"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01"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02" w14:textId="77777777" w:rsidR="009A031E" w:rsidRPr="008819AF" w:rsidRDefault="009A031E" w:rsidP="0021052F">
            <w:pPr>
              <w:pStyle w:val="Textpsmene"/>
              <w:ind w:left="72" w:firstLine="0"/>
              <w:jc w:val="center"/>
              <w:rPr>
                <w:rFonts w:ascii="Times New Roman" w:hAnsi="Times New Roman" w:cs="Times New Roman"/>
                <w:sz w:val="20"/>
                <w:szCs w:val="20"/>
              </w:rPr>
            </w:pPr>
          </w:p>
          <w:p w14:paraId="15132603"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04" w14:textId="77777777" w:rsidR="007170C3" w:rsidRPr="008819AF" w:rsidRDefault="006F0418" w:rsidP="0021052F">
            <w:pPr>
              <w:tabs>
                <w:tab w:val="left" w:pos="360"/>
                <w:tab w:val="left" w:pos="643"/>
              </w:tabs>
              <w:ind w:left="72"/>
              <w:jc w:val="center"/>
              <w:rPr>
                <w:rFonts w:eastAsia="a*i*l"/>
              </w:rPr>
            </w:pPr>
            <w:r w:rsidRPr="008819AF">
              <w:rPr>
                <w:rFonts w:eastAsia="a*i*l"/>
              </w:rPr>
              <w:t>§ 34 O 1</w:t>
            </w:r>
          </w:p>
          <w:p w14:paraId="15132605" w14:textId="77777777" w:rsidR="007170C3" w:rsidRPr="008819AF" w:rsidRDefault="006F0418" w:rsidP="0021052F">
            <w:pPr>
              <w:tabs>
                <w:tab w:val="left" w:pos="360"/>
                <w:tab w:val="left" w:pos="643"/>
              </w:tabs>
              <w:ind w:left="72"/>
              <w:jc w:val="center"/>
              <w:rPr>
                <w:rFonts w:eastAsia="a*i*l"/>
              </w:rPr>
            </w:pPr>
            <w:r w:rsidRPr="008819AF">
              <w:rPr>
                <w:rFonts w:eastAsia="a*i*l"/>
              </w:rPr>
              <w:t>P b)</w:t>
            </w:r>
          </w:p>
          <w:p w14:paraId="15132606"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07"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08"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09" w14:textId="77777777" w:rsidR="007170C3" w:rsidRPr="008819AF" w:rsidRDefault="009A031E"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§22</w:t>
            </w:r>
          </w:p>
          <w:p w14:paraId="1513260A" w14:textId="77777777" w:rsidR="007170C3" w:rsidRPr="008819AF" w:rsidRDefault="009A031E"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O4</w:t>
            </w:r>
          </w:p>
          <w:p w14:paraId="1513260B" w14:textId="77777777" w:rsidR="009A031E" w:rsidRPr="008819AF" w:rsidRDefault="009A031E"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O5</w:t>
            </w:r>
          </w:p>
          <w:p w14:paraId="1513260C" w14:textId="77777777" w:rsidR="007170C3" w:rsidRPr="008819AF" w:rsidRDefault="007170C3" w:rsidP="0021052F">
            <w:pPr>
              <w:pStyle w:val="Textpsmene"/>
              <w:ind w:left="0"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60D" w14:textId="77777777" w:rsidR="0002292A" w:rsidRPr="008819AF" w:rsidRDefault="0002292A" w:rsidP="0002292A">
            <w:pPr>
              <w:pStyle w:val="odsek"/>
              <w:tabs>
                <w:tab w:val="left" w:pos="-426"/>
              </w:tabs>
              <w:spacing w:before="0"/>
              <w:ind w:left="72" w:firstLine="0"/>
              <w:jc w:val="left"/>
              <w:outlineLvl w:val="5"/>
              <w:rPr>
                <w:rFonts w:ascii="Times New Roman" w:hAnsi="Times New Roman" w:cs="Times New Roman"/>
                <w:color w:val="auto"/>
                <w:sz w:val="20"/>
                <w:szCs w:val="20"/>
              </w:rPr>
            </w:pPr>
            <w:r w:rsidRPr="008819AF">
              <w:rPr>
                <w:rFonts w:ascii="Times New Roman" w:hAnsi="Times New Roman" w:cs="Times New Roman"/>
                <w:color w:val="auto"/>
                <w:sz w:val="20"/>
                <w:szCs w:val="20"/>
              </w:rPr>
              <w:t xml:space="preserve">Novobudovaný stacionárny zdroj a stacionárny zdroj a jeho zariadenia po vykonaní </w:t>
            </w:r>
            <w:r w:rsidR="00A20BEE" w:rsidRPr="008819AF">
              <w:rPr>
                <w:rFonts w:ascii="Times New Roman" w:hAnsi="Times New Roman" w:cs="Times New Roman"/>
                <w:color w:val="auto"/>
                <w:sz w:val="20"/>
                <w:szCs w:val="20"/>
              </w:rPr>
              <w:t xml:space="preserve">podstatnej zmeny podľa § 2 </w:t>
            </w:r>
            <w:r w:rsidRPr="008819AF">
              <w:rPr>
                <w:rFonts w:ascii="Times New Roman" w:hAnsi="Times New Roman" w:cs="Times New Roman"/>
                <w:color w:val="auto"/>
                <w:sz w:val="20"/>
                <w:szCs w:val="20"/>
              </w:rPr>
              <w:t xml:space="preserve">písm. </w:t>
            </w:r>
            <w:r w:rsidR="00A20BEE" w:rsidRPr="008819AF">
              <w:rPr>
                <w:rFonts w:ascii="Times New Roman" w:hAnsi="Times New Roman" w:cs="Times New Roman"/>
                <w:color w:val="auto"/>
                <w:sz w:val="20"/>
                <w:szCs w:val="20"/>
              </w:rPr>
              <w:t>q</w:t>
            </w:r>
            <w:r w:rsidRPr="008819AF">
              <w:rPr>
                <w:rFonts w:ascii="Times New Roman" w:hAnsi="Times New Roman" w:cs="Times New Roman"/>
                <w:color w:val="auto"/>
                <w:sz w:val="20"/>
                <w:szCs w:val="20"/>
              </w:rPr>
              <w:t>) musí byť navrhnutý a konštruovaný tak, aby spĺňal</w:t>
            </w:r>
          </w:p>
          <w:p w14:paraId="1513260E" w14:textId="77777777" w:rsidR="0002292A" w:rsidRPr="008819AF" w:rsidRDefault="0002292A" w:rsidP="009C63CF">
            <w:pPr>
              <w:pStyle w:val="odsek"/>
              <w:numPr>
                <w:ilvl w:val="0"/>
                <w:numId w:val="68"/>
              </w:numPr>
              <w:tabs>
                <w:tab w:val="left" w:pos="-426"/>
              </w:tabs>
              <w:spacing w:before="0"/>
              <w:jc w:val="left"/>
              <w:outlineLvl w:val="5"/>
              <w:rPr>
                <w:rFonts w:ascii="Times New Roman" w:hAnsi="Times New Roman" w:cs="Times New Roman"/>
                <w:color w:val="auto"/>
                <w:sz w:val="20"/>
                <w:szCs w:val="20"/>
              </w:rPr>
            </w:pPr>
            <w:r w:rsidRPr="008819AF">
              <w:rPr>
                <w:rFonts w:ascii="Times New Roman" w:hAnsi="Times New Roman" w:cs="Times New Roman"/>
                <w:color w:val="auto"/>
                <w:sz w:val="20"/>
                <w:szCs w:val="20"/>
              </w:rPr>
              <w:t>požiadavky najlepšej dostupnej techniky</w:t>
            </w:r>
            <w:r w:rsidR="00A20BEE" w:rsidRPr="008819AF">
              <w:rPr>
                <w:rFonts w:ascii="Times New Roman" w:hAnsi="Times New Roman" w:cs="Times New Roman"/>
                <w:color w:val="auto"/>
                <w:sz w:val="20"/>
                <w:szCs w:val="20"/>
              </w:rPr>
              <w:t>,19)</w:t>
            </w:r>
          </w:p>
          <w:p w14:paraId="1513260F" w14:textId="77777777" w:rsidR="0002292A" w:rsidRPr="008819AF" w:rsidRDefault="0002292A" w:rsidP="009C63CF">
            <w:pPr>
              <w:pStyle w:val="odsek"/>
              <w:numPr>
                <w:ilvl w:val="0"/>
                <w:numId w:val="68"/>
              </w:numPr>
              <w:tabs>
                <w:tab w:val="left" w:pos="-426"/>
              </w:tabs>
              <w:spacing w:before="0"/>
              <w:jc w:val="left"/>
              <w:outlineLvl w:val="5"/>
              <w:rPr>
                <w:rFonts w:ascii="Times New Roman" w:hAnsi="Times New Roman" w:cs="Times New Roman"/>
                <w:color w:val="auto"/>
                <w:sz w:val="20"/>
                <w:szCs w:val="20"/>
              </w:rPr>
            </w:pPr>
            <w:r w:rsidRPr="008819AF">
              <w:rPr>
                <w:rFonts w:ascii="Times New Roman" w:hAnsi="Times New Roman" w:cs="Times New Roman"/>
                <w:color w:val="auto"/>
                <w:sz w:val="20"/>
                <w:szCs w:val="20"/>
              </w:rPr>
              <w:t>minimálne emisné limity, technické požiadavky a podmienky prevádzkovania pre nové zdroje ustanovené vykonávacím predpisom podľa § 62 písm. f),</w:t>
            </w:r>
          </w:p>
          <w:p w14:paraId="15132610" w14:textId="77777777" w:rsidR="0002292A" w:rsidRPr="008819AF" w:rsidRDefault="0002292A" w:rsidP="009C63CF">
            <w:pPr>
              <w:pStyle w:val="odsek"/>
              <w:numPr>
                <w:ilvl w:val="0"/>
                <w:numId w:val="68"/>
              </w:numPr>
              <w:tabs>
                <w:tab w:val="left" w:pos="-426"/>
              </w:tabs>
              <w:spacing w:before="0"/>
              <w:jc w:val="left"/>
              <w:outlineLvl w:val="5"/>
              <w:rPr>
                <w:rFonts w:ascii="Times New Roman" w:hAnsi="Times New Roman" w:cs="Times New Roman"/>
                <w:color w:val="auto"/>
                <w:sz w:val="20"/>
                <w:szCs w:val="20"/>
              </w:rPr>
            </w:pPr>
            <w:r w:rsidRPr="008819AF">
              <w:rPr>
                <w:rFonts w:ascii="Times New Roman" w:hAnsi="Times New Roman" w:cs="Times New Roman"/>
                <w:color w:val="auto"/>
                <w:sz w:val="20"/>
                <w:szCs w:val="20"/>
              </w:rPr>
              <w:t>požiadavky na reprezentatívne meracie miesto podľa prílohy č. 6 druhého bodu písm. i) a vzorkovacie miesto ustanovené vykonávacím predpisom podľa § 62 písm. b) a g), ak sa kvalita ovzdušia v okolí stacionárneho zdroja alebo hodnoty emisnej veličiny zisťujú meraním,</w:t>
            </w:r>
          </w:p>
          <w:p w14:paraId="15132611" w14:textId="77777777" w:rsidR="0002292A" w:rsidRPr="008819AF" w:rsidRDefault="0002292A" w:rsidP="009C63CF">
            <w:pPr>
              <w:pStyle w:val="odsek"/>
              <w:numPr>
                <w:ilvl w:val="0"/>
                <w:numId w:val="68"/>
              </w:numPr>
              <w:tabs>
                <w:tab w:val="left" w:pos="-426"/>
              </w:tabs>
              <w:spacing w:before="0"/>
              <w:jc w:val="left"/>
              <w:outlineLvl w:val="5"/>
              <w:rPr>
                <w:rFonts w:ascii="Times New Roman" w:hAnsi="Times New Roman" w:cs="Times New Roman"/>
                <w:color w:val="auto"/>
                <w:sz w:val="20"/>
                <w:szCs w:val="20"/>
              </w:rPr>
            </w:pPr>
            <w:r w:rsidRPr="008819AF">
              <w:rPr>
                <w:rFonts w:ascii="Times New Roman" w:hAnsi="Times New Roman" w:cs="Times New Roman"/>
                <w:color w:val="auto"/>
                <w:sz w:val="20"/>
                <w:szCs w:val="20"/>
              </w:rPr>
              <w:t>požiadavky na zabezpečenie rozptylu ustanovené vykonávacím predpisom podľa § 62 písm. f).</w:t>
            </w:r>
          </w:p>
          <w:p w14:paraId="15132612" w14:textId="77777777" w:rsidR="004E322D" w:rsidRPr="008819AF" w:rsidRDefault="004E322D" w:rsidP="0021052F">
            <w:pPr>
              <w:pStyle w:val="odsek"/>
              <w:tabs>
                <w:tab w:val="left" w:pos="-426"/>
              </w:tabs>
              <w:spacing w:before="0"/>
              <w:ind w:left="0" w:firstLine="0"/>
              <w:jc w:val="left"/>
              <w:rPr>
                <w:rFonts w:ascii="Times New Roman" w:hAnsi="Times New Roman" w:cs="Times New Roman"/>
                <w:color w:val="auto"/>
                <w:sz w:val="20"/>
                <w:szCs w:val="20"/>
              </w:rPr>
            </w:pPr>
          </w:p>
          <w:p w14:paraId="15132613" w14:textId="77777777" w:rsidR="007170C3" w:rsidRPr="008819AF" w:rsidRDefault="006F0418" w:rsidP="0021052F">
            <w:pPr>
              <w:pStyle w:val="osk"/>
              <w:tabs>
                <w:tab w:val="left" w:pos="-426"/>
              </w:tabs>
              <w:spacing w:before="0"/>
              <w:ind w:left="0" w:firstLine="0"/>
              <w:jc w:val="left"/>
              <w:rPr>
                <w:rFonts w:ascii="Times New Roman" w:hAnsi="Times New Roman" w:cs="Times New Roman"/>
                <w:color w:val="auto"/>
                <w:sz w:val="20"/>
                <w:szCs w:val="20"/>
              </w:rPr>
            </w:pPr>
            <w:r w:rsidRPr="008819AF">
              <w:rPr>
                <w:rFonts w:ascii="Times New Roman" w:hAnsi="Times New Roman" w:cs="Times New Roman"/>
                <w:color w:val="auto"/>
                <w:sz w:val="20"/>
                <w:szCs w:val="20"/>
              </w:rPr>
              <w:t>Prevádzkovateľ veľkého zdroja a prevádzkovateľ stredného zdroja je povinný</w:t>
            </w:r>
          </w:p>
          <w:p w14:paraId="15132614" w14:textId="77777777" w:rsidR="007170C3" w:rsidRPr="008819AF" w:rsidRDefault="0002292A" w:rsidP="0021052F">
            <w:pPr>
              <w:ind w:left="72"/>
              <w:rPr>
                <w:rFonts w:eastAsia="a*i*l"/>
              </w:rPr>
            </w:pPr>
            <w:r w:rsidRPr="008819AF">
              <w:rPr>
                <w:rFonts w:eastAsia="a*i*l"/>
              </w:rPr>
              <w:t>dodržiavať emisné limity určené v povolení; ak emisné limity nie sú určené, dodržiavať emisné limity ustanovené vykonávacím predpisom podľa § 62 písm. f),</w:t>
            </w:r>
          </w:p>
          <w:p w14:paraId="15132615" w14:textId="77777777" w:rsidR="009A031E" w:rsidRPr="008819AF" w:rsidRDefault="009A031E" w:rsidP="009A031E">
            <w:pPr>
              <w:pStyle w:val="Hlavika"/>
              <w:ind w:left="72" w:hanging="1"/>
              <w:rPr>
                <w:rFonts w:ascii="Times New Roman" w:hAnsi="Times New Roman" w:cs="Times New Roman"/>
              </w:rPr>
            </w:pPr>
          </w:p>
          <w:p w14:paraId="15132616" w14:textId="77777777" w:rsidR="009A031E" w:rsidRPr="008819AF" w:rsidRDefault="009A031E" w:rsidP="009C63CF">
            <w:pPr>
              <w:numPr>
                <w:ilvl w:val="0"/>
                <w:numId w:val="77"/>
              </w:numPr>
              <w:jc w:val="both"/>
              <w:rPr>
                <w:rFonts w:eastAsia="Calibri"/>
                <w:noProof/>
              </w:rPr>
            </w:pPr>
            <w:r w:rsidRPr="008819AF">
              <w:rPr>
                <w:rFonts w:eastAsia="Calibri"/>
                <w:noProof/>
              </w:rPr>
              <w:t>Pre emisie zo zariadenia na spoluspaľovanie odpadov platia emisné limity</w:t>
            </w:r>
          </w:p>
          <w:p w14:paraId="15132617" w14:textId="77777777" w:rsidR="009A031E" w:rsidRPr="008819AF" w:rsidRDefault="009A031E" w:rsidP="009C63CF">
            <w:pPr>
              <w:numPr>
                <w:ilvl w:val="0"/>
                <w:numId w:val="78"/>
              </w:numPr>
              <w:ind w:left="0"/>
              <w:jc w:val="both"/>
              <w:rPr>
                <w:rFonts w:eastAsia="Calibri"/>
                <w:noProof/>
              </w:rPr>
            </w:pPr>
            <w:r w:rsidRPr="008819AF">
              <w:rPr>
                <w:rFonts w:eastAsia="Calibri"/>
                <w:noProof/>
              </w:rPr>
              <w:t>ustanovené pre vybrané zariadenia a znečisťujúce látky uvedené v prílohe č. 5 štvrtej časti,</w:t>
            </w:r>
          </w:p>
          <w:p w14:paraId="15132618" w14:textId="77777777" w:rsidR="009A031E" w:rsidRPr="008819AF" w:rsidRDefault="009A031E" w:rsidP="009C63CF">
            <w:pPr>
              <w:numPr>
                <w:ilvl w:val="0"/>
                <w:numId w:val="78"/>
              </w:numPr>
              <w:ind w:left="0"/>
              <w:jc w:val="both"/>
              <w:rPr>
                <w:rFonts w:eastAsia="Calibri"/>
                <w:noProof/>
              </w:rPr>
            </w:pPr>
            <w:r w:rsidRPr="008819AF">
              <w:rPr>
                <w:rFonts w:eastAsia="Calibri"/>
                <w:noProof/>
              </w:rPr>
              <w:t>určené podľa vzťahu, ktorý je uvedený v prílohe č. 5 štvrtej časti bode 1, ak pre danú znečisťujúcu látku nie je emisný limit ustanovený,</w:t>
            </w:r>
          </w:p>
          <w:p w14:paraId="15132619" w14:textId="77777777" w:rsidR="009A031E" w:rsidRPr="008819AF" w:rsidRDefault="009A031E" w:rsidP="009C63CF">
            <w:pPr>
              <w:numPr>
                <w:ilvl w:val="0"/>
                <w:numId w:val="78"/>
              </w:numPr>
              <w:ind w:left="0"/>
              <w:jc w:val="both"/>
              <w:rPr>
                <w:rFonts w:eastAsia="Calibri"/>
                <w:noProof/>
              </w:rPr>
            </w:pPr>
            <w:r w:rsidRPr="008819AF">
              <w:rPr>
                <w:rFonts w:eastAsia="Calibri"/>
                <w:noProof/>
              </w:rPr>
              <w:t>určené pre spaľovne odpadov podľa prílohy č. 5 tretej časti, ak sa v zariadení na spoluspaľovanie odpadov</w:t>
            </w:r>
          </w:p>
          <w:p w14:paraId="1513261A" w14:textId="77777777" w:rsidR="009A031E" w:rsidRPr="008819AF" w:rsidRDefault="009A031E" w:rsidP="009A031E">
            <w:pPr>
              <w:ind w:left="10" w:hanging="10"/>
              <w:jc w:val="both"/>
              <w:rPr>
                <w:rFonts w:eastAsia="Calibri"/>
                <w:noProof/>
              </w:rPr>
            </w:pPr>
            <w:r w:rsidRPr="008819AF">
              <w:rPr>
                <w:rFonts w:eastAsia="Calibri"/>
                <w:noProof/>
              </w:rPr>
              <w:t>1. získa viac ako 40 % tepla zo spaľovania nebezpečných odpadov</w:t>
            </w:r>
            <w:r w:rsidRPr="008819AF">
              <w:rPr>
                <w:rFonts w:eastAsia="Calibri"/>
                <w:noProof/>
                <w:vertAlign w:val="superscript"/>
              </w:rPr>
              <w:t>14</w:t>
            </w:r>
            <w:r w:rsidRPr="008819AF">
              <w:rPr>
                <w:rFonts w:eastAsia="Calibri"/>
                <w:noProof/>
              </w:rPr>
              <w:t>) alebo</w:t>
            </w:r>
          </w:p>
          <w:p w14:paraId="1513261B" w14:textId="77777777" w:rsidR="009A031E" w:rsidRPr="008819AF" w:rsidRDefault="009A031E" w:rsidP="009A031E">
            <w:pPr>
              <w:ind w:left="10" w:right="2025" w:hanging="10"/>
              <w:jc w:val="both"/>
              <w:rPr>
                <w:rFonts w:eastAsia="Calibri"/>
                <w:noProof/>
              </w:rPr>
            </w:pPr>
            <w:r w:rsidRPr="008819AF">
              <w:rPr>
                <w:rFonts w:eastAsia="Calibri"/>
                <w:noProof/>
              </w:rPr>
              <w:t>2. sa spaľuje neupravený zmesový komunálny odpad.</w:t>
            </w:r>
          </w:p>
          <w:p w14:paraId="1513261C" w14:textId="77777777" w:rsidR="009A031E" w:rsidRPr="008819AF" w:rsidRDefault="009A031E" w:rsidP="009A031E">
            <w:pPr>
              <w:pStyle w:val="Hlavika"/>
              <w:ind w:left="72" w:hanging="1"/>
              <w:rPr>
                <w:rFonts w:ascii="Times New Roman" w:hAnsi="Times New Roman" w:cs="Times New Roman"/>
              </w:rPr>
            </w:pPr>
          </w:p>
          <w:p w14:paraId="1513261D" w14:textId="77777777" w:rsidR="007170C3" w:rsidRPr="008819AF" w:rsidRDefault="009A031E" w:rsidP="009A031E">
            <w:pPr>
              <w:pStyle w:val="Hlavika"/>
              <w:ind w:left="72" w:hanging="1"/>
              <w:rPr>
                <w:rFonts w:ascii="Times New Roman" w:hAnsi="Times New Roman" w:cs="Times New Roman"/>
              </w:rPr>
            </w:pPr>
            <w:r w:rsidRPr="008819AF">
              <w:rPr>
                <w:rFonts w:ascii="Times New Roman" w:hAnsi="Times New Roman" w:cs="Times New Roman"/>
              </w:rPr>
              <w:t>14) § 2 ods. 1 zákona č. 79/2015 Z. z. o odpadoch a o zmene a doplnení niektorých zákonov v znení neskorších predpisov</w:t>
            </w:r>
            <w:r w:rsidR="00411D0A" w:rsidRPr="008819AF">
              <w:rPr>
                <w:rFonts w:ascii="Times New Roman" w:hAnsi="Times New Roman" w:cs="Times New Roman"/>
              </w:rPr>
              <w:t>.</w:t>
            </w:r>
          </w:p>
        </w:tc>
        <w:tc>
          <w:tcPr>
            <w:tcW w:w="429" w:type="dxa"/>
            <w:tcBorders>
              <w:top w:val="single" w:sz="4" w:space="0" w:color="000000"/>
              <w:left w:val="single" w:sz="6" w:space="0" w:color="000000"/>
              <w:bottom w:val="single" w:sz="4" w:space="0" w:color="000000"/>
              <w:right w:val="single" w:sz="6" w:space="0" w:color="000000"/>
            </w:tcBorders>
          </w:tcPr>
          <w:p w14:paraId="1513261E" w14:textId="77777777" w:rsidR="007170C3" w:rsidRPr="008819AF" w:rsidRDefault="006F0418" w:rsidP="0021052F">
            <w:pPr>
              <w:ind w:left="215" w:hanging="215"/>
              <w:rPr>
                <w:rFonts w:eastAsia="Arial"/>
                <w:lang w:bidi="cs-CZ"/>
              </w:rPr>
            </w:pPr>
            <w:r w:rsidRPr="008819AF">
              <w:rPr>
                <w:rFonts w:eastAsia="Arial"/>
                <w:lang w:bidi="cs-CZ"/>
              </w:rPr>
              <w:lastRenderedPageBreak/>
              <w:t>Ú</w:t>
            </w:r>
          </w:p>
          <w:p w14:paraId="1513261F" w14:textId="77777777" w:rsidR="007170C3" w:rsidRPr="008819AF" w:rsidRDefault="007170C3" w:rsidP="0021052F">
            <w:pPr>
              <w:ind w:left="215" w:hanging="215"/>
              <w:rPr>
                <w:rFonts w:eastAsia="Arial"/>
                <w:lang w:bidi="cs-CZ"/>
              </w:rPr>
            </w:pPr>
          </w:p>
          <w:p w14:paraId="15132620" w14:textId="77777777" w:rsidR="007170C3" w:rsidRPr="008819AF" w:rsidRDefault="007170C3" w:rsidP="0021052F">
            <w:pPr>
              <w:ind w:left="215" w:hanging="215"/>
              <w:rPr>
                <w:rFonts w:eastAsia="Arial"/>
                <w:lang w:bidi="cs-CZ"/>
              </w:rPr>
            </w:pPr>
          </w:p>
          <w:p w14:paraId="15132621" w14:textId="77777777" w:rsidR="007170C3" w:rsidRPr="008819AF" w:rsidRDefault="007170C3" w:rsidP="0021052F">
            <w:pPr>
              <w:ind w:left="215" w:hanging="215"/>
              <w:rPr>
                <w:rFonts w:eastAsia="Arial"/>
                <w:lang w:bidi="cs-CZ"/>
              </w:rPr>
            </w:pPr>
          </w:p>
          <w:p w14:paraId="15132622" w14:textId="77777777" w:rsidR="007170C3" w:rsidRPr="008819AF" w:rsidRDefault="007170C3" w:rsidP="0021052F">
            <w:pPr>
              <w:ind w:left="215" w:hanging="215"/>
              <w:rPr>
                <w:rFonts w:eastAsia="Arial"/>
                <w:lang w:bidi="cs-CZ"/>
              </w:rPr>
            </w:pPr>
          </w:p>
          <w:p w14:paraId="15132623" w14:textId="77777777" w:rsidR="007170C3" w:rsidRPr="008819AF" w:rsidRDefault="007170C3" w:rsidP="0021052F">
            <w:pPr>
              <w:ind w:left="215" w:hanging="215"/>
              <w:rPr>
                <w:rFonts w:eastAsia="Arial"/>
                <w:lang w:bidi="cs-CZ"/>
              </w:rPr>
            </w:pPr>
          </w:p>
          <w:p w14:paraId="15132624" w14:textId="77777777" w:rsidR="007170C3" w:rsidRPr="008819AF" w:rsidRDefault="007170C3" w:rsidP="0021052F">
            <w:pPr>
              <w:ind w:left="215" w:hanging="215"/>
              <w:rPr>
                <w:rFonts w:eastAsia="Arial"/>
                <w:lang w:bidi="cs-CZ"/>
              </w:rPr>
            </w:pPr>
          </w:p>
          <w:p w14:paraId="15132625" w14:textId="77777777" w:rsidR="007170C3" w:rsidRPr="008819AF" w:rsidRDefault="007170C3" w:rsidP="0021052F">
            <w:pPr>
              <w:ind w:left="215" w:hanging="215"/>
              <w:rPr>
                <w:rFonts w:eastAsia="Arial"/>
                <w:lang w:bidi="cs-CZ"/>
              </w:rPr>
            </w:pPr>
          </w:p>
          <w:p w14:paraId="15132626" w14:textId="77777777" w:rsidR="007170C3" w:rsidRPr="008819AF" w:rsidRDefault="007170C3" w:rsidP="0021052F">
            <w:pPr>
              <w:ind w:left="215" w:hanging="215"/>
              <w:rPr>
                <w:rFonts w:eastAsia="Arial"/>
                <w:lang w:bidi="cs-CZ"/>
              </w:rPr>
            </w:pPr>
          </w:p>
          <w:p w14:paraId="15132627" w14:textId="77777777" w:rsidR="007170C3" w:rsidRPr="008819AF" w:rsidRDefault="007170C3" w:rsidP="0021052F">
            <w:pPr>
              <w:ind w:left="215" w:hanging="215"/>
              <w:rPr>
                <w:rFonts w:eastAsia="Arial"/>
                <w:lang w:bidi="cs-CZ"/>
              </w:rPr>
            </w:pPr>
          </w:p>
          <w:p w14:paraId="15132628" w14:textId="77777777" w:rsidR="007170C3" w:rsidRPr="008819AF" w:rsidRDefault="007170C3" w:rsidP="0021052F">
            <w:pPr>
              <w:ind w:left="215" w:hanging="215"/>
              <w:rPr>
                <w:rFonts w:eastAsia="Arial"/>
                <w:lang w:bidi="cs-CZ"/>
              </w:rPr>
            </w:pPr>
          </w:p>
          <w:p w14:paraId="15132629" w14:textId="77777777" w:rsidR="007170C3" w:rsidRPr="008819AF" w:rsidRDefault="007170C3" w:rsidP="0021052F">
            <w:pPr>
              <w:ind w:left="215" w:hanging="215"/>
              <w:rPr>
                <w:rFonts w:eastAsia="Arial"/>
                <w:lang w:bidi="cs-CZ"/>
              </w:rPr>
            </w:pPr>
          </w:p>
          <w:p w14:paraId="1513262A" w14:textId="77777777" w:rsidR="007170C3" w:rsidRPr="008819AF" w:rsidRDefault="007170C3" w:rsidP="0021052F">
            <w:pPr>
              <w:ind w:left="215" w:hanging="215"/>
              <w:rPr>
                <w:rFonts w:eastAsia="Arial"/>
                <w:lang w:bidi="cs-CZ"/>
              </w:rPr>
            </w:pPr>
          </w:p>
          <w:p w14:paraId="1513262B" w14:textId="77777777" w:rsidR="007170C3" w:rsidRPr="008819AF" w:rsidRDefault="007170C3" w:rsidP="0021052F">
            <w:pPr>
              <w:ind w:left="215" w:hanging="215"/>
              <w:rPr>
                <w:rFonts w:eastAsia="Arial"/>
                <w:lang w:bidi="cs-CZ"/>
              </w:rPr>
            </w:pPr>
          </w:p>
          <w:p w14:paraId="1513262C" w14:textId="77777777" w:rsidR="007170C3" w:rsidRPr="008819AF" w:rsidRDefault="007170C3" w:rsidP="0021052F">
            <w:pPr>
              <w:ind w:left="215" w:hanging="215"/>
              <w:rPr>
                <w:rFonts w:eastAsia="Arial"/>
                <w:lang w:bidi="cs-CZ"/>
              </w:rPr>
            </w:pPr>
          </w:p>
          <w:p w14:paraId="1513262D" w14:textId="77777777" w:rsidR="007170C3" w:rsidRPr="008819AF" w:rsidRDefault="006F0418" w:rsidP="0021052F">
            <w:pPr>
              <w:ind w:left="215" w:hanging="215"/>
              <w:rPr>
                <w:rFonts w:eastAsia="Arial"/>
                <w:lang w:bidi="cs-CZ"/>
              </w:rPr>
            </w:pPr>
            <w:r w:rsidRPr="008819AF">
              <w:rPr>
                <w:rFonts w:eastAsia="Arial"/>
                <w:lang w:bidi="cs-CZ"/>
              </w:rPr>
              <w:t>Ú</w:t>
            </w:r>
          </w:p>
          <w:p w14:paraId="1513262E" w14:textId="77777777" w:rsidR="007170C3" w:rsidRPr="008819AF" w:rsidRDefault="007170C3" w:rsidP="0021052F">
            <w:pPr>
              <w:ind w:left="215" w:hanging="215"/>
              <w:rPr>
                <w:rFonts w:eastAsia="Arial"/>
                <w:lang w:bidi="cs-CZ"/>
              </w:rPr>
            </w:pPr>
          </w:p>
          <w:p w14:paraId="1513262F" w14:textId="77777777" w:rsidR="007170C3" w:rsidRPr="008819AF" w:rsidRDefault="007170C3" w:rsidP="0021052F">
            <w:pPr>
              <w:ind w:left="215" w:hanging="215"/>
              <w:rPr>
                <w:rFonts w:eastAsia="Arial"/>
                <w:lang w:bidi="cs-CZ"/>
              </w:rPr>
            </w:pPr>
          </w:p>
          <w:p w14:paraId="15132630"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631" w14:textId="77777777" w:rsidR="007170C3" w:rsidRPr="008819AF" w:rsidRDefault="007170C3" w:rsidP="0021052F">
            <w:pPr>
              <w:ind w:left="215" w:hanging="215"/>
              <w:rPr>
                <w:rFonts w:eastAsia="Arial"/>
                <w:lang w:bidi="cs-CZ"/>
              </w:rPr>
            </w:pPr>
          </w:p>
        </w:tc>
      </w:tr>
      <w:tr w:rsidR="00F80158" w:rsidRPr="008819AF" w14:paraId="1513263F" w14:textId="77777777" w:rsidTr="003E351D">
        <w:trPr>
          <w:trHeight w:val="1219"/>
          <w:jc w:val="center"/>
        </w:trPr>
        <w:tc>
          <w:tcPr>
            <w:tcW w:w="483" w:type="dxa"/>
            <w:tcBorders>
              <w:top w:val="single" w:sz="4" w:space="0" w:color="000000"/>
              <w:left w:val="single" w:sz="6" w:space="0" w:color="000000"/>
              <w:bottom w:val="single" w:sz="4" w:space="0" w:color="000000"/>
              <w:right w:val="single" w:sz="6" w:space="0" w:color="000000"/>
            </w:tcBorders>
          </w:tcPr>
          <w:p w14:paraId="15132633"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2634" w14:textId="77777777" w:rsidR="007170C3" w:rsidRPr="008819AF" w:rsidRDefault="006F0418" w:rsidP="0021052F">
            <w:pPr>
              <w:pStyle w:val="Default"/>
              <w:ind w:left="214" w:hanging="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 Vypúšťanie odpadových vôd vznikajúcich pri čistení odpadových plynov do vodného prostredia musí byť v najväčšej možnej miere obmedzené a koncentrácie znečisťujúcich látok nesmú prekročiť emisné limity stanovené v prílohe VI časť 5.</w:t>
            </w:r>
          </w:p>
          <w:p w14:paraId="15132635" w14:textId="77777777" w:rsidR="007170C3" w:rsidRPr="008819AF" w:rsidRDefault="006F0418" w:rsidP="0021052F">
            <w:pPr>
              <w:ind w:left="215" w:hanging="215"/>
              <w:rPr>
                <w:rFonts w:eastAsia="Arial"/>
              </w:rPr>
            </w:pPr>
            <w:r w:rsidRPr="008819AF">
              <w:rPr>
                <w:rFonts w:eastAsia="Arial"/>
              </w:rPr>
              <w:t>4. Emisné limity platia v mieste, kde sa odpadové vody vznikajúce pri čistení odpadových plynov vypúšťajú zo spaľovne odpadov alebo zariadenia na spoluspaľovanie odpadov.</w:t>
            </w:r>
          </w:p>
          <w:p w14:paraId="15132636" w14:textId="77777777" w:rsidR="007170C3" w:rsidRPr="008819AF" w:rsidRDefault="006F0418" w:rsidP="0021052F">
            <w:pPr>
              <w:ind w:left="215" w:hanging="1"/>
              <w:rPr>
                <w:rFonts w:eastAsia="Arial"/>
              </w:rPr>
            </w:pPr>
            <w:r w:rsidRPr="008819AF">
              <w:rPr>
                <w:rFonts w:eastAsia="Arial"/>
              </w:rPr>
              <w:t>Keď sa odpadové vody z čistenia odpadových plynov čistia mimo spaľovne odpadov alebo zariadenia na spoluspaľovanie odpadov v čistiarni odpadových vôd určenej iba na čistenie tohto druhu odpadových vôd, emisné limity stanovené v prílohe VI časti 5 sa uplatňujú v mieste, kde sa odpadové vody vypúšťajú z čistiarne odpadových vôd. V prípade, že sa odpadové vody z čistenia odpadových plynov čistia spoločne s odpadovými vodami z iných zdrojov, a to buď v areáli, alebo mimo areálu, musí prevádzkovateľ vykonávať príslušné výpočty hmotnostných bilancií na základe výsledkov meraní stanovených v prílohe VI časti 6 bode 3, a to s cieľom určovať úrovne znečistenia v miestach konečného vypúšťania odpadových vôd, vznikajúcich pri čistení odpadových plynov.</w:t>
            </w:r>
          </w:p>
          <w:p w14:paraId="15132637" w14:textId="77777777" w:rsidR="007170C3" w:rsidRPr="008819AF" w:rsidRDefault="006F0418" w:rsidP="0021052F">
            <w:pPr>
              <w:ind w:left="215" w:hanging="1"/>
              <w:rPr>
                <w:rFonts w:eastAsia="Arial"/>
              </w:rPr>
            </w:pPr>
            <w:r w:rsidRPr="008819AF">
              <w:rPr>
                <w:rFonts w:eastAsia="Arial"/>
              </w:rPr>
              <w:t>Odpadové vody sa za žiadnych okolností nesmú riediť kvôli dodržaniu emisných limitov stanovených v prílohe VI časť 5. 5. Areály spaľovní odpadov alebo zariadení na spoluspaľovanie odpadov vrátane súvisiacich priestorov pre skladovanie odpadov musia byť navrhnuté a prevádzkované takým spôsobom, aby sa zabránilo nepovolenému a náhodnému úniku akýchkoľvek znečisťujúcich látok do pôdy, povrchových a podzemných vôd.</w:t>
            </w:r>
          </w:p>
          <w:p w14:paraId="15132638" w14:textId="77777777" w:rsidR="007170C3" w:rsidRPr="008819AF" w:rsidRDefault="006F0418" w:rsidP="0021052F">
            <w:pPr>
              <w:ind w:left="215" w:hanging="1"/>
              <w:rPr>
                <w:rFonts w:eastAsia="Arial"/>
              </w:rPr>
            </w:pPr>
            <w:r w:rsidRPr="008819AF">
              <w:rPr>
                <w:rFonts w:eastAsia="Arial"/>
              </w:rPr>
              <w:t>Musí byť zabezpečená skladovacia kapacita pre znečistenú zrážkovú vodu odtekajúcu z areálu spaľovne odpadov alebo zariadenia na spoluspaľovanie odpadov alebo pre znečistenú vodu vznikajúcu pri rozliatí kvapalín alebo pri hasení požiarov. Táto skladovacia kapacita musí byť dostatočná na to, aby bolo zabezpečené, že tieto vody bude možné v prípade potreby pred vypustením testovať a vyčistiť.</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639" w14:textId="77777777" w:rsidR="007170C3" w:rsidRPr="008819AF" w:rsidRDefault="007170C3"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63A" w14:textId="77777777" w:rsidR="007170C3" w:rsidRPr="008819AF" w:rsidRDefault="007170C3"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63B" w14:textId="77777777" w:rsidR="007170C3" w:rsidRPr="008819AF" w:rsidRDefault="007170C3" w:rsidP="0021052F">
            <w:pPr>
              <w:pStyle w:val="Textpsmene"/>
              <w:ind w:left="72"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63C" w14:textId="77777777" w:rsidR="007170C3" w:rsidRPr="008819AF" w:rsidRDefault="007170C3" w:rsidP="0021052F">
            <w:pPr>
              <w:ind w:left="72"/>
              <w:rPr>
                <w:rFonts w:eastAsia="Arial"/>
                <w:lang w:bidi="en-US"/>
              </w:rPr>
            </w:pPr>
          </w:p>
        </w:tc>
        <w:tc>
          <w:tcPr>
            <w:tcW w:w="429" w:type="dxa"/>
            <w:tcBorders>
              <w:top w:val="single" w:sz="4" w:space="0" w:color="000000"/>
              <w:left w:val="single" w:sz="6" w:space="0" w:color="000000"/>
              <w:bottom w:val="single" w:sz="4" w:space="0" w:color="000000"/>
              <w:right w:val="single" w:sz="6" w:space="0" w:color="000000"/>
            </w:tcBorders>
          </w:tcPr>
          <w:p w14:paraId="1513263D"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63E" w14:textId="77777777" w:rsidR="007170C3" w:rsidRPr="008819AF" w:rsidRDefault="007170C3" w:rsidP="0021052F">
            <w:pPr>
              <w:ind w:left="215" w:hanging="215"/>
              <w:rPr>
                <w:rFonts w:eastAsia="Arial"/>
                <w:lang w:bidi="cs-CZ"/>
              </w:rPr>
            </w:pPr>
          </w:p>
        </w:tc>
      </w:tr>
      <w:tr w:rsidR="00F80158" w:rsidRPr="008819AF" w14:paraId="15132675" w14:textId="77777777" w:rsidTr="003E351D">
        <w:trPr>
          <w:trHeight w:val="1219"/>
          <w:jc w:val="center"/>
        </w:trPr>
        <w:tc>
          <w:tcPr>
            <w:tcW w:w="483" w:type="dxa"/>
            <w:tcBorders>
              <w:top w:val="single" w:sz="4" w:space="0" w:color="000000"/>
              <w:left w:val="single" w:sz="6" w:space="0" w:color="000000"/>
              <w:bottom w:val="single" w:sz="4" w:space="0" w:color="000000"/>
              <w:right w:val="single" w:sz="6" w:space="0" w:color="000000"/>
            </w:tcBorders>
          </w:tcPr>
          <w:p w14:paraId="15132640"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2641" w14:textId="77777777" w:rsidR="007170C3" w:rsidRPr="008819AF" w:rsidRDefault="006F0418" w:rsidP="0021052F">
            <w:pPr>
              <w:ind w:left="215" w:hanging="215"/>
              <w:rPr>
                <w:rFonts w:eastAsia="Arial"/>
              </w:rPr>
            </w:pPr>
            <w:r w:rsidRPr="008819AF">
              <w:rPr>
                <w:rFonts w:eastAsia="Arial"/>
              </w:rPr>
              <w:t>6. Bez toho, aby bol dotknutý článok 50 ods. 4 písm. c), pri prekročení emisných limitov nesmie spaľovňa odpadov alebo zariadenie na spoluspaľovanie odpadov alebo jednotlivé pece, ktoré sú súčasťou spaľovne odpadov alebo zariadenia na spoluspaľovanie odpadov, za žiadnych okolností pokračovať v spaľovaní odpadov dlhší čas ako štyri hodiny bez prerušenia.</w:t>
            </w:r>
          </w:p>
          <w:p w14:paraId="15132642" w14:textId="77777777" w:rsidR="007170C3" w:rsidRPr="008819AF" w:rsidRDefault="006F0418" w:rsidP="0021052F">
            <w:pPr>
              <w:ind w:left="215" w:hanging="1"/>
              <w:rPr>
                <w:rFonts w:eastAsia="Arial"/>
              </w:rPr>
            </w:pPr>
            <w:r w:rsidRPr="008819AF">
              <w:rPr>
                <w:rFonts w:eastAsia="Arial"/>
              </w:rPr>
              <w:t>Kumulatívny čas trvania prevádzkovaní v takýchto podmienkach nesmie prekročiť 60 hodín za rok.</w:t>
            </w:r>
          </w:p>
          <w:p w14:paraId="15132643" w14:textId="77777777" w:rsidR="007170C3" w:rsidRPr="008819AF" w:rsidRDefault="006F0418" w:rsidP="0021052F">
            <w:pPr>
              <w:ind w:left="215" w:hanging="215"/>
              <w:rPr>
                <w:rFonts w:eastAsia="Arial"/>
              </w:rPr>
            </w:pPr>
            <w:r w:rsidRPr="008819AF">
              <w:rPr>
                <w:rFonts w:eastAsia="Arial"/>
              </w:rPr>
              <w:t>Časové obmedzenie stanovené v druhom pododseku sa uplatňuje na tie pece, ktoré sú pripojené k jednému čistiacemu zariadeniu odpadových plynov.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644" w14:textId="77777777" w:rsidR="007170C3" w:rsidRPr="008819AF" w:rsidRDefault="006F0418" w:rsidP="0021052F">
            <w:pPr>
              <w:ind w:left="215" w:hanging="215"/>
              <w:jc w:val="center"/>
              <w:rPr>
                <w:rFonts w:eastAsia="Arial"/>
                <w:lang w:bidi="cs-CZ"/>
              </w:rPr>
            </w:pPr>
            <w:r w:rsidRPr="008819AF">
              <w:rPr>
                <w:rFonts w:eastAsia="Arial"/>
                <w:lang w:bidi="cs-CZ"/>
              </w:rPr>
              <w:t>N</w:t>
            </w:r>
          </w:p>
          <w:p w14:paraId="15132645" w14:textId="77777777" w:rsidR="00F07564" w:rsidRPr="008819AF" w:rsidRDefault="00F07564" w:rsidP="0021052F">
            <w:pPr>
              <w:ind w:left="215" w:hanging="215"/>
              <w:jc w:val="center"/>
              <w:rPr>
                <w:rFonts w:eastAsia="Arial"/>
                <w:lang w:bidi="cs-CZ"/>
              </w:rPr>
            </w:pPr>
          </w:p>
          <w:p w14:paraId="15132646" w14:textId="77777777" w:rsidR="00F07564" w:rsidRPr="008819AF" w:rsidRDefault="00F07564" w:rsidP="0021052F">
            <w:pPr>
              <w:ind w:left="215" w:hanging="215"/>
              <w:jc w:val="center"/>
              <w:rPr>
                <w:rFonts w:eastAsia="Arial"/>
                <w:lang w:bidi="cs-CZ"/>
              </w:rPr>
            </w:pPr>
          </w:p>
          <w:p w14:paraId="15132647" w14:textId="77777777" w:rsidR="00F07564" w:rsidRPr="008819AF" w:rsidRDefault="00F07564" w:rsidP="0021052F">
            <w:pPr>
              <w:ind w:left="215" w:hanging="215"/>
              <w:jc w:val="center"/>
              <w:rPr>
                <w:rFonts w:eastAsia="Arial"/>
                <w:lang w:bidi="cs-CZ"/>
              </w:rPr>
            </w:pPr>
          </w:p>
          <w:p w14:paraId="15132648" w14:textId="77777777" w:rsidR="00F07564" w:rsidRPr="008819AF" w:rsidRDefault="00F07564" w:rsidP="0021052F">
            <w:pPr>
              <w:ind w:left="215" w:hanging="215"/>
              <w:jc w:val="center"/>
              <w:rPr>
                <w:rFonts w:eastAsia="Arial"/>
                <w:lang w:bidi="cs-CZ"/>
              </w:rPr>
            </w:pPr>
          </w:p>
          <w:p w14:paraId="15132649" w14:textId="77777777" w:rsidR="00F07564" w:rsidRPr="008819AF" w:rsidRDefault="00F07564" w:rsidP="0021052F">
            <w:pPr>
              <w:ind w:left="215" w:hanging="215"/>
              <w:jc w:val="center"/>
              <w:rPr>
                <w:rFonts w:eastAsia="Arial"/>
                <w:lang w:bidi="cs-CZ"/>
              </w:rPr>
            </w:pPr>
          </w:p>
          <w:p w14:paraId="1513264A" w14:textId="77777777" w:rsidR="00F07564" w:rsidRPr="008819AF" w:rsidRDefault="00F07564" w:rsidP="0021052F">
            <w:pPr>
              <w:ind w:left="215" w:hanging="215"/>
              <w:jc w:val="center"/>
              <w:rPr>
                <w:rFonts w:eastAsia="Arial"/>
                <w:lang w:bidi="cs-CZ"/>
              </w:rPr>
            </w:pPr>
          </w:p>
          <w:p w14:paraId="1513264B" w14:textId="77777777" w:rsidR="00F07564" w:rsidRPr="008819AF" w:rsidRDefault="00F07564" w:rsidP="0021052F">
            <w:pPr>
              <w:ind w:left="215" w:hanging="215"/>
              <w:jc w:val="center"/>
              <w:rPr>
                <w:rFonts w:eastAsia="Arial"/>
                <w:lang w:bidi="cs-CZ"/>
              </w:rPr>
            </w:pPr>
          </w:p>
          <w:p w14:paraId="1513264C" w14:textId="77777777" w:rsidR="00F07564" w:rsidRPr="008819AF" w:rsidRDefault="00F07564" w:rsidP="0021052F">
            <w:pPr>
              <w:ind w:left="215" w:hanging="215"/>
              <w:jc w:val="center"/>
              <w:rPr>
                <w:rFonts w:eastAsia="Arial"/>
                <w:lang w:bidi="cs-CZ"/>
              </w:rPr>
            </w:pPr>
          </w:p>
          <w:p w14:paraId="1513264D" w14:textId="77777777" w:rsidR="00F07564" w:rsidRPr="008819AF" w:rsidRDefault="00F07564" w:rsidP="0021052F">
            <w:pPr>
              <w:ind w:left="215" w:hanging="215"/>
              <w:jc w:val="center"/>
              <w:rPr>
                <w:rFonts w:eastAsia="Arial"/>
                <w:lang w:bidi="cs-CZ"/>
              </w:rPr>
            </w:pPr>
          </w:p>
          <w:p w14:paraId="1513264E" w14:textId="77777777" w:rsidR="00F07564" w:rsidRPr="008819AF" w:rsidRDefault="00F07564" w:rsidP="0021052F">
            <w:pPr>
              <w:ind w:left="215" w:hanging="215"/>
              <w:jc w:val="center"/>
              <w:rPr>
                <w:rFonts w:eastAsia="Arial"/>
                <w:lang w:bidi="cs-CZ"/>
              </w:rPr>
            </w:pPr>
          </w:p>
          <w:p w14:paraId="1513264F" w14:textId="77777777" w:rsidR="00F07564" w:rsidRPr="008819AF" w:rsidRDefault="00F07564" w:rsidP="0021052F">
            <w:pPr>
              <w:ind w:left="215" w:hanging="215"/>
              <w:jc w:val="center"/>
              <w:rPr>
                <w:rFonts w:eastAsia="Arial"/>
                <w:lang w:bidi="cs-CZ"/>
              </w:rPr>
            </w:pPr>
          </w:p>
          <w:p w14:paraId="15132650" w14:textId="77777777" w:rsidR="00F07564" w:rsidRPr="008819AF" w:rsidRDefault="00F07564" w:rsidP="0021052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651" w14:textId="77777777" w:rsidR="007170C3" w:rsidRPr="008819AF" w:rsidRDefault="00A32C9B" w:rsidP="0021052F">
            <w:pPr>
              <w:jc w:val="center"/>
              <w:rPr>
                <w:rFonts w:eastAsia="Arial"/>
                <w:lang w:bidi="cs-CZ"/>
              </w:rPr>
            </w:pPr>
            <w:r w:rsidRPr="008819AF">
              <w:rPr>
                <w:rFonts w:eastAsia="Arial"/>
                <w:lang w:bidi="cs-CZ"/>
              </w:rPr>
              <w:t>NZ</w:t>
            </w:r>
          </w:p>
          <w:p w14:paraId="15132652" w14:textId="77777777" w:rsidR="007170C3" w:rsidRPr="008819AF" w:rsidRDefault="007170C3" w:rsidP="0021052F">
            <w:pPr>
              <w:ind w:left="215" w:hanging="215"/>
              <w:jc w:val="center"/>
              <w:rPr>
                <w:rFonts w:eastAsia="Arial"/>
                <w:lang w:bidi="cs-CZ"/>
              </w:rPr>
            </w:pPr>
          </w:p>
          <w:p w14:paraId="15132653" w14:textId="77777777" w:rsidR="007170C3" w:rsidRPr="008819AF" w:rsidRDefault="007170C3" w:rsidP="0021052F">
            <w:pPr>
              <w:ind w:left="215" w:hanging="215"/>
              <w:jc w:val="center"/>
              <w:rPr>
                <w:rFonts w:eastAsia="Arial"/>
                <w:lang w:bidi="cs-CZ"/>
              </w:rPr>
            </w:pPr>
          </w:p>
          <w:p w14:paraId="15132654" w14:textId="77777777" w:rsidR="007170C3" w:rsidRPr="008819AF" w:rsidRDefault="007170C3" w:rsidP="0021052F">
            <w:pPr>
              <w:ind w:left="215" w:hanging="215"/>
              <w:jc w:val="center"/>
              <w:rPr>
                <w:rFonts w:eastAsia="Arial"/>
                <w:lang w:bidi="cs-CZ"/>
              </w:rPr>
            </w:pPr>
          </w:p>
          <w:p w14:paraId="15132655" w14:textId="77777777" w:rsidR="007170C3" w:rsidRPr="008819AF" w:rsidRDefault="007170C3" w:rsidP="0021052F">
            <w:pPr>
              <w:ind w:left="215" w:hanging="215"/>
              <w:jc w:val="center"/>
              <w:rPr>
                <w:rFonts w:eastAsia="Arial"/>
                <w:lang w:bidi="cs-CZ"/>
              </w:rPr>
            </w:pPr>
          </w:p>
          <w:p w14:paraId="15132656" w14:textId="77777777" w:rsidR="007170C3" w:rsidRPr="008819AF" w:rsidRDefault="007170C3" w:rsidP="0021052F">
            <w:pPr>
              <w:ind w:left="215" w:hanging="215"/>
              <w:jc w:val="center"/>
              <w:rPr>
                <w:rFonts w:eastAsia="Arial"/>
                <w:lang w:bidi="cs-CZ"/>
              </w:rPr>
            </w:pPr>
          </w:p>
          <w:p w14:paraId="15132657" w14:textId="77777777" w:rsidR="007170C3" w:rsidRPr="008819AF" w:rsidRDefault="007170C3" w:rsidP="0021052F">
            <w:pPr>
              <w:ind w:left="215" w:hanging="215"/>
              <w:jc w:val="center"/>
              <w:rPr>
                <w:rFonts w:eastAsia="Arial"/>
                <w:lang w:bidi="cs-CZ"/>
              </w:rPr>
            </w:pPr>
          </w:p>
          <w:p w14:paraId="15132658" w14:textId="77777777" w:rsidR="007170C3" w:rsidRPr="008819AF" w:rsidRDefault="007170C3" w:rsidP="0021052F">
            <w:pPr>
              <w:ind w:left="215" w:hanging="215"/>
              <w:jc w:val="center"/>
              <w:rPr>
                <w:rFonts w:eastAsia="Arial"/>
                <w:lang w:bidi="cs-CZ"/>
              </w:rPr>
            </w:pPr>
          </w:p>
          <w:p w14:paraId="15132659" w14:textId="77777777" w:rsidR="007170C3" w:rsidRPr="008819AF" w:rsidRDefault="007170C3" w:rsidP="0021052F">
            <w:pPr>
              <w:ind w:left="215" w:hanging="215"/>
              <w:jc w:val="center"/>
              <w:rPr>
                <w:rFonts w:eastAsia="Arial"/>
                <w:lang w:bidi="cs-CZ"/>
              </w:rPr>
            </w:pPr>
          </w:p>
          <w:p w14:paraId="1513265A" w14:textId="77777777" w:rsidR="007170C3" w:rsidRPr="008819AF" w:rsidRDefault="007170C3" w:rsidP="0021052F">
            <w:pPr>
              <w:ind w:left="215" w:hanging="215"/>
              <w:jc w:val="center"/>
              <w:rPr>
                <w:rFonts w:eastAsia="Arial"/>
                <w:lang w:bidi="cs-CZ"/>
              </w:rPr>
            </w:pPr>
          </w:p>
          <w:p w14:paraId="1513265B" w14:textId="77777777" w:rsidR="007170C3" w:rsidRPr="008819AF" w:rsidRDefault="007170C3" w:rsidP="0021052F">
            <w:pPr>
              <w:ind w:left="215" w:hanging="215"/>
              <w:jc w:val="center"/>
              <w:rPr>
                <w:rFonts w:eastAsia="Arial"/>
                <w:lang w:bidi="cs-CZ"/>
              </w:rPr>
            </w:pPr>
          </w:p>
          <w:p w14:paraId="1513265C" w14:textId="77777777" w:rsidR="00F07564" w:rsidRPr="008819AF" w:rsidRDefault="00F07564" w:rsidP="0021052F">
            <w:pPr>
              <w:ind w:left="215" w:hanging="215"/>
              <w:jc w:val="center"/>
              <w:rPr>
                <w:rFonts w:eastAsia="Arial"/>
                <w:lang w:bidi="cs-CZ"/>
              </w:rPr>
            </w:pPr>
          </w:p>
          <w:p w14:paraId="1513265D" w14:textId="77777777" w:rsidR="007170C3" w:rsidRPr="008819AF" w:rsidRDefault="006F0418" w:rsidP="0021052F">
            <w:pPr>
              <w:ind w:left="215" w:hanging="215"/>
              <w:jc w:val="center"/>
              <w:rPr>
                <w:rFonts w:eastAsia="Arial"/>
                <w:lang w:bidi="cs-CZ"/>
              </w:rPr>
            </w:pPr>
            <w:r w:rsidRPr="008819AF">
              <w:rPr>
                <w:rFonts w:eastAsia="Arial"/>
                <w:lang w:bidi="cs-CZ"/>
              </w:rPr>
              <w:t>NV2</w:t>
            </w:r>
          </w:p>
          <w:p w14:paraId="1513265E" w14:textId="77777777" w:rsidR="007170C3" w:rsidRPr="008819AF" w:rsidRDefault="007170C3"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65F" w14:textId="77777777" w:rsidR="004E322D" w:rsidRPr="008819AF" w:rsidRDefault="006F0418" w:rsidP="00A50B3A">
            <w:pPr>
              <w:tabs>
                <w:tab w:val="left" w:pos="360"/>
                <w:tab w:val="left" w:pos="643"/>
              </w:tabs>
              <w:ind w:left="-3"/>
              <w:jc w:val="center"/>
              <w:rPr>
                <w:rFonts w:eastAsia="a*i*l"/>
              </w:rPr>
            </w:pPr>
            <w:r w:rsidRPr="008819AF">
              <w:rPr>
                <w:rFonts w:eastAsia="a*i*l"/>
              </w:rPr>
              <w:t>§ 34 O</w:t>
            </w:r>
            <w:r w:rsidR="004E322D" w:rsidRPr="008819AF">
              <w:rPr>
                <w:rFonts w:eastAsia="a*i*l"/>
              </w:rPr>
              <w:t> </w:t>
            </w:r>
            <w:r w:rsidRPr="008819AF">
              <w:rPr>
                <w:rFonts w:eastAsia="a*i*l"/>
              </w:rPr>
              <w:t>10</w:t>
            </w:r>
          </w:p>
          <w:p w14:paraId="15132660" w14:textId="77777777" w:rsidR="007170C3" w:rsidRPr="008819AF" w:rsidRDefault="004E322D" w:rsidP="0021052F">
            <w:pPr>
              <w:tabs>
                <w:tab w:val="left" w:pos="360"/>
                <w:tab w:val="left" w:pos="643"/>
              </w:tabs>
              <w:ind w:left="72"/>
              <w:jc w:val="center"/>
              <w:rPr>
                <w:rFonts w:eastAsia="a*i*l"/>
              </w:rPr>
            </w:pPr>
            <w:r w:rsidRPr="008819AF">
              <w:rPr>
                <w:rFonts w:eastAsia="a*i*l"/>
              </w:rPr>
              <w:t>P a)</w:t>
            </w:r>
          </w:p>
          <w:p w14:paraId="15132661"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62"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63"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64"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65"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66"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67"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68"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669" w14:textId="77777777" w:rsidR="00F07564" w:rsidRPr="008819AF" w:rsidRDefault="00F07564" w:rsidP="0021052F">
            <w:pPr>
              <w:pStyle w:val="Textpsmene"/>
              <w:ind w:left="72" w:firstLine="0"/>
              <w:jc w:val="center"/>
              <w:rPr>
                <w:rFonts w:ascii="Times New Roman" w:hAnsi="Times New Roman" w:cs="Times New Roman"/>
                <w:sz w:val="20"/>
                <w:szCs w:val="20"/>
              </w:rPr>
            </w:pPr>
          </w:p>
          <w:p w14:paraId="1513266A" w14:textId="77777777" w:rsidR="007170C3" w:rsidRPr="008819AF" w:rsidRDefault="00F07564"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§23</w:t>
            </w:r>
          </w:p>
          <w:p w14:paraId="1513266B" w14:textId="77777777" w:rsidR="00F07564" w:rsidRPr="008819AF" w:rsidRDefault="00F07564"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O1</w:t>
            </w:r>
          </w:p>
          <w:p w14:paraId="1513266C" w14:textId="77777777" w:rsidR="007170C3" w:rsidRPr="008819AF" w:rsidRDefault="007170C3" w:rsidP="0021052F">
            <w:pPr>
              <w:pStyle w:val="Textpsmene"/>
              <w:ind w:left="72"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66D" w14:textId="77777777" w:rsidR="0002292A" w:rsidRPr="008819AF" w:rsidRDefault="0002292A" w:rsidP="0021052F">
            <w:pPr>
              <w:pStyle w:val="Nra"/>
              <w:ind w:left="72"/>
              <w:rPr>
                <w:rFonts w:ascii="Times New Roman" w:eastAsia="a*i*l" w:hAnsi="Times New Roman" w:cs="Times New Roman"/>
              </w:rPr>
            </w:pPr>
            <w:r w:rsidRPr="008819AF">
              <w:rPr>
                <w:rFonts w:ascii="Times New Roman" w:eastAsia="a*i*l" w:hAnsi="Times New Roman" w:cs="Times New Roman"/>
              </w:rPr>
              <w:t xml:space="preserve">Prevádzkovateľ spaľovne odpadov alebo zariadenia na spoluspaľovanie odpadov je pri uvedených neštandardných prevádzkových stavoch a poruchách, okrem povinností podľa odseku 7, povinný </w:t>
            </w:r>
          </w:p>
          <w:p w14:paraId="1513266E" w14:textId="77777777" w:rsidR="00A50B3A" w:rsidRPr="008819AF" w:rsidRDefault="00A50B3A" w:rsidP="009C63CF">
            <w:pPr>
              <w:pStyle w:val="Odsekzoznamu"/>
              <w:numPr>
                <w:ilvl w:val="0"/>
                <w:numId w:val="69"/>
              </w:numPr>
              <w:rPr>
                <w:rFonts w:eastAsia="a*i*l"/>
                <w:sz w:val="20"/>
                <w:szCs w:val="20"/>
              </w:rPr>
            </w:pPr>
            <w:r w:rsidRPr="008819AF">
              <w:rPr>
                <w:rFonts w:eastAsia="a*i*l"/>
                <w:sz w:val="20"/>
                <w:szCs w:val="20"/>
              </w:rPr>
              <w:t xml:space="preserve">zastaviť pri prekročení emisného limitu prevádzku spaľovne odpadov, zariadenia na spoluspaľovanie odpadov alebo konkrétnu pec do štyroch hodín, ak do tohto času nie je možné zosúladenie s emisnými limitmi; celkový čas trvania prevádzky pri prekročení emisného limitu počas roka nesmie prekročiť 60 hodín pre spaľovacie pece pripojené k jednému čistiacemu zariadeniu, </w:t>
            </w:r>
          </w:p>
          <w:p w14:paraId="1513266F" w14:textId="77777777" w:rsidR="00F07564" w:rsidRPr="008819AF" w:rsidRDefault="00F07564" w:rsidP="00A50B3A">
            <w:pPr>
              <w:pStyle w:val="Nra"/>
              <w:ind w:left="72"/>
              <w:rPr>
                <w:rFonts w:ascii="Times New Roman" w:eastAsia="a*i*l" w:hAnsi="Times New Roman" w:cs="Times New Roman"/>
              </w:rPr>
            </w:pPr>
          </w:p>
          <w:p w14:paraId="15132670" w14:textId="77777777" w:rsidR="007170C3" w:rsidRPr="008819AF" w:rsidRDefault="00F07564" w:rsidP="00F07564">
            <w:pPr>
              <w:pStyle w:val="Nra"/>
              <w:ind w:left="72"/>
              <w:rPr>
                <w:rFonts w:ascii="Times New Roman" w:hAnsi="Times New Roman" w:cs="Times New Roman"/>
                <w:lang w:bidi="cs-CZ"/>
              </w:rPr>
            </w:pPr>
            <w:r w:rsidRPr="008819AF">
              <w:rPr>
                <w:rFonts w:ascii="Times New Roman" w:eastAsia="a*i*l" w:hAnsi="Times New Roman" w:cs="Times New Roman"/>
              </w:rPr>
              <w:t>(1) Pri prekročení emisného limitu a pri poruche je prevádzkovateľ spaľovne odpadov alebo zariadenia na spoluspaľovanie odpadov povinný plniť povinnosti ustanovené v § 34 ods.10 zákona; požiadavka uvedená v prílohe č. 5 druhej časti bode 6 písm. c) tým nie je dotknutá.</w:t>
            </w:r>
            <w:r w:rsidRPr="008819AF">
              <w:rPr>
                <w:rFonts w:ascii="Times New Roman" w:hAnsi="Times New Roman" w:cs="Times New Roman"/>
                <w:lang w:bidi="cs-CZ"/>
              </w:rPr>
              <w:t xml:space="preserve"> </w:t>
            </w:r>
          </w:p>
        </w:tc>
        <w:tc>
          <w:tcPr>
            <w:tcW w:w="429" w:type="dxa"/>
            <w:tcBorders>
              <w:top w:val="single" w:sz="4" w:space="0" w:color="000000"/>
              <w:left w:val="single" w:sz="6" w:space="0" w:color="000000"/>
              <w:bottom w:val="single" w:sz="4" w:space="0" w:color="000000"/>
              <w:right w:val="single" w:sz="6" w:space="0" w:color="000000"/>
            </w:tcBorders>
          </w:tcPr>
          <w:p w14:paraId="15132671" w14:textId="77777777" w:rsidR="007170C3" w:rsidRPr="008819AF" w:rsidRDefault="006F0418" w:rsidP="0021052F">
            <w:pPr>
              <w:ind w:left="215" w:hanging="215"/>
              <w:rPr>
                <w:rFonts w:eastAsia="Arial"/>
                <w:lang w:bidi="cs-CZ"/>
              </w:rPr>
            </w:pPr>
            <w:r w:rsidRPr="008819AF">
              <w:rPr>
                <w:rFonts w:eastAsia="Arial"/>
                <w:lang w:bidi="cs-CZ"/>
              </w:rPr>
              <w:t>Ú</w:t>
            </w:r>
          </w:p>
          <w:p w14:paraId="15132672" w14:textId="77777777" w:rsidR="007170C3" w:rsidRPr="008819AF" w:rsidRDefault="007170C3" w:rsidP="0021052F">
            <w:pPr>
              <w:ind w:left="215" w:hanging="215"/>
              <w:rPr>
                <w:rFonts w:eastAsia="Arial"/>
                <w:lang w:bidi="cs-CZ"/>
              </w:rPr>
            </w:pPr>
          </w:p>
          <w:p w14:paraId="15132673"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674" w14:textId="77777777" w:rsidR="007170C3" w:rsidRPr="008819AF" w:rsidRDefault="007170C3" w:rsidP="0021052F">
            <w:pPr>
              <w:ind w:left="215" w:hanging="215"/>
              <w:rPr>
                <w:rFonts w:eastAsia="Arial"/>
                <w:lang w:bidi="cs-CZ"/>
              </w:rPr>
            </w:pPr>
          </w:p>
        </w:tc>
      </w:tr>
      <w:tr w:rsidR="00F80158" w:rsidRPr="008819AF" w14:paraId="1513269E" w14:textId="77777777" w:rsidTr="003E351D">
        <w:trPr>
          <w:trHeight w:val="1219"/>
          <w:jc w:val="center"/>
        </w:trPr>
        <w:tc>
          <w:tcPr>
            <w:tcW w:w="483" w:type="dxa"/>
            <w:tcBorders>
              <w:top w:val="single" w:sz="4" w:space="0" w:color="000000"/>
              <w:left w:val="single" w:sz="6" w:space="0" w:color="000000"/>
              <w:bottom w:val="single" w:sz="4" w:space="0" w:color="000000"/>
              <w:right w:val="single" w:sz="6" w:space="0" w:color="000000"/>
            </w:tcBorders>
          </w:tcPr>
          <w:p w14:paraId="15132676" w14:textId="77777777" w:rsidR="007170C3" w:rsidRPr="008819AF" w:rsidRDefault="006F0418" w:rsidP="003E351D">
            <w:pPr>
              <w:ind w:right="-70"/>
              <w:rPr>
                <w:rFonts w:eastAsia="Arial"/>
                <w:lang w:bidi="cs-CZ"/>
              </w:rPr>
            </w:pPr>
            <w:r w:rsidRPr="008819AF">
              <w:rPr>
                <w:rFonts w:eastAsia="Arial"/>
                <w:lang w:bidi="cs-CZ"/>
              </w:rPr>
              <w:t>Č:47</w:t>
            </w:r>
          </w:p>
        </w:tc>
        <w:tc>
          <w:tcPr>
            <w:tcW w:w="6227" w:type="dxa"/>
            <w:gridSpan w:val="2"/>
            <w:tcBorders>
              <w:top w:val="single" w:sz="4" w:space="0" w:color="000000"/>
              <w:left w:val="single" w:sz="6" w:space="0" w:color="000000"/>
              <w:bottom w:val="single" w:sz="4" w:space="0" w:color="000000"/>
              <w:right w:val="single" w:sz="6" w:space="0" w:color="000000"/>
            </w:tcBorders>
          </w:tcPr>
          <w:p w14:paraId="15132677" w14:textId="77777777" w:rsidR="007170C3" w:rsidRPr="008819AF" w:rsidRDefault="006F0418" w:rsidP="0021052F">
            <w:pPr>
              <w:ind w:left="215" w:hanging="215"/>
              <w:rPr>
                <w:rFonts w:eastAsia="Arial"/>
              </w:rPr>
            </w:pPr>
            <w:r w:rsidRPr="008819AF">
              <w:rPr>
                <w:rFonts w:eastAsia="Arial"/>
              </w:rPr>
              <w:t>Článok 47</w:t>
            </w:r>
          </w:p>
          <w:p w14:paraId="15132678" w14:textId="77777777" w:rsidR="007170C3" w:rsidRPr="008819AF" w:rsidRDefault="006F0418" w:rsidP="0021052F">
            <w:pPr>
              <w:ind w:left="215" w:hanging="215"/>
              <w:rPr>
                <w:rFonts w:eastAsia="Arial"/>
              </w:rPr>
            </w:pPr>
            <w:r w:rsidRPr="008819AF">
              <w:rPr>
                <w:rFonts w:eastAsia="Arial"/>
              </w:rPr>
              <w:t>Porucha</w:t>
            </w:r>
          </w:p>
          <w:p w14:paraId="15132679" w14:textId="77777777" w:rsidR="007170C3" w:rsidRPr="008819AF" w:rsidRDefault="006F0418" w:rsidP="0021052F">
            <w:pPr>
              <w:ind w:left="215" w:hanging="1"/>
              <w:rPr>
                <w:rFonts w:eastAsia="Arial"/>
              </w:rPr>
            </w:pPr>
            <w:r w:rsidRPr="008819AF">
              <w:rPr>
                <w:rFonts w:eastAsia="Arial"/>
              </w:rPr>
              <w:t>V prípade poruchy musí prevádzkovateľ hneď, ako je to možné, obmedziť alebo ukončiť činnosti dovtedy, kým nebude možné obnoviť normálnu prevádzku.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67A" w14:textId="77777777" w:rsidR="007170C3" w:rsidRPr="008819AF" w:rsidRDefault="006F0418" w:rsidP="0021052F">
            <w:pPr>
              <w:ind w:left="215" w:hanging="215"/>
              <w:jc w:val="center"/>
              <w:rPr>
                <w:rFonts w:eastAsia="Arial"/>
                <w:lang w:bidi="cs-CZ"/>
              </w:rPr>
            </w:pPr>
            <w:r w:rsidRPr="008819AF">
              <w:rPr>
                <w:rFonts w:eastAsia="Arial"/>
                <w:lang w:bidi="cs-CZ"/>
              </w:rPr>
              <w:t>N</w:t>
            </w:r>
          </w:p>
          <w:p w14:paraId="1513267B" w14:textId="77777777" w:rsidR="00F07564" w:rsidRPr="008819AF" w:rsidRDefault="00F07564" w:rsidP="0021052F">
            <w:pPr>
              <w:ind w:left="215" w:hanging="215"/>
              <w:jc w:val="center"/>
              <w:rPr>
                <w:rFonts w:eastAsia="Arial"/>
                <w:lang w:bidi="cs-CZ"/>
              </w:rPr>
            </w:pPr>
          </w:p>
          <w:p w14:paraId="1513267C" w14:textId="77777777" w:rsidR="00F07564" w:rsidRPr="008819AF" w:rsidRDefault="00F07564" w:rsidP="0021052F">
            <w:pPr>
              <w:ind w:left="215" w:hanging="215"/>
              <w:jc w:val="center"/>
              <w:rPr>
                <w:rFonts w:eastAsia="Arial"/>
                <w:lang w:bidi="cs-CZ"/>
              </w:rPr>
            </w:pPr>
          </w:p>
          <w:p w14:paraId="1513267D" w14:textId="77777777" w:rsidR="00F07564" w:rsidRPr="008819AF" w:rsidRDefault="00F07564" w:rsidP="0021052F">
            <w:pPr>
              <w:ind w:left="215" w:hanging="215"/>
              <w:jc w:val="center"/>
              <w:rPr>
                <w:rFonts w:eastAsia="Arial"/>
                <w:lang w:bidi="cs-CZ"/>
              </w:rPr>
            </w:pPr>
          </w:p>
          <w:p w14:paraId="1513267E" w14:textId="77777777" w:rsidR="00F07564" w:rsidRPr="008819AF" w:rsidRDefault="00F07564" w:rsidP="0021052F">
            <w:pPr>
              <w:ind w:left="215" w:hanging="215"/>
              <w:jc w:val="center"/>
              <w:rPr>
                <w:rFonts w:eastAsia="Arial"/>
                <w:lang w:bidi="cs-CZ"/>
              </w:rPr>
            </w:pPr>
          </w:p>
          <w:p w14:paraId="1513267F" w14:textId="77777777" w:rsidR="00F07564" w:rsidRPr="008819AF" w:rsidRDefault="00F07564" w:rsidP="0021052F">
            <w:pPr>
              <w:ind w:left="215" w:hanging="215"/>
              <w:jc w:val="center"/>
              <w:rPr>
                <w:rFonts w:eastAsia="Arial"/>
                <w:lang w:bidi="cs-CZ"/>
              </w:rPr>
            </w:pPr>
          </w:p>
          <w:p w14:paraId="15132680" w14:textId="77777777" w:rsidR="00F07564" w:rsidRPr="008819AF" w:rsidRDefault="00F07564" w:rsidP="0021052F">
            <w:pPr>
              <w:ind w:left="215" w:hanging="215"/>
              <w:jc w:val="center"/>
              <w:rPr>
                <w:rFonts w:eastAsia="Arial"/>
                <w:lang w:bidi="cs-CZ"/>
              </w:rPr>
            </w:pPr>
          </w:p>
          <w:p w14:paraId="15132681" w14:textId="77777777" w:rsidR="00F07564" w:rsidRPr="008819AF" w:rsidRDefault="00F07564" w:rsidP="0021052F">
            <w:pPr>
              <w:ind w:left="215" w:hanging="215"/>
              <w:jc w:val="center"/>
              <w:rPr>
                <w:rFonts w:eastAsia="Arial"/>
                <w:lang w:bidi="cs-CZ"/>
              </w:rPr>
            </w:pPr>
          </w:p>
          <w:p w14:paraId="15132682" w14:textId="77777777" w:rsidR="00F07564" w:rsidRPr="008819AF" w:rsidRDefault="00F07564" w:rsidP="0021052F">
            <w:pPr>
              <w:ind w:left="215" w:hanging="215"/>
              <w:jc w:val="center"/>
              <w:rPr>
                <w:rFonts w:eastAsia="Arial"/>
                <w:lang w:bidi="cs-CZ"/>
              </w:rPr>
            </w:pPr>
          </w:p>
          <w:p w14:paraId="15132683" w14:textId="77777777" w:rsidR="00F07564" w:rsidRPr="008819AF" w:rsidRDefault="00F07564" w:rsidP="0021052F">
            <w:pPr>
              <w:ind w:left="215" w:hanging="215"/>
              <w:jc w:val="center"/>
              <w:rPr>
                <w:rFonts w:eastAsia="Arial"/>
                <w:lang w:bidi="cs-CZ"/>
              </w:rPr>
            </w:pPr>
            <w:r w:rsidRPr="008819AF">
              <w:rPr>
                <w:rFonts w:eastAsia="Arial"/>
                <w:lang w:bidi="cs-CZ"/>
              </w:rPr>
              <w:t>N</w:t>
            </w:r>
          </w:p>
          <w:p w14:paraId="15132684" w14:textId="77777777" w:rsidR="00F07564" w:rsidRPr="008819AF" w:rsidRDefault="00F07564"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685" w14:textId="77777777" w:rsidR="007170C3" w:rsidRPr="008819AF" w:rsidRDefault="00A32C9B" w:rsidP="0021052F">
            <w:pPr>
              <w:jc w:val="center"/>
              <w:rPr>
                <w:rFonts w:eastAsia="Arial"/>
                <w:lang w:bidi="cs-CZ"/>
              </w:rPr>
            </w:pPr>
            <w:r w:rsidRPr="008819AF">
              <w:rPr>
                <w:rFonts w:eastAsia="Arial"/>
                <w:lang w:bidi="cs-CZ"/>
              </w:rPr>
              <w:t>NZ</w:t>
            </w:r>
          </w:p>
          <w:p w14:paraId="15132686" w14:textId="77777777" w:rsidR="00F07564" w:rsidRPr="008819AF" w:rsidRDefault="00F07564" w:rsidP="0021052F">
            <w:pPr>
              <w:jc w:val="center"/>
              <w:rPr>
                <w:rFonts w:eastAsia="Arial"/>
                <w:lang w:bidi="cs-CZ"/>
              </w:rPr>
            </w:pPr>
          </w:p>
          <w:p w14:paraId="15132687" w14:textId="77777777" w:rsidR="00F07564" w:rsidRPr="008819AF" w:rsidRDefault="00F07564" w:rsidP="0021052F">
            <w:pPr>
              <w:jc w:val="center"/>
              <w:rPr>
                <w:rFonts w:eastAsia="Arial"/>
                <w:lang w:bidi="cs-CZ"/>
              </w:rPr>
            </w:pPr>
          </w:p>
          <w:p w14:paraId="15132688" w14:textId="77777777" w:rsidR="00F07564" w:rsidRPr="008819AF" w:rsidRDefault="00F07564" w:rsidP="0021052F">
            <w:pPr>
              <w:jc w:val="center"/>
              <w:rPr>
                <w:rFonts w:eastAsia="Arial"/>
                <w:lang w:bidi="cs-CZ"/>
              </w:rPr>
            </w:pPr>
          </w:p>
          <w:p w14:paraId="15132689" w14:textId="77777777" w:rsidR="00F07564" w:rsidRPr="008819AF" w:rsidRDefault="00F07564" w:rsidP="0021052F">
            <w:pPr>
              <w:jc w:val="center"/>
              <w:rPr>
                <w:rFonts w:eastAsia="Arial"/>
                <w:lang w:bidi="cs-CZ"/>
              </w:rPr>
            </w:pPr>
          </w:p>
          <w:p w14:paraId="1513268A" w14:textId="77777777" w:rsidR="00F07564" w:rsidRPr="008819AF" w:rsidRDefault="00F07564" w:rsidP="0021052F">
            <w:pPr>
              <w:jc w:val="center"/>
              <w:rPr>
                <w:rFonts w:eastAsia="Arial"/>
                <w:lang w:bidi="cs-CZ"/>
              </w:rPr>
            </w:pPr>
          </w:p>
          <w:p w14:paraId="1513268B" w14:textId="77777777" w:rsidR="00F07564" w:rsidRPr="008819AF" w:rsidRDefault="00F07564" w:rsidP="0021052F">
            <w:pPr>
              <w:jc w:val="center"/>
              <w:rPr>
                <w:rFonts w:eastAsia="Arial"/>
                <w:lang w:bidi="cs-CZ"/>
              </w:rPr>
            </w:pPr>
          </w:p>
          <w:p w14:paraId="1513268C" w14:textId="77777777" w:rsidR="00F07564" w:rsidRPr="008819AF" w:rsidRDefault="00F07564" w:rsidP="0021052F">
            <w:pPr>
              <w:jc w:val="center"/>
              <w:rPr>
                <w:rFonts w:eastAsia="Arial"/>
                <w:lang w:bidi="cs-CZ"/>
              </w:rPr>
            </w:pPr>
          </w:p>
          <w:p w14:paraId="1513268D" w14:textId="77777777" w:rsidR="00F07564" w:rsidRPr="008819AF" w:rsidRDefault="00F07564" w:rsidP="0021052F">
            <w:pPr>
              <w:jc w:val="center"/>
              <w:rPr>
                <w:rFonts w:eastAsia="Arial"/>
                <w:lang w:bidi="cs-CZ"/>
              </w:rPr>
            </w:pPr>
          </w:p>
          <w:p w14:paraId="1513268E" w14:textId="77777777" w:rsidR="00F07564" w:rsidRPr="008819AF" w:rsidRDefault="00F07564" w:rsidP="0021052F">
            <w:pPr>
              <w:jc w:val="center"/>
              <w:rPr>
                <w:rFonts w:eastAsia="Arial"/>
                <w:lang w:bidi="cs-CZ"/>
              </w:rPr>
            </w:pPr>
            <w:r w:rsidRPr="008819AF">
              <w:rPr>
                <w:rFonts w:eastAsia="Arial"/>
                <w:lang w:bidi="cs-CZ"/>
              </w:rPr>
              <w:t>NV2</w:t>
            </w:r>
          </w:p>
          <w:p w14:paraId="1513268F" w14:textId="77777777" w:rsidR="007170C3" w:rsidRPr="008819AF" w:rsidRDefault="007170C3"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690" w14:textId="77777777" w:rsidR="007170C3" w:rsidRPr="008819AF" w:rsidRDefault="006F0418"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 34 O 10 P b)</w:t>
            </w:r>
          </w:p>
          <w:p w14:paraId="15132691" w14:textId="77777777" w:rsidR="00F07564" w:rsidRPr="008819AF" w:rsidRDefault="00F07564" w:rsidP="0021052F">
            <w:pPr>
              <w:pStyle w:val="Textpsmene"/>
              <w:ind w:left="72" w:firstLine="0"/>
              <w:jc w:val="center"/>
              <w:rPr>
                <w:rFonts w:ascii="Times New Roman" w:hAnsi="Times New Roman" w:cs="Times New Roman"/>
                <w:sz w:val="20"/>
                <w:szCs w:val="20"/>
              </w:rPr>
            </w:pPr>
          </w:p>
          <w:p w14:paraId="15132692" w14:textId="77777777" w:rsidR="00F07564" w:rsidRPr="008819AF" w:rsidRDefault="00F07564" w:rsidP="0021052F">
            <w:pPr>
              <w:pStyle w:val="Textpsmene"/>
              <w:ind w:left="72" w:firstLine="0"/>
              <w:jc w:val="center"/>
              <w:rPr>
                <w:rFonts w:ascii="Times New Roman" w:hAnsi="Times New Roman" w:cs="Times New Roman"/>
                <w:sz w:val="20"/>
                <w:szCs w:val="20"/>
              </w:rPr>
            </w:pPr>
          </w:p>
          <w:p w14:paraId="15132693" w14:textId="77777777" w:rsidR="00F07564" w:rsidRPr="008819AF" w:rsidRDefault="00F07564" w:rsidP="0021052F">
            <w:pPr>
              <w:pStyle w:val="Textpsmene"/>
              <w:ind w:left="72" w:firstLine="0"/>
              <w:jc w:val="center"/>
              <w:rPr>
                <w:rFonts w:ascii="Times New Roman" w:hAnsi="Times New Roman" w:cs="Times New Roman"/>
                <w:sz w:val="20"/>
                <w:szCs w:val="20"/>
              </w:rPr>
            </w:pPr>
          </w:p>
          <w:p w14:paraId="15132694" w14:textId="77777777" w:rsidR="00F07564" w:rsidRPr="008819AF" w:rsidRDefault="00F07564" w:rsidP="0021052F">
            <w:pPr>
              <w:pStyle w:val="Textpsmene"/>
              <w:ind w:left="72" w:firstLine="0"/>
              <w:jc w:val="center"/>
              <w:rPr>
                <w:rFonts w:ascii="Times New Roman" w:hAnsi="Times New Roman" w:cs="Times New Roman"/>
                <w:sz w:val="20"/>
                <w:szCs w:val="20"/>
              </w:rPr>
            </w:pPr>
          </w:p>
          <w:p w14:paraId="15132695" w14:textId="77777777" w:rsidR="00F07564" w:rsidRPr="008819AF" w:rsidRDefault="00F07564" w:rsidP="0021052F">
            <w:pPr>
              <w:pStyle w:val="Textpsmene"/>
              <w:ind w:left="72" w:firstLine="0"/>
              <w:jc w:val="center"/>
              <w:rPr>
                <w:rFonts w:ascii="Times New Roman" w:hAnsi="Times New Roman" w:cs="Times New Roman"/>
                <w:sz w:val="20"/>
                <w:szCs w:val="20"/>
              </w:rPr>
            </w:pPr>
          </w:p>
          <w:p w14:paraId="15132696" w14:textId="77777777" w:rsidR="00F07564" w:rsidRPr="008819AF" w:rsidRDefault="00F07564"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§23</w:t>
            </w:r>
          </w:p>
          <w:p w14:paraId="15132697" w14:textId="77777777" w:rsidR="00F07564" w:rsidRPr="008819AF" w:rsidRDefault="00F07564"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O2</w:t>
            </w:r>
          </w:p>
        </w:tc>
        <w:tc>
          <w:tcPr>
            <w:tcW w:w="5664" w:type="dxa"/>
            <w:gridSpan w:val="5"/>
            <w:tcBorders>
              <w:top w:val="single" w:sz="4" w:space="0" w:color="000000"/>
              <w:left w:val="single" w:sz="6" w:space="0" w:color="000000"/>
              <w:bottom w:val="single" w:sz="4" w:space="0" w:color="000000"/>
              <w:right w:val="single" w:sz="6" w:space="0" w:color="000000"/>
            </w:tcBorders>
          </w:tcPr>
          <w:p w14:paraId="15132698" w14:textId="77777777" w:rsidR="00A50B3A" w:rsidRPr="008819AF" w:rsidRDefault="00A50B3A" w:rsidP="00A50B3A">
            <w:pPr>
              <w:pStyle w:val="Nra"/>
              <w:ind w:left="72"/>
              <w:rPr>
                <w:rFonts w:ascii="Times New Roman" w:eastAsia="a*i*l" w:hAnsi="Times New Roman" w:cs="Times New Roman"/>
              </w:rPr>
            </w:pPr>
            <w:r w:rsidRPr="008819AF">
              <w:rPr>
                <w:rFonts w:ascii="Times New Roman" w:eastAsia="a*i*l" w:hAnsi="Times New Roman" w:cs="Times New Roman"/>
              </w:rPr>
              <w:t xml:space="preserve">Prevádzkovateľ spaľovne odpadov alebo zariadenia na spoluspaľovanie odpadov je pri uvedených neštandardných prevádzkových stavoch a poruchách, okrem povinností podľa odseku 7, povinný </w:t>
            </w:r>
          </w:p>
          <w:p w14:paraId="15132699" w14:textId="77777777" w:rsidR="007170C3" w:rsidRPr="008819AF" w:rsidRDefault="00A50B3A" w:rsidP="009C63CF">
            <w:pPr>
              <w:pStyle w:val="Odsekzoznamu"/>
              <w:numPr>
                <w:ilvl w:val="0"/>
                <w:numId w:val="69"/>
              </w:numPr>
              <w:ind w:left="175" w:hanging="103"/>
              <w:rPr>
                <w:rFonts w:eastAsia="Arial"/>
                <w:sz w:val="20"/>
                <w:szCs w:val="20"/>
                <w:lang w:bidi="cs-CZ"/>
              </w:rPr>
            </w:pPr>
            <w:r w:rsidRPr="008819AF">
              <w:rPr>
                <w:rFonts w:eastAsia="Arial"/>
                <w:sz w:val="20"/>
                <w:szCs w:val="20"/>
                <w:lang w:bidi="cs-CZ"/>
              </w:rPr>
              <w:t xml:space="preserve">bezodkladne obmedziť </w:t>
            </w:r>
            <w:r w:rsidR="00A20BEE" w:rsidRPr="008819AF">
              <w:rPr>
                <w:rFonts w:eastAsia="Arial"/>
                <w:sz w:val="20"/>
                <w:szCs w:val="20"/>
                <w:lang w:bidi="cs-CZ"/>
              </w:rPr>
              <w:t>prevádzkovanie</w:t>
            </w:r>
            <w:r w:rsidRPr="008819AF">
              <w:rPr>
                <w:rFonts w:eastAsia="Arial"/>
                <w:sz w:val="20"/>
                <w:szCs w:val="20"/>
                <w:lang w:bidi="cs-CZ"/>
              </w:rPr>
              <w:t xml:space="preserve"> alebo zastaviť prevádzku spaľovne odpadov alebo zariadenia na spoluspaľovanie odpadov pri vzniku poruchy, do času zabezpečenia normálnej prevádzky podľa odseku 1 </w:t>
            </w:r>
            <w:r w:rsidR="00A20BEE" w:rsidRPr="008819AF">
              <w:rPr>
                <w:rFonts w:eastAsia="Arial"/>
                <w:sz w:val="20"/>
                <w:szCs w:val="20"/>
                <w:lang w:bidi="cs-CZ"/>
              </w:rPr>
              <w:t>písm. a) až c),</w:t>
            </w:r>
          </w:p>
          <w:p w14:paraId="1513269A" w14:textId="77777777" w:rsidR="00A20BEE" w:rsidRPr="008819AF" w:rsidRDefault="00A20BEE" w:rsidP="00A20BEE">
            <w:pPr>
              <w:ind w:left="72"/>
              <w:rPr>
                <w:rFonts w:eastAsia="Arial"/>
                <w:lang w:bidi="cs-CZ"/>
              </w:rPr>
            </w:pPr>
          </w:p>
          <w:p w14:paraId="1513269B" w14:textId="77777777" w:rsidR="00F07564" w:rsidRPr="008819AF" w:rsidRDefault="00F07564" w:rsidP="00F07564">
            <w:pPr>
              <w:pStyle w:val="Nra"/>
              <w:ind w:left="72"/>
              <w:rPr>
                <w:rFonts w:eastAsia="Arial"/>
                <w:lang w:bidi="cs-CZ"/>
              </w:rPr>
            </w:pPr>
            <w:r w:rsidRPr="008819AF">
              <w:rPr>
                <w:rFonts w:ascii="Times New Roman" w:eastAsia="a*i*l" w:hAnsi="Times New Roman" w:cs="Times New Roman"/>
              </w:rPr>
              <w:t>Pri prekročení emisného limitu podľa § 34 ods. 10 písm. a) zákona alebo pri vzniku poruchy podľa § 34 ods. 10 písm b) zákona do času, kým zariadenie nebude odstavené, platia emisné limity podľa prílohy č. 5 tretej časti bodu 2.</w:t>
            </w:r>
          </w:p>
        </w:tc>
        <w:tc>
          <w:tcPr>
            <w:tcW w:w="429" w:type="dxa"/>
            <w:tcBorders>
              <w:top w:val="single" w:sz="4" w:space="0" w:color="000000"/>
              <w:left w:val="single" w:sz="6" w:space="0" w:color="000000"/>
              <w:bottom w:val="single" w:sz="4" w:space="0" w:color="000000"/>
              <w:right w:val="single" w:sz="6" w:space="0" w:color="000000"/>
            </w:tcBorders>
          </w:tcPr>
          <w:p w14:paraId="1513269C" w14:textId="77777777" w:rsidR="007170C3" w:rsidRPr="008819AF" w:rsidRDefault="006F0418" w:rsidP="0021052F">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1513269D" w14:textId="77777777" w:rsidR="007170C3" w:rsidRPr="008819AF" w:rsidRDefault="007170C3" w:rsidP="0021052F">
            <w:pPr>
              <w:ind w:left="215" w:hanging="215"/>
              <w:rPr>
                <w:rFonts w:eastAsia="Arial"/>
                <w:lang w:bidi="cs-CZ"/>
              </w:rPr>
            </w:pPr>
          </w:p>
        </w:tc>
      </w:tr>
      <w:tr w:rsidR="00F80158" w:rsidRPr="008819AF" w14:paraId="151327D0"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269F" w14:textId="77777777" w:rsidR="007170C3" w:rsidRPr="008819AF" w:rsidRDefault="006F0418" w:rsidP="003E351D">
            <w:pPr>
              <w:ind w:right="-70"/>
              <w:rPr>
                <w:rFonts w:eastAsia="Arial"/>
                <w:lang w:bidi="cs-CZ"/>
              </w:rPr>
            </w:pPr>
            <w:r w:rsidRPr="008819AF">
              <w:rPr>
                <w:rFonts w:eastAsia="Arial"/>
                <w:lang w:bidi="cs-CZ"/>
              </w:rPr>
              <w:t>Č:48</w:t>
            </w:r>
          </w:p>
        </w:tc>
        <w:tc>
          <w:tcPr>
            <w:tcW w:w="6227" w:type="dxa"/>
            <w:gridSpan w:val="2"/>
            <w:tcBorders>
              <w:top w:val="single" w:sz="4" w:space="0" w:color="000000"/>
              <w:left w:val="single" w:sz="6" w:space="0" w:color="000000"/>
              <w:bottom w:val="single" w:sz="4" w:space="0" w:color="000000"/>
              <w:right w:val="single" w:sz="6" w:space="0" w:color="000000"/>
            </w:tcBorders>
          </w:tcPr>
          <w:p w14:paraId="151326A0" w14:textId="77777777" w:rsidR="007170C3" w:rsidRPr="008819AF" w:rsidRDefault="006F0418" w:rsidP="0021052F">
            <w:pPr>
              <w:ind w:left="215" w:hanging="215"/>
              <w:rPr>
                <w:rFonts w:eastAsia="Arial"/>
                <w:lang w:bidi="cs-CZ"/>
              </w:rPr>
            </w:pPr>
            <w:r w:rsidRPr="008819AF">
              <w:rPr>
                <w:rFonts w:eastAsia="Arial"/>
                <w:lang w:bidi="cs-CZ"/>
              </w:rPr>
              <w:t>Článok 48</w:t>
            </w:r>
          </w:p>
          <w:p w14:paraId="151326A1" w14:textId="77777777" w:rsidR="007170C3" w:rsidRPr="008819AF" w:rsidRDefault="006F0418" w:rsidP="0021052F">
            <w:pPr>
              <w:ind w:left="215" w:hanging="215"/>
              <w:rPr>
                <w:rFonts w:eastAsia="Arial"/>
                <w:lang w:bidi="cs-CZ"/>
              </w:rPr>
            </w:pPr>
            <w:r w:rsidRPr="008819AF">
              <w:rPr>
                <w:rFonts w:eastAsia="Arial"/>
                <w:lang w:bidi="cs-CZ"/>
              </w:rPr>
              <w:t>Monitorovanie emisií</w:t>
            </w:r>
          </w:p>
          <w:p w14:paraId="151326A2" w14:textId="77777777" w:rsidR="007170C3" w:rsidRPr="008819AF" w:rsidRDefault="006F0418" w:rsidP="0021052F">
            <w:pPr>
              <w:ind w:left="215" w:hanging="215"/>
              <w:rPr>
                <w:rFonts w:eastAsia="Arial"/>
                <w:lang w:bidi="cs-CZ"/>
              </w:rPr>
            </w:pPr>
            <w:r w:rsidRPr="008819AF">
              <w:rPr>
                <w:rFonts w:eastAsia="Arial"/>
                <w:lang w:bidi="cs-CZ"/>
              </w:rPr>
              <w:t>1. Členské štáty musia zabezpečiť, aby sa monitorovanie emisií vykonávalo v súlade s prílohou VI časti 6 a 7.</w:t>
            </w:r>
          </w:p>
          <w:p w14:paraId="151326A3" w14:textId="77777777" w:rsidR="007170C3" w:rsidRPr="008819AF" w:rsidRDefault="007170C3" w:rsidP="0021052F">
            <w:pPr>
              <w:ind w:left="215" w:hanging="215"/>
              <w:rPr>
                <w:rFonts w:eastAsia="Arial"/>
                <w:lang w:bidi="cs-CZ"/>
              </w:rPr>
            </w:pPr>
          </w:p>
          <w:p w14:paraId="151326A4" w14:textId="77777777" w:rsidR="007170C3" w:rsidRPr="008819AF" w:rsidRDefault="007170C3" w:rsidP="0021052F">
            <w:pPr>
              <w:ind w:left="215" w:hanging="215"/>
              <w:rPr>
                <w:rFonts w:eastAsia="Arial"/>
                <w:lang w:bidi="cs-CZ"/>
              </w:rPr>
            </w:pPr>
          </w:p>
          <w:p w14:paraId="151326A5" w14:textId="77777777" w:rsidR="007170C3" w:rsidRPr="008819AF" w:rsidRDefault="007170C3" w:rsidP="0021052F">
            <w:pPr>
              <w:ind w:left="215" w:hanging="215"/>
              <w:rPr>
                <w:rFonts w:eastAsia="Arial"/>
                <w:lang w:bidi="cs-CZ"/>
              </w:rPr>
            </w:pPr>
          </w:p>
          <w:p w14:paraId="151326A6" w14:textId="77777777" w:rsidR="007170C3" w:rsidRPr="008819AF" w:rsidRDefault="007170C3" w:rsidP="0021052F">
            <w:pPr>
              <w:ind w:left="215" w:hanging="215"/>
              <w:rPr>
                <w:rFonts w:eastAsia="Arial"/>
                <w:lang w:bidi="cs-CZ"/>
              </w:rPr>
            </w:pPr>
          </w:p>
          <w:p w14:paraId="151326A7" w14:textId="77777777" w:rsidR="007170C3" w:rsidRPr="008819AF" w:rsidRDefault="007170C3" w:rsidP="0021052F">
            <w:pPr>
              <w:ind w:left="215" w:hanging="215"/>
              <w:rPr>
                <w:rFonts w:eastAsia="Arial"/>
                <w:lang w:bidi="cs-CZ"/>
              </w:rPr>
            </w:pPr>
          </w:p>
          <w:p w14:paraId="151326A8" w14:textId="77777777" w:rsidR="007170C3" w:rsidRPr="008819AF" w:rsidRDefault="007170C3" w:rsidP="0021052F">
            <w:pPr>
              <w:ind w:left="215" w:hanging="215"/>
              <w:rPr>
                <w:rFonts w:eastAsia="Arial"/>
                <w:lang w:bidi="cs-CZ"/>
              </w:rPr>
            </w:pPr>
          </w:p>
          <w:p w14:paraId="151326A9" w14:textId="77777777" w:rsidR="007170C3" w:rsidRPr="008819AF" w:rsidRDefault="007170C3" w:rsidP="0021052F">
            <w:pPr>
              <w:ind w:left="215" w:hanging="215"/>
              <w:rPr>
                <w:rFonts w:eastAsia="Arial"/>
                <w:lang w:bidi="cs-CZ"/>
              </w:rPr>
            </w:pPr>
          </w:p>
          <w:p w14:paraId="151326AA" w14:textId="77777777" w:rsidR="007170C3" w:rsidRPr="008819AF" w:rsidRDefault="007170C3" w:rsidP="0021052F">
            <w:pPr>
              <w:ind w:left="215" w:hanging="215"/>
              <w:rPr>
                <w:rFonts w:eastAsia="Arial"/>
                <w:lang w:bidi="cs-CZ"/>
              </w:rPr>
            </w:pPr>
          </w:p>
          <w:p w14:paraId="151326AB" w14:textId="77777777" w:rsidR="007170C3" w:rsidRPr="008819AF" w:rsidRDefault="007170C3" w:rsidP="0021052F">
            <w:pPr>
              <w:ind w:left="215" w:hanging="215"/>
              <w:rPr>
                <w:rFonts w:eastAsia="Arial"/>
                <w:lang w:bidi="cs-CZ"/>
              </w:rPr>
            </w:pPr>
          </w:p>
          <w:p w14:paraId="151326AC" w14:textId="77777777" w:rsidR="007170C3" w:rsidRPr="008819AF" w:rsidRDefault="007170C3" w:rsidP="0021052F">
            <w:pPr>
              <w:ind w:left="215" w:hanging="215"/>
              <w:rPr>
                <w:rFonts w:eastAsia="Arial"/>
                <w:lang w:bidi="cs-CZ"/>
              </w:rPr>
            </w:pPr>
          </w:p>
          <w:p w14:paraId="151326AD" w14:textId="77777777" w:rsidR="007170C3" w:rsidRPr="008819AF" w:rsidRDefault="007170C3" w:rsidP="0021052F">
            <w:pPr>
              <w:ind w:left="215" w:hanging="215"/>
              <w:rPr>
                <w:rFonts w:eastAsia="Arial"/>
                <w:lang w:bidi="cs-CZ"/>
              </w:rPr>
            </w:pPr>
          </w:p>
          <w:p w14:paraId="151326AE" w14:textId="77777777" w:rsidR="007170C3" w:rsidRPr="008819AF" w:rsidRDefault="007170C3" w:rsidP="0021052F">
            <w:pPr>
              <w:ind w:left="215" w:hanging="215"/>
              <w:rPr>
                <w:rFonts w:eastAsia="Arial"/>
                <w:lang w:bidi="cs-CZ"/>
              </w:rPr>
            </w:pPr>
          </w:p>
          <w:p w14:paraId="151326AF" w14:textId="77777777" w:rsidR="007170C3" w:rsidRPr="008819AF" w:rsidRDefault="007170C3" w:rsidP="0021052F">
            <w:pPr>
              <w:ind w:left="215" w:hanging="215"/>
              <w:rPr>
                <w:rFonts w:eastAsia="Arial"/>
                <w:lang w:bidi="cs-CZ"/>
              </w:rPr>
            </w:pPr>
          </w:p>
          <w:p w14:paraId="151326B0" w14:textId="77777777" w:rsidR="007170C3" w:rsidRPr="008819AF" w:rsidRDefault="007170C3" w:rsidP="0021052F">
            <w:pPr>
              <w:ind w:left="215" w:hanging="215"/>
              <w:rPr>
                <w:rFonts w:eastAsia="Arial"/>
                <w:lang w:bidi="cs-CZ"/>
              </w:rPr>
            </w:pPr>
          </w:p>
          <w:p w14:paraId="151326B1" w14:textId="77777777" w:rsidR="007170C3" w:rsidRPr="008819AF" w:rsidRDefault="007170C3" w:rsidP="0021052F">
            <w:pPr>
              <w:ind w:left="215" w:hanging="215"/>
              <w:rPr>
                <w:rFonts w:eastAsia="Arial"/>
                <w:lang w:bidi="cs-CZ"/>
              </w:rPr>
            </w:pPr>
          </w:p>
          <w:p w14:paraId="151326B2" w14:textId="77777777" w:rsidR="00A50B3A" w:rsidRPr="008819AF" w:rsidRDefault="00A50B3A" w:rsidP="0021052F">
            <w:pPr>
              <w:ind w:left="215" w:hanging="215"/>
              <w:rPr>
                <w:rFonts w:eastAsia="Arial"/>
                <w:lang w:bidi="cs-CZ"/>
              </w:rPr>
            </w:pPr>
          </w:p>
          <w:p w14:paraId="151326B3" w14:textId="77777777" w:rsidR="00A50B3A" w:rsidRPr="008819AF" w:rsidRDefault="00A50B3A" w:rsidP="0021052F">
            <w:pPr>
              <w:ind w:left="215" w:hanging="215"/>
              <w:rPr>
                <w:rFonts w:eastAsia="Arial"/>
                <w:lang w:bidi="cs-CZ"/>
              </w:rPr>
            </w:pPr>
          </w:p>
          <w:p w14:paraId="151326B4" w14:textId="77777777" w:rsidR="00A50B3A" w:rsidRPr="008819AF" w:rsidRDefault="00A50B3A" w:rsidP="0021052F">
            <w:pPr>
              <w:ind w:left="215" w:hanging="215"/>
              <w:rPr>
                <w:rFonts w:eastAsia="Arial"/>
                <w:lang w:bidi="cs-CZ"/>
              </w:rPr>
            </w:pPr>
          </w:p>
          <w:p w14:paraId="151326B5" w14:textId="77777777" w:rsidR="00A50B3A" w:rsidRPr="008819AF" w:rsidRDefault="00A50B3A" w:rsidP="0021052F">
            <w:pPr>
              <w:ind w:left="215" w:hanging="215"/>
              <w:rPr>
                <w:rFonts w:eastAsia="Arial"/>
                <w:lang w:bidi="cs-CZ"/>
              </w:rPr>
            </w:pPr>
          </w:p>
          <w:p w14:paraId="151326B6" w14:textId="77777777" w:rsidR="00A50B3A" w:rsidRPr="008819AF" w:rsidRDefault="00A50B3A" w:rsidP="0021052F">
            <w:pPr>
              <w:ind w:left="215" w:hanging="215"/>
              <w:rPr>
                <w:rFonts w:eastAsia="Arial"/>
                <w:lang w:bidi="cs-CZ"/>
              </w:rPr>
            </w:pPr>
          </w:p>
          <w:p w14:paraId="151326B7" w14:textId="77777777" w:rsidR="00A50B3A" w:rsidRPr="008819AF" w:rsidRDefault="00A50B3A" w:rsidP="0021052F">
            <w:pPr>
              <w:ind w:left="215" w:hanging="215"/>
              <w:rPr>
                <w:rFonts w:eastAsia="Arial"/>
                <w:lang w:bidi="cs-CZ"/>
              </w:rPr>
            </w:pPr>
          </w:p>
          <w:p w14:paraId="151326B8" w14:textId="77777777" w:rsidR="00A50B3A" w:rsidRPr="008819AF" w:rsidRDefault="00A50B3A" w:rsidP="0021052F">
            <w:pPr>
              <w:ind w:left="215" w:hanging="215"/>
              <w:rPr>
                <w:rFonts w:eastAsia="Arial"/>
                <w:lang w:bidi="cs-CZ"/>
              </w:rPr>
            </w:pPr>
          </w:p>
          <w:p w14:paraId="151326B9" w14:textId="77777777" w:rsidR="007170C3" w:rsidRPr="008819AF" w:rsidRDefault="007170C3" w:rsidP="0021052F">
            <w:pPr>
              <w:ind w:left="215" w:hanging="215"/>
              <w:rPr>
                <w:rFonts w:eastAsia="Arial"/>
                <w:lang w:bidi="cs-CZ"/>
              </w:rPr>
            </w:pPr>
          </w:p>
          <w:p w14:paraId="151326BA" w14:textId="77777777" w:rsidR="007170C3" w:rsidRPr="008819AF" w:rsidRDefault="007170C3" w:rsidP="0021052F">
            <w:pPr>
              <w:ind w:left="215" w:hanging="215"/>
              <w:rPr>
                <w:rFonts w:eastAsia="Arial"/>
                <w:lang w:bidi="cs-CZ"/>
              </w:rPr>
            </w:pPr>
          </w:p>
          <w:p w14:paraId="151326BB" w14:textId="77777777" w:rsidR="008310AE" w:rsidRPr="008819AF" w:rsidRDefault="008310AE" w:rsidP="0021052F">
            <w:pPr>
              <w:ind w:left="215" w:hanging="215"/>
              <w:rPr>
                <w:rFonts w:eastAsia="Arial"/>
                <w:lang w:bidi="cs-CZ"/>
              </w:rPr>
            </w:pPr>
          </w:p>
          <w:p w14:paraId="151326BC" w14:textId="77777777" w:rsidR="008310AE" w:rsidRPr="008819AF" w:rsidRDefault="008310AE" w:rsidP="0021052F">
            <w:pPr>
              <w:ind w:left="215" w:hanging="215"/>
              <w:rPr>
                <w:rFonts w:eastAsia="Arial"/>
                <w:lang w:bidi="cs-CZ"/>
              </w:rPr>
            </w:pPr>
          </w:p>
          <w:p w14:paraId="151326BD" w14:textId="77777777" w:rsidR="007170C3" w:rsidRPr="008819AF" w:rsidRDefault="007170C3" w:rsidP="0021052F">
            <w:pPr>
              <w:ind w:left="215" w:hanging="215"/>
              <w:rPr>
                <w:rFonts w:eastAsia="Arial"/>
                <w:lang w:bidi="cs-CZ"/>
              </w:rPr>
            </w:pPr>
          </w:p>
          <w:p w14:paraId="151326BE" w14:textId="77777777" w:rsidR="007170C3" w:rsidRPr="008819AF" w:rsidRDefault="006F0418" w:rsidP="0021052F">
            <w:pPr>
              <w:ind w:left="215" w:hanging="215"/>
              <w:rPr>
                <w:rFonts w:eastAsia="Arial"/>
                <w:lang w:bidi="cs-CZ"/>
              </w:rPr>
            </w:pPr>
            <w:r w:rsidRPr="008819AF">
              <w:rPr>
                <w:rFonts w:eastAsia="Arial"/>
                <w:lang w:bidi="cs-CZ"/>
              </w:rPr>
              <w:t>2. Inštalácia a činnosť automatizovaných meracích systémov sú predmetom kontroly a každoročného preskúšania podľa prílohy VI časť 6 bod 1.</w:t>
            </w:r>
          </w:p>
          <w:p w14:paraId="151326BF" w14:textId="77777777" w:rsidR="00A50B3A" w:rsidRPr="008819AF" w:rsidRDefault="00A50B3A" w:rsidP="0021052F">
            <w:pPr>
              <w:ind w:left="215" w:hanging="215"/>
              <w:rPr>
                <w:rFonts w:eastAsia="Arial"/>
                <w:lang w:bidi="cs-CZ"/>
              </w:rPr>
            </w:pPr>
          </w:p>
          <w:p w14:paraId="151326C0" w14:textId="77777777" w:rsidR="00A50B3A" w:rsidRPr="008819AF" w:rsidRDefault="00A50B3A" w:rsidP="0021052F">
            <w:pPr>
              <w:ind w:left="215" w:hanging="215"/>
              <w:rPr>
                <w:rFonts w:eastAsia="Arial"/>
                <w:lang w:bidi="cs-CZ"/>
              </w:rPr>
            </w:pPr>
          </w:p>
          <w:p w14:paraId="151326C1" w14:textId="77777777" w:rsidR="00E5212C" w:rsidRPr="008819AF" w:rsidRDefault="00E5212C" w:rsidP="0021052F">
            <w:pPr>
              <w:ind w:left="215" w:hanging="215"/>
              <w:rPr>
                <w:rFonts w:eastAsia="Arial"/>
                <w:lang w:bidi="cs-CZ"/>
              </w:rPr>
            </w:pPr>
          </w:p>
          <w:p w14:paraId="151326C2" w14:textId="77777777" w:rsidR="00E5212C" w:rsidRPr="008819AF" w:rsidRDefault="00E5212C" w:rsidP="0021052F">
            <w:pPr>
              <w:ind w:left="215" w:hanging="215"/>
              <w:rPr>
                <w:rFonts w:eastAsia="Arial"/>
                <w:lang w:bidi="cs-CZ"/>
              </w:rPr>
            </w:pPr>
          </w:p>
          <w:p w14:paraId="151326C3" w14:textId="77777777" w:rsidR="00E5212C" w:rsidRPr="008819AF" w:rsidRDefault="00E5212C" w:rsidP="0021052F">
            <w:pPr>
              <w:ind w:left="215" w:hanging="215"/>
              <w:rPr>
                <w:rFonts w:eastAsia="Arial"/>
                <w:lang w:bidi="cs-CZ"/>
              </w:rPr>
            </w:pPr>
          </w:p>
          <w:p w14:paraId="151326C4" w14:textId="77777777" w:rsidR="00E5212C" w:rsidRPr="008819AF" w:rsidRDefault="00E5212C" w:rsidP="0021052F">
            <w:pPr>
              <w:ind w:left="215" w:hanging="215"/>
              <w:rPr>
                <w:rFonts w:eastAsia="Arial"/>
                <w:lang w:bidi="cs-CZ"/>
              </w:rPr>
            </w:pPr>
          </w:p>
          <w:p w14:paraId="151326C5" w14:textId="77777777" w:rsidR="00E5212C" w:rsidRPr="008819AF" w:rsidRDefault="00E5212C" w:rsidP="0021052F">
            <w:pPr>
              <w:ind w:left="215" w:hanging="215"/>
              <w:rPr>
                <w:rFonts w:eastAsia="Arial"/>
                <w:lang w:bidi="cs-CZ"/>
              </w:rPr>
            </w:pPr>
          </w:p>
          <w:p w14:paraId="151326C6" w14:textId="77777777" w:rsidR="00E5212C" w:rsidRPr="008819AF" w:rsidRDefault="00E5212C" w:rsidP="0021052F">
            <w:pPr>
              <w:ind w:left="215" w:hanging="215"/>
              <w:rPr>
                <w:rFonts w:eastAsia="Arial"/>
                <w:lang w:bidi="cs-CZ"/>
              </w:rPr>
            </w:pPr>
          </w:p>
          <w:p w14:paraId="151326C7" w14:textId="77777777" w:rsidR="00E5212C" w:rsidRPr="008819AF" w:rsidRDefault="00E5212C" w:rsidP="0021052F">
            <w:pPr>
              <w:ind w:left="215" w:hanging="215"/>
              <w:rPr>
                <w:rFonts w:eastAsia="Arial"/>
                <w:lang w:bidi="cs-CZ"/>
              </w:rPr>
            </w:pPr>
          </w:p>
          <w:p w14:paraId="151326C8" w14:textId="77777777" w:rsidR="00E5212C" w:rsidRPr="008819AF" w:rsidRDefault="00E5212C" w:rsidP="0021052F">
            <w:pPr>
              <w:ind w:left="215" w:hanging="215"/>
              <w:rPr>
                <w:rFonts w:eastAsia="Arial"/>
                <w:lang w:bidi="cs-CZ"/>
              </w:rPr>
            </w:pPr>
          </w:p>
          <w:p w14:paraId="151326C9" w14:textId="77777777" w:rsidR="00E5212C" w:rsidRPr="008819AF" w:rsidRDefault="00E5212C" w:rsidP="0021052F">
            <w:pPr>
              <w:ind w:left="215" w:hanging="215"/>
              <w:rPr>
                <w:rFonts w:eastAsia="Arial"/>
                <w:lang w:bidi="cs-CZ"/>
              </w:rPr>
            </w:pPr>
          </w:p>
          <w:p w14:paraId="151326CA" w14:textId="77777777" w:rsidR="00E5212C" w:rsidRPr="008819AF" w:rsidRDefault="00E5212C" w:rsidP="0021052F">
            <w:pPr>
              <w:ind w:left="215" w:hanging="215"/>
              <w:rPr>
                <w:rFonts w:eastAsia="Arial"/>
                <w:lang w:bidi="cs-CZ"/>
              </w:rPr>
            </w:pPr>
          </w:p>
          <w:p w14:paraId="151326CB" w14:textId="77777777" w:rsidR="00E5212C" w:rsidRPr="008819AF" w:rsidRDefault="00E5212C" w:rsidP="0021052F">
            <w:pPr>
              <w:ind w:left="215" w:hanging="215"/>
              <w:rPr>
                <w:rFonts w:eastAsia="Arial"/>
                <w:lang w:bidi="cs-CZ"/>
              </w:rPr>
            </w:pPr>
          </w:p>
          <w:p w14:paraId="151326CC" w14:textId="77777777" w:rsidR="00E5212C" w:rsidRPr="008819AF" w:rsidRDefault="00E5212C" w:rsidP="0021052F">
            <w:pPr>
              <w:ind w:left="215" w:hanging="215"/>
              <w:rPr>
                <w:rFonts w:eastAsia="Arial"/>
                <w:lang w:bidi="cs-CZ"/>
              </w:rPr>
            </w:pPr>
          </w:p>
          <w:p w14:paraId="151326CD" w14:textId="77777777" w:rsidR="00E5212C" w:rsidRPr="008819AF" w:rsidRDefault="00E5212C" w:rsidP="0021052F">
            <w:pPr>
              <w:ind w:left="215" w:hanging="215"/>
              <w:rPr>
                <w:rFonts w:eastAsia="Arial"/>
                <w:lang w:bidi="cs-CZ"/>
              </w:rPr>
            </w:pPr>
          </w:p>
          <w:p w14:paraId="151326CE" w14:textId="77777777" w:rsidR="00E5212C" w:rsidRPr="008819AF" w:rsidRDefault="00E5212C" w:rsidP="0021052F">
            <w:pPr>
              <w:ind w:left="215" w:hanging="215"/>
              <w:rPr>
                <w:rFonts w:eastAsia="Arial"/>
                <w:lang w:bidi="cs-CZ"/>
              </w:rPr>
            </w:pPr>
          </w:p>
          <w:p w14:paraId="151326CF" w14:textId="77777777" w:rsidR="00E5212C" w:rsidRPr="008819AF" w:rsidRDefault="00E5212C" w:rsidP="0021052F">
            <w:pPr>
              <w:ind w:left="215" w:hanging="215"/>
              <w:rPr>
                <w:rFonts w:eastAsia="Arial"/>
                <w:lang w:bidi="cs-CZ"/>
              </w:rPr>
            </w:pPr>
          </w:p>
          <w:p w14:paraId="151326D0" w14:textId="77777777" w:rsidR="00E5212C" w:rsidRPr="008819AF" w:rsidRDefault="00E5212C" w:rsidP="0021052F">
            <w:pPr>
              <w:ind w:left="215" w:hanging="215"/>
              <w:rPr>
                <w:rFonts w:eastAsia="Arial"/>
                <w:lang w:bidi="cs-CZ"/>
              </w:rPr>
            </w:pPr>
          </w:p>
          <w:p w14:paraId="151326D1" w14:textId="77777777" w:rsidR="00E5212C" w:rsidRPr="008819AF" w:rsidRDefault="00E5212C" w:rsidP="0021052F">
            <w:pPr>
              <w:ind w:left="215" w:hanging="215"/>
              <w:rPr>
                <w:rFonts w:eastAsia="Arial"/>
                <w:lang w:bidi="cs-CZ"/>
              </w:rPr>
            </w:pPr>
          </w:p>
          <w:p w14:paraId="151326D2" w14:textId="77777777" w:rsidR="00A50B3A" w:rsidRPr="008819AF" w:rsidRDefault="00A50B3A" w:rsidP="0021052F">
            <w:pPr>
              <w:ind w:left="215" w:hanging="215"/>
              <w:rPr>
                <w:rFonts w:eastAsia="Arial"/>
                <w:lang w:bidi="cs-CZ"/>
              </w:rPr>
            </w:pPr>
          </w:p>
          <w:p w14:paraId="151326D3" w14:textId="77777777" w:rsidR="00A50B3A" w:rsidRPr="008819AF" w:rsidRDefault="00A50B3A" w:rsidP="0021052F">
            <w:pPr>
              <w:ind w:left="215" w:hanging="215"/>
              <w:rPr>
                <w:rFonts w:eastAsia="Arial"/>
                <w:lang w:bidi="cs-CZ"/>
              </w:rPr>
            </w:pPr>
          </w:p>
          <w:p w14:paraId="151326D4" w14:textId="77777777" w:rsidR="007170C3" w:rsidRPr="008819AF" w:rsidRDefault="006F0418" w:rsidP="0021052F">
            <w:pPr>
              <w:ind w:left="215" w:hanging="215"/>
              <w:rPr>
                <w:rFonts w:eastAsia="Arial"/>
                <w:lang w:bidi="cs-CZ"/>
              </w:rPr>
            </w:pPr>
            <w:r w:rsidRPr="008819AF">
              <w:rPr>
                <w:rFonts w:eastAsia="Arial"/>
                <w:lang w:bidi="cs-CZ"/>
              </w:rPr>
              <w:t>3. Polohu miest odberu vzoriek alebo meracích miest, ktoré sa majú používať na monitorovanie emisií, určí príslušný orgán.</w:t>
            </w:r>
          </w:p>
          <w:p w14:paraId="151326D5" w14:textId="77777777" w:rsidR="00A50B3A" w:rsidRPr="008819AF" w:rsidRDefault="00A50B3A" w:rsidP="0021052F">
            <w:pPr>
              <w:ind w:left="215" w:hanging="215"/>
              <w:rPr>
                <w:rFonts w:eastAsia="Arial"/>
                <w:lang w:bidi="cs-CZ"/>
              </w:rPr>
            </w:pPr>
          </w:p>
          <w:p w14:paraId="151326D6" w14:textId="77777777" w:rsidR="00A50B3A" w:rsidRPr="008819AF" w:rsidRDefault="00A50B3A" w:rsidP="0021052F">
            <w:pPr>
              <w:ind w:left="215" w:hanging="215"/>
              <w:rPr>
                <w:rFonts w:eastAsia="Arial"/>
                <w:lang w:bidi="cs-CZ"/>
              </w:rPr>
            </w:pPr>
          </w:p>
          <w:p w14:paraId="151326D7" w14:textId="77777777" w:rsidR="00A50B3A" w:rsidRPr="008819AF" w:rsidRDefault="00A50B3A" w:rsidP="0021052F">
            <w:pPr>
              <w:ind w:left="215" w:hanging="215"/>
              <w:rPr>
                <w:rFonts w:eastAsia="Arial"/>
                <w:lang w:bidi="cs-CZ"/>
              </w:rPr>
            </w:pPr>
          </w:p>
          <w:p w14:paraId="151326D8" w14:textId="77777777" w:rsidR="00A50B3A" w:rsidRPr="008819AF" w:rsidRDefault="00A50B3A" w:rsidP="0021052F">
            <w:pPr>
              <w:ind w:left="215" w:hanging="215"/>
              <w:rPr>
                <w:rFonts w:eastAsia="Arial"/>
                <w:lang w:bidi="cs-CZ"/>
              </w:rPr>
            </w:pPr>
          </w:p>
          <w:p w14:paraId="151326D9" w14:textId="77777777" w:rsidR="00A50B3A" w:rsidRPr="008819AF" w:rsidRDefault="00A50B3A" w:rsidP="0021052F">
            <w:pPr>
              <w:ind w:left="215" w:hanging="215"/>
              <w:rPr>
                <w:rFonts w:eastAsia="Arial"/>
                <w:lang w:bidi="cs-CZ"/>
              </w:rPr>
            </w:pPr>
          </w:p>
          <w:p w14:paraId="151326DA" w14:textId="77777777" w:rsidR="007170C3" w:rsidRPr="008819AF" w:rsidRDefault="006F0418" w:rsidP="0021052F">
            <w:pPr>
              <w:ind w:left="215" w:hanging="215"/>
              <w:rPr>
                <w:rFonts w:eastAsia="Arial"/>
                <w:lang w:bidi="cs-CZ"/>
              </w:rPr>
            </w:pPr>
            <w:r w:rsidRPr="008819AF">
              <w:rPr>
                <w:rFonts w:eastAsia="Arial"/>
                <w:lang w:bidi="cs-CZ"/>
              </w:rPr>
              <w:t>4. Všetky výsledky monitorovania sa zaznamenávajú, spracovávajú a prezentujú tak, aby príslušný orgán mohol kontrolovať dodržiavanie prevádzkových podmienok a emisných limitov uvedených v povolení.</w:t>
            </w:r>
          </w:p>
          <w:p w14:paraId="151326DB" w14:textId="77777777" w:rsidR="00A50B3A" w:rsidRPr="008819AF" w:rsidRDefault="00A50B3A" w:rsidP="0021052F">
            <w:pPr>
              <w:ind w:left="215" w:hanging="215"/>
              <w:rPr>
                <w:rFonts w:eastAsia="Arial"/>
                <w:lang w:bidi="cs-CZ"/>
              </w:rPr>
            </w:pPr>
          </w:p>
          <w:p w14:paraId="151326DC" w14:textId="77777777" w:rsidR="007170C3" w:rsidRPr="008819AF" w:rsidRDefault="006F0418" w:rsidP="0021052F">
            <w:pPr>
              <w:ind w:left="215" w:hanging="215"/>
              <w:rPr>
                <w:rFonts w:eastAsia="Arial"/>
                <w:lang w:bidi="cs-CZ"/>
              </w:rPr>
            </w:pPr>
            <w:r w:rsidRPr="008819AF">
              <w:rPr>
                <w:rFonts w:eastAsia="Arial"/>
                <w:lang w:bidi="cs-CZ"/>
              </w:rPr>
              <w:t>5. Hneď, ako budú v Únii k dispozícii vhodné meracie techniky, Komisia stanoví prostredníctvom delegovaných aktov v súlade s článkom 76 a za podmienok uvedených v článkoch 77 a 78 dátum, od ktorého sa musia vykonávať kontinuálne merania emisií ťažkých kovov, dioxínov a furánov do ovzdušia.</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6DD" w14:textId="77777777" w:rsidR="007170C3" w:rsidRPr="008819AF" w:rsidRDefault="006F0418" w:rsidP="0021052F">
            <w:pPr>
              <w:ind w:left="215" w:hanging="215"/>
              <w:jc w:val="center"/>
              <w:rPr>
                <w:rFonts w:eastAsia="Arial"/>
                <w:lang w:bidi="cs-CZ"/>
              </w:rPr>
            </w:pPr>
            <w:r w:rsidRPr="008819AF">
              <w:rPr>
                <w:rFonts w:eastAsia="Arial"/>
                <w:lang w:bidi="cs-CZ"/>
              </w:rPr>
              <w:lastRenderedPageBreak/>
              <w:t>N</w:t>
            </w:r>
          </w:p>
          <w:p w14:paraId="151326DE" w14:textId="77777777" w:rsidR="007170C3" w:rsidRPr="008819AF" w:rsidRDefault="007170C3" w:rsidP="0021052F">
            <w:pPr>
              <w:jc w:val="center"/>
              <w:rPr>
                <w:rFonts w:eastAsia="Arial"/>
                <w:lang w:bidi="cs-CZ"/>
              </w:rPr>
            </w:pPr>
          </w:p>
          <w:p w14:paraId="151326DF" w14:textId="77777777" w:rsidR="007170C3" w:rsidRPr="008819AF" w:rsidRDefault="007170C3" w:rsidP="0021052F">
            <w:pPr>
              <w:jc w:val="center"/>
              <w:rPr>
                <w:rFonts w:eastAsia="Arial"/>
                <w:lang w:bidi="cs-CZ"/>
              </w:rPr>
            </w:pPr>
          </w:p>
          <w:p w14:paraId="151326E0" w14:textId="77777777" w:rsidR="008336CD" w:rsidRPr="008819AF" w:rsidRDefault="008336CD" w:rsidP="0021052F">
            <w:pPr>
              <w:jc w:val="center"/>
              <w:rPr>
                <w:rFonts w:eastAsia="Arial"/>
                <w:lang w:bidi="cs-CZ"/>
              </w:rPr>
            </w:pPr>
          </w:p>
          <w:p w14:paraId="151326E1" w14:textId="77777777" w:rsidR="008336CD" w:rsidRPr="008819AF" w:rsidRDefault="008336CD" w:rsidP="0021052F">
            <w:pPr>
              <w:jc w:val="center"/>
              <w:rPr>
                <w:rFonts w:eastAsia="Arial"/>
                <w:lang w:bidi="cs-CZ"/>
              </w:rPr>
            </w:pPr>
          </w:p>
          <w:p w14:paraId="151326E2" w14:textId="77777777" w:rsidR="008336CD" w:rsidRPr="008819AF" w:rsidRDefault="008336CD" w:rsidP="0021052F">
            <w:pPr>
              <w:jc w:val="center"/>
              <w:rPr>
                <w:rFonts w:eastAsia="Arial"/>
                <w:lang w:bidi="cs-CZ"/>
              </w:rPr>
            </w:pPr>
          </w:p>
          <w:p w14:paraId="151326E3" w14:textId="77777777" w:rsidR="008336CD" w:rsidRPr="008819AF" w:rsidRDefault="008336CD" w:rsidP="0021052F">
            <w:pPr>
              <w:jc w:val="center"/>
              <w:rPr>
                <w:rFonts w:eastAsia="Arial"/>
                <w:lang w:bidi="cs-CZ"/>
              </w:rPr>
            </w:pPr>
          </w:p>
          <w:p w14:paraId="151326E4" w14:textId="77777777" w:rsidR="008336CD" w:rsidRPr="008819AF" w:rsidRDefault="008336CD" w:rsidP="0021052F">
            <w:pPr>
              <w:jc w:val="center"/>
              <w:rPr>
                <w:rFonts w:eastAsia="Arial"/>
                <w:lang w:bidi="cs-CZ"/>
              </w:rPr>
            </w:pPr>
          </w:p>
          <w:p w14:paraId="151326E5" w14:textId="77777777" w:rsidR="008336CD" w:rsidRPr="008819AF" w:rsidRDefault="008336CD" w:rsidP="0021052F">
            <w:pPr>
              <w:jc w:val="center"/>
              <w:rPr>
                <w:rFonts w:eastAsia="Arial"/>
                <w:lang w:bidi="cs-CZ"/>
              </w:rPr>
            </w:pPr>
          </w:p>
          <w:p w14:paraId="151326E6" w14:textId="77777777" w:rsidR="008310AE" w:rsidRPr="008819AF" w:rsidRDefault="008310AE" w:rsidP="0021052F">
            <w:pPr>
              <w:jc w:val="center"/>
              <w:rPr>
                <w:rFonts w:eastAsia="Arial"/>
                <w:lang w:bidi="cs-CZ"/>
              </w:rPr>
            </w:pPr>
          </w:p>
          <w:p w14:paraId="151326E7" w14:textId="77777777" w:rsidR="008336CD" w:rsidRPr="008819AF" w:rsidRDefault="008336CD" w:rsidP="0021052F">
            <w:pPr>
              <w:jc w:val="center"/>
              <w:rPr>
                <w:rFonts w:eastAsia="Arial"/>
                <w:lang w:bidi="cs-CZ"/>
              </w:rPr>
            </w:pPr>
            <w:r w:rsidRPr="008819AF">
              <w:rPr>
                <w:rFonts w:eastAsia="Arial"/>
                <w:lang w:bidi="cs-CZ"/>
              </w:rPr>
              <w:lastRenderedPageBreak/>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6E8" w14:textId="77777777" w:rsidR="007170C3" w:rsidRPr="008819AF" w:rsidRDefault="00A32C9B" w:rsidP="0021052F">
            <w:pPr>
              <w:jc w:val="center"/>
              <w:rPr>
                <w:rFonts w:eastAsia="Arial"/>
                <w:lang w:bidi="cs-CZ"/>
              </w:rPr>
            </w:pPr>
            <w:r w:rsidRPr="008819AF">
              <w:rPr>
                <w:rFonts w:eastAsia="Arial"/>
                <w:lang w:bidi="cs-CZ"/>
              </w:rPr>
              <w:lastRenderedPageBreak/>
              <w:t>NZ</w:t>
            </w:r>
          </w:p>
          <w:p w14:paraId="151326E9" w14:textId="77777777" w:rsidR="007170C3" w:rsidRPr="008819AF" w:rsidRDefault="007170C3" w:rsidP="0021052F">
            <w:pPr>
              <w:ind w:left="215" w:hanging="215"/>
              <w:jc w:val="center"/>
              <w:rPr>
                <w:rFonts w:eastAsia="Arial"/>
                <w:lang w:bidi="cs-CZ"/>
              </w:rPr>
            </w:pPr>
          </w:p>
          <w:p w14:paraId="151326EA" w14:textId="77777777" w:rsidR="007170C3" w:rsidRPr="008819AF" w:rsidRDefault="007170C3" w:rsidP="0021052F">
            <w:pPr>
              <w:ind w:left="215" w:hanging="215"/>
              <w:jc w:val="center"/>
              <w:rPr>
                <w:rFonts w:eastAsia="Arial"/>
                <w:lang w:bidi="cs-CZ"/>
              </w:rPr>
            </w:pPr>
          </w:p>
          <w:p w14:paraId="151326EB" w14:textId="77777777" w:rsidR="007170C3" w:rsidRPr="008819AF" w:rsidRDefault="007170C3" w:rsidP="0021052F">
            <w:pPr>
              <w:ind w:left="215" w:hanging="215"/>
              <w:jc w:val="center"/>
              <w:rPr>
                <w:rFonts w:eastAsia="Arial"/>
                <w:lang w:bidi="cs-CZ"/>
              </w:rPr>
            </w:pPr>
          </w:p>
          <w:p w14:paraId="151326EC" w14:textId="77777777" w:rsidR="007170C3" w:rsidRPr="008819AF" w:rsidRDefault="007170C3" w:rsidP="0021052F">
            <w:pPr>
              <w:ind w:left="215" w:hanging="215"/>
              <w:jc w:val="center"/>
              <w:rPr>
                <w:rFonts w:eastAsia="Arial"/>
                <w:lang w:bidi="cs-CZ"/>
              </w:rPr>
            </w:pPr>
          </w:p>
          <w:p w14:paraId="151326ED" w14:textId="77777777" w:rsidR="007170C3" w:rsidRPr="008819AF" w:rsidRDefault="007170C3" w:rsidP="0021052F">
            <w:pPr>
              <w:ind w:left="215" w:hanging="215"/>
              <w:jc w:val="center"/>
              <w:rPr>
                <w:rFonts w:eastAsia="Arial"/>
                <w:lang w:bidi="cs-CZ"/>
              </w:rPr>
            </w:pPr>
          </w:p>
          <w:p w14:paraId="151326EE" w14:textId="77777777" w:rsidR="007170C3" w:rsidRPr="008819AF" w:rsidRDefault="007170C3" w:rsidP="0021052F">
            <w:pPr>
              <w:ind w:left="215" w:hanging="215"/>
              <w:jc w:val="center"/>
              <w:rPr>
                <w:rFonts w:eastAsia="Arial"/>
                <w:lang w:bidi="cs-CZ"/>
              </w:rPr>
            </w:pPr>
          </w:p>
          <w:p w14:paraId="151326EF" w14:textId="77777777" w:rsidR="007170C3" w:rsidRPr="008819AF" w:rsidRDefault="007170C3" w:rsidP="0021052F">
            <w:pPr>
              <w:ind w:left="215" w:hanging="215"/>
              <w:jc w:val="center"/>
              <w:rPr>
                <w:rFonts w:eastAsia="Arial"/>
                <w:lang w:bidi="cs-CZ"/>
              </w:rPr>
            </w:pPr>
          </w:p>
          <w:p w14:paraId="151326F0" w14:textId="77777777" w:rsidR="008336CD" w:rsidRPr="008819AF" w:rsidRDefault="008336CD" w:rsidP="0021052F">
            <w:pPr>
              <w:ind w:left="215" w:hanging="215"/>
              <w:jc w:val="center"/>
              <w:rPr>
                <w:rFonts w:eastAsia="Arial"/>
                <w:lang w:bidi="cs-CZ"/>
              </w:rPr>
            </w:pPr>
          </w:p>
          <w:p w14:paraId="151326F1" w14:textId="77777777" w:rsidR="008310AE" w:rsidRPr="008819AF" w:rsidRDefault="008310AE" w:rsidP="0021052F">
            <w:pPr>
              <w:ind w:left="215" w:hanging="215"/>
              <w:jc w:val="center"/>
              <w:rPr>
                <w:rFonts w:eastAsia="Arial"/>
                <w:lang w:bidi="cs-CZ"/>
              </w:rPr>
            </w:pPr>
          </w:p>
          <w:p w14:paraId="151326F2" w14:textId="77777777" w:rsidR="007170C3" w:rsidRPr="008819AF" w:rsidRDefault="00A32C9B" w:rsidP="0021052F">
            <w:pPr>
              <w:jc w:val="center"/>
              <w:rPr>
                <w:rFonts w:eastAsia="Arial"/>
                <w:lang w:bidi="cs-CZ"/>
              </w:rPr>
            </w:pPr>
            <w:r w:rsidRPr="008819AF">
              <w:rPr>
                <w:rFonts w:eastAsia="Arial"/>
                <w:lang w:bidi="cs-CZ"/>
              </w:rPr>
              <w:lastRenderedPageBreak/>
              <w:t>NZ</w:t>
            </w:r>
          </w:p>
          <w:p w14:paraId="151326F3" w14:textId="77777777" w:rsidR="007170C3" w:rsidRPr="008819AF" w:rsidRDefault="007170C3" w:rsidP="0021052F">
            <w:pPr>
              <w:ind w:left="215" w:hanging="215"/>
              <w:jc w:val="center"/>
              <w:rPr>
                <w:rFonts w:eastAsia="Arial"/>
                <w:lang w:bidi="cs-CZ"/>
              </w:rPr>
            </w:pPr>
          </w:p>
          <w:p w14:paraId="151326F4" w14:textId="77777777" w:rsidR="007170C3" w:rsidRPr="008819AF" w:rsidRDefault="007170C3" w:rsidP="0021052F">
            <w:pPr>
              <w:ind w:left="215" w:hanging="215"/>
              <w:jc w:val="center"/>
              <w:rPr>
                <w:rFonts w:eastAsia="Arial"/>
                <w:lang w:bidi="cs-CZ"/>
              </w:rPr>
            </w:pPr>
          </w:p>
          <w:p w14:paraId="151326F5" w14:textId="77777777" w:rsidR="007170C3" w:rsidRPr="008819AF" w:rsidRDefault="007170C3" w:rsidP="0021052F">
            <w:pPr>
              <w:ind w:left="215" w:hanging="215"/>
              <w:jc w:val="center"/>
              <w:rPr>
                <w:rFonts w:eastAsia="Arial"/>
                <w:lang w:bidi="cs-CZ"/>
              </w:rPr>
            </w:pPr>
          </w:p>
          <w:p w14:paraId="151326F6" w14:textId="77777777" w:rsidR="007170C3" w:rsidRPr="008819AF" w:rsidRDefault="007170C3" w:rsidP="0021052F">
            <w:pPr>
              <w:ind w:left="215" w:hanging="215"/>
              <w:jc w:val="center"/>
              <w:rPr>
                <w:rFonts w:eastAsia="Arial"/>
                <w:lang w:bidi="cs-CZ"/>
              </w:rPr>
            </w:pPr>
          </w:p>
          <w:p w14:paraId="151326F7" w14:textId="77777777" w:rsidR="007170C3" w:rsidRPr="008819AF" w:rsidRDefault="007170C3" w:rsidP="0021052F">
            <w:pPr>
              <w:ind w:left="215" w:hanging="215"/>
              <w:jc w:val="center"/>
              <w:rPr>
                <w:rFonts w:eastAsia="Arial"/>
                <w:lang w:bidi="cs-CZ"/>
              </w:rPr>
            </w:pPr>
          </w:p>
          <w:p w14:paraId="151326F8" w14:textId="77777777" w:rsidR="007170C3" w:rsidRPr="008819AF" w:rsidRDefault="007170C3" w:rsidP="0021052F">
            <w:pPr>
              <w:ind w:left="215" w:hanging="215"/>
              <w:jc w:val="center"/>
              <w:rPr>
                <w:rFonts w:eastAsia="Arial"/>
                <w:lang w:bidi="cs-CZ"/>
              </w:rPr>
            </w:pPr>
          </w:p>
          <w:p w14:paraId="151326F9" w14:textId="77777777" w:rsidR="00A50B3A" w:rsidRPr="008819AF" w:rsidRDefault="00A50B3A" w:rsidP="0021052F">
            <w:pPr>
              <w:ind w:left="215" w:hanging="215"/>
              <w:jc w:val="center"/>
              <w:rPr>
                <w:rFonts w:eastAsia="Arial"/>
                <w:lang w:bidi="cs-CZ"/>
              </w:rPr>
            </w:pPr>
          </w:p>
          <w:p w14:paraId="151326FA" w14:textId="77777777" w:rsidR="007170C3" w:rsidRPr="008819AF" w:rsidRDefault="007170C3" w:rsidP="0021052F">
            <w:pPr>
              <w:ind w:left="215" w:hanging="215"/>
              <w:jc w:val="center"/>
              <w:rPr>
                <w:rFonts w:eastAsia="Arial"/>
                <w:lang w:bidi="cs-CZ"/>
              </w:rPr>
            </w:pPr>
          </w:p>
          <w:p w14:paraId="151326FB" w14:textId="77777777" w:rsidR="007170C3" w:rsidRPr="008819AF" w:rsidRDefault="007170C3" w:rsidP="0021052F">
            <w:pPr>
              <w:ind w:left="215" w:hanging="215"/>
              <w:jc w:val="center"/>
              <w:rPr>
                <w:rFonts w:eastAsia="Arial"/>
                <w:lang w:bidi="cs-CZ"/>
              </w:rPr>
            </w:pPr>
          </w:p>
          <w:p w14:paraId="151326FC" w14:textId="77777777" w:rsidR="007170C3" w:rsidRPr="008819AF" w:rsidRDefault="007170C3" w:rsidP="0021052F">
            <w:pPr>
              <w:ind w:left="215" w:hanging="215"/>
              <w:jc w:val="center"/>
              <w:rPr>
                <w:rFonts w:eastAsia="Arial"/>
                <w:lang w:bidi="cs-CZ"/>
              </w:rPr>
            </w:pPr>
          </w:p>
          <w:p w14:paraId="151326FD" w14:textId="77777777" w:rsidR="007170C3" w:rsidRPr="008819AF" w:rsidRDefault="007170C3" w:rsidP="0021052F">
            <w:pPr>
              <w:ind w:left="215" w:hanging="215"/>
              <w:jc w:val="center"/>
              <w:rPr>
                <w:rFonts w:eastAsia="Arial"/>
                <w:lang w:bidi="cs-CZ"/>
              </w:rPr>
            </w:pPr>
          </w:p>
          <w:p w14:paraId="151326FE" w14:textId="77777777" w:rsidR="007170C3" w:rsidRPr="008819AF" w:rsidRDefault="007170C3" w:rsidP="0021052F">
            <w:pPr>
              <w:ind w:left="215" w:hanging="215"/>
              <w:jc w:val="center"/>
              <w:rPr>
                <w:rFonts w:eastAsia="Arial"/>
                <w:lang w:bidi="cs-CZ"/>
              </w:rPr>
            </w:pPr>
          </w:p>
          <w:p w14:paraId="151326FF" w14:textId="77777777" w:rsidR="00A50B3A" w:rsidRPr="008819AF" w:rsidRDefault="00A50B3A" w:rsidP="0021052F">
            <w:pPr>
              <w:ind w:left="215" w:hanging="215"/>
              <w:jc w:val="center"/>
              <w:rPr>
                <w:rFonts w:eastAsia="Arial"/>
                <w:lang w:bidi="cs-CZ"/>
              </w:rPr>
            </w:pPr>
          </w:p>
          <w:p w14:paraId="15132700" w14:textId="77777777" w:rsidR="00A50B3A" w:rsidRPr="008819AF" w:rsidRDefault="00A50B3A" w:rsidP="0021052F">
            <w:pPr>
              <w:ind w:left="215" w:hanging="215"/>
              <w:jc w:val="center"/>
              <w:rPr>
                <w:rFonts w:eastAsia="Arial"/>
                <w:lang w:bidi="cs-CZ"/>
              </w:rPr>
            </w:pPr>
          </w:p>
          <w:p w14:paraId="15132701" w14:textId="77777777" w:rsidR="00A50B3A" w:rsidRPr="008819AF" w:rsidRDefault="00A50B3A" w:rsidP="0021052F">
            <w:pPr>
              <w:ind w:left="215" w:hanging="215"/>
              <w:jc w:val="center"/>
              <w:rPr>
                <w:rFonts w:eastAsia="Arial"/>
                <w:lang w:bidi="cs-CZ"/>
              </w:rPr>
            </w:pPr>
          </w:p>
          <w:p w14:paraId="15132702" w14:textId="77777777" w:rsidR="00A50B3A" w:rsidRPr="008819AF" w:rsidRDefault="00A50B3A" w:rsidP="0021052F">
            <w:pPr>
              <w:ind w:left="215" w:hanging="215"/>
              <w:jc w:val="center"/>
              <w:rPr>
                <w:rFonts w:eastAsia="Arial"/>
                <w:lang w:bidi="cs-CZ"/>
              </w:rPr>
            </w:pPr>
          </w:p>
          <w:p w14:paraId="15132703" w14:textId="77777777" w:rsidR="00A50B3A" w:rsidRPr="008819AF" w:rsidRDefault="00A50B3A" w:rsidP="0021052F">
            <w:pPr>
              <w:ind w:left="215" w:hanging="215"/>
              <w:jc w:val="center"/>
              <w:rPr>
                <w:rFonts w:eastAsia="Arial"/>
                <w:lang w:bidi="cs-CZ"/>
              </w:rPr>
            </w:pPr>
          </w:p>
          <w:p w14:paraId="15132704" w14:textId="77777777" w:rsidR="00A50B3A" w:rsidRPr="008819AF" w:rsidRDefault="00A50B3A" w:rsidP="0021052F">
            <w:pPr>
              <w:ind w:left="215" w:hanging="215"/>
              <w:jc w:val="center"/>
              <w:rPr>
                <w:rFonts w:eastAsia="Arial"/>
                <w:lang w:bidi="cs-CZ"/>
              </w:rPr>
            </w:pPr>
          </w:p>
          <w:p w14:paraId="15132705" w14:textId="77777777" w:rsidR="00E5212C" w:rsidRPr="008819AF" w:rsidRDefault="00E5212C" w:rsidP="0021052F">
            <w:pPr>
              <w:ind w:left="215" w:hanging="215"/>
              <w:jc w:val="center"/>
              <w:rPr>
                <w:rFonts w:eastAsia="Arial"/>
                <w:lang w:bidi="cs-CZ"/>
              </w:rPr>
            </w:pPr>
          </w:p>
          <w:p w14:paraId="15132706" w14:textId="77777777" w:rsidR="008310AE" w:rsidRPr="008819AF" w:rsidRDefault="008310AE" w:rsidP="0021052F">
            <w:pPr>
              <w:ind w:left="215" w:hanging="215"/>
              <w:jc w:val="center"/>
              <w:rPr>
                <w:rFonts w:eastAsia="Arial"/>
                <w:lang w:bidi="cs-CZ"/>
              </w:rPr>
            </w:pPr>
          </w:p>
          <w:p w14:paraId="15132707" w14:textId="77777777" w:rsidR="007170C3" w:rsidRPr="008819AF" w:rsidRDefault="00E5212C" w:rsidP="0021052F">
            <w:pPr>
              <w:ind w:left="215" w:hanging="215"/>
              <w:jc w:val="center"/>
              <w:rPr>
                <w:rFonts w:eastAsia="Arial"/>
                <w:lang w:bidi="cs-CZ"/>
              </w:rPr>
            </w:pPr>
            <w:r w:rsidRPr="008819AF">
              <w:rPr>
                <w:rFonts w:eastAsia="Arial"/>
                <w:lang w:bidi="cs-CZ"/>
              </w:rPr>
              <w:t>NV1</w:t>
            </w:r>
          </w:p>
          <w:p w14:paraId="15132708" w14:textId="77777777" w:rsidR="00E5212C" w:rsidRPr="008819AF" w:rsidRDefault="00E5212C" w:rsidP="0021052F">
            <w:pPr>
              <w:ind w:left="215" w:hanging="215"/>
              <w:jc w:val="center"/>
              <w:rPr>
                <w:rFonts w:eastAsia="Arial"/>
                <w:lang w:bidi="cs-CZ"/>
              </w:rPr>
            </w:pPr>
          </w:p>
          <w:p w14:paraId="15132709" w14:textId="77777777" w:rsidR="00E5212C" w:rsidRPr="008819AF" w:rsidRDefault="00E5212C" w:rsidP="0021052F">
            <w:pPr>
              <w:ind w:left="215" w:hanging="215"/>
              <w:jc w:val="center"/>
              <w:rPr>
                <w:rFonts w:eastAsia="Arial"/>
                <w:lang w:bidi="cs-CZ"/>
              </w:rPr>
            </w:pPr>
          </w:p>
          <w:p w14:paraId="1513270A" w14:textId="77777777" w:rsidR="00E5212C" w:rsidRPr="008819AF" w:rsidRDefault="00E5212C" w:rsidP="0021052F">
            <w:pPr>
              <w:ind w:left="215" w:hanging="215"/>
              <w:jc w:val="center"/>
              <w:rPr>
                <w:rFonts w:eastAsia="Arial"/>
                <w:lang w:bidi="cs-CZ"/>
              </w:rPr>
            </w:pPr>
          </w:p>
          <w:p w14:paraId="1513270B" w14:textId="77777777" w:rsidR="00E5212C" w:rsidRPr="008819AF" w:rsidRDefault="00E5212C" w:rsidP="0021052F">
            <w:pPr>
              <w:ind w:left="215" w:hanging="215"/>
              <w:jc w:val="center"/>
              <w:rPr>
                <w:rFonts w:eastAsia="Arial"/>
                <w:lang w:bidi="cs-CZ"/>
              </w:rPr>
            </w:pPr>
          </w:p>
          <w:p w14:paraId="1513270C" w14:textId="77777777" w:rsidR="00E5212C" w:rsidRPr="008819AF" w:rsidRDefault="00E5212C" w:rsidP="0021052F">
            <w:pPr>
              <w:ind w:left="215" w:hanging="215"/>
              <w:jc w:val="center"/>
              <w:rPr>
                <w:rFonts w:eastAsia="Arial"/>
                <w:lang w:bidi="cs-CZ"/>
              </w:rPr>
            </w:pPr>
          </w:p>
          <w:p w14:paraId="1513270D" w14:textId="77777777" w:rsidR="00E5212C" w:rsidRPr="008819AF" w:rsidRDefault="00E5212C" w:rsidP="0021052F">
            <w:pPr>
              <w:ind w:left="215" w:hanging="215"/>
              <w:jc w:val="center"/>
              <w:rPr>
                <w:rFonts w:eastAsia="Arial"/>
                <w:lang w:bidi="cs-CZ"/>
              </w:rPr>
            </w:pPr>
          </w:p>
          <w:p w14:paraId="1513270E" w14:textId="77777777" w:rsidR="00E5212C" w:rsidRPr="008819AF" w:rsidRDefault="00E5212C" w:rsidP="0021052F">
            <w:pPr>
              <w:ind w:left="215" w:hanging="215"/>
              <w:jc w:val="center"/>
              <w:rPr>
                <w:rFonts w:eastAsia="Arial"/>
                <w:lang w:bidi="cs-CZ"/>
              </w:rPr>
            </w:pPr>
          </w:p>
          <w:p w14:paraId="1513270F" w14:textId="77777777" w:rsidR="00E5212C" w:rsidRPr="008819AF" w:rsidRDefault="00E5212C" w:rsidP="0021052F">
            <w:pPr>
              <w:ind w:left="215" w:hanging="215"/>
              <w:jc w:val="center"/>
              <w:rPr>
                <w:rFonts w:eastAsia="Arial"/>
                <w:lang w:bidi="cs-CZ"/>
              </w:rPr>
            </w:pPr>
          </w:p>
          <w:p w14:paraId="15132710" w14:textId="77777777" w:rsidR="00E5212C" w:rsidRPr="008819AF" w:rsidRDefault="00E5212C" w:rsidP="0021052F">
            <w:pPr>
              <w:ind w:left="215" w:hanging="215"/>
              <w:jc w:val="center"/>
              <w:rPr>
                <w:rFonts w:eastAsia="Arial"/>
                <w:lang w:bidi="cs-CZ"/>
              </w:rPr>
            </w:pPr>
          </w:p>
          <w:p w14:paraId="15132711" w14:textId="77777777" w:rsidR="00E5212C" w:rsidRPr="008819AF" w:rsidRDefault="00E5212C" w:rsidP="0021052F">
            <w:pPr>
              <w:ind w:left="215" w:hanging="215"/>
              <w:jc w:val="center"/>
              <w:rPr>
                <w:rFonts w:eastAsia="Arial"/>
                <w:lang w:bidi="cs-CZ"/>
              </w:rPr>
            </w:pPr>
          </w:p>
          <w:p w14:paraId="15132712" w14:textId="77777777" w:rsidR="007170C3" w:rsidRPr="008819AF" w:rsidRDefault="00E5212C" w:rsidP="0021052F">
            <w:pPr>
              <w:ind w:left="215" w:hanging="215"/>
              <w:jc w:val="center"/>
              <w:rPr>
                <w:rFonts w:eastAsia="Arial"/>
                <w:lang w:bidi="cs-CZ"/>
              </w:rPr>
            </w:pPr>
            <w:r w:rsidRPr="008819AF">
              <w:rPr>
                <w:rFonts w:eastAsia="Arial"/>
                <w:lang w:bidi="cs-CZ"/>
              </w:rPr>
              <w:t>NV1</w:t>
            </w:r>
          </w:p>
          <w:p w14:paraId="15132713" w14:textId="77777777" w:rsidR="007170C3" w:rsidRPr="008819AF" w:rsidRDefault="007170C3" w:rsidP="0021052F">
            <w:pPr>
              <w:ind w:left="215" w:hanging="215"/>
              <w:jc w:val="center"/>
              <w:rPr>
                <w:rFonts w:eastAsia="Arial"/>
                <w:lang w:bidi="cs-CZ"/>
              </w:rPr>
            </w:pPr>
          </w:p>
          <w:p w14:paraId="15132714" w14:textId="77777777" w:rsidR="00A50B3A" w:rsidRPr="008819AF" w:rsidRDefault="00A50B3A" w:rsidP="0021052F">
            <w:pPr>
              <w:ind w:left="215" w:hanging="215"/>
              <w:jc w:val="center"/>
              <w:rPr>
                <w:rFonts w:eastAsia="Arial"/>
                <w:lang w:bidi="cs-CZ"/>
              </w:rPr>
            </w:pPr>
          </w:p>
          <w:p w14:paraId="15132715" w14:textId="77777777" w:rsidR="00A50B3A" w:rsidRPr="008819AF" w:rsidRDefault="00A50B3A" w:rsidP="0021052F">
            <w:pPr>
              <w:ind w:left="215" w:hanging="215"/>
              <w:jc w:val="center"/>
              <w:rPr>
                <w:rFonts w:eastAsia="Arial"/>
                <w:lang w:bidi="cs-CZ"/>
              </w:rPr>
            </w:pPr>
          </w:p>
          <w:p w14:paraId="15132716" w14:textId="77777777" w:rsidR="00E5212C" w:rsidRPr="008819AF" w:rsidRDefault="00E5212C" w:rsidP="0021052F">
            <w:pPr>
              <w:ind w:left="215" w:hanging="215"/>
              <w:jc w:val="center"/>
              <w:rPr>
                <w:rFonts w:eastAsia="Arial"/>
                <w:lang w:bidi="cs-CZ"/>
              </w:rPr>
            </w:pPr>
          </w:p>
          <w:p w14:paraId="15132717" w14:textId="77777777" w:rsidR="00E5212C" w:rsidRPr="008819AF" w:rsidRDefault="00E5212C" w:rsidP="0021052F">
            <w:pPr>
              <w:ind w:left="215" w:hanging="215"/>
              <w:jc w:val="center"/>
              <w:rPr>
                <w:rFonts w:eastAsia="Arial"/>
                <w:lang w:bidi="cs-CZ"/>
              </w:rPr>
            </w:pPr>
          </w:p>
          <w:p w14:paraId="15132718" w14:textId="77777777" w:rsidR="00A50B3A" w:rsidRPr="008819AF" w:rsidRDefault="00A50B3A" w:rsidP="0021052F">
            <w:pPr>
              <w:ind w:left="215" w:hanging="215"/>
              <w:jc w:val="center"/>
              <w:rPr>
                <w:rFonts w:eastAsia="Arial"/>
                <w:lang w:bidi="cs-CZ"/>
              </w:rPr>
            </w:pPr>
          </w:p>
          <w:p w14:paraId="15132719" w14:textId="77777777" w:rsidR="00E5212C" w:rsidRPr="008819AF" w:rsidRDefault="00E5212C" w:rsidP="0021052F">
            <w:pPr>
              <w:ind w:left="215" w:hanging="215"/>
              <w:jc w:val="center"/>
              <w:rPr>
                <w:rFonts w:eastAsia="Arial"/>
                <w:lang w:bidi="cs-CZ"/>
              </w:rPr>
            </w:pPr>
          </w:p>
          <w:p w14:paraId="1513271A" w14:textId="77777777" w:rsidR="00E5212C" w:rsidRPr="008819AF" w:rsidRDefault="00E5212C" w:rsidP="0021052F">
            <w:pPr>
              <w:ind w:left="215" w:hanging="215"/>
              <w:jc w:val="center"/>
              <w:rPr>
                <w:rFonts w:eastAsia="Arial"/>
                <w:lang w:bidi="cs-CZ"/>
              </w:rPr>
            </w:pPr>
          </w:p>
          <w:p w14:paraId="1513271B" w14:textId="77777777" w:rsidR="00E5212C" w:rsidRPr="008819AF" w:rsidRDefault="00E5212C" w:rsidP="0021052F">
            <w:pPr>
              <w:ind w:left="215" w:hanging="215"/>
              <w:jc w:val="center"/>
              <w:rPr>
                <w:rFonts w:eastAsia="Arial"/>
                <w:lang w:bidi="cs-CZ"/>
              </w:rPr>
            </w:pPr>
          </w:p>
          <w:p w14:paraId="1513271C" w14:textId="77777777" w:rsidR="00E5212C" w:rsidRPr="008819AF" w:rsidRDefault="00E5212C" w:rsidP="0021052F">
            <w:pPr>
              <w:ind w:left="215" w:hanging="215"/>
              <w:jc w:val="center"/>
              <w:rPr>
                <w:rFonts w:eastAsia="Arial"/>
                <w:lang w:bidi="cs-CZ"/>
              </w:rPr>
            </w:pPr>
          </w:p>
          <w:p w14:paraId="1513271D" w14:textId="77777777" w:rsidR="00A50B3A" w:rsidRPr="008819AF" w:rsidRDefault="00A50B3A" w:rsidP="0021052F">
            <w:pPr>
              <w:ind w:left="215" w:hanging="215"/>
              <w:jc w:val="center"/>
              <w:rPr>
                <w:rFonts w:eastAsia="Arial"/>
                <w:lang w:bidi="cs-CZ"/>
              </w:rPr>
            </w:pPr>
          </w:p>
          <w:p w14:paraId="1513271E" w14:textId="77777777" w:rsidR="00A50B3A" w:rsidRPr="008819AF" w:rsidRDefault="00A50B3A" w:rsidP="0021052F">
            <w:pPr>
              <w:ind w:left="215" w:hanging="215"/>
              <w:jc w:val="center"/>
              <w:rPr>
                <w:rFonts w:eastAsia="Arial"/>
                <w:lang w:bidi="cs-CZ"/>
              </w:rPr>
            </w:pPr>
            <w:r w:rsidRPr="008819AF">
              <w:rPr>
                <w:rFonts w:eastAsia="Arial"/>
                <w:lang w:bidi="cs-CZ"/>
              </w:rPr>
              <w:t>NZ</w:t>
            </w:r>
          </w:p>
          <w:p w14:paraId="1513271F" w14:textId="77777777" w:rsidR="00A50B3A" w:rsidRPr="008819AF" w:rsidRDefault="00A50B3A" w:rsidP="0021052F">
            <w:pPr>
              <w:ind w:left="215" w:hanging="215"/>
              <w:jc w:val="center"/>
              <w:rPr>
                <w:rFonts w:eastAsia="Arial"/>
                <w:lang w:bidi="cs-CZ"/>
              </w:rPr>
            </w:pPr>
          </w:p>
          <w:p w14:paraId="15132720" w14:textId="77777777" w:rsidR="00A50B3A" w:rsidRPr="008819AF" w:rsidRDefault="00A50B3A" w:rsidP="0021052F">
            <w:pPr>
              <w:ind w:left="215" w:hanging="215"/>
              <w:jc w:val="center"/>
              <w:rPr>
                <w:rFonts w:eastAsia="Arial"/>
                <w:lang w:bidi="cs-CZ"/>
              </w:rPr>
            </w:pPr>
          </w:p>
          <w:p w14:paraId="15132721" w14:textId="77777777" w:rsidR="00A50B3A" w:rsidRPr="008819AF" w:rsidRDefault="00A50B3A" w:rsidP="0021052F">
            <w:pPr>
              <w:ind w:left="215" w:hanging="215"/>
              <w:jc w:val="center"/>
              <w:rPr>
                <w:rFonts w:eastAsia="Arial"/>
                <w:lang w:bidi="cs-CZ"/>
              </w:rPr>
            </w:pPr>
          </w:p>
          <w:p w14:paraId="15132722" w14:textId="77777777" w:rsidR="00A50B3A" w:rsidRPr="008819AF" w:rsidRDefault="00A50B3A" w:rsidP="0021052F">
            <w:pPr>
              <w:ind w:left="215" w:hanging="215"/>
              <w:jc w:val="center"/>
              <w:rPr>
                <w:rFonts w:eastAsia="Arial"/>
                <w:lang w:bidi="cs-CZ"/>
              </w:rPr>
            </w:pPr>
          </w:p>
          <w:p w14:paraId="15132723" w14:textId="77777777" w:rsidR="00A50B3A" w:rsidRPr="008819AF" w:rsidRDefault="00A50B3A" w:rsidP="00A50B3A">
            <w:pPr>
              <w:rPr>
                <w:rFonts w:eastAsia="Arial"/>
                <w:lang w:bidi="cs-CZ"/>
              </w:rPr>
            </w:pPr>
          </w:p>
          <w:p w14:paraId="15132724" w14:textId="77777777" w:rsidR="00A50B3A" w:rsidRPr="008819AF" w:rsidRDefault="00A50B3A" w:rsidP="0021052F">
            <w:pPr>
              <w:ind w:left="215" w:hanging="215"/>
              <w:jc w:val="center"/>
              <w:rPr>
                <w:rFonts w:eastAsia="Arial"/>
                <w:lang w:bidi="cs-CZ"/>
              </w:rPr>
            </w:pPr>
          </w:p>
          <w:p w14:paraId="15132725" w14:textId="77777777" w:rsidR="00A50B3A" w:rsidRPr="008819AF" w:rsidRDefault="00A50B3A" w:rsidP="0021052F">
            <w:pPr>
              <w:ind w:left="215" w:hanging="215"/>
              <w:jc w:val="center"/>
              <w:rPr>
                <w:rFonts w:eastAsia="Arial"/>
                <w:lang w:bidi="cs-CZ"/>
              </w:rPr>
            </w:pPr>
            <w:r w:rsidRPr="008819AF">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15132726" w14:textId="77777777" w:rsidR="00B444DF" w:rsidRPr="008819AF" w:rsidRDefault="006F0418" w:rsidP="0021052F">
            <w:pPr>
              <w:tabs>
                <w:tab w:val="left" w:pos="360"/>
                <w:tab w:val="left" w:pos="643"/>
              </w:tabs>
              <w:ind w:left="72"/>
              <w:jc w:val="center"/>
              <w:rPr>
                <w:rFonts w:eastAsia="a*i*l"/>
              </w:rPr>
            </w:pPr>
            <w:r w:rsidRPr="008819AF">
              <w:rPr>
                <w:rFonts w:eastAsia="a*i*l"/>
              </w:rPr>
              <w:lastRenderedPageBreak/>
              <w:t>§ 34</w:t>
            </w:r>
          </w:p>
          <w:p w14:paraId="15132727" w14:textId="77777777" w:rsidR="007170C3" w:rsidRPr="008819AF" w:rsidRDefault="006F0418" w:rsidP="0021052F">
            <w:pPr>
              <w:tabs>
                <w:tab w:val="left" w:pos="360"/>
                <w:tab w:val="left" w:pos="643"/>
              </w:tabs>
              <w:ind w:left="72"/>
              <w:jc w:val="center"/>
              <w:rPr>
                <w:rFonts w:eastAsia="a*i*l"/>
              </w:rPr>
            </w:pPr>
            <w:r w:rsidRPr="008819AF">
              <w:rPr>
                <w:rFonts w:eastAsia="a*i*l"/>
              </w:rPr>
              <w:t>O 3</w:t>
            </w:r>
          </w:p>
          <w:p w14:paraId="15132728" w14:textId="77777777" w:rsidR="007170C3" w:rsidRPr="008819AF" w:rsidRDefault="006F0418" w:rsidP="0021052F">
            <w:pPr>
              <w:tabs>
                <w:tab w:val="left" w:pos="360"/>
                <w:tab w:val="left" w:pos="643"/>
              </w:tabs>
              <w:ind w:left="72"/>
              <w:jc w:val="center"/>
              <w:rPr>
                <w:rFonts w:eastAsia="a*i*l"/>
              </w:rPr>
            </w:pPr>
            <w:r w:rsidRPr="008819AF">
              <w:rPr>
                <w:rFonts w:eastAsia="a*i*l"/>
              </w:rPr>
              <w:t>P a)</w:t>
            </w:r>
          </w:p>
          <w:p w14:paraId="15132729" w14:textId="77777777" w:rsidR="007170C3" w:rsidRPr="008819AF" w:rsidRDefault="007170C3" w:rsidP="0021052F">
            <w:pPr>
              <w:tabs>
                <w:tab w:val="left" w:pos="360"/>
                <w:tab w:val="left" w:pos="643"/>
              </w:tabs>
              <w:ind w:left="72"/>
              <w:jc w:val="center"/>
              <w:rPr>
                <w:rFonts w:eastAsia="a*i*l"/>
              </w:rPr>
            </w:pPr>
          </w:p>
          <w:p w14:paraId="1513272A" w14:textId="77777777" w:rsidR="007170C3" w:rsidRPr="008819AF" w:rsidRDefault="007170C3" w:rsidP="0021052F">
            <w:pPr>
              <w:tabs>
                <w:tab w:val="left" w:pos="360"/>
                <w:tab w:val="left" w:pos="643"/>
              </w:tabs>
              <w:ind w:left="72"/>
              <w:jc w:val="center"/>
              <w:rPr>
                <w:rFonts w:eastAsia="a*i*l"/>
              </w:rPr>
            </w:pPr>
          </w:p>
          <w:p w14:paraId="1513272B" w14:textId="77777777" w:rsidR="007170C3" w:rsidRPr="008819AF" w:rsidRDefault="007170C3" w:rsidP="0021052F">
            <w:pPr>
              <w:tabs>
                <w:tab w:val="left" w:pos="360"/>
                <w:tab w:val="left" w:pos="643"/>
              </w:tabs>
              <w:ind w:left="72"/>
              <w:jc w:val="center"/>
              <w:rPr>
                <w:rFonts w:eastAsia="a*i*l"/>
              </w:rPr>
            </w:pPr>
          </w:p>
          <w:p w14:paraId="1513272C" w14:textId="77777777" w:rsidR="007170C3" w:rsidRPr="008819AF" w:rsidRDefault="007170C3" w:rsidP="0021052F">
            <w:pPr>
              <w:tabs>
                <w:tab w:val="left" w:pos="360"/>
                <w:tab w:val="left" w:pos="643"/>
              </w:tabs>
              <w:ind w:left="72"/>
              <w:jc w:val="center"/>
              <w:rPr>
                <w:rFonts w:eastAsia="a*i*l"/>
              </w:rPr>
            </w:pPr>
          </w:p>
          <w:p w14:paraId="1513272D" w14:textId="77777777" w:rsidR="008336CD" w:rsidRPr="008819AF" w:rsidRDefault="008336CD" w:rsidP="0021052F">
            <w:pPr>
              <w:tabs>
                <w:tab w:val="left" w:pos="360"/>
                <w:tab w:val="left" w:pos="643"/>
              </w:tabs>
              <w:ind w:left="72"/>
              <w:jc w:val="center"/>
              <w:rPr>
                <w:rFonts w:eastAsia="a*i*l"/>
              </w:rPr>
            </w:pPr>
          </w:p>
          <w:p w14:paraId="1513272E" w14:textId="77777777" w:rsidR="007170C3" w:rsidRPr="008819AF" w:rsidRDefault="007170C3" w:rsidP="0021052F">
            <w:pPr>
              <w:tabs>
                <w:tab w:val="left" w:pos="360"/>
                <w:tab w:val="left" w:pos="643"/>
              </w:tabs>
              <w:ind w:left="72"/>
              <w:jc w:val="center"/>
              <w:rPr>
                <w:rFonts w:eastAsia="a*i*l"/>
              </w:rPr>
            </w:pPr>
          </w:p>
          <w:p w14:paraId="1513272F" w14:textId="77777777" w:rsidR="008310AE" w:rsidRPr="008819AF" w:rsidRDefault="008310AE" w:rsidP="0021052F">
            <w:pPr>
              <w:tabs>
                <w:tab w:val="left" w:pos="360"/>
                <w:tab w:val="left" w:pos="643"/>
              </w:tabs>
              <w:ind w:left="72"/>
              <w:jc w:val="center"/>
              <w:rPr>
                <w:rFonts w:eastAsia="a*i*l"/>
              </w:rPr>
            </w:pPr>
          </w:p>
          <w:p w14:paraId="15132730" w14:textId="77777777" w:rsidR="007170C3" w:rsidRPr="008819AF" w:rsidRDefault="00B444DF" w:rsidP="0021052F">
            <w:pPr>
              <w:tabs>
                <w:tab w:val="left" w:pos="360"/>
                <w:tab w:val="left" w:pos="643"/>
              </w:tabs>
              <w:ind w:left="72"/>
              <w:jc w:val="center"/>
              <w:rPr>
                <w:rFonts w:eastAsia="a*i*l"/>
              </w:rPr>
            </w:pPr>
            <w:r w:rsidRPr="008819AF">
              <w:rPr>
                <w:rFonts w:eastAsia="a*i*l"/>
              </w:rPr>
              <w:lastRenderedPageBreak/>
              <w:t>§ 62</w:t>
            </w:r>
          </w:p>
          <w:p w14:paraId="15132731" w14:textId="77777777" w:rsidR="007170C3" w:rsidRPr="008819AF" w:rsidRDefault="006F0418" w:rsidP="0021052F">
            <w:pPr>
              <w:tabs>
                <w:tab w:val="left" w:pos="360"/>
                <w:tab w:val="left" w:pos="643"/>
              </w:tabs>
              <w:ind w:left="72"/>
              <w:jc w:val="center"/>
              <w:rPr>
                <w:rFonts w:eastAsia="a*i*l"/>
              </w:rPr>
            </w:pPr>
            <w:r w:rsidRPr="008819AF">
              <w:rPr>
                <w:rFonts w:eastAsia="a*i*l"/>
              </w:rPr>
              <w:t>P g)</w:t>
            </w:r>
          </w:p>
          <w:p w14:paraId="15132732"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733"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734"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735"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736"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737"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738"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739"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73A"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73B"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73C" w14:textId="77777777" w:rsidR="00A50B3A" w:rsidRPr="008819AF" w:rsidRDefault="00A50B3A" w:rsidP="0021052F">
            <w:pPr>
              <w:pStyle w:val="Textpsmene"/>
              <w:ind w:left="72" w:firstLine="0"/>
              <w:jc w:val="center"/>
              <w:rPr>
                <w:rFonts w:ascii="Times New Roman" w:hAnsi="Times New Roman" w:cs="Times New Roman"/>
                <w:sz w:val="20"/>
                <w:szCs w:val="20"/>
              </w:rPr>
            </w:pPr>
          </w:p>
          <w:p w14:paraId="1513273D" w14:textId="77777777" w:rsidR="00A50B3A" w:rsidRPr="008819AF" w:rsidRDefault="00A50B3A" w:rsidP="0021052F">
            <w:pPr>
              <w:pStyle w:val="Textpsmene"/>
              <w:ind w:left="72" w:firstLine="0"/>
              <w:jc w:val="center"/>
              <w:rPr>
                <w:rFonts w:ascii="Times New Roman" w:hAnsi="Times New Roman" w:cs="Times New Roman"/>
                <w:sz w:val="20"/>
                <w:szCs w:val="20"/>
              </w:rPr>
            </w:pPr>
          </w:p>
          <w:p w14:paraId="1513273E" w14:textId="77777777" w:rsidR="00A50B3A" w:rsidRPr="008819AF" w:rsidRDefault="00A50B3A" w:rsidP="0021052F">
            <w:pPr>
              <w:pStyle w:val="Textpsmene"/>
              <w:ind w:left="72" w:firstLine="0"/>
              <w:jc w:val="center"/>
              <w:rPr>
                <w:rFonts w:ascii="Times New Roman" w:hAnsi="Times New Roman" w:cs="Times New Roman"/>
                <w:sz w:val="20"/>
                <w:szCs w:val="20"/>
              </w:rPr>
            </w:pPr>
          </w:p>
          <w:p w14:paraId="1513273F" w14:textId="77777777" w:rsidR="00A50B3A" w:rsidRPr="008819AF" w:rsidRDefault="00A50B3A" w:rsidP="0021052F">
            <w:pPr>
              <w:pStyle w:val="Textpsmene"/>
              <w:ind w:left="72" w:firstLine="0"/>
              <w:jc w:val="center"/>
              <w:rPr>
                <w:rFonts w:ascii="Times New Roman" w:hAnsi="Times New Roman" w:cs="Times New Roman"/>
                <w:sz w:val="20"/>
                <w:szCs w:val="20"/>
              </w:rPr>
            </w:pPr>
          </w:p>
          <w:p w14:paraId="15132740" w14:textId="77777777" w:rsidR="00A50B3A" w:rsidRPr="008819AF" w:rsidRDefault="00A50B3A" w:rsidP="0021052F">
            <w:pPr>
              <w:pStyle w:val="Textpsmene"/>
              <w:ind w:left="72" w:firstLine="0"/>
              <w:jc w:val="center"/>
              <w:rPr>
                <w:rFonts w:ascii="Times New Roman" w:hAnsi="Times New Roman" w:cs="Times New Roman"/>
                <w:sz w:val="20"/>
                <w:szCs w:val="20"/>
              </w:rPr>
            </w:pPr>
          </w:p>
          <w:p w14:paraId="15132741" w14:textId="77777777" w:rsidR="00A50B3A" w:rsidRPr="008819AF" w:rsidRDefault="00A50B3A" w:rsidP="0021052F">
            <w:pPr>
              <w:pStyle w:val="Textpsmene"/>
              <w:ind w:left="72" w:firstLine="0"/>
              <w:jc w:val="center"/>
              <w:rPr>
                <w:rFonts w:ascii="Times New Roman" w:hAnsi="Times New Roman" w:cs="Times New Roman"/>
                <w:sz w:val="20"/>
                <w:szCs w:val="20"/>
              </w:rPr>
            </w:pPr>
          </w:p>
          <w:p w14:paraId="15132742" w14:textId="77777777" w:rsidR="00A50B3A" w:rsidRPr="008819AF" w:rsidRDefault="00A50B3A" w:rsidP="0021052F">
            <w:pPr>
              <w:pStyle w:val="Textpsmene"/>
              <w:ind w:left="72" w:firstLine="0"/>
              <w:jc w:val="center"/>
              <w:rPr>
                <w:rFonts w:ascii="Times New Roman" w:hAnsi="Times New Roman" w:cs="Times New Roman"/>
                <w:sz w:val="20"/>
                <w:szCs w:val="20"/>
              </w:rPr>
            </w:pPr>
          </w:p>
          <w:p w14:paraId="15132743" w14:textId="77777777" w:rsidR="00A50B3A" w:rsidRPr="008819AF" w:rsidRDefault="00A50B3A" w:rsidP="0021052F">
            <w:pPr>
              <w:pStyle w:val="Textpsmene"/>
              <w:ind w:left="72" w:firstLine="0"/>
              <w:jc w:val="center"/>
              <w:rPr>
                <w:rFonts w:ascii="Times New Roman" w:hAnsi="Times New Roman" w:cs="Times New Roman"/>
                <w:sz w:val="20"/>
                <w:szCs w:val="20"/>
              </w:rPr>
            </w:pPr>
          </w:p>
          <w:p w14:paraId="15132744" w14:textId="77777777" w:rsidR="008310AE" w:rsidRPr="008819AF" w:rsidRDefault="008310AE" w:rsidP="0021052F">
            <w:pPr>
              <w:pStyle w:val="Textpsmene"/>
              <w:ind w:left="72" w:firstLine="0"/>
              <w:jc w:val="center"/>
              <w:rPr>
                <w:rFonts w:ascii="Times New Roman" w:hAnsi="Times New Roman" w:cs="Times New Roman"/>
                <w:sz w:val="20"/>
                <w:szCs w:val="20"/>
              </w:rPr>
            </w:pPr>
          </w:p>
          <w:p w14:paraId="15132745" w14:textId="77777777" w:rsidR="00A50B3A" w:rsidRPr="008819AF" w:rsidRDefault="00E5212C"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§14</w:t>
            </w:r>
          </w:p>
          <w:p w14:paraId="15132746" w14:textId="77777777" w:rsidR="00E5212C" w:rsidRPr="008819AF" w:rsidRDefault="00E5212C"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O5</w:t>
            </w:r>
          </w:p>
          <w:p w14:paraId="15132747"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48"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49"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4A"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4B"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4C"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4D"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4E"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4F"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50" w14:textId="77777777" w:rsidR="00E5212C" w:rsidRPr="008819AF" w:rsidRDefault="00E5212C"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§2</w:t>
            </w:r>
          </w:p>
          <w:p w14:paraId="15132751" w14:textId="77777777" w:rsidR="00E5212C" w:rsidRPr="008819AF" w:rsidRDefault="00E5212C"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O6</w:t>
            </w:r>
          </w:p>
          <w:p w14:paraId="15132752"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53"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54"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55"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56"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57"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58"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59" w14:textId="77777777" w:rsidR="00E5212C" w:rsidRPr="008819AF" w:rsidRDefault="00E5212C" w:rsidP="0021052F">
            <w:pPr>
              <w:pStyle w:val="Textpsmene"/>
              <w:ind w:left="72" w:firstLine="0"/>
              <w:jc w:val="center"/>
              <w:rPr>
                <w:rFonts w:ascii="Times New Roman" w:hAnsi="Times New Roman" w:cs="Times New Roman"/>
                <w:sz w:val="20"/>
                <w:szCs w:val="20"/>
              </w:rPr>
            </w:pPr>
          </w:p>
          <w:p w14:paraId="1513275A" w14:textId="77777777" w:rsidR="00A50B3A" w:rsidRPr="008819AF" w:rsidRDefault="00A50B3A" w:rsidP="0021052F">
            <w:pPr>
              <w:pStyle w:val="Textpsmene"/>
              <w:ind w:left="72" w:firstLine="0"/>
              <w:jc w:val="center"/>
              <w:rPr>
                <w:rFonts w:ascii="Times New Roman" w:hAnsi="Times New Roman" w:cs="Times New Roman"/>
                <w:sz w:val="20"/>
                <w:szCs w:val="20"/>
              </w:rPr>
            </w:pPr>
          </w:p>
          <w:p w14:paraId="1513275B" w14:textId="77777777" w:rsidR="00A50B3A" w:rsidRPr="008819AF" w:rsidRDefault="00A50B3A" w:rsidP="0021052F">
            <w:pPr>
              <w:pStyle w:val="Textpsmene"/>
              <w:ind w:left="72" w:firstLine="0"/>
              <w:jc w:val="center"/>
              <w:rPr>
                <w:rFonts w:ascii="Times New Roman" w:hAnsi="Times New Roman" w:cs="Times New Roman"/>
                <w:sz w:val="20"/>
                <w:szCs w:val="20"/>
              </w:rPr>
            </w:pPr>
          </w:p>
          <w:p w14:paraId="1513275C" w14:textId="77777777" w:rsidR="00A50B3A" w:rsidRPr="008819AF" w:rsidRDefault="00A50B3A" w:rsidP="00A50B3A">
            <w:pPr>
              <w:pStyle w:val="Textpsmene"/>
              <w:ind w:left="-3" w:firstLine="0"/>
              <w:jc w:val="center"/>
              <w:rPr>
                <w:rFonts w:ascii="Times New Roman" w:hAnsi="Times New Roman" w:cs="Times New Roman"/>
                <w:sz w:val="20"/>
                <w:szCs w:val="20"/>
              </w:rPr>
            </w:pPr>
            <w:r w:rsidRPr="008819AF">
              <w:rPr>
                <w:rFonts w:ascii="Times New Roman" w:hAnsi="Times New Roman" w:cs="Times New Roman"/>
                <w:sz w:val="20"/>
                <w:szCs w:val="20"/>
              </w:rPr>
              <w:t>§ 28</w:t>
            </w:r>
          </w:p>
          <w:p w14:paraId="1513275D" w14:textId="77777777" w:rsidR="00A50B3A" w:rsidRPr="008819AF" w:rsidRDefault="00A50B3A" w:rsidP="00A50B3A">
            <w:pPr>
              <w:pStyle w:val="Textpsmene"/>
              <w:ind w:left="-3" w:firstLine="0"/>
              <w:jc w:val="center"/>
              <w:rPr>
                <w:rFonts w:ascii="Times New Roman" w:hAnsi="Times New Roman" w:cs="Times New Roman"/>
                <w:sz w:val="20"/>
                <w:szCs w:val="20"/>
              </w:rPr>
            </w:pPr>
            <w:r w:rsidRPr="008819AF">
              <w:rPr>
                <w:rFonts w:ascii="Times New Roman" w:hAnsi="Times New Roman" w:cs="Times New Roman"/>
                <w:sz w:val="20"/>
                <w:szCs w:val="20"/>
              </w:rPr>
              <w:t>O1</w:t>
            </w:r>
          </w:p>
          <w:p w14:paraId="1513275E" w14:textId="77777777" w:rsidR="00A50B3A" w:rsidRPr="008819AF" w:rsidRDefault="00A50B3A" w:rsidP="00A50B3A">
            <w:pPr>
              <w:pStyle w:val="Textpsmene"/>
              <w:ind w:left="-3" w:firstLine="0"/>
              <w:jc w:val="center"/>
              <w:rPr>
                <w:rFonts w:ascii="Times New Roman" w:hAnsi="Times New Roman" w:cs="Times New Roman"/>
                <w:sz w:val="20"/>
                <w:szCs w:val="20"/>
              </w:rPr>
            </w:pPr>
            <w:r w:rsidRPr="008819AF">
              <w:rPr>
                <w:rFonts w:ascii="Times New Roman" w:hAnsi="Times New Roman" w:cs="Times New Roman"/>
                <w:sz w:val="20"/>
                <w:szCs w:val="20"/>
              </w:rPr>
              <w:t>P e)</w:t>
            </w:r>
          </w:p>
          <w:p w14:paraId="1513275F" w14:textId="77777777" w:rsidR="00A50B3A" w:rsidRPr="008819AF" w:rsidRDefault="00A50B3A" w:rsidP="00A50B3A">
            <w:pPr>
              <w:pStyle w:val="Textpsmene"/>
              <w:ind w:left="-3" w:firstLine="0"/>
              <w:jc w:val="center"/>
              <w:rPr>
                <w:rFonts w:ascii="Times New Roman" w:hAnsi="Times New Roman" w:cs="Times New Roman"/>
                <w:sz w:val="20"/>
                <w:szCs w:val="20"/>
              </w:rPr>
            </w:pPr>
          </w:p>
          <w:p w14:paraId="15132760" w14:textId="77777777" w:rsidR="00A50B3A" w:rsidRPr="008819AF" w:rsidRDefault="00A50B3A" w:rsidP="00A50B3A">
            <w:pPr>
              <w:pStyle w:val="Textpsmene"/>
              <w:ind w:left="-3" w:firstLine="0"/>
              <w:jc w:val="center"/>
              <w:rPr>
                <w:rFonts w:ascii="Times New Roman" w:hAnsi="Times New Roman" w:cs="Times New Roman"/>
                <w:sz w:val="20"/>
                <w:szCs w:val="20"/>
              </w:rPr>
            </w:pPr>
          </w:p>
          <w:p w14:paraId="15132761" w14:textId="77777777" w:rsidR="00A50B3A" w:rsidRPr="008819AF" w:rsidRDefault="00A50B3A" w:rsidP="00A50B3A">
            <w:pPr>
              <w:pStyle w:val="Textpsmene"/>
              <w:ind w:left="-3" w:firstLine="0"/>
              <w:jc w:val="center"/>
              <w:rPr>
                <w:rFonts w:ascii="Times New Roman" w:hAnsi="Times New Roman" w:cs="Times New Roman"/>
                <w:sz w:val="20"/>
                <w:szCs w:val="20"/>
              </w:rPr>
            </w:pPr>
          </w:p>
          <w:p w14:paraId="15132762" w14:textId="77777777" w:rsidR="00A50B3A" w:rsidRPr="008819AF" w:rsidRDefault="00A50B3A" w:rsidP="00A50B3A">
            <w:pPr>
              <w:pStyle w:val="BodyText22"/>
              <w:ind w:left="-3" w:firstLine="3"/>
              <w:jc w:val="center"/>
              <w:rPr>
                <w:rFonts w:ascii="Times New Roman" w:hAnsi="Times New Roman" w:cs="Times New Roman"/>
                <w:sz w:val="20"/>
                <w:szCs w:val="20"/>
              </w:rPr>
            </w:pPr>
          </w:p>
          <w:p w14:paraId="15132763" w14:textId="77777777" w:rsidR="00A50B3A" w:rsidRPr="008819AF" w:rsidRDefault="00A50B3A" w:rsidP="00A50B3A">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 xml:space="preserve">§ 34 </w:t>
            </w:r>
          </w:p>
          <w:p w14:paraId="15132764" w14:textId="77777777" w:rsidR="00A50B3A" w:rsidRPr="008819AF" w:rsidRDefault="00A50B3A" w:rsidP="00A50B3A">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O2</w:t>
            </w:r>
          </w:p>
          <w:p w14:paraId="15132765" w14:textId="77777777" w:rsidR="00A50B3A" w:rsidRPr="008819AF" w:rsidRDefault="00A50B3A" w:rsidP="00A50B3A">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P d)</w:t>
            </w:r>
          </w:p>
          <w:p w14:paraId="15132766" w14:textId="77777777" w:rsidR="00A50B3A" w:rsidRPr="008819AF" w:rsidRDefault="00A50B3A" w:rsidP="00A50B3A">
            <w:pPr>
              <w:pStyle w:val="BodyText22"/>
              <w:ind w:left="-3" w:firstLine="3"/>
              <w:jc w:val="center"/>
              <w:rPr>
                <w:rFonts w:ascii="Times New Roman" w:hAnsi="Times New Roman" w:cs="Times New Roman"/>
                <w:sz w:val="20"/>
                <w:szCs w:val="20"/>
              </w:rPr>
            </w:pPr>
          </w:p>
          <w:p w14:paraId="15132767" w14:textId="77777777" w:rsidR="00A50B3A" w:rsidRPr="008819AF" w:rsidRDefault="00A50B3A" w:rsidP="00A50B3A">
            <w:pPr>
              <w:pStyle w:val="BodyText22"/>
              <w:ind w:left="-3" w:firstLine="3"/>
              <w:jc w:val="center"/>
              <w:rPr>
                <w:rFonts w:ascii="Times New Roman" w:hAnsi="Times New Roman" w:cs="Times New Roman"/>
                <w:sz w:val="20"/>
                <w:szCs w:val="20"/>
              </w:rPr>
            </w:pPr>
          </w:p>
          <w:p w14:paraId="15132768" w14:textId="77777777" w:rsidR="00A50B3A" w:rsidRPr="008819AF" w:rsidRDefault="00A50B3A" w:rsidP="00A50B3A">
            <w:pPr>
              <w:pStyle w:val="BodyText22"/>
              <w:ind w:left="-3" w:firstLine="3"/>
              <w:jc w:val="center"/>
              <w:rPr>
                <w:rFonts w:ascii="Times New Roman" w:hAnsi="Times New Roman" w:cs="Times New Roman"/>
                <w:sz w:val="20"/>
                <w:szCs w:val="20"/>
              </w:rPr>
            </w:pPr>
          </w:p>
          <w:p w14:paraId="15132769" w14:textId="77777777" w:rsidR="00A50B3A" w:rsidRPr="008819AF" w:rsidRDefault="00A50B3A" w:rsidP="00A50B3A">
            <w:pPr>
              <w:pStyle w:val="BodyText22"/>
              <w:ind w:left="-3" w:firstLine="3"/>
              <w:jc w:val="center"/>
              <w:rPr>
                <w:rFonts w:ascii="Times New Roman" w:hAnsi="Times New Roman" w:cs="Times New Roman"/>
                <w:sz w:val="20"/>
                <w:szCs w:val="20"/>
              </w:rPr>
            </w:pPr>
          </w:p>
          <w:p w14:paraId="1513276A" w14:textId="77777777" w:rsidR="00A50B3A" w:rsidRPr="008819AF" w:rsidRDefault="00A50B3A" w:rsidP="00A50B3A">
            <w:pPr>
              <w:pStyle w:val="BodyText22"/>
              <w:ind w:left="-3" w:firstLine="3"/>
              <w:jc w:val="center"/>
              <w:rPr>
                <w:rFonts w:ascii="Times New Roman" w:hAnsi="Times New Roman" w:cs="Times New Roman"/>
                <w:sz w:val="20"/>
                <w:szCs w:val="20"/>
              </w:rPr>
            </w:pPr>
          </w:p>
          <w:p w14:paraId="1513276B" w14:textId="77777777" w:rsidR="00A50B3A" w:rsidRPr="008819AF" w:rsidRDefault="00A50B3A" w:rsidP="00A50B3A">
            <w:pPr>
              <w:pStyle w:val="BodyText22"/>
              <w:ind w:left="-3" w:firstLine="3"/>
              <w:jc w:val="center"/>
              <w:rPr>
                <w:rFonts w:ascii="Times New Roman" w:hAnsi="Times New Roman" w:cs="Times New Roman"/>
                <w:sz w:val="20"/>
                <w:szCs w:val="20"/>
              </w:rPr>
            </w:pPr>
          </w:p>
          <w:p w14:paraId="1513276C" w14:textId="77777777" w:rsidR="00A50B3A" w:rsidRPr="008819AF" w:rsidRDefault="00A50B3A" w:rsidP="00A50B3A">
            <w:pPr>
              <w:pStyle w:val="BodyText22"/>
              <w:ind w:left="-3" w:firstLine="3"/>
              <w:jc w:val="center"/>
              <w:rPr>
                <w:rFonts w:ascii="Times New Roman" w:hAnsi="Times New Roman" w:cs="Times New Roman"/>
                <w:sz w:val="20"/>
                <w:szCs w:val="20"/>
              </w:rPr>
            </w:pPr>
          </w:p>
          <w:p w14:paraId="1513276D" w14:textId="77777777" w:rsidR="00A50B3A" w:rsidRPr="008819AF" w:rsidRDefault="00A50B3A" w:rsidP="00A50B3A">
            <w:pPr>
              <w:pStyle w:val="BodyText22"/>
              <w:ind w:left="-3" w:firstLine="3"/>
              <w:jc w:val="center"/>
              <w:rPr>
                <w:rFonts w:ascii="Times New Roman" w:hAnsi="Times New Roman" w:cs="Times New Roman"/>
                <w:sz w:val="20"/>
                <w:szCs w:val="20"/>
              </w:rPr>
            </w:pPr>
          </w:p>
          <w:p w14:paraId="1513276E" w14:textId="77777777" w:rsidR="00A50B3A" w:rsidRPr="008819AF" w:rsidRDefault="00A50B3A" w:rsidP="00A50B3A">
            <w:pPr>
              <w:pStyle w:val="BodyText22"/>
              <w:ind w:left="-3" w:firstLine="3"/>
              <w:jc w:val="center"/>
              <w:rPr>
                <w:rFonts w:ascii="Times New Roman" w:hAnsi="Times New Roman" w:cs="Times New Roman"/>
                <w:sz w:val="20"/>
                <w:szCs w:val="20"/>
              </w:rPr>
            </w:pPr>
          </w:p>
          <w:p w14:paraId="1513276F" w14:textId="77777777" w:rsidR="00A50B3A" w:rsidRPr="008819AF" w:rsidRDefault="00A50B3A" w:rsidP="00A50B3A">
            <w:pPr>
              <w:pStyle w:val="BodyText22"/>
              <w:ind w:left="-3" w:firstLine="3"/>
              <w:jc w:val="center"/>
              <w:rPr>
                <w:rFonts w:ascii="Times New Roman" w:hAnsi="Times New Roman" w:cs="Times New Roman"/>
                <w:sz w:val="20"/>
                <w:szCs w:val="20"/>
              </w:rPr>
            </w:pPr>
          </w:p>
          <w:p w14:paraId="15132770" w14:textId="77777777" w:rsidR="00A50B3A" w:rsidRPr="008819AF" w:rsidRDefault="00A50B3A" w:rsidP="00A50B3A">
            <w:pPr>
              <w:pStyle w:val="BodyText22"/>
              <w:ind w:left="-3" w:firstLine="3"/>
              <w:jc w:val="center"/>
              <w:rPr>
                <w:rFonts w:ascii="Times New Roman" w:hAnsi="Times New Roman" w:cs="Times New Roman"/>
                <w:sz w:val="20"/>
                <w:szCs w:val="20"/>
              </w:rPr>
            </w:pPr>
          </w:p>
          <w:p w14:paraId="15132771" w14:textId="77777777" w:rsidR="00A50B3A" w:rsidRPr="008819AF" w:rsidRDefault="00A50B3A" w:rsidP="00A50B3A">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 34</w:t>
            </w:r>
          </w:p>
          <w:p w14:paraId="15132772" w14:textId="77777777" w:rsidR="00A50B3A" w:rsidRPr="008819AF" w:rsidRDefault="00A50B3A" w:rsidP="00A50B3A">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O3</w:t>
            </w:r>
          </w:p>
          <w:p w14:paraId="15132773" w14:textId="77777777" w:rsidR="00A50B3A" w:rsidRPr="008819AF" w:rsidRDefault="00A50B3A" w:rsidP="00A50B3A">
            <w:pPr>
              <w:pStyle w:val="BodyText22"/>
              <w:ind w:left="-3" w:firstLine="3"/>
              <w:jc w:val="center"/>
              <w:rPr>
                <w:rFonts w:ascii="Times New Roman" w:hAnsi="Times New Roman" w:cs="Times New Roman"/>
                <w:sz w:val="20"/>
                <w:szCs w:val="20"/>
              </w:rPr>
            </w:pPr>
            <w:r w:rsidRPr="008819AF">
              <w:rPr>
                <w:rFonts w:ascii="Times New Roman" w:hAnsi="Times New Roman" w:cs="Times New Roman"/>
                <w:sz w:val="20"/>
                <w:szCs w:val="20"/>
              </w:rPr>
              <w:t>c)</w:t>
            </w:r>
          </w:p>
          <w:p w14:paraId="15132774" w14:textId="77777777" w:rsidR="00A50B3A" w:rsidRPr="008819AF" w:rsidRDefault="00A50B3A" w:rsidP="00A50B3A">
            <w:pPr>
              <w:pStyle w:val="Textpsmene"/>
              <w:ind w:left="-3"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775" w14:textId="77777777" w:rsidR="00A50B3A" w:rsidRPr="008819AF" w:rsidRDefault="00A50B3A" w:rsidP="0021052F">
            <w:pPr>
              <w:tabs>
                <w:tab w:val="left" w:pos="360"/>
                <w:tab w:val="left" w:pos="643"/>
              </w:tabs>
              <w:rPr>
                <w:rFonts w:eastAsia="a*i*l"/>
              </w:rPr>
            </w:pPr>
            <w:r w:rsidRPr="008819AF">
              <w:rPr>
                <w:rFonts w:eastAsia="a*i*l"/>
              </w:rPr>
              <w:lastRenderedPageBreak/>
              <w:t>Prevádzkovateľ veľkého zdroja a prevádzkovateľ stredného zdroja vo veciach monitorovania a preukazovania dodržiavania prípustnej miery znečisťovania ovzdušia je povinný</w:t>
            </w:r>
          </w:p>
          <w:p w14:paraId="15132776" w14:textId="77777777" w:rsidR="007170C3" w:rsidRPr="008819AF" w:rsidRDefault="00A50B3A" w:rsidP="0021052F">
            <w:pPr>
              <w:tabs>
                <w:tab w:val="left" w:pos="360"/>
                <w:tab w:val="left" w:pos="643"/>
              </w:tabs>
              <w:rPr>
                <w:rFonts w:eastAsia="a*i*l"/>
              </w:rPr>
            </w:pPr>
            <w:r w:rsidRPr="008819AF">
              <w:rPr>
                <w:rFonts w:eastAsia="a*i*l"/>
              </w:rPr>
              <w:t>a)</w:t>
            </w:r>
            <w:r w:rsidRPr="008819AF">
              <w:rPr>
                <w:rFonts w:eastAsia="a*i*l"/>
              </w:rPr>
              <w:tab/>
              <w:t xml:space="preserve">monitorovať </w:t>
            </w:r>
            <w:r w:rsidR="00A20BEE" w:rsidRPr="008819AF">
              <w:rPr>
                <w:rFonts w:eastAsia="a*i*l"/>
              </w:rPr>
              <w:t xml:space="preserve">vybrané znečisťujúce látky </w:t>
            </w:r>
            <w:r w:rsidRPr="008819AF">
              <w:rPr>
                <w:rFonts w:eastAsia="a*i*l"/>
              </w:rPr>
              <w:t>a preukazovať dodržiavanie emisných limitov, technických požiadaviek a podmienok prevádzkovania podľa § 22 v súlade s požiadavkami určenými v povolení, spôsobom a v lehotách ustanovených vykonávacím predpisom podľa § 62 písm. g);</w:t>
            </w:r>
          </w:p>
          <w:p w14:paraId="15132777" w14:textId="77777777" w:rsidR="007170C3" w:rsidRPr="008819AF" w:rsidRDefault="007170C3" w:rsidP="0021052F">
            <w:pPr>
              <w:tabs>
                <w:tab w:val="left" w:pos="-426"/>
              </w:tabs>
              <w:ind w:left="72"/>
              <w:rPr>
                <w:rFonts w:eastAsia="t*m*s*n*w*r*m*n"/>
              </w:rPr>
            </w:pPr>
          </w:p>
          <w:p w14:paraId="15132778" w14:textId="77777777" w:rsidR="007170C3" w:rsidRPr="008819AF" w:rsidRDefault="006F0418" w:rsidP="0021052F">
            <w:pPr>
              <w:keepNext/>
              <w:rPr>
                <w:rFonts w:eastAsia="t*m*s*n*w*r*m*n"/>
              </w:rPr>
            </w:pPr>
            <w:r w:rsidRPr="008819AF">
              <w:rPr>
                <w:rFonts w:eastAsia="a*i*l"/>
              </w:rPr>
              <w:t xml:space="preserve">Všeobecne záväzný právny predpis, ktorý vydá ministerstvo </w:t>
            </w:r>
            <w:r w:rsidRPr="008819AF">
              <w:rPr>
                <w:rFonts w:eastAsia="a*i*l"/>
              </w:rPr>
              <w:lastRenderedPageBreak/>
              <w:t>ustanoví</w:t>
            </w:r>
          </w:p>
          <w:p w14:paraId="15132779" w14:textId="77777777" w:rsidR="00A50B3A" w:rsidRPr="008819AF" w:rsidRDefault="008310AE" w:rsidP="0021052F">
            <w:pPr>
              <w:pStyle w:val="BodyText22"/>
              <w:ind w:left="214" w:hanging="214"/>
              <w:jc w:val="left"/>
              <w:rPr>
                <w:rFonts w:ascii="Times New Roman" w:eastAsia="a*i*l" w:hAnsi="Times New Roman" w:cs="Times New Roman"/>
                <w:sz w:val="20"/>
                <w:szCs w:val="20"/>
                <w:lang w:bidi="sk-SK"/>
              </w:rPr>
            </w:pPr>
            <w:r w:rsidRPr="008819AF">
              <w:rPr>
                <w:rFonts w:ascii="Times New Roman" w:eastAsia="a*i*l" w:hAnsi="Times New Roman" w:cs="Times New Roman"/>
                <w:sz w:val="20"/>
                <w:szCs w:val="20"/>
                <w:lang w:bidi="sk-SK"/>
              </w:rPr>
              <w:t>g)</w:t>
            </w:r>
            <w:r w:rsidRPr="008819AF">
              <w:rPr>
                <w:rFonts w:ascii="Times New Roman" w:eastAsia="a*i*l" w:hAnsi="Times New Roman" w:cs="Times New Roman"/>
                <w:sz w:val="20"/>
                <w:szCs w:val="20"/>
                <w:lang w:bidi="sk-SK"/>
              </w:rPr>
              <w:tab/>
              <w:t>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p w14:paraId="1513277A" w14:textId="77777777" w:rsidR="008310AE" w:rsidRPr="008819AF" w:rsidRDefault="008310AE" w:rsidP="0021052F">
            <w:pPr>
              <w:pStyle w:val="BodyText22"/>
              <w:ind w:left="214" w:hanging="214"/>
              <w:jc w:val="left"/>
              <w:rPr>
                <w:rFonts w:ascii="Times New Roman" w:hAnsi="Times New Roman" w:cs="Times New Roman"/>
                <w:sz w:val="20"/>
                <w:szCs w:val="20"/>
                <w:lang w:bidi="sk-SK"/>
              </w:rPr>
            </w:pPr>
          </w:p>
          <w:p w14:paraId="1513277B" w14:textId="77777777" w:rsidR="00E5212C" w:rsidRPr="008819AF" w:rsidRDefault="00E5212C" w:rsidP="00E5212C">
            <w:pPr>
              <w:rPr>
                <w:rFonts w:eastAsia="Arial"/>
              </w:rPr>
            </w:pPr>
            <w:r w:rsidRPr="008819AF">
              <w:rPr>
                <w:rFonts w:eastAsia="Arial"/>
              </w:rPr>
              <w:t>(5)</w:t>
            </w:r>
            <w:r w:rsidRPr="008819AF">
              <w:rPr>
                <w:rFonts w:eastAsia="Arial"/>
              </w:rPr>
              <w:tab/>
              <w:t>Periodická kontrola automatizovaného meracieho systému vrátane paralelných meraní štandardnou referenčnou metódou alebo v povolení na to určenou metodikou, ak takáto metodika nie je určená, sa vykonáva v intervale najmenej raz za rok 12 kalendárny mesiacov, ak</w:t>
            </w:r>
          </w:p>
          <w:p w14:paraId="1513277C" w14:textId="77777777" w:rsidR="00E5212C" w:rsidRPr="008819AF" w:rsidRDefault="00E5212C" w:rsidP="00E5212C">
            <w:pPr>
              <w:rPr>
                <w:rFonts w:eastAsia="Arial"/>
              </w:rPr>
            </w:pPr>
            <w:r w:rsidRPr="008819AF">
              <w:rPr>
                <w:rFonts w:eastAsia="Arial"/>
              </w:rPr>
              <w:t>a)</w:t>
            </w:r>
            <w:r w:rsidRPr="008819AF">
              <w:rPr>
                <w:rFonts w:eastAsia="Arial"/>
              </w:rPr>
              <w:tab/>
              <w:t>osobitný predpis4) neustanovuje inak,</w:t>
            </w:r>
          </w:p>
          <w:p w14:paraId="1513277D" w14:textId="77777777" w:rsidR="00E5212C" w:rsidRPr="008819AF" w:rsidRDefault="00E5212C" w:rsidP="00E5212C">
            <w:pPr>
              <w:rPr>
                <w:rFonts w:eastAsia="Arial"/>
              </w:rPr>
            </w:pPr>
            <w:r w:rsidRPr="008819AF">
              <w:rPr>
                <w:rFonts w:eastAsia="Arial"/>
              </w:rPr>
              <w:t>b)</w:t>
            </w:r>
            <w:r w:rsidRPr="008819AF">
              <w:rPr>
                <w:rFonts w:eastAsia="Arial"/>
              </w:rPr>
              <w:tab/>
              <w:t>kratší interval nie je určený v dokumentácii automatizovaného meracieho systému alebo v povolení alebo</w:t>
            </w:r>
          </w:p>
          <w:p w14:paraId="1513277E" w14:textId="77777777" w:rsidR="007170C3" w:rsidRPr="008819AF" w:rsidRDefault="00E5212C" w:rsidP="00E5212C">
            <w:pPr>
              <w:rPr>
                <w:rFonts w:eastAsia="Arial"/>
              </w:rPr>
            </w:pPr>
            <w:r w:rsidRPr="008819AF">
              <w:rPr>
                <w:rFonts w:eastAsia="Arial"/>
              </w:rPr>
              <w:t>c)</w:t>
            </w:r>
            <w:r w:rsidRPr="008819AF">
              <w:rPr>
                <w:rFonts w:eastAsia="Arial"/>
              </w:rPr>
              <w:tab/>
              <w:t>v danom roku nie je nahradená úplnou kontrolou podľa odseku 2 písm. b) až g).</w:t>
            </w:r>
          </w:p>
          <w:p w14:paraId="1513277F" w14:textId="77777777" w:rsidR="007170C3" w:rsidRPr="008819AF" w:rsidRDefault="007170C3" w:rsidP="0021052F">
            <w:pPr>
              <w:pStyle w:val="BodyText22"/>
              <w:ind w:left="0" w:firstLine="0"/>
              <w:jc w:val="left"/>
              <w:rPr>
                <w:rFonts w:ascii="Times New Roman" w:hAnsi="Times New Roman" w:cs="Times New Roman"/>
                <w:sz w:val="20"/>
                <w:szCs w:val="20"/>
              </w:rPr>
            </w:pPr>
          </w:p>
          <w:p w14:paraId="15132780" w14:textId="77777777" w:rsidR="00E5212C" w:rsidRPr="008819AF" w:rsidRDefault="00E5212C" w:rsidP="0021052F">
            <w:pPr>
              <w:pStyle w:val="BodyText22"/>
              <w:ind w:left="0" w:firstLine="0"/>
              <w:jc w:val="left"/>
              <w:rPr>
                <w:rFonts w:ascii="Times New Roman" w:hAnsi="Times New Roman" w:cs="Times New Roman"/>
                <w:sz w:val="20"/>
                <w:szCs w:val="20"/>
              </w:rPr>
            </w:pPr>
            <w:r w:rsidRPr="008819AF">
              <w:rPr>
                <w:rFonts w:ascii="Times New Roman" w:hAnsi="Times New Roman" w:cs="Times New Roman"/>
                <w:sz w:val="20"/>
                <w:szCs w:val="20"/>
              </w:rPr>
              <w:t>(6)</w:t>
            </w:r>
            <w:r w:rsidRPr="008819AF">
              <w:rPr>
                <w:rFonts w:ascii="Times New Roman" w:hAnsi="Times New Roman" w:cs="Times New Roman"/>
                <w:sz w:val="20"/>
                <w:szCs w:val="20"/>
              </w:rPr>
              <w:tab/>
              <w:t xml:space="preserve">Všetky výsledky kontinuálnych meraní a diskontinuálnych meraní emisií a kvality ovzdušia v  okolí stacionárneho zdroja a výsledky zisťovaní údajov o dodržaní určených požiadaviek na automatizované meracie systémy sa zaznamenávajú, spracovávajú a prezentujú spôsobom a v rozsahu podľa § 22 ods. 3 a ods. 4 zákona a § 4 ods. 9, ak ide o monitorovanie emisií, a podľa § 13 ods. 12 a 13, ak ide o monitorovanie kvality ovzdušia aby príslušný povoľujúci orgán podľa § 2 písm. q zákona a orgán ochrany ovzdušia podľa § 39 ods. 1 písm. b) až d) zákona mohol kontrolovať dodržiavanie podmienok určených v súhlase, rozhodnutí alebo v integrovanom </w:t>
            </w:r>
            <w:r w:rsidRPr="008819AF">
              <w:rPr>
                <w:rFonts w:ascii="Times New Roman" w:hAnsi="Times New Roman" w:cs="Times New Roman"/>
                <w:sz w:val="20"/>
                <w:szCs w:val="20"/>
              </w:rPr>
              <w:lastRenderedPageBreak/>
              <w:t>povolení (ďalej len „povolenie“).</w:t>
            </w:r>
          </w:p>
          <w:p w14:paraId="15132781" w14:textId="77777777" w:rsidR="00E5212C" w:rsidRPr="008819AF" w:rsidRDefault="00E5212C" w:rsidP="0021052F">
            <w:pPr>
              <w:pStyle w:val="BodyText22"/>
              <w:ind w:left="0" w:firstLine="0"/>
              <w:jc w:val="left"/>
              <w:rPr>
                <w:rFonts w:ascii="Times New Roman" w:hAnsi="Times New Roman" w:cs="Times New Roman"/>
                <w:sz w:val="20"/>
                <w:szCs w:val="20"/>
              </w:rPr>
            </w:pPr>
          </w:p>
          <w:p w14:paraId="15132782" w14:textId="77777777" w:rsidR="00A50B3A" w:rsidRPr="008819AF" w:rsidRDefault="00A50B3A" w:rsidP="0021052F">
            <w:pPr>
              <w:pStyle w:val="BodyText22"/>
              <w:ind w:left="0" w:firstLine="0"/>
              <w:jc w:val="left"/>
              <w:rPr>
                <w:rFonts w:ascii="Times New Roman" w:hAnsi="Times New Roman" w:cs="Times New Roman"/>
                <w:sz w:val="20"/>
                <w:szCs w:val="20"/>
              </w:rPr>
            </w:pPr>
            <w:r w:rsidRPr="008819AF">
              <w:rPr>
                <w:rFonts w:ascii="Times New Roman" w:hAnsi="Times New Roman" w:cs="Times New Roman"/>
                <w:sz w:val="20"/>
                <w:szCs w:val="20"/>
              </w:rPr>
              <w:t>V povolení zdroja pre spaľovne odpadov alebo pre zariadenia na spoluspaľovanie odpadov sa uvedie najmä</w:t>
            </w:r>
          </w:p>
          <w:p w14:paraId="15132783" w14:textId="77777777" w:rsidR="00A50B3A" w:rsidRPr="008819AF" w:rsidRDefault="00A50B3A" w:rsidP="00A50B3A">
            <w:pPr>
              <w:rPr>
                <w:rFonts w:eastAsia="Arial"/>
              </w:rPr>
            </w:pPr>
            <w:r w:rsidRPr="008819AF">
              <w:rPr>
                <w:rFonts w:eastAsia="Arial"/>
              </w:rPr>
              <w:t>e) poloha meracích miest, spôsob odberu vzoriek a meracie metódy na kontinuálne meranie emisií jednotlivých znečisťujúcich látok, technických požiadaviek a podmienok prevádzkovania a stavových parametrov spalín,</w:t>
            </w:r>
          </w:p>
          <w:p w14:paraId="15132784" w14:textId="77777777" w:rsidR="00A50B3A" w:rsidRPr="008819AF" w:rsidRDefault="00A50B3A" w:rsidP="00A50B3A">
            <w:pPr>
              <w:pStyle w:val="BodyText22"/>
              <w:jc w:val="left"/>
              <w:rPr>
                <w:rFonts w:ascii="Times New Roman" w:hAnsi="Times New Roman" w:cs="Times New Roman"/>
                <w:sz w:val="20"/>
                <w:szCs w:val="20"/>
                <w:lang w:bidi="sk-SK"/>
              </w:rPr>
            </w:pPr>
          </w:p>
          <w:p w14:paraId="15132785" w14:textId="77777777" w:rsidR="00A50B3A" w:rsidRPr="008819AF" w:rsidRDefault="00A50B3A" w:rsidP="00A50B3A">
            <w:pPr>
              <w:pStyle w:val="BodyText22"/>
              <w:ind w:left="24" w:firstLine="0"/>
              <w:jc w:val="left"/>
              <w:rPr>
                <w:rFonts w:ascii="Times New Roman" w:hAnsi="Times New Roman" w:cs="Times New Roman"/>
                <w:sz w:val="20"/>
                <w:szCs w:val="20"/>
              </w:rPr>
            </w:pPr>
            <w:r w:rsidRPr="008819AF">
              <w:rPr>
                <w:rFonts w:ascii="Times New Roman" w:hAnsi="Times New Roman" w:cs="Times New Roman"/>
                <w:sz w:val="20"/>
                <w:szCs w:val="20"/>
              </w:rPr>
              <w:t>Prevádzkovateľ veľkého zdroja a prevádzkovateľ stredného zdroja vo veciach vedenia prevádzkovej evidencie, zisťovania množstva emisií, oznamovania údajov o emisiách a zdroji,  predkladania správ, súboru parametrov a opatrení, a programov na zníženie množstva emisií a informovania verejnosti je povinný</w:t>
            </w:r>
          </w:p>
          <w:p w14:paraId="15132786" w14:textId="77777777" w:rsidR="00A50B3A" w:rsidRPr="008819AF" w:rsidRDefault="00A50B3A" w:rsidP="00A50B3A">
            <w:pPr>
              <w:pStyle w:val="BodyText22"/>
              <w:ind w:left="24" w:firstLine="0"/>
              <w:jc w:val="left"/>
              <w:rPr>
                <w:rFonts w:ascii="Times New Roman" w:hAnsi="Times New Roman" w:cs="Times New Roman"/>
                <w:sz w:val="20"/>
                <w:szCs w:val="20"/>
              </w:rPr>
            </w:pPr>
            <w:r w:rsidRPr="008819AF">
              <w:rPr>
                <w:rFonts w:ascii="Times New Roman" w:hAnsi="Times New Roman" w:cs="Times New Roman"/>
                <w:sz w:val="20"/>
                <w:szCs w:val="20"/>
              </w:rPr>
              <w:t>d)</w:t>
            </w:r>
            <w:r w:rsidRPr="008819AF">
              <w:rPr>
                <w:rFonts w:ascii="Times New Roman" w:hAnsi="Times New Roman" w:cs="Times New Roman"/>
                <w:sz w:val="20"/>
                <w:szCs w:val="20"/>
              </w:rPr>
              <w:tab/>
              <w:t xml:space="preserve">každoročne, do </w:t>
            </w:r>
            <w:r w:rsidR="008310AE" w:rsidRPr="008819AF">
              <w:rPr>
                <w:rFonts w:ascii="Times New Roman" w:hAnsi="Times New Roman" w:cs="Times New Roman"/>
                <w:sz w:val="20"/>
                <w:szCs w:val="20"/>
              </w:rPr>
              <w:t>konca</w:t>
            </w:r>
            <w:r w:rsidRPr="008819AF">
              <w:rPr>
                <w:rFonts w:ascii="Times New Roman" w:hAnsi="Times New Roman" w:cs="Times New Roman"/>
                <w:sz w:val="20"/>
                <w:szCs w:val="20"/>
              </w:rPr>
              <w:t xml:space="preserve">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w:t>
            </w:r>
          </w:p>
          <w:p w14:paraId="15132787" w14:textId="77777777" w:rsidR="00A50B3A" w:rsidRPr="008819AF" w:rsidRDefault="00A50B3A" w:rsidP="00A50B3A">
            <w:pPr>
              <w:pStyle w:val="BodyText22"/>
              <w:ind w:left="24" w:firstLine="0"/>
              <w:jc w:val="left"/>
              <w:rPr>
                <w:rFonts w:ascii="Times New Roman" w:hAnsi="Times New Roman" w:cs="Times New Roman"/>
                <w:sz w:val="20"/>
                <w:szCs w:val="20"/>
              </w:rPr>
            </w:pPr>
          </w:p>
          <w:p w14:paraId="15132788" w14:textId="77777777" w:rsidR="00A50B3A" w:rsidRPr="008819AF" w:rsidRDefault="00A50B3A" w:rsidP="00A50B3A">
            <w:pPr>
              <w:pStyle w:val="BodyText22"/>
              <w:ind w:left="24" w:firstLine="0"/>
              <w:jc w:val="left"/>
              <w:rPr>
                <w:rFonts w:ascii="Times New Roman" w:hAnsi="Times New Roman" w:cs="Times New Roman"/>
                <w:sz w:val="20"/>
                <w:szCs w:val="20"/>
              </w:rPr>
            </w:pPr>
            <w:r w:rsidRPr="008819AF">
              <w:rPr>
                <w:rFonts w:ascii="Times New Roman" w:hAnsi="Times New Roman" w:cs="Times New Roman"/>
                <w:sz w:val="20"/>
                <w:szCs w:val="20"/>
              </w:rPr>
              <w:t>Prevádzkovateľ veľkého zdroja a prevádzkovateľ stredného zdroja vo veciach monitorovania a preukazovania dodržiavania prípustnej miery znečisťovania ovzdušia je povinný</w:t>
            </w:r>
          </w:p>
          <w:p w14:paraId="15132789" w14:textId="77777777" w:rsidR="00A50B3A" w:rsidRPr="008819AF" w:rsidRDefault="00A50B3A" w:rsidP="009C63CF">
            <w:pPr>
              <w:pStyle w:val="BodyText22"/>
              <w:numPr>
                <w:ilvl w:val="0"/>
                <w:numId w:val="28"/>
              </w:numPr>
              <w:rPr>
                <w:rFonts w:ascii="Times New Roman" w:hAnsi="Times New Roman" w:cs="Times New Roman"/>
                <w:sz w:val="20"/>
                <w:szCs w:val="20"/>
              </w:rPr>
            </w:pPr>
            <w:r w:rsidRPr="008819AF">
              <w:rPr>
                <w:rFonts w:ascii="Times New Roman" w:hAnsi="Times New Roman" w:cs="Times New Roman"/>
                <w:sz w:val="20"/>
                <w:szCs w:val="20"/>
              </w:rPr>
              <w:t xml:space="preserve">c) na účel informovania povoľujúceho orgánu o splnení povinností podľa písmen a) a b) a verejnosti v rozsahu a forme ustanovenej vykonávacím predpisom podľa § 62 písm. g) </w:t>
            </w:r>
          </w:p>
          <w:p w14:paraId="1513278A" w14:textId="77777777" w:rsidR="008310AE" w:rsidRPr="008819AF" w:rsidRDefault="00A50B3A" w:rsidP="009C63CF">
            <w:pPr>
              <w:pStyle w:val="BodyText22"/>
              <w:numPr>
                <w:ilvl w:val="0"/>
                <w:numId w:val="28"/>
              </w:numPr>
              <w:rPr>
                <w:rFonts w:ascii="Times New Roman" w:hAnsi="Times New Roman" w:cs="Times New Roman"/>
                <w:sz w:val="20"/>
                <w:szCs w:val="20"/>
              </w:rPr>
            </w:pPr>
            <w:r w:rsidRPr="008819AF">
              <w:rPr>
                <w:rFonts w:ascii="Times New Roman" w:hAnsi="Times New Roman" w:cs="Times New Roman"/>
                <w:sz w:val="20"/>
                <w:szCs w:val="20"/>
              </w:rPr>
              <w:t>1. zabezpečovať predloženie správy o platnom výsledku oprávnenej technickej činnosti a informácie o platnom výsledku oprávnenej technickej činnosti do Národného emisného informačného systému 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1513278B" w14:textId="77777777" w:rsidR="00A50B3A" w:rsidRPr="008819AF" w:rsidRDefault="00A50B3A" w:rsidP="009C63CF">
            <w:pPr>
              <w:pStyle w:val="BodyText22"/>
              <w:numPr>
                <w:ilvl w:val="0"/>
                <w:numId w:val="28"/>
              </w:numPr>
              <w:rPr>
                <w:rFonts w:ascii="Times New Roman" w:hAnsi="Times New Roman" w:cs="Times New Roman"/>
                <w:sz w:val="20"/>
                <w:szCs w:val="20"/>
              </w:rPr>
            </w:pPr>
            <w:r w:rsidRPr="008819AF">
              <w:rPr>
                <w:rFonts w:ascii="Times New Roman" w:hAnsi="Times New Roman" w:cs="Times New Roman"/>
                <w:sz w:val="20"/>
                <w:szCs w:val="20"/>
              </w:rPr>
              <w:t>2. zasielať mesačné a ročné protokoly z kontinuálneho merania emisií v lehote podľa osobitného predpisu6</w:t>
            </w:r>
            <w:r w:rsidR="008310AE" w:rsidRPr="008819AF">
              <w:rPr>
                <w:rFonts w:ascii="Times New Roman" w:hAnsi="Times New Roman" w:cs="Times New Roman"/>
                <w:sz w:val="20"/>
                <w:szCs w:val="20"/>
              </w:rPr>
              <w:t>7</w:t>
            </w:r>
            <w:r w:rsidRPr="008819AF">
              <w:rPr>
                <w:rFonts w:ascii="Times New Roman" w:hAnsi="Times New Roman" w:cs="Times New Roman"/>
                <w:sz w:val="20"/>
                <w:szCs w:val="20"/>
              </w:rPr>
              <w:t xml:space="preserve">) do Národného emisného informačného systému alebo oznámiť prevádzkovateľovi informačného systému adresu webového sídla, kde sú protokoly a </w:t>
            </w:r>
            <w:r w:rsidRPr="008819AF">
              <w:rPr>
                <w:rFonts w:ascii="Times New Roman" w:hAnsi="Times New Roman" w:cs="Times New Roman"/>
                <w:sz w:val="20"/>
                <w:szCs w:val="20"/>
              </w:rPr>
              <w:lastRenderedPageBreak/>
              <w:t>informácie v ustanovenom čase, rozsahu a forme sprístupňované pre uloženie v info</w:t>
            </w:r>
            <w:r w:rsidR="008310AE" w:rsidRPr="008819AF">
              <w:rPr>
                <w:rFonts w:ascii="Times New Roman" w:hAnsi="Times New Roman" w:cs="Times New Roman"/>
                <w:sz w:val="20"/>
                <w:szCs w:val="20"/>
              </w:rPr>
              <w:t>rmačnom systéme a pre verejnosť</w:t>
            </w:r>
            <w:r w:rsidRPr="008819AF">
              <w:rPr>
                <w:rFonts w:ascii="Times New Roman" w:hAnsi="Times New Roman" w:cs="Times New Roman"/>
                <w:sz w:val="20"/>
                <w:szCs w:val="20"/>
              </w:rPr>
              <w:t>,</w:t>
            </w:r>
          </w:p>
        </w:tc>
        <w:tc>
          <w:tcPr>
            <w:tcW w:w="429" w:type="dxa"/>
            <w:tcBorders>
              <w:top w:val="single" w:sz="4" w:space="0" w:color="000000"/>
              <w:left w:val="single" w:sz="6" w:space="0" w:color="000000"/>
              <w:bottom w:val="single" w:sz="4" w:space="0" w:color="000000"/>
              <w:right w:val="single" w:sz="6" w:space="0" w:color="000000"/>
            </w:tcBorders>
          </w:tcPr>
          <w:p w14:paraId="1513278C" w14:textId="77777777" w:rsidR="007170C3" w:rsidRPr="008819AF" w:rsidRDefault="006F0418" w:rsidP="0021052F">
            <w:pPr>
              <w:ind w:left="215" w:hanging="215"/>
              <w:rPr>
                <w:rFonts w:eastAsia="Arial"/>
                <w:lang w:bidi="cs-CZ"/>
              </w:rPr>
            </w:pPr>
            <w:r w:rsidRPr="008819AF">
              <w:rPr>
                <w:rFonts w:eastAsia="Arial"/>
                <w:lang w:bidi="cs-CZ"/>
              </w:rPr>
              <w:lastRenderedPageBreak/>
              <w:t>Ú</w:t>
            </w:r>
          </w:p>
          <w:p w14:paraId="1513278D" w14:textId="77777777" w:rsidR="007170C3" w:rsidRPr="008819AF" w:rsidRDefault="007170C3" w:rsidP="0021052F">
            <w:pPr>
              <w:ind w:left="215" w:hanging="215"/>
              <w:rPr>
                <w:rFonts w:eastAsia="Arial"/>
                <w:lang w:bidi="cs-CZ"/>
              </w:rPr>
            </w:pPr>
          </w:p>
          <w:p w14:paraId="1513278E" w14:textId="77777777" w:rsidR="007170C3" w:rsidRPr="008819AF" w:rsidRDefault="007170C3" w:rsidP="0021052F">
            <w:pPr>
              <w:ind w:left="215" w:hanging="215"/>
              <w:rPr>
                <w:rFonts w:eastAsia="Arial"/>
                <w:lang w:bidi="cs-CZ"/>
              </w:rPr>
            </w:pPr>
          </w:p>
          <w:p w14:paraId="1513278F" w14:textId="77777777" w:rsidR="007170C3" w:rsidRPr="008819AF" w:rsidRDefault="007170C3" w:rsidP="0021052F">
            <w:pPr>
              <w:ind w:left="215" w:hanging="215"/>
              <w:rPr>
                <w:rFonts w:eastAsia="Arial"/>
                <w:lang w:bidi="cs-CZ"/>
              </w:rPr>
            </w:pPr>
          </w:p>
          <w:p w14:paraId="15132790" w14:textId="77777777" w:rsidR="007170C3" w:rsidRPr="008819AF" w:rsidRDefault="007170C3" w:rsidP="0021052F">
            <w:pPr>
              <w:ind w:left="215" w:hanging="215"/>
              <w:rPr>
                <w:rFonts w:eastAsia="Arial"/>
                <w:lang w:bidi="cs-CZ"/>
              </w:rPr>
            </w:pPr>
          </w:p>
          <w:p w14:paraId="15132791" w14:textId="77777777" w:rsidR="007170C3" w:rsidRPr="008819AF" w:rsidRDefault="007170C3" w:rsidP="0021052F">
            <w:pPr>
              <w:ind w:left="215" w:hanging="215"/>
              <w:rPr>
                <w:rFonts w:eastAsia="Arial"/>
                <w:lang w:bidi="cs-CZ"/>
              </w:rPr>
            </w:pPr>
          </w:p>
          <w:p w14:paraId="15132792" w14:textId="77777777" w:rsidR="007170C3" w:rsidRPr="008819AF" w:rsidRDefault="007170C3" w:rsidP="0021052F">
            <w:pPr>
              <w:ind w:left="215" w:hanging="215"/>
              <w:rPr>
                <w:rFonts w:eastAsia="Arial"/>
                <w:lang w:bidi="cs-CZ"/>
              </w:rPr>
            </w:pPr>
          </w:p>
          <w:p w14:paraId="15132793" w14:textId="77777777" w:rsidR="00F929C5" w:rsidRPr="008819AF" w:rsidRDefault="00F929C5" w:rsidP="0021052F">
            <w:pPr>
              <w:ind w:left="215" w:hanging="215"/>
              <w:rPr>
                <w:rFonts w:eastAsia="Arial"/>
                <w:lang w:bidi="cs-CZ"/>
              </w:rPr>
            </w:pPr>
          </w:p>
          <w:p w14:paraId="15132794" w14:textId="77777777" w:rsidR="00F929C5" w:rsidRPr="008819AF" w:rsidRDefault="00F929C5" w:rsidP="0021052F">
            <w:pPr>
              <w:ind w:left="215" w:hanging="215"/>
              <w:rPr>
                <w:rFonts w:eastAsia="Arial"/>
                <w:lang w:bidi="cs-CZ"/>
              </w:rPr>
            </w:pPr>
          </w:p>
          <w:p w14:paraId="15132795" w14:textId="77777777" w:rsidR="00F929C5" w:rsidRPr="008819AF" w:rsidRDefault="00F929C5" w:rsidP="0021052F">
            <w:pPr>
              <w:ind w:left="215" w:hanging="215"/>
              <w:rPr>
                <w:rFonts w:eastAsia="Arial"/>
                <w:lang w:bidi="cs-CZ"/>
              </w:rPr>
            </w:pPr>
          </w:p>
          <w:p w14:paraId="15132796" w14:textId="77777777" w:rsidR="00F929C5" w:rsidRPr="008819AF" w:rsidRDefault="00F929C5" w:rsidP="00F929C5">
            <w:pPr>
              <w:ind w:left="215" w:hanging="215"/>
              <w:rPr>
                <w:rFonts w:eastAsia="Arial"/>
                <w:lang w:bidi="cs-CZ"/>
              </w:rPr>
            </w:pPr>
            <w:r w:rsidRPr="008819AF">
              <w:rPr>
                <w:rFonts w:eastAsia="Arial"/>
                <w:lang w:bidi="cs-CZ"/>
              </w:rPr>
              <w:lastRenderedPageBreak/>
              <w:t>Ú</w:t>
            </w:r>
          </w:p>
          <w:p w14:paraId="15132797" w14:textId="77777777" w:rsidR="00F929C5" w:rsidRPr="008819AF" w:rsidRDefault="00F929C5" w:rsidP="0021052F">
            <w:pPr>
              <w:ind w:left="215" w:hanging="215"/>
              <w:rPr>
                <w:rFonts w:eastAsia="Arial"/>
                <w:lang w:bidi="cs-CZ"/>
              </w:rPr>
            </w:pPr>
          </w:p>
          <w:p w14:paraId="15132798" w14:textId="77777777" w:rsidR="007170C3" w:rsidRPr="008819AF" w:rsidRDefault="007170C3" w:rsidP="0021052F">
            <w:pPr>
              <w:ind w:left="215" w:hanging="215"/>
              <w:rPr>
                <w:rFonts w:eastAsia="Arial"/>
                <w:lang w:bidi="cs-CZ"/>
              </w:rPr>
            </w:pPr>
          </w:p>
          <w:p w14:paraId="15132799" w14:textId="77777777" w:rsidR="007170C3" w:rsidRPr="008819AF" w:rsidRDefault="007170C3" w:rsidP="0021052F">
            <w:pPr>
              <w:ind w:left="215" w:hanging="215"/>
              <w:rPr>
                <w:rFonts w:eastAsia="Arial"/>
                <w:lang w:bidi="cs-CZ"/>
              </w:rPr>
            </w:pPr>
          </w:p>
          <w:p w14:paraId="1513279A" w14:textId="77777777" w:rsidR="007170C3" w:rsidRPr="008819AF" w:rsidRDefault="007170C3" w:rsidP="0021052F">
            <w:pPr>
              <w:ind w:left="215" w:hanging="215"/>
              <w:rPr>
                <w:rFonts w:eastAsia="Arial"/>
                <w:lang w:bidi="cs-CZ"/>
              </w:rPr>
            </w:pPr>
          </w:p>
          <w:p w14:paraId="1513279B" w14:textId="77777777" w:rsidR="007170C3" w:rsidRPr="008819AF" w:rsidRDefault="007170C3" w:rsidP="0021052F">
            <w:pPr>
              <w:ind w:left="215" w:hanging="215"/>
              <w:rPr>
                <w:rFonts w:eastAsia="Arial"/>
                <w:lang w:bidi="cs-CZ"/>
              </w:rPr>
            </w:pPr>
          </w:p>
          <w:p w14:paraId="1513279C" w14:textId="77777777" w:rsidR="007170C3" w:rsidRPr="008819AF" w:rsidRDefault="007170C3" w:rsidP="0021052F">
            <w:pPr>
              <w:ind w:left="215" w:hanging="215"/>
              <w:rPr>
                <w:rFonts w:eastAsia="Arial"/>
                <w:lang w:bidi="cs-CZ"/>
              </w:rPr>
            </w:pPr>
          </w:p>
          <w:p w14:paraId="1513279D" w14:textId="77777777" w:rsidR="007170C3" w:rsidRPr="008819AF" w:rsidRDefault="007170C3" w:rsidP="0021052F">
            <w:pPr>
              <w:ind w:left="215" w:hanging="215"/>
              <w:rPr>
                <w:rFonts w:eastAsia="Arial"/>
                <w:lang w:bidi="cs-CZ"/>
              </w:rPr>
            </w:pPr>
          </w:p>
          <w:p w14:paraId="1513279E" w14:textId="77777777" w:rsidR="007170C3" w:rsidRPr="008819AF" w:rsidRDefault="007170C3" w:rsidP="0021052F">
            <w:pPr>
              <w:ind w:left="215" w:hanging="215"/>
              <w:rPr>
                <w:rFonts w:eastAsia="Arial"/>
                <w:lang w:bidi="cs-CZ"/>
              </w:rPr>
            </w:pPr>
          </w:p>
          <w:p w14:paraId="1513279F" w14:textId="77777777" w:rsidR="007170C3" w:rsidRPr="008819AF" w:rsidRDefault="007170C3" w:rsidP="0021052F">
            <w:pPr>
              <w:ind w:left="215" w:hanging="215"/>
              <w:rPr>
                <w:rFonts w:eastAsia="Arial"/>
                <w:lang w:bidi="cs-CZ"/>
              </w:rPr>
            </w:pPr>
          </w:p>
          <w:p w14:paraId="151327A0" w14:textId="77777777" w:rsidR="007170C3" w:rsidRPr="008819AF" w:rsidRDefault="007170C3" w:rsidP="0021052F">
            <w:pPr>
              <w:ind w:left="215" w:hanging="215"/>
              <w:rPr>
                <w:rFonts w:eastAsia="Arial"/>
                <w:lang w:bidi="cs-CZ"/>
              </w:rPr>
            </w:pPr>
          </w:p>
          <w:p w14:paraId="151327A1" w14:textId="77777777" w:rsidR="007170C3" w:rsidRPr="008819AF" w:rsidRDefault="007170C3" w:rsidP="0021052F">
            <w:pPr>
              <w:ind w:left="215" w:hanging="215"/>
              <w:rPr>
                <w:rFonts w:eastAsia="Arial"/>
                <w:lang w:bidi="cs-CZ"/>
              </w:rPr>
            </w:pPr>
          </w:p>
          <w:p w14:paraId="151327A2" w14:textId="77777777" w:rsidR="007170C3" w:rsidRPr="008819AF" w:rsidRDefault="007170C3" w:rsidP="0021052F">
            <w:pPr>
              <w:ind w:left="215" w:hanging="215"/>
              <w:rPr>
                <w:rFonts w:eastAsia="Arial"/>
                <w:lang w:bidi="cs-CZ"/>
              </w:rPr>
            </w:pPr>
          </w:p>
          <w:p w14:paraId="151327A3" w14:textId="77777777" w:rsidR="007170C3" w:rsidRPr="008819AF" w:rsidRDefault="007170C3" w:rsidP="0021052F">
            <w:pPr>
              <w:ind w:left="215" w:hanging="215"/>
              <w:rPr>
                <w:rFonts w:eastAsia="Arial"/>
                <w:lang w:bidi="cs-CZ"/>
              </w:rPr>
            </w:pPr>
          </w:p>
          <w:p w14:paraId="151327A4" w14:textId="77777777" w:rsidR="007170C3" w:rsidRPr="008819AF" w:rsidRDefault="007170C3" w:rsidP="0021052F">
            <w:pPr>
              <w:ind w:left="215" w:hanging="215"/>
              <w:rPr>
                <w:rFonts w:eastAsia="Arial"/>
                <w:lang w:bidi="cs-CZ"/>
              </w:rPr>
            </w:pPr>
          </w:p>
          <w:p w14:paraId="151327A5" w14:textId="77777777" w:rsidR="007170C3" w:rsidRPr="008819AF" w:rsidRDefault="007170C3" w:rsidP="0021052F">
            <w:pPr>
              <w:ind w:left="215" w:hanging="215"/>
              <w:rPr>
                <w:rFonts w:eastAsia="Arial"/>
                <w:lang w:bidi="cs-CZ"/>
              </w:rPr>
            </w:pPr>
          </w:p>
          <w:p w14:paraId="151327A6" w14:textId="77777777" w:rsidR="007170C3" w:rsidRPr="008819AF" w:rsidRDefault="007170C3" w:rsidP="0021052F">
            <w:pPr>
              <w:ind w:left="215" w:hanging="215"/>
              <w:rPr>
                <w:rFonts w:eastAsia="Arial"/>
                <w:lang w:bidi="cs-CZ"/>
              </w:rPr>
            </w:pPr>
          </w:p>
          <w:p w14:paraId="151327A7" w14:textId="77777777" w:rsidR="007170C3" w:rsidRPr="008819AF" w:rsidRDefault="007170C3" w:rsidP="0021052F">
            <w:pPr>
              <w:ind w:left="215" w:hanging="215"/>
              <w:rPr>
                <w:rFonts w:eastAsia="Arial"/>
                <w:lang w:bidi="cs-CZ"/>
              </w:rPr>
            </w:pPr>
          </w:p>
          <w:p w14:paraId="151327A8" w14:textId="77777777" w:rsidR="007170C3" w:rsidRPr="008819AF" w:rsidRDefault="007170C3" w:rsidP="0021052F">
            <w:pPr>
              <w:ind w:left="215" w:hanging="215"/>
              <w:rPr>
                <w:rFonts w:eastAsia="Arial"/>
                <w:lang w:bidi="cs-CZ"/>
              </w:rPr>
            </w:pPr>
          </w:p>
          <w:p w14:paraId="151327A9" w14:textId="77777777" w:rsidR="007170C3" w:rsidRPr="008819AF" w:rsidRDefault="007170C3" w:rsidP="0021052F">
            <w:pPr>
              <w:ind w:left="215" w:hanging="215"/>
              <w:rPr>
                <w:rFonts w:eastAsia="Arial"/>
                <w:lang w:bidi="cs-CZ"/>
              </w:rPr>
            </w:pPr>
          </w:p>
          <w:p w14:paraId="151327AA" w14:textId="77777777" w:rsidR="00F929C5" w:rsidRPr="008819AF" w:rsidRDefault="00F929C5" w:rsidP="0021052F">
            <w:pPr>
              <w:ind w:left="215" w:hanging="215"/>
              <w:rPr>
                <w:rFonts w:eastAsia="Arial"/>
                <w:lang w:bidi="cs-CZ"/>
              </w:rPr>
            </w:pPr>
          </w:p>
          <w:p w14:paraId="151327AB" w14:textId="77777777" w:rsidR="00F929C5" w:rsidRPr="008819AF" w:rsidRDefault="00F929C5" w:rsidP="00F929C5">
            <w:pPr>
              <w:ind w:left="215" w:hanging="215"/>
              <w:rPr>
                <w:rFonts w:eastAsia="Arial"/>
                <w:lang w:bidi="cs-CZ"/>
              </w:rPr>
            </w:pPr>
            <w:r w:rsidRPr="008819AF">
              <w:rPr>
                <w:rFonts w:eastAsia="Arial"/>
                <w:lang w:bidi="cs-CZ"/>
              </w:rPr>
              <w:t>Ú</w:t>
            </w:r>
          </w:p>
          <w:p w14:paraId="151327AC" w14:textId="77777777" w:rsidR="00F929C5" w:rsidRPr="008819AF" w:rsidRDefault="00F929C5" w:rsidP="00F929C5">
            <w:pPr>
              <w:rPr>
                <w:rFonts w:eastAsia="Arial"/>
                <w:lang w:bidi="cs-CZ"/>
              </w:rPr>
            </w:pPr>
          </w:p>
          <w:p w14:paraId="151327AD" w14:textId="77777777" w:rsidR="00F929C5" w:rsidRPr="008819AF" w:rsidRDefault="00F929C5" w:rsidP="00F929C5">
            <w:pPr>
              <w:rPr>
                <w:rFonts w:eastAsia="Arial"/>
                <w:lang w:bidi="cs-CZ"/>
              </w:rPr>
            </w:pPr>
          </w:p>
          <w:p w14:paraId="151327AE" w14:textId="77777777" w:rsidR="00F929C5" w:rsidRPr="008819AF" w:rsidRDefault="00F929C5" w:rsidP="00F929C5">
            <w:pPr>
              <w:rPr>
                <w:rFonts w:eastAsia="Arial"/>
                <w:lang w:bidi="cs-CZ"/>
              </w:rPr>
            </w:pPr>
          </w:p>
          <w:p w14:paraId="151327AF" w14:textId="77777777" w:rsidR="00F929C5" w:rsidRPr="008819AF" w:rsidRDefault="00F929C5" w:rsidP="00F929C5">
            <w:pPr>
              <w:rPr>
                <w:rFonts w:eastAsia="Arial"/>
                <w:lang w:bidi="cs-CZ"/>
              </w:rPr>
            </w:pPr>
          </w:p>
          <w:p w14:paraId="151327B0" w14:textId="77777777" w:rsidR="008310AE" w:rsidRPr="008819AF" w:rsidRDefault="008310AE" w:rsidP="00F929C5">
            <w:pPr>
              <w:rPr>
                <w:rFonts w:eastAsia="Arial"/>
                <w:lang w:bidi="cs-CZ"/>
              </w:rPr>
            </w:pPr>
          </w:p>
          <w:p w14:paraId="151327B1" w14:textId="77777777" w:rsidR="008310AE" w:rsidRPr="008819AF" w:rsidRDefault="008310AE" w:rsidP="00F929C5">
            <w:pPr>
              <w:rPr>
                <w:rFonts w:eastAsia="Arial"/>
                <w:lang w:bidi="cs-CZ"/>
              </w:rPr>
            </w:pPr>
          </w:p>
          <w:p w14:paraId="151327B2" w14:textId="77777777" w:rsidR="008310AE" w:rsidRPr="008819AF" w:rsidRDefault="008310AE" w:rsidP="00F929C5">
            <w:pPr>
              <w:rPr>
                <w:rFonts w:eastAsia="Arial"/>
                <w:lang w:bidi="cs-CZ"/>
              </w:rPr>
            </w:pPr>
          </w:p>
          <w:p w14:paraId="151327B3" w14:textId="77777777" w:rsidR="008310AE" w:rsidRPr="008819AF" w:rsidRDefault="008310AE" w:rsidP="00F929C5">
            <w:pPr>
              <w:rPr>
                <w:rFonts w:eastAsia="Arial"/>
                <w:lang w:bidi="cs-CZ"/>
              </w:rPr>
            </w:pPr>
          </w:p>
          <w:p w14:paraId="151327B4" w14:textId="77777777" w:rsidR="008310AE" w:rsidRPr="008819AF" w:rsidRDefault="008310AE" w:rsidP="00F929C5">
            <w:pPr>
              <w:rPr>
                <w:rFonts w:eastAsia="Arial"/>
                <w:lang w:bidi="cs-CZ"/>
              </w:rPr>
            </w:pPr>
          </w:p>
          <w:p w14:paraId="151327B5" w14:textId="77777777" w:rsidR="00F929C5" w:rsidRPr="008819AF" w:rsidRDefault="00F929C5" w:rsidP="00F929C5">
            <w:pPr>
              <w:rPr>
                <w:rFonts w:eastAsia="Arial"/>
                <w:lang w:bidi="cs-CZ"/>
              </w:rPr>
            </w:pPr>
          </w:p>
          <w:p w14:paraId="151327B6" w14:textId="77777777" w:rsidR="00F929C5" w:rsidRPr="008819AF" w:rsidRDefault="00F929C5" w:rsidP="00F929C5">
            <w:pPr>
              <w:ind w:left="215" w:hanging="215"/>
              <w:rPr>
                <w:rFonts w:eastAsia="Arial"/>
                <w:lang w:bidi="cs-CZ"/>
              </w:rPr>
            </w:pPr>
            <w:r w:rsidRPr="008819AF">
              <w:rPr>
                <w:rFonts w:eastAsia="Arial"/>
                <w:lang w:bidi="cs-CZ"/>
              </w:rPr>
              <w:t>Ú</w:t>
            </w:r>
          </w:p>
          <w:p w14:paraId="151327B7" w14:textId="77777777" w:rsidR="00F929C5" w:rsidRPr="008819AF" w:rsidRDefault="00F929C5" w:rsidP="00F929C5">
            <w:pPr>
              <w:rPr>
                <w:rFonts w:eastAsia="Arial"/>
                <w:lang w:bidi="cs-CZ"/>
              </w:rPr>
            </w:pPr>
          </w:p>
          <w:p w14:paraId="151327B8" w14:textId="77777777" w:rsidR="00F929C5" w:rsidRPr="008819AF" w:rsidRDefault="00F929C5" w:rsidP="00F929C5">
            <w:pPr>
              <w:rPr>
                <w:rFonts w:eastAsia="Arial"/>
                <w:lang w:bidi="cs-CZ"/>
              </w:rPr>
            </w:pPr>
          </w:p>
          <w:p w14:paraId="151327B9" w14:textId="77777777" w:rsidR="00F929C5" w:rsidRPr="008819AF" w:rsidRDefault="00F929C5" w:rsidP="00F929C5">
            <w:pPr>
              <w:rPr>
                <w:rFonts w:eastAsia="Arial"/>
                <w:lang w:bidi="cs-CZ"/>
              </w:rPr>
            </w:pPr>
          </w:p>
          <w:p w14:paraId="151327BA" w14:textId="77777777" w:rsidR="00F929C5" w:rsidRPr="008819AF" w:rsidRDefault="00F929C5" w:rsidP="00F929C5">
            <w:pPr>
              <w:rPr>
                <w:rFonts w:eastAsia="Arial"/>
                <w:lang w:bidi="cs-CZ"/>
              </w:rPr>
            </w:pPr>
          </w:p>
          <w:p w14:paraId="151327BB" w14:textId="77777777" w:rsidR="00F929C5" w:rsidRPr="008819AF" w:rsidRDefault="00F929C5" w:rsidP="00F929C5">
            <w:pPr>
              <w:rPr>
                <w:rFonts w:eastAsia="Arial"/>
                <w:lang w:bidi="cs-CZ"/>
              </w:rPr>
            </w:pPr>
          </w:p>
          <w:p w14:paraId="151327BC" w14:textId="77777777" w:rsidR="00F929C5" w:rsidRPr="008819AF" w:rsidRDefault="00F929C5" w:rsidP="00F929C5">
            <w:pPr>
              <w:rPr>
                <w:rFonts w:eastAsia="Arial"/>
                <w:lang w:bidi="cs-CZ"/>
              </w:rPr>
            </w:pPr>
          </w:p>
          <w:p w14:paraId="151327BD" w14:textId="77777777" w:rsidR="00F929C5" w:rsidRPr="008819AF" w:rsidRDefault="00F929C5" w:rsidP="00F929C5">
            <w:pPr>
              <w:rPr>
                <w:rFonts w:eastAsia="Arial"/>
                <w:lang w:bidi="cs-CZ"/>
              </w:rPr>
            </w:pPr>
          </w:p>
          <w:p w14:paraId="151327BE" w14:textId="77777777" w:rsidR="00F929C5" w:rsidRPr="008819AF" w:rsidRDefault="00F929C5" w:rsidP="00F929C5">
            <w:pPr>
              <w:rPr>
                <w:rFonts w:eastAsia="Arial"/>
                <w:lang w:bidi="cs-CZ"/>
              </w:rPr>
            </w:pPr>
          </w:p>
          <w:p w14:paraId="151327BF" w14:textId="77777777" w:rsidR="00F929C5" w:rsidRPr="008819AF" w:rsidRDefault="00F929C5" w:rsidP="00F929C5">
            <w:pPr>
              <w:rPr>
                <w:rFonts w:eastAsia="Arial"/>
                <w:lang w:bidi="cs-CZ"/>
              </w:rPr>
            </w:pPr>
          </w:p>
          <w:p w14:paraId="151327C0" w14:textId="77777777" w:rsidR="00F929C5" w:rsidRPr="008819AF" w:rsidRDefault="00F929C5" w:rsidP="00F929C5">
            <w:pPr>
              <w:rPr>
                <w:rFonts w:eastAsia="Arial"/>
                <w:lang w:bidi="cs-CZ"/>
              </w:rPr>
            </w:pPr>
          </w:p>
          <w:p w14:paraId="151327C1" w14:textId="77777777" w:rsidR="00F929C5" w:rsidRPr="008819AF" w:rsidRDefault="00F929C5" w:rsidP="00F929C5">
            <w:pPr>
              <w:rPr>
                <w:rFonts w:eastAsia="Arial"/>
                <w:lang w:bidi="cs-CZ"/>
              </w:rPr>
            </w:pPr>
          </w:p>
          <w:p w14:paraId="151327C2" w14:textId="77777777" w:rsidR="00F929C5" w:rsidRPr="008819AF" w:rsidRDefault="00F929C5" w:rsidP="00F929C5">
            <w:pPr>
              <w:ind w:left="215" w:hanging="215"/>
              <w:rPr>
                <w:rFonts w:eastAsia="Arial"/>
                <w:lang w:bidi="cs-CZ"/>
              </w:rPr>
            </w:pPr>
            <w:r w:rsidRPr="008819AF">
              <w:rPr>
                <w:rFonts w:eastAsia="Arial"/>
                <w:lang w:bidi="cs-CZ"/>
              </w:rPr>
              <w:t>Ú</w:t>
            </w:r>
          </w:p>
          <w:p w14:paraId="151327C3" w14:textId="77777777" w:rsidR="00F929C5" w:rsidRPr="008819AF" w:rsidRDefault="00F929C5" w:rsidP="00F929C5">
            <w:pPr>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7C4" w14:textId="77777777" w:rsidR="007170C3" w:rsidRPr="008819AF" w:rsidRDefault="007170C3" w:rsidP="0021052F">
            <w:pPr>
              <w:rPr>
                <w:rFonts w:eastAsia="Arial"/>
                <w:lang w:bidi="cs-CZ"/>
              </w:rPr>
            </w:pPr>
          </w:p>
          <w:p w14:paraId="151327C5" w14:textId="77777777" w:rsidR="007170C3" w:rsidRPr="008819AF" w:rsidRDefault="007170C3" w:rsidP="0021052F">
            <w:pPr>
              <w:rPr>
                <w:rFonts w:eastAsia="Arial"/>
                <w:lang w:bidi="cs-CZ"/>
              </w:rPr>
            </w:pPr>
          </w:p>
          <w:p w14:paraId="151327C6" w14:textId="77777777" w:rsidR="007170C3" w:rsidRPr="008819AF" w:rsidRDefault="007170C3" w:rsidP="0021052F">
            <w:pPr>
              <w:rPr>
                <w:rFonts w:eastAsia="Arial"/>
                <w:lang w:bidi="cs-CZ"/>
              </w:rPr>
            </w:pPr>
          </w:p>
          <w:p w14:paraId="151327C7" w14:textId="77777777" w:rsidR="007170C3" w:rsidRPr="008819AF" w:rsidRDefault="007170C3" w:rsidP="0021052F">
            <w:pPr>
              <w:rPr>
                <w:rFonts w:eastAsia="Arial"/>
                <w:lang w:bidi="cs-CZ"/>
              </w:rPr>
            </w:pPr>
          </w:p>
          <w:p w14:paraId="151327C8" w14:textId="77777777" w:rsidR="007170C3" w:rsidRPr="008819AF" w:rsidRDefault="007170C3" w:rsidP="0021052F">
            <w:pPr>
              <w:rPr>
                <w:rFonts w:eastAsia="Arial"/>
                <w:lang w:bidi="cs-CZ"/>
              </w:rPr>
            </w:pPr>
          </w:p>
          <w:p w14:paraId="151327C9" w14:textId="77777777" w:rsidR="007170C3" w:rsidRPr="008819AF" w:rsidRDefault="007170C3" w:rsidP="0021052F">
            <w:pPr>
              <w:rPr>
                <w:rFonts w:eastAsia="Arial"/>
                <w:lang w:bidi="cs-CZ"/>
              </w:rPr>
            </w:pPr>
          </w:p>
          <w:p w14:paraId="151327CA" w14:textId="77777777" w:rsidR="007170C3" w:rsidRPr="008819AF" w:rsidRDefault="007170C3" w:rsidP="0021052F">
            <w:pPr>
              <w:rPr>
                <w:rFonts w:eastAsia="Arial"/>
                <w:lang w:bidi="cs-CZ"/>
              </w:rPr>
            </w:pPr>
          </w:p>
          <w:p w14:paraId="151327CB" w14:textId="77777777" w:rsidR="007170C3" w:rsidRPr="008819AF" w:rsidRDefault="007170C3" w:rsidP="0021052F">
            <w:pPr>
              <w:rPr>
                <w:rFonts w:eastAsia="Arial"/>
                <w:lang w:bidi="cs-CZ"/>
              </w:rPr>
            </w:pPr>
          </w:p>
          <w:p w14:paraId="151327CC" w14:textId="77777777" w:rsidR="007170C3" w:rsidRPr="008819AF" w:rsidRDefault="007170C3" w:rsidP="0021052F">
            <w:pPr>
              <w:rPr>
                <w:rFonts w:eastAsia="Arial"/>
                <w:lang w:bidi="cs-CZ"/>
              </w:rPr>
            </w:pPr>
          </w:p>
          <w:p w14:paraId="151327CD" w14:textId="77777777" w:rsidR="007170C3" w:rsidRPr="008819AF" w:rsidRDefault="007170C3" w:rsidP="0021052F">
            <w:pPr>
              <w:rPr>
                <w:rFonts w:eastAsia="Arial"/>
                <w:lang w:bidi="cs-CZ"/>
              </w:rPr>
            </w:pPr>
          </w:p>
          <w:p w14:paraId="151327CE" w14:textId="77777777" w:rsidR="007170C3" w:rsidRPr="008819AF" w:rsidRDefault="007170C3" w:rsidP="0021052F">
            <w:pPr>
              <w:rPr>
                <w:rFonts w:eastAsia="Arial"/>
                <w:lang w:bidi="cs-CZ"/>
              </w:rPr>
            </w:pPr>
          </w:p>
          <w:p w14:paraId="151327CF" w14:textId="77777777" w:rsidR="007170C3" w:rsidRPr="008819AF" w:rsidRDefault="007170C3" w:rsidP="0021052F">
            <w:pPr>
              <w:rPr>
                <w:rFonts w:eastAsia="Arial"/>
                <w:lang w:bidi="cs-CZ"/>
              </w:rPr>
            </w:pPr>
          </w:p>
        </w:tc>
      </w:tr>
      <w:tr w:rsidR="00F80158" w:rsidRPr="008819AF" w14:paraId="15132817" w14:textId="77777777" w:rsidTr="005E1FE1">
        <w:trPr>
          <w:trHeight w:val="371"/>
          <w:jc w:val="center"/>
        </w:trPr>
        <w:tc>
          <w:tcPr>
            <w:tcW w:w="483" w:type="dxa"/>
            <w:tcBorders>
              <w:top w:val="single" w:sz="4" w:space="0" w:color="000000"/>
              <w:left w:val="single" w:sz="6" w:space="0" w:color="000000"/>
              <w:bottom w:val="single" w:sz="4" w:space="0" w:color="000000"/>
              <w:right w:val="single" w:sz="6" w:space="0" w:color="000000"/>
            </w:tcBorders>
          </w:tcPr>
          <w:p w14:paraId="151327D1" w14:textId="77777777" w:rsidR="007170C3" w:rsidRPr="008819AF" w:rsidRDefault="006F0418" w:rsidP="003E351D">
            <w:pPr>
              <w:ind w:right="-70"/>
              <w:rPr>
                <w:rFonts w:eastAsia="Arial"/>
                <w:lang w:bidi="cs-CZ"/>
              </w:rPr>
            </w:pPr>
            <w:r w:rsidRPr="008819AF">
              <w:rPr>
                <w:rFonts w:eastAsia="Arial"/>
                <w:lang w:bidi="cs-CZ"/>
              </w:rPr>
              <w:lastRenderedPageBreak/>
              <w:t>Č:49</w:t>
            </w:r>
          </w:p>
        </w:tc>
        <w:tc>
          <w:tcPr>
            <w:tcW w:w="6227" w:type="dxa"/>
            <w:gridSpan w:val="2"/>
            <w:tcBorders>
              <w:top w:val="single" w:sz="4" w:space="0" w:color="000000"/>
              <w:left w:val="single" w:sz="6" w:space="0" w:color="000000"/>
              <w:bottom w:val="single" w:sz="4" w:space="0" w:color="000000"/>
              <w:right w:val="single" w:sz="6" w:space="0" w:color="000000"/>
            </w:tcBorders>
          </w:tcPr>
          <w:p w14:paraId="151327D2" w14:textId="77777777" w:rsidR="007170C3" w:rsidRPr="008819AF" w:rsidRDefault="006F0418" w:rsidP="0021052F">
            <w:pPr>
              <w:ind w:left="215" w:hanging="215"/>
              <w:rPr>
                <w:rFonts w:eastAsia="Arial"/>
                <w:lang w:bidi="cs-CZ"/>
              </w:rPr>
            </w:pPr>
            <w:r w:rsidRPr="008819AF">
              <w:rPr>
                <w:rFonts w:eastAsia="Arial"/>
                <w:lang w:bidi="cs-CZ"/>
              </w:rPr>
              <w:t>Článok 49</w:t>
            </w:r>
          </w:p>
          <w:p w14:paraId="151327D3" w14:textId="77777777" w:rsidR="007170C3" w:rsidRPr="008819AF" w:rsidRDefault="006F0418" w:rsidP="0021052F">
            <w:pPr>
              <w:ind w:left="215" w:hanging="215"/>
              <w:rPr>
                <w:rFonts w:eastAsia="Arial"/>
                <w:lang w:bidi="cs-CZ"/>
              </w:rPr>
            </w:pPr>
            <w:r w:rsidRPr="008819AF">
              <w:rPr>
                <w:rFonts w:eastAsia="Arial"/>
                <w:lang w:bidi="cs-CZ"/>
              </w:rPr>
              <w:t>Dodržiavanie emisných limitov</w:t>
            </w:r>
          </w:p>
          <w:p w14:paraId="151327D4" w14:textId="77777777" w:rsidR="007170C3" w:rsidRPr="008819AF" w:rsidRDefault="007170C3" w:rsidP="0021052F">
            <w:pPr>
              <w:ind w:left="215" w:hanging="215"/>
              <w:rPr>
                <w:rFonts w:eastAsia="Arial"/>
                <w:lang w:bidi="cs-CZ"/>
              </w:rPr>
            </w:pPr>
          </w:p>
          <w:p w14:paraId="151327D5" w14:textId="77777777" w:rsidR="007170C3" w:rsidRPr="008819AF" w:rsidRDefault="006F0418" w:rsidP="0021052F">
            <w:pPr>
              <w:ind w:left="215" w:hanging="1"/>
              <w:rPr>
                <w:rFonts w:eastAsia="Arial"/>
                <w:lang w:bidi="cs-CZ"/>
              </w:rPr>
            </w:pPr>
            <w:r w:rsidRPr="008819AF">
              <w:rPr>
                <w:rFonts w:eastAsia="Arial"/>
                <w:lang w:bidi="cs-CZ"/>
              </w:rPr>
              <w:t>Emisné limity do ovzdušia a vody sa považujú za dodržané v prípade splnenia podmienok opísaných v prílohe VI časti 8.</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7D6" w14:textId="77777777" w:rsidR="007170C3" w:rsidRPr="008819AF" w:rsidRDefault="006F0418" w:rsidP="0021052F">
            <w:pPr>
              <w:ind w:left="215" w:hanging="215"/>
              <w:jc w:val="center"/>
              <w:rPr>
                <w:rFonts w:eastAsia="Arial"/>
                <w:lang w:bidi="cs-CZ"/>
              </w:rPr>
            </w:pPr>
            <w:r w:rsidRPr="008819AF">
              <w:rPr>
                <w:rFonts w:eastAsia="Arial"/>
                <w:lang w:bidi="cs-CZ"/>
              </w:rPr>
              <w:t>N</w:t>
            </w:r>
          </w:p>
          <w:p w14:paraId="151327D7" w14:textId="77777777" w:rsidR="005E1FE1" w:rsidRPr="008819AF" w:rsidRDefault="005E1FE1" w:rsidP="0021052F">
            <w:pPr>
              <w:ind w:left="215" w:hanging="215"/>
              <w:jc w:val="center"/>
              <w:rPr>
                <w:rFonts w:eastAsia="Arial"/>
                <w:lang w:bidi="cs-CZ"/>
              </w:rPr>
            </w:pPr>
          </w:p>
          <w:p w14:paraId="151327D8" w14:textId="77777777" w:rsidR="005E1FE1" w:rsidRPr="008819AF" w:rsidRDefault="005E1FE1" w:rsidP="0021052F">
            <w:pPr>
              <w:ind w:left="215" w:hanging="215"/>
              <w:jc w:val="center"/>
              <w:rPr>
                <w:rFonts w:eastAsia="Arial"/>
                <w:lang w:bidi="cs-CZ"/>
              </w:rPr>
            </w:pPr>
          </w:p>
          <w:p w14:paraId="151327D9" w14:textId="77777777" w:rsidR="005E1FE1" w:rsidRPr="008819AF" w:rsidRDefault="005E1FE1" w:rsidP="0021052F">
            <w:pPr>
              <w:ind w:left="215" w:hanging="215"/>
              <w:jc w:val="center"/>
              <w:rPr>
                <w:rFonts w:eastAsia="Arial"/>
                <w:lang w:bidi="cs-CZ"/>
              </w:rPr>
            </w:pPr>
          </w:p>
          <w:p w14:paraId="151327DA" w14:textId="77777777" w:rsidR="005E1FE1" w:rsidRPr="008819AF" w:rsidRDefault="005E1FE1" w:rsidP="0021052F">
            <w:pPr>
              <w:ind w:left="215" w:hanging="215"/>
              <w:jc w:val="center"/>
              <w:rPr>
                <w:rFonts w:eastAsia="Arial"/>
                <w:lang w:bidi="cs-CZ"/>
              </w:rPr>
            </w:pPr>
          </w:p>
          <w:p w14:paraId="151327DB" w14:textId="77777777" w:rsidR="005E1FE1" w:rsidRPr="008819AF" w:rsidRDefault="005E1FE1" w:rsidP="0021052F">
            <w:pPr>
              <w:ind w:left="215" w:hanging="215"/>
              <w:jc w:val="center"/>
              <w:rPr>
                <w:rFonts w:eastAsia="Arial"/>
                <w:lang w:bidi="cs-CZ"/>
              </w:rPr>
            </w:pPr>
          </w:p>
          <w:p w14:paraId="151327DC" w14:textId="77777777" w:rsidR="005E1FE1" w:rsidRPr="008819AF" w:rsidRDefault="005E1FE1" w:rsidP="0021052F">
            <w:pPr>
              <w:ind w:left="215" w:hanging="215"/>
              <w:jc w:val="center"/>
              <w:rPr>
                <w:rFonts w:eastAsia="Arial"/>
                <w:lang w:bidi="cs-CZ"/>
              </w:rPr>
            </w:pPr>
          </w:p>
          <w:p w14:paraId="151327DD" w14:textId="77777777" w:rsidR="005E1FE1" w:rsidRPr="008819AF" w:rsidRDefault="005E1FE1" w:rsidP="0021052F">
            <w:pPr>
              <w:ind w:left="215" w:hanging="215"/>
              <w:jc w:val="center"/>
              <w:rPr>
                <w:rFonts w:eastAsia="Arial"/>
                <w:lang w:bidi="cs-CZ"/>
              </w:rPr>
            </w:pPr>
          </w:p>
          <w:p w14:paraId="151327DE" w14:textId="77777777" w:rsidR="005E1FE1" w:rsidRPr="008819AF" w:rsidRDefault="005E1FE1" w:rsidP="0021052F">
            <w:pPr>
              <w:ind w:left="215" w:hanging="215"/>
              <w:jc w:val="center"/>
              <w:rPr>
                <w:rFonts w:eastAsia="Arial"/>
                <w:lang w:bidi="cs-CZ"/>
              </w:rPr>
            </w:pPr>
          </w:p>
          <w:p w14:paraId="151327DF" w14:textId="77777777" w:rsidR="005E1FE1" w:rsidRPr="008819AF" w:rsidRDefault="005E1FE1" w:rsidP="0021052F">
            <w:pPr>
              <w:ind w:left="215" w:hanging="215"/>
              <w:jc w:val="center"/>
              <w:rPr>
                <w:rFonts w:eastAsia="Arial"/>
                <w:lang w:bidi="cs-CZ"/>
              </w:rPr>
            </w:pPr>
          </w:p>
          <w:p w14:paraId="151327E0" w14:textId="77777777" w:rsidR="005E1FE1" w:rsidRPr="008819AF" w:rsidRDefault="005E1FE1" w:rsidP="0021052F">
            <w:pPr>
              <w:ind w:left="215" w:hanging="215"/>
              <w:jc w:val="center"/>
              <w:rPr>
                <w:rFonts w:eastAsia="Arial"/>
                <w:lang w:bidi="cs-CZ"/>
              </w:rPr>
            </w:pPr>
          </w:p>
          <w:p w14:paraId="151327E1" w14:textId="77777777" w:rsidR="005E1FE1" w:rsidRPr="008819AF" w:rsidRDefault="005E1FE1" w:rsidP="0021052F">
            <w:pPr>
              <w:ind w:left="215" w:hanging="215"/>
              <w:jc w:val="center"/>
              <w:rPr>
                <w:rFonts w:eastAsia="Arial"/>
                <w:lang w:bidi="cs-CZ"/>
              </w:rPr>
            </w:pPr>
          </w:p>
          <w:p w14:paraId="151327E2" w14:textId="77777777" w:rsidR="005E1FE1" w:rsidRPr="008819AF" w:rsidRDefault="005E1FE1" w:rsidP="0021052F">
            <w:pPr>
              <w:ind w:left="215" w:hanging="215"/>
              <w:jc w:val="center"/>
              <w:rPr>
                <w:rFonts w:eastAsia="Arial"/>
                <w:lang w:bidi="cs-CZ"/>
              </w:rPr>
            </w:pPr>
          </w:p>
          <w:p w14:paraId="151327E3" w14:textId="77777777" w:rsidR="005E1FE1" w:rsidRPr="008819AF" w:rsidRDefault="005E1FE1" w:rsidP="0021052F">
            <w:pPr>
              <w:ind w:left="215" w:hanging="215"/>
              <w:jc w:val="center"/>
              <w:rPr>
                <w:rFonts w:eastAsia="Arial"/>
                <w:lang w:bidi="cs-CZ"/>
              </w:rPr>
            </w:pPr>
          </w:p>
          <w:p w14:paraId="151327E4" w14:textId="77777777" w:rsidR="005E1FE1" w:rsidRPr="008819AF" w:rsidRDefault="005E1FE1" w:rsidP="0021052F">
            <w:pPr>
              <w:ind w:left="215" w:hanging="215"/>
              <w:jc w:val="center"/>
              <w:rPr>
                <w:rFonts w:eastAsia="Arial"/>
                <w:lang w:bidi="cs-CZ"/>
              </w:rPr>
            </w:pPr>
          </w:p>
          <w:p w14:paraId="151327E5" w14:textId="77777777" w:rsidR="005E1FE1" w:rsidRPr="008819AF" w:rsidRDefault="005E1FE1" w:rsidP="0021052F">
            <w:pPr>
              <w:ind w:left="215" w:hanging="215"/>
              <w:jc w:val="center"/>
              <w:rPr>
                <w:rFonts w:eastAsia="Arial"/>
                <w:lang w:bidi="cs-CZ"/>
              </w:rPr>
            </w:pPr>
          </w:p>
          <w:p w14:paraId="151327E6" w14:textId="77777777" w:rsidR="008310AE" w:rsidRPr="008819AF" w:rsidRDefault="008310AE" w:rsidP="0021052F">
            <w:pPr>
              <w:ind w:left="215" w:hanging="215"/>
              <w:jc w:val="center"/>
              <w:rPr>
                <w:rFonts w:eastAsia="Arial"/>
                <w:lang w:bidi="cs-CZ"/>
              </w:rPr>
            </w:pPr>
          </w:p>
          <w:p w14:paraId="151327E7" w14:textId="77777777" w:rsidR="005E1FE1" w:rsidRPr="008819AF" w:rsidRDefault="005E1FE1" w:rsidP="0021052F">
            <w:pPr>
              <w:ind w:left="215" w:hanging="215"/>
              <w:jc w:val="center"/>
              <w:rPr>
                <w:rFonts w:eastAsia="Arial"/>
                <w:lang w:bidi="cs-CZ"/>
              </w:rPr>
            </w:pPr>
          </w:p>
          <w:p w14:paraId="151327E8" w14:textId="77777777" w:rsidR="005E1FE1" w:rsidRPr="008819AF" w:rsidRDefault="005E1FE1" w:rsidP="0021052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7E9" w14:textId="77777777" w:rsidR="007170C3" w:rsidRPr="008819AF" w:rsidRDefault="00A32C9B" w:rsidP="0021052F">
            <w:pPr>
              <w:jc w:val="center"/>
              <w:rPr>
                <w:rFonts w:eastAsia="Arial"/>
                <w:lang w:bidi="cs-CZ"/>
              </w:rPr>
            </w:pPr>
            <w:r w:rsidRPr="008819AF">
              <w:rPr>
                <w:rFonts w:eastAsia="Arial"/>
                <w:lang w:bidi="cs-CZ"/>
              </w:rPr>
              <w:t>NZ</w:t>
            </w:r>
          </w:p>
          <w:p w14:paraId="151327EA" w14:textId="77777777" w:rsidR="007170C3" w:rsidRPr="008819AF" w:rsidRDefault="007170C3" w:rsidP="0021052F">
            <w:pPr>
              <w:ind w:left="215" w:hanging="215"/>
              <w:jc w:val="center"/>
              <w:rPr>
                <w:rFonts w:eastAsia="Arial"/>
                <w:lang w:bidi="cs-CZ"/>
              </w:rPr>
            </w:pPr>
          </w:p>
          <w:p w14:paraId="151327EB" w14:textId="77777777" w:rsidR="007170C3" w:rsidRPr="008819AF" w:rsidRDefault="007170C3" w:rsidP="0021052F">
            <w:pPr>
              <w:ind w:left="215" w:hanging="215"/>
              <w:jc w:val="center"/>
              <w:rPr>
                <w:rFonts w:eastAsia="Arial"/>
                <w:lang w:bidi="cs-CZ"/>
              </w:rPr>
            </w:pPr>
          </w:p>
          <w:p w14:paraId="151327EC" w14:textId="77777777" w:rsidR="007170C3" w:rsidRPr="008819AF" w:rsidRDefault="007170C3" w:rsidP="0021052F">
            <w:pPr>
              <w:ind w:left="215" w:hanging="215"/>
              <w:jc w:val="center"/>
              <w:rPr>
                <w:rFonts w:eastAsia="Arial"/>
                <w:lang w:bidi="cs-CZ"/>
              </w:rPr>
            </w:pPr>
          </w:p>
          <w:p w14:paraId="151327ED" w14:textId="77777777" w:rsidR="007170C3" w:rsidRPr="008819AF" w:rsidRDefault="007170C3" w:rsidP="0021052F">
            <w:pPr>
              <w:ind w:left="215" w:hanging="215"/>
              <w:jc w:val="center"/>
              <w:rPr>
                <w:rFonts w:eastAsia="Arial"/>
                <w:lang w:bidi="cs-CZ"/>
              </w:rPr>
            </w:pPr>
          </w:p>
          <w:p w14:paraId="151327EE" w14:textId="77777777" w:rsidR="007170C3" w:rsidRPr="008819AF" w:rsidRDefault="007170C3" w:rsidP="0021052F">
            <w:pPr>
              <w:ind w:left="215" w:hanging="215"/>
              <w:jc w:val="center"/>
              <w:rPr>
                <w:rFonts w:eastAsia="Arial"/>
                <w:lang w:bidi="cs-CZ"/>
              </w:rPr>
            </w:pPr>
          </w:p>
          <w:p w14:paraId="151327EF" w14:textId="77777777" w:rsidR="007170C3" w:rsidRPr="008819AF" w:rsidRDefault="007170C3" w:rsidP="0021052F">
            <w:pPr>
              <w:ind w:left="215" w:hanging="215"/>
              <w:jc w:val="center"/>
              <w:rPr>
                <w:rFonts w:eastAsia="Arial"/>
                <w:lang w:bidi="cs-CZ"/>
              </w:rPr>
            </w:pPr>
          </w:p>
          <w:p w14:paraId="151327F0" w14:textId="77777777" w:rsidR="007170C3" w:rsidRPr="008819AF" w:rsidRDefault="007170C3" w:rsidP="0021052F">
            <w:pPr>
              <w:ind w:left="215" w:hanging="215"/>
              <w:jc w:val="center"/>
              <w:rPr>
                <w:rFonts w:eastAsia="Arial"/>
                <w:lang w:bidi="cs-CZ"/>
              </w:rPr>
            </w:pPr>
          </w:p>
          <w:p w14:paraId="151327F1" w14:textId="77777777" w:rsidR="007170C3" w:rsidRPr="008819AF" w:rsidRDefault="007170C3" w:rsidP="0021052F">
            <w:pPr>
              <w:ind w:left="215" w:hanging="215"/>
              <w:jc w:val="center"/>
              <w:rPr>
                <w:rFonts w:eastAsia="Arial"/>
                <w:lang w:bidi="cs-CZ"/>
              </w:rPr>
            </w:pPr>
          </w:p>
          <w:p w14:paraId="151327F2" w14:textId="77777777" w:rsidR="007170C3" w:rsidRPr="008819AF" w:rsidRDefault="007170C3" w:rsidP="0021052F">
            <w:pPr>
              <w:ind w:left="215" w:hanging="215"/>
              <w:jc w:val="center"/>
              <w:rPr>
                <w:rFonts w:eastAsia="Arial"/>
                <w:lang w:bidi="cs-CZ"/>
              </w:rPr>
            </w:pPr>
          </w:p>
          <w:p w14:paraId="151327F3" w14:textId="77777777" w:rsidR="007170C3" w:rsidRPr="008819AF" w:rsidRDefault="007170C3" w:rsidP="0021052F">
            <w:pPr>
              <w:ind w:left="215" w:hanging="215"/>
              <w:jc w:val="center"/>
              <w:rPr>
                <w:rFonts w:eastAsia="Arial"/>
                <w:lang w:bidi="cs-CZ"/>
              </w:rPr>
            </w:pPr>
          </w:p>
          <w:p w14:paraId="151327F4" w14:textId="77777777" w:rsidR="007170C3" w:rsidRPr="008819AF" w:rsidRDefault="007170C3" w:rsidP="0021052F">
            <w:pPr>
              <w:ind w:left="215" w:hanging="215"/>
              <w:jc w:val="center"/>
              <w:rPr>
                <w:rFonts w:eastAsia="Arial"/>
                <w:lang w:bidi="cs-CZ"/>
              </w:rPr>
            </w:pPr>
          </w:p>
          <w:p w14:paraId="151327F5" w14:textId="77777777" w:rsidR="007170C3" w:rsidRPr="008819AF" w:rsidRDefault="007170C3" w:rsidP="0021052F">
            <w:pPr>
              <w:ind w:left="215" w:hanging="215"/>
              <w:jc w:val="center"/>
              <w:rPr>
                <w:rFonts w:eastAsia="Arial"/>
                <w:lang w:bidi="cs-CZ"/>
              </w:rPr>
            </w:pPr>
          </w:p>
          <w:p w14:paraId="151327F6" w14:textId="77777777" w:rsidR="007170C3" w:rsidRPr="008819AF" w:rsidRDefault="007170C3" w:rsidP="0021052F">
            <w:pPr>
              <w:ind w:left="215" w:hanging="215"/>
              <w:jc w:val="center"/>
              <w:rPr>
                <w:rFonts w:eastAsia="Arial"/>
                <w:lang w:bidi="cs-CZ"/>
              </w:rPr>
            </w:pPr>
          </w:p>
          <w:p w14:paraId="151327F7" w14:textId="77777777" w:rsidR="007170C3" w:rsidRPr="008819AF" w:rsidRDefault="007170C3" w:rsidP="0021052F">
            <w:pPr>
              <w:ind w:left="215" w:hanging="215"/>
              <w:jc w:val="center"/>
              <w:rPr>
                <w:rFonts w:eastAsia="Arial"/>
                <w:lang w:bidi="cs-CZ"/>
              </w:rPr>
            </w:pPr>
          </w:p>
          <w:p w14:paraId="151327F8" w14:textId="77777777" w:rsidR="007170C3" w:rsidRPr="008819AF" w:rsidRDefault="007170C3" w:rsidP="0021052F">
            <w:pPr>
              <w:ind w:left="215" w:hanging="215"/>
              <w:jc w:val="center"/>
              <w:rPr>
                <w:rFonts w:eastAsia="Arial"/>
                <w:lang w:bidi="cs-CZ"/>
              </w:rPr>
            </w:pPr>
          </w:p>
          <w:p w14:paraId="151327F9" w14:textId="77777777" w:rsidR="007170C3" w:rsidRPr="008819AF" w:rsidRDefault="007170C3" w:rsidP="0021052F">
            <w:pPr>
              <w:ind w:left="215" w:hanging="215"/>
              <w:jc w:val="center"/>
              <w:rPr>
                <w:rFonts w:eastAsia="Arial"/>
                <w:lang w:bidi="cs-CZ"/>
              </w:rPr>
            </w:pPr>
          </w:p>
          <w:p w14:paraId="151327FA" w14:textId="77777777" w:rsidR="008310AE" w:rsidRPr="008819AF" w:rsidRDefault="008310AE" w:rsidP="0021052F">
            <w:pPr>
              <w:ind w:left="215" w:hanging="215"/>
              <w:jc w:val="center"/>
              <w:rPr>
                <w:rFonts w:eastAsia="Arial"/>
                <w:lang w:bidi="cs-CZ"/>
              </w:rPr>
            </w:pPr>
          </w:p>
          <w:p w14:paraId="151327FB" w14:textId="77777777" w:rsidR="007170C3" w:rsidRPr="008819AF" w:rsidRDefault="006F0418" w:rsidP="0021052F">
            <w:pPr>
              <w:jc w:val="center"/>
              <w:rPr>
                <w:rFonts w:eastAsia="Arial"/>
                <w:lang w:bidi="cs-CZ"/>
              </w:rPr>
            </w:pPr>
            <w:r w:rsidRPr="008819AF">
              <w:rPr>
                <w:rFonts w:eastAsia="Arial"/>
                <w:lang w:bidi="cs-CZ"/>
              </w:rPr>
              <w:t>NV2</w:t>
            </w:r>
          </w:p>
          <w:p w14:paraId="151327FC" w14:textId="77777777" w:rsidR="007170C3" w:rsidRPr="008819AF" w:rsidRDefault="007170C3"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7FD" w14:textId="77777777" w:rsidR="007170C3" w:rsidRPr="008819AF" w:rsidRDefault="00B444DF" w:rsidP="0021052F">
            <w:pPr>
              <w:tabs>
                <w:tab w:val="left" w:pos="360"/>
                <w:tab w:val="left" w:pos="643"/>
              </w:tabs>
              <w:jc w:val="center"/>
              <w:rPr>
                <w:rFonts w:eastAsia="a*i*l"/>
              </w:rPr>
            </w:pPr>
            <w:r w:rsidRPr="008819AF">
              <w:rPr>
                <w:rFonts w:eastAsia="a*i*l"/>
              </w:rPr>
              <w:t>§ 62</w:t>
            </w:r>
          </w:p>
          <w:p w14:paraId="151327FE" w14:textId="77777777" w:rsidR="007170C3" w:rsidRPr="008819AF" w:rsidRDefault="006F0418" w:rsidP="0021052F">
            <w:pPr>
              <w:tabs>
                <w:tab w:val="left" w:pos="360"/>
                <w:tab w:val="left" w:pos="643"/>
              </w:tabs>
              <w:jc w:val="center"/>
              <w:rPr>
                <w:rFonts w:eastAsia="a*i*l"/>
              </w:rPr>
            </w:pPr>
            <w:r w:rsidRPr="008819AF">
              <w:rPr>
                <w:rFonts w:eastAsia="a*i*l"/>
              </w:rPr>
              <w:t>P f)</w:t>
            </w:r>
          </w:p>
          <w:p w14:paraId="151327FF" w14:textId="77777777" w:rsidR="007170C3" w:rsidRPr="008819AF" w:rsidRDefault="007170C3" w:rsidP="0021052F">
            <w:pPr>
              <w:pStyle w:val="Textpsmene"/>
              <w:ind w:left="0" w:firstLine="0"/>
              <w:jc w:val="center"/>
              <w:rPr>
                <w:rFonts w:ascii="Times New Roman" w:hAnsi="Times New Roman" w:cs="Times New Roman"/>
                <w:sz w:val="20"/>
                <w:szCs w:val="20"/>
              </w:rPr>
            </w:pPr>
          </w:p>
          <w:p w14:paraId="15132800" w14:textId="77777777" w:rsidR="007170C3" w:rsidRPr="008819AF" w:rsidRDefault="007170C3" w:rsidP="0021052F">
            <w:pPr>
              <w:pStyle w:val="Textpsmene"/>
              <w:ind w:left="0" w:firstLine="0"/>
              <w:jc w:val="center"/>
              <w:rPr>
                <w:rFonts w:ascii="Times New Roman" w:hAnsi="Times New Roman" w:cs="Times New Roman"/>
                <w:sz w:val="20"/>
                <w:szCs w:val="20"/>
              </w:rPr>
            </w:pPr>
          </w:p>
          <w:p w14:paraId="15132801" w14:textId="77777777" w:rsidR="007170C3" w:rsidRPr="008819AF" w:rsidRDefault="007170C3" w:rsidP="0021052F">
            <w:pPr>
              <w:pStyle w:val="Textpsmene"/>
              <w:ind w:left="0" w:firstLine="0"/>
              <w:jc w:val="center"/>
              <w:rPr>
                <w:rFonts w:ascii="Times New Roman" w:hAnsi="Times New Roman" w:cs="Times New Roman"/>
                <w:sz w:val="20"/>
                <w:szCs w:val="20"/>
              </w:rPr>
            </w:pPr>
          </w:p>
          <w:p w14:paraId="15132802" w14:textId="77777777" w:rsidR="007170C3" w:rsidRPr="008819AF" w:rsidRDefault="007170C3" w:rsidP="0021052F">
            <w:pPr>
              <w:pStyle w:val="Textpsmene"/>
              <w:ind w:left="0" w:firstLine="0"/>
              <w:jc w:val="center"/>
              <w:rPr>
                <w:rFonts w:ascii="Times New Roman" w:hAnsi="Times New Roman" w:cs="Times New Roman"/>
                <w:sz w:val="20"/>
                <w:szCs w:val="20"/>
              </w:rPr>
            </w:pPr>
          </w:p>
          <w:p w14:paraId="15132803"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804"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805"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806"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807"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808"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809"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80A"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80B"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80C" w14:textId="77777777" w:rsidR="007170C3" w:rsidRPr="008819AF" w:rsidRDefault="007170C3" w:rsidP="0021052F">
            <w:pPr>
              <w:pStyle w:val="Textpsmene"/>
              <w:ind w:left="72" w:firstLine="0"/>
              <w:jc w:val="center"/>
              <w:rPr>
                <w:rFonts w:ascii="Times New Roman" w:hAnsi="Times New Roman" w:cs="Times New Roman"/>
                <w:sz w:val="20"/>
                <w:szCs w:val="20"/>
              </w:rPr>
            </w:pPr>
          </w:p>
          <w:p w14:paraId="1513280D" w14:textId="77777777" w:rsidR="005E1FE1" w:rsidRPr="008819AF" w:rsidRDefault="005E1FE1" w:rsidP="0021052F">
            <w:pPr>
              <w:pStyle w:val="Textpsmene"/>
              <w:ind w:left="72" w:firstLine="0"/>
              <w:jc w:val="center"/>
              <w:rPr>
                <w:rFonts w:ascii="Times New Roman" w:hAnsi="Times New Roman" w:cs="Times New Roman"/>
                <w:sz w:val="20"/>
                <w:szCs w:val="20"/>
              </w:rPr>
            </w:pPr>
          </w:p>
          <w:p w14:paraId="1513280E" w14:textId="77777777" w:rsidR="008310AE" w:rsidRPr="008819AF" w:rsidRDefault="008310AE" w:rsidP="0021052F">
            <w:pPr>
              <w:pStyle w:val="Textpsmene"/>
              <w:ind w:left="72" w:firstLine="0"/>
              <w:jc w:val="center"/>
              <w:rPr>
                <w:rFonts w:ascii="Times New Roman" w:hAnsi="Times New Roman" w:cs="Times New Roman"/>
                <w:sz w:val="20"/>
                <w:szCs w:val="20"/>
              </w:rPr>
            </w:pPr>
          </w:p>
          <w:p w14:paraId="1513280F" w14:textId="77777777" w:rsidR="005E1FE1" w:rsidRPr="008819AF" w:rsidRDefault="005E1FE1" w:rsidP="0021052F">
            <w:pPr>
              <w:pStyle w:val="Textpsmene"/>
              <w:ind w:left="72" w:firstLine="0"/>
              <w:jc w:val="center"/>
              <w:rPr>
                <w:rFonts w:ascii="Times New Roman" w:hAnsi="Times New Roman" w:cs="Times New Roman"/>
                <w:sz w:val="20"/>
                <w:szCs w:val="20"/>
              </w:rPr>
            </w:pPr>
            <w:r w:rsidRPr="008819AF">
              <w:rPr>
                <w:rFonts w:ascii="Times New Roman" w:hAnsi="Times New Roman" w:cs="Times New Roman"/>
                <w:sz w:val="20"/>
                <w:szCs w:val="20"/>
              </w:rPr>
              <w:t>§25</w:t>
            </w:r>
          </w:p>
          <w:p w14:paraId="15132810" w14:textId="77777777" w:rsidR="007170C3" w:rsidRPr="008819AF" w:rsidRDefault="007170C3" w:rsidP="0021052F">
            <w:pPr>
              <w:pStyle w:val="Textpsmene"/>
              <w:ind w:left="72"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811" w14:textId="77777777" w:rsidR="008310AE" w:rsidRPr="008819AF" w:rsidRDefault="006F0418" w:rsidP="008310AE">
            <w:pPr>
              <w:tabs>
                <w:tab w:val="left" w:pos="360"/>
                <w:tab w:val="left" w:pos="643"/>
              </w:tabs>
              <w:ind w:left="72"/>
              <w:rPr>
                <w:rFonts w:eastAsia="a*i*l"/>
              </w:rPr>
            </w:pPr>
            <w:r w:rsidRPr="008819AF">
              <w:rPr>
                <w:rFonts w:eastAsia="a*i*l"/>
              </w:rPr>
              <w:t>Všeobecne záväzný právny predpis, ktorý vydá  ministerstvo, ustanoví</w:t>
            </w:r>
          </w:p>
          <w:p w14:paraId="15132812" w14:textId="77777777" w:rsidR="007170C3" w:rsidRPr="008819AF" w:rsidRDefault="008310AE" w:rsidP="008310AE">
            <w:pPr>
              <w:tabs>
                <w:tab w:val="left" w:pos="360"/>
                <w:tab w:val="left" w:pos="643"/>
              </w:tabs>
              <w:ind w:left="72"/>
              <w:rPr>
                <w:rFonts w:eastAsia="a*i*l"/>
              </w:rPr>
            </w:pPr>
            <w:r w:rsidRPr="008819AF">
              <w:rPr>
                <w:rFonts w:eastAsia="Arial"/>
              </w:rPr>
              <w:t>f)</w:t>
            </w:r>
            <w:r w:rsidRPr="008819AF">
              <w:rPr>
                <w:rFonts w:eastAsia="Arial"/>
              </w:rPr>
              <w:tab/>
              <w:t>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p w14:paraId="15132813" w14:textId="77777777" w:rsidR="008310AE" w:rsidRPr="008819AF" w:rsidRDefault="008310AE" w:rsidP="008310AE">
            <w:pPr>
              <w:rPr>
                <w:rFonts w:eastAsia="Arial"/>
                <w:lang w:bidi="cs-CZ"/>
              </w:rPr>
            </w:pPr>
          </w:p>
          <w:p w14:paraId="15132814" w14:textId="77777777" w:rsidR="007170C3" w:rsidRPr="008819AF" w:rsidRDefault="005E1FE1" w:rsidP="005E1FE1">
            <w:pPr>
              <w:pStyle w:val="Hlavika"/>
              <w:ind w:left="72" w:hanging="1"/>
              <w:rPr>
                <w:rFonts w:ascii="Times New Roman" w:hAnsi="Times New Roman" w:cs="Times New Roman"/>
                <w:lang w:bidi="cs-CZ"/>
              </w:rPr>
            </w:pPr>
            <w:r w:rsidRPr="008819AF">
              <w:rPr>
                <w:rFonts w:ascii="Times New Roman" w:hAnsi="Times New Roman" w:cs="Times New Roman"/>
              </w:rPr>
              <w:t xml:space="preserve">Hodnotenie dodržiavania emisných limitov, technických požiadaviek a podmienok prevádzkovania pre spaľovne odpadov a zariadenia na spoluspaľovanie odpadov </w:t>
            </w:r>
            <w:r w:rsidR="006F0418" w:rsidRPr="008819AF">
              <w:rPr>
                <w:rFonts w:ascii="Times New Roman" w:hAnsi="Times New Roman" w:cs="Times New Roman"/>
              </w:rPr>
              <w:t>.</w:t>
            </w:r>
          </w:p>
        </w:tc>
        <w:tc>
          <w:tcPr>
            <w:tcW w:w="429" w:type="dxa"/>
            <w:tcBorders>
              <w:top w:val="single" w:sz="4" w:space="0" w:color="000000"/>
              <w:left w:val="single" w:sz="6" w:space="0" w:color="000000"/>
              <w:bottom w:val="single" w:sz="4" w:space="0" w:color="000000"/>
              <w:right w:val="single" w:sz="6" w:space="0" w:color="000000"/>
            </w:tcBorders>
          </w:tcPr>
          <w:p w14:paraId="15132815" w14:textId="77777777" w:rsidR="007170C3" w:rsidRPr="008819AF" w:rsidRDefault="006F0418" w:rsidP="0021052F">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15132816" w14:textId="77777777" w:rsidR="007170C3" w:rsidRPr="008819AF" w:rsidRDefault="007170C3" w:rsidP="0021052F">
            <w:pPr>
              <w:ind w:left="215" w:hanging="215"/>
              <w:rPr>
                <w:rFonts w:eastAsia="Arial"/>
                <w:lang w:bidi="cs-CZ"/>
              </w:rPr>
            </w:pPr>
          </w:p>
        </w:tc>
      </w:tr>
      <w:tr w:rsidR="00F80158" w:rsidRPr="008819AF" w14:paraId="15132825" w14:textId="77777777" w:rsidTr="003E351D">
        <w:trPr>
          <w:trHeight w:val="1651"/>
          <w:jc w:val="center"/>
        </w:trPr>
        <w:tc>
          <w:tcPr>
            <w:tcW w:w="483" w:type="dxa"/>
            <w:vMerge w:val="restart"/>
            <w:tcBorders>
              <w:top w:val="single" w:sz="4" w:space="0" w:color="000000"/>
              <w:left w:val="single" w:sz="6" w:space="0" w:color="000000"/>
              <w:bottom w:val="single" w:sz="6" w:space="0" w:color="000000"/>
              <w:right w:val="single" w:sz="6" w:space="0" w:color="000000"/>
            </w:tcBorders>
          </w:tcPr>
          <w:p w14:paraId="15132818" w14:textId="77777777" w:rsidR="007170C3" w:rsidRPr="008819AF" w:rsidRDefault="006F0418" w:rsidP="003E351D">
            <w:pPr>
              <w:ind w:right="-70"/>
              <w:rPr>
                <w:rFonts w:eastAsia="Arial"/>
                <w:lang w:bidi="cs-CZ"/>
              </w:rPr>
            </w:pPr>
            <w:r w:rsidRPr="008819AF">
              <w:rPr>
                <w:rFonts w:eastAsia="Arial"/>
                <w:lang w:bidi="cs-CZ"/>
              </w:rPr>
              <w:t>Č:50</w:t>
            </w:r>
          </w:p>
        </w:tc>
        <w:tc>
          <w:tcPr>
            <w:tcW w:w="6227" w:type="dxa"/>
            <w:gridSpan w:val="2"/>
            <w:tcBorders>
              <w:top w:val="single" w:sz="4" w:space="0" w:color="000000"/>
              <w:left w:val="single" w:sz="6" w:space="0" w:color="000000"/>
              <w:bottom w:val="single" w:sz="4" w:space="0" w:color="000000"/>
              <w:right w:val="single" w:sz="6" w:space="0" w:color="000000"/>
            </w:tcBorders>
          </w:tcPr>
          <w:p w14:paraId="15132819" w14:textId="77777777" w:rsidR="007170C3" w:rsidRPr="008819AF" w:rsidRDefault="006F0418" w:rsidP="0021052F">
            <w:pPr>
              <w:ind w:left="215" w:hanging="215"/>
              <w:rPr>
                <w:rFonts w:eastAsia="Arial"/>
                <w:lang w:bidi="cs-CZ"/>
              </w:rPr>
            </w:pPr>
            <w:r w:rsidRPr="008819AF">
              <w:rPr>
                <w:rFonts w:eastAsia="Arial"/>
                <w:lang w:bidi="cs-CZ"/>
              </w:rPr>
              <w:t>Článok 50</w:t>
            </w:r>
          </w:p>
          <w:p w14:paraId="1513281A" w14:textId="77777777" w:rsidR="007170C3" w:rsidRPr="008819AF" w:rsidRDefault="006F0418" w:rsidP="0021052F">
            <w:pPr>
              <w:ind w:left="215" w:hanging="215"/>
              <w:rPr>
                <w:rFonts w:eastAsia="Arial"/>
                <w:lang w:bidi="cs-CZ"/>
              </w:rPr>
            </w:pPr>
            <w:r w:rsidRPr="008819AF">
              <w:rPr>
                <w:rFonts w:eastAsia="Arial"/>
                <w:lang w:bidi="cs-CZ"/>
              </w:rPr>
              <w:t>Prevádzkové podmienky</w:t>
            </w:r>
          </w:p>
          <w:p w14:paraId="1513281B" w14:textId="77777777" w:rsidR="007170C3" w:rsidRPr="008819AF" w:rsidRDefault="006F0418" w:rsidP="0021052F">
            <w:pPr>
              <w:ind w:left="215" w:hanging="215"/>
              <w:rPr>
                <w:rFonts w:eastAsia="Arial"/>
                <w:lang w:bidi="cs-CZ"/>
              </w:rPr>
            </w:pPr>
            <w:r w:rsidRPr="008819AF">
              <w:rPr>
                <w:rFonts w:eastAsia="Arial"/>
                <w:lang w:bidi="cs-CZ"/>
              </w:rPr>
              <w:t>1.</w:t>
            </w:r>
            <w:r w:rsidRPr="008819AF">
              <w:t xml:space="preserve"> </w:t>
            </w:r>
            <w:r w:rsidRPr="008819AF">
              <w:rPr>
                <w:rFonts w:eastAsia="Arial"/>
                <w:lang w:bidi="cs-CZ"/>
              </w:rPr>
              <w:t>Spaľovne odpadov sa musia prevádzkovať takým spôsobom, aby bola dosiahnutá úroveň spaľovania, pri ktorej je celkový obsah organického uhlíka v troske a spodnom popole z pece nižší ako 3 % alebo strata žíhaním je menšia ako 5 % suchej hmotnosti materiálu. V prípade potreby sa použijú techniky predúpravy odpadov.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81C" w14:textId="77777777" w:rsidR="007170C3" w:rsidRPr="008819AF" w:rsidRDefault="002A5B3D" w:rsidP="0021052F">
            <w:pPr>
              <w:jc w:val="center"/>
            </w:pPr>
            <w:r w:rsidRPr="008819AF">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81D" w14:textId="77777777" w:rsidR="007170C3" w:rsidRPr="008819AF" w:rsidRDefault="006F0418" w:rsidP="0021052F">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1513281E" w14:textId="77777777" w:rsidR="007170C3" w:rsidRPr="008819AF" w:rsidRDefault="002A5B3D" w:rsidP="0021052F">
            <w:pPr>
              <w:jc w:val="center"/>
            </w:pPr>
            <w:r w:rsidRPr="008819AF">
              <w:t>Pr.5</w:t>
            </w:r>
          </w:p>
          <w:p w14:paraId="1513281F" w14:textId="77777777" w:rsidR="002A5B3D" w:rsidRPr="008819AF" w:rsidRDefault="00E92900" w:rsidP="0021052F">
            <w:pPr>
              <w:jc w:val="center"/>
            </w:pPr>
            <w:r w:rsidRPr="008819AF">
              <w:t>Časť II.</w:t>
            </w:r>
          </w:p>
          <w:p w14:paraId="15132820" w14:textId="77777777" w:rsidR="00E92900" w:rsidRPr="008819AF" w:rsidRDefault="00E92900" w:rsidP="0021052F">
            <w:pPr>
              <w:jc w:val="center"/>
            </w:pPr>
            <w:r w:rsidRPr="008819AF">
              <w:t>Bod3.</w:t>
            </w:r>
          </w:p>
        </w:tc>
        <w:tc>
          <w:tcPr>
            <w:tcW w:w="5664" w:type="dxa"/>
            <w:gridSpan w:val="5"/>
            <w:tcBorders>
              <w:top w:val="single" w:sz="4" w:space="0" w:color="000000"/>
              <w:left w:val="single" w:sz="6" w:space="0" w:color="000000"/>
              <w:bottom w:val="single" w:sz="4" w:space="0" w:color="000000"/>
              <w:right w:val="single" w:sz="6" w:space="0" w:color="000000"/>
            </w:tcBorders>
          </w:tcPr>
          <w:p w14:paraId="15132821" w14:textId="77777777" w:rsidR="0011561C" w:rsidRPr="008819AF" w:rsidRDefault="00E92900" w:rsidP="00E92900">
            <w:pPr>
              <w:pStyle w:val="Hlavika"/>
              <w:ind w:left="72" w:hanging="1"/>
              <w:rPr>
                <w:rFonts w:ascii="Times New Roman" w:hAnsi="Times New Roman" w:cs="Times New Roman"/>
              </w:rPr>
            </w:pPr>
            <w:r w:rsidRPr="008819AF">
              <w:rPr>
                <w:rFonts w:ascii="Times New Roman" w:hAnsi="Times New Roman" w:cs="Times New Roman"/>
              </w:rPr>
              <w:t xml:space="preserve">3. </w:t>
            </w:r>
            <w:r w:rsidR="0011561C" w:rsidRPr="008819AF">
              <w:rPr>
                <w:rFonts w:ascii="Times New Roman" w:hAnsi="Times New Roman" w:cs="Times New Roman"/>
              </w:rPr>
              <w:t>Účinnosť spaľovania</w:t>
            </w:r>
          </w:p>
          <w:p w14:paraId="15132822" w14:textId="77777777" w:rsidR="007170C3" w:rsidRPr="008819AF" w:rsidRDefault="00E92900" w:rsidP="00E92900">
            <w:pPr>
              <w:pStyle w:val="Hlavika"/>
              <w:ind w:left="72" w:hanging="1"/>
            </w:pPr>
            <w:r w:rsidRPr="008819AF">
              <w:rPr>
                <w:rFonts w:ascii="Times New Roman" w:hAnsi="Times New Roman" w:cs="Times New Roman"/>
              </w:rPr>
              <w:t>Spaľovňa odpadov sa musí prevádzkovať s takou účinnosťou spaľovania, aby obsah TOC vo zvyškovej škvare a spodnom popole z pece bol &lt; 3 % alebo spáliteľný podiel vyjadrený ako strata žíhaním bol &lt; 5 % suchej hmotnosti spálených odpadov. V prípade potreby sa použijú vhodné techniky predúpravy odpadov.</w:t>
            </w:r>
          </w:p>
        </w:tc>
        <w:tc>
          <w:tcPr>
            <w:tcW w:w="429" w:type="dxa"/>
            <w:tcBorders>
              <w:top w:val="single" w:sz="4" w:space="0" w:color="000000"/>
              <w:left w:val="single" w:sz="6" w:space="0" w:color="000000"/>
              <w:bottom w:val="single" w:sz="4" w:space="0" w:color="000000"/>
              <w:right w:val="single" w:sz="6" w:space="0" w:color="000000"/>
            </w:tcBorders>
          </w:tcPr>
          <w:p w14:paraId="15132823"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824" w14:textId="77777777" w:rsidR="007170C3" w:rsidRPr="008819AF" w:rsidRDefault="007170C3" w:rsidP="0021052F">
            <w:pPr>
              <w:ind w:left="215" w:hanging="215"/>
              <w:rPr>
                <w:rFonts w:eastAsia="Arial"/>
                <w:lang w:bidi="cs-CZ"/>
              </w:rPr>
            </w:pPr>
          </w:p>
        </w:tc>
      </w:tr>
      <w:tr w:rsidR="00F80158" w:rsidRPr="008819AF" w14:paraId="1513283F" w14:textId="77777777" w:rsidTr="003E351D">
        <w:trPr>
          <w:trHeight w:val="346"/>
          <w:jc w:val="center"/>
        </w:trPr>
        <w:tc>
          <w:tcPr>
            <w:tcW w:w="483" w:type="dxa"/>
            <w:vMerge/>
            <w:tcBorders>
              <w:top w:val="single" w:sz="6" w:space="0" w:color="000000"/>
              <w:left w:val="single" w:sz="6" w:space="0" w:color="000000"/>
              <w:bottom w:val="single" w:sz="4" w:space="0" w:color="000000"/>
              <w:right w:val="single" w:sz="6" w:space="0" w:color="000000"/>
            </w:tcBorders>
          </w:tcPr>
          <w:p w14:paraId="15132826"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2827" w14:textId="77777777" w:rsidR="007170C3" w:rsidRPr="008819AF" w:rsidRDefault="006F0418" w:rsidP="0021052F">
            <w:pPr>
              <w:ind w:left="215" w:hanging="215"/>
              <w:rPr>
                <w:rFonts w:eastAsia="Arial"/>
                <w:lang w:bidi="cs-CZ"/>
              </w:rPr>
            </w:pPr>
            <w:r w:rsidRPr="008819AF">
              <w:rPr>
                <w:rFonts w:eastAsia="Arial"/>
                <w:lang w:bidi="cs-CZ"/>
              </w:rPr>
              <w:t>2.</w:t>
            </w:r>
            <w:r w:rsidRPr="008819AF">
              <w:t xml:space="preserve"> </w:t>
            </w:r>
            <w:r w:rsidRPr="008819AF">
              <w:rPr>
                <w:rFonts w:eastAsia="Arial"/>
                <w:lang w:bidi="cs-CZ"/>
              </w:rPr>
              <w:t>Spaľovne odpadov musia byť navrhnuté, vybavené, vybudované a prevádzkované takým spôsobom, aby teplota spalín za posledným prívodom spaľovacieho vzduchu dosahovala riadeným a rovnomerným spôsobom aj pri najnepriaznivejších podmienkach počas najmenej dvoch sekúnd hodnotu minimálne 850° C.</w:t>
            </w:r>
          </w:p>
          <w:p w14:paraId="15132828" w14:textId="77777777" w:rsidR="007170C3" w:rsidRPr="008819AF" w:rsidRDefault="006F0418" w:rsidP="0021052F">
            <w:pPr>
              <w:pStyle w:val="Nadpis2"/>
              <w:ind w:left="214" w:firstLine="0"/>
              <w:jc w:val="left"/>
              <w:rPr>
                <w:rFonts w:ascii="Times New Roman" w:eastAsia="Arial" w:hAnsi="Times New Roman" w:cs="Times New Roman"/>
                <w:b w:val="0"/>
                <w:bCs w:val="0"/>
                <w:spacing w:val="0"/>
                <w:sz w:val="20"/>
                <w:szCs w:val="20"/>
                <w:lang w:bidi="sk-SK"/>
              </w:rPr>
            </w:pPr>
            <w:r w:rsidRPr="008819AF">
              <w:rPr>
                <w:rFonts w:ascii="Times New Roman" w:eastAsia="Arial" w:hAnsi="Times New Roman" w:cs="Times New Roman"/>
                <w:b w:val="0"/>
                <w:bCs w:val="0"/>
                <w:spacing w:val="0"/>
                <w:sz w:val="20"/>
                <w:szCs w:val="20"/>
                <w:lang w:bidi="sk-SK"/>
              </w:rPr>
              <w:t xml:space="preserve">Zariadenia na spoluspaľovanie odpadov musia byť navrhnuté, vybavené, vybudované a prevádzkované takým spôsobom, aby teplota plynov, ktoré vznikajú pri spoluspaľovaní odpadov, vzrástla riadeným a homogénnym spôsobom, a to aj v najnepriaznivejších podmienkach, na minimálne 850 </w:t>
            </w:r>
            <w:r w:rsidRPr="008819AF">
              <w:rPr>
                <w:rFonts w:ascii="Times New Roman" w:eastAsia="Arial" w:hAnsi="Times New Roman" w:cs="Times New Roman"/>
                <w:b w:val="0"/>
                <w:bCs w:val="0"/>
                <w:spacing w:val="0"/>
                <w:sz w:val="20"/>
                <w:szCs w:val="20"/>
                <w:lang w:bidi="sk-SK"/>
              </w:rPr>
              <w:lastRenderedPageBreak/>
              <w:t>°C počas najmenej dvoch sekúnd.</w:t>
            </w:r>
          </w:p>
          <w:p w14:paraId="15132829" w14:textId="77777777" w:rsidR="007170C3" w:rsidRPr="008819AF" w:rsidRDefault="006F0418" w:rsidP="0021052F">
            <w:pPr>
              <w:ind w:left="215" w:hanging="1"/>
              <w:rPr>
                <w:rFonts w:eastAsia="Arial"/>
              </w:rPr>
            </w:pPr>
            <w:r w:rsidRPr="008819AF">
              <w:rPr>
                <w:rFonts w:eastAsia="Arial"/>
              </w:rPr>
              <w:t>Pri spaľovaní alebo spoluspaľovaní nebezpečných odpadov obsahujúcich viac ako 1 % halogénovaných organických látok,</w:t>
            </w:r>
            <w:r w:rsidRPr="008819AF">
              <w:t xml:space="preserve"> </w:t>
            </w:r>
            <w:r w:rsidRPr="008819AF">
              <w:rPr>
                <w:rFonts w:eastAsia="Arial"/>
              </w:rPr>
              <w:t>vyjadrených ako chlór, musí byť teplota požadovaná podľa prvého a druhého pododseku minimálne 1 100° C.</w:t>
            </w:r>
          </w:p>
          <w:p w14:paraId="1513282A" w14:textId="77777777" w:rsidR="007170C3" w:rsidRPr="008819AF" w:rsidRDefault="006F0418" w:rsidP="0021052F">
            <w:pPr>
              <w:ind w:left="215" w:hanging="1"/>
              <w:rPr>
                <w:rFonts w:eastAsia="Arial"/>
              </w:rPr>
            </w:pPr>
            <w:r w:rsidRPr="008819AF">
              <w:rPr>
                <w:rFonts w:eastAsia="Arial"/>
              </w:rPr>
              <w:t>V spaľovniach odpadu sa teplota stanovená v prvom a treťom pododseku meria v blízkosti vnútornej steny spaľovacej komory. Príslušný orgán môže povoliť merania na inom reprezentatívnom mieste spaľovacej komory.</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82B" w14:textId="77777777" w:rsidR="007170C3" w:rsidRPr="008819AF" w:rsidRDefault="00E92900" w:rsidP="0021052F">
            <w:pPr>
              <w:jc w:val="center"/>
              <w:rPr>
                <w:rFonts w:eastAsia="Arial"/>
                <w:lang w:bidi="cs-CZ"/>
              </w:rPr>
            </w:pPr>
            <w:r w:rsidRPr="008819AF">
              <w:rPr>
                <w:rFonts w:eastAsia="Arial"/>
                <w:lang w:bidi="cs-CZ"/>
              </w:rPr>
              <w:lastRenderedPageBreak/>
              <w:t>N</w:t>
            </w:r>
          </w:p>
          <w:p w14:paraId="1513282C" w14:textId="77777777" w:rsidR="007170C3" w:rsidRPr="008819AF" w:rsidRDefault="007170C3" w:rsidP="0021052F">
            <w:pPr>
              <w:jc w:val="center"/>
              <w:rPr>
                <w:rFonts w:eastAsia="Arial"/>
                <w:lang w:bidi="cs-CZ"/>
              </w:rPr>
            </w:pPr>
          </w:p>
          <w:p w14:paraId="1513282D" w14:textId="77777777" w:rsidR="007170C3" w:rsidRPr="008819AF" w:rsidRDefault="007170C3" w:rsidP="0021052F">
            <w:pPr>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82E" w14:textId="77777777" w:rsidR="007170C3" w:rsidRPr="008819AF" w:rsidRDefault="006F0418" w:rsidP="0021052F">
            <w:pPr>
              <w:jc w:val="center"/>
              <w:rPr>
                <w:rFonts w:eastAsia="Arial"/>
                <w:lang w:bidi="cs-CZ"/>
              </w:rPr>
            </w:pPr>
            <w:r w:rsidRPr="008819AF">
              <w:rPr>
                <w:rFonts w:eastAsia="Arial"/>
                <w:lang w:bidi="cs-CZ"/>
              </w:rPr>
              <w:t>NV2</w:t>
            </w:r>
          </w:p>
          <w:p w14:paraId="1513282F" w14:textId="77777777" w:rsidR="007170C3" w:rsidRPr="008819AF" w:rsidRDefault="007170C3" w:rsidP="0021052F">
            <w:pPr>
              <w:jc w:val="center"/>
              <w:rPr>
                <w:rFonts w:eastAsia="Arial"/>
                <w:lang w:bidi="cs-CZ"/>
              </w:rPr>
            </w:pPr>
          </w:p>
          <w:p w14:paraId="15132830"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831" w14:textId="77777777" w:rsidR="00E92900" w:rsidRPr="008819AF" w:rsidRDefault="00E92900" w:rsidP="00E92900">
            <w:pPr>
              <w:jc w:val="center"/>
            </w:pPr>
            <w:r w:rsidRPr="008819AF">
              <w:t>Pr.5</w:t>
            </w:r>
          </w:p>
          <w:p w14:paraId="15132832" w14:textId="77777777" w:rsidR="00E92900" w:rsidRPr="008819AF" w:rsidRDefault="00E92900" w:rsidP="00E92900">
            <w:pPr>
              <w:jc w:val="center"/>
            </w:pPr>
            <w:r w:rsidRPr="008819AF">
              <w:t>Časť II.</w:t>
            </w:r>
          </w:p>
          <w:p w14:paraId="15132833" w14:textId="77777777" w:rsidR="007170C3" w:rsidRPr="008819AF" w:rsidRDefault="00E92900" w:rsidP="0021052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Bod 4.</w:t>
            </w:r>
          </w:p>
          <w:p w14:paraId="15132834" w14:textId="77777777" w:rsidR="007170C3" w:rsidRPr="008819AF" w:rsidRDefault="007170C3" w:rsidP="0021052F">
            <w:pPr>
              <w:pStyle w:val="BodyText21"/>
              <w:spacing w:before="0" w:line="240" w:lineRule="auto"/>
              <w:ind w:left="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835" w14:textId="77777777" w:rsidR="0011561C" w:rsidRPr="008819AF" w:rsidRDefault="0011561C" w:rsidP="0011561C">
            <w:pPr>
              <w:pStyle w:val="Zpat"/>
              <w:keepNext/>
              <w:tabs>
                <w:tab w:val="clear" w:pos="4536"/>
                <w:tab w:val="clear" w:pos="9072"/>
              </w:tabs>
              <w:ind w:left="26"/>
              <w:jc w:val="both"/>
              <w:rPr>
                <w:sz w:val="20"/>
                <w:szCs w:val="20"/>
              </w:rPr>
            </w:pPr>
            <w:r w:rsidRPr="008819AF">
              <w:rPr>
                <w:sz w:val="20"/>
                <w:szCs w:val="20"/>
              </w:rPr>
              <w:t>4. Teplota a zdržná doba</w:t>
            </w:r>
          </w:p>
          <w:p w14:paraId="15132836" w14:textId="77777777" w:rsidR="0011561C" w:rsidRPr="008819AF" w:rsidRDefault="0011561C" w:rsidP="0011561C">
            <w:pPr>
              <w:pStyle w:val="Zpat"/>
              <w:keepNext/>
              <w:tabs>
                <w:tab w:val="clear" w:pos="4536"/>
                <w:tab w:val="clear" w:pos="9072"/>
              </w:tabs>
              <w:ind w:left="26"/>
              <w:jc w:val="both"/>
              <w:rPr>
                <w:sz w:val="20"/>
                <w:szCs w:val="20"/>
              </w:rPr>
            </w:pPr>
            <w:r w:rsidRPr="008819AF">
              <w:rPr>
                <w:sz w:val="20"/>
                <w:szCs w:val="20"/>
              </w:rPr>
              <w:t xml:space="preserve">4.1  Každá spaľovňa odpadov musí byť navrhnutá, vybavená, vybudovaná a prevádzkovaná tak, aby teplota spalín za posledným prívodom spaľovacieho vzduchu riadeným spôsobom a rovnomerne aj pri najnepriaznivejších podmienkach dosahovala počas najmenej dvoch sekúnd hodnotu </w:t>
            </w:r>
          </w:p>
          <w:p w14:paraId="15132837" w14:textId="77777777" w:rsidR="0011561C" w:rsidRPr="008819AF" w:rsidRDefault="0011561C" w:rsidP="009C63CF">
            <w:pPr>
              <w:pStyle w:val="Zpat"/>
              <w:keepNext/>
              <w:numPr>
                <w:ilvl w:val="0"/>
                <w:numId w:val="79"/>
              </w:numPr>
              <w:tabs>
                <w:tab w:val="clear" w:pos="4536"/>
                <w:tab w:val="clear" w:pos="9072"/>
              </w:tabs>
              <w:ind w:left="167" w:hanging="141"/>
              <w:jc w:val="both"/>
              <w:rPr>
                <w:sz w:val="20"/>
                <w:szCs w:val="20"/>
              </w:rPr>
            </w:pPr>
            <w:r w:rsidRPr="008819AF">
              <w:rPr>
                <w:sz w:val="20"/>
                <w:szCs w:val="20"/>
              </w:rPr>
              <w:t>najmenej 850 °C,</w:t>
            </w:r>
          </w:p>
          <w:p w14:paraId="15132838" w14:textId="77777777" w:rsidR="0011561C" w:rsidRPr="008819AF" w:rsidRDefault="0011561C" w:rsidP="009C63CF">
            <w:pPr>
              <w:pStyle w:val="Zpat"/>
              <w:keepNext/>
              <w:numPr>
                <w:ilvl w:val="0"/>
                <w:numId w:val="79"/>
              </w:numPr>
              <w:tabs>
                <w:tab w:val="clear" w:pos="4536"/>
                <w:tab w:val="clear" w:pos="9072"/>
              </w:tabs>
              <w:ind w:left="309" w:hanging="283"/>
              <w:jc w:val="both"/>
              <w:rPr>
                <w:sz w:val="20"/>
                <w:szCs w:val="20"/>
              </w:rPr>
            </w:pPr>
            <w:r w:rsidRPr="008819AF">
              <w:rPr>
                <w:sz w:val="20"/>
                <w:szCs w:val="20"/>
              </w:rPr>
              <w:t xml:space="preserve">najmenej 1 100 °C, ak sa spaľujú nebezpečné odpady s obsahom halogénovaných organických zlúčenín &gt; 1 % vyjadrených ako </w:t>
            </w:r>
            <w:r w:rsidR="00BA0501" w:rsidRPr="008819AF">
              <w:rPr>
                <w:sz w:val="20"/>
                <w:szCs w:val="20"/>
              </w:rPr>
              <w:lastRenderedPageBreak/>
              <w:t>chlór</w:t>
            </w:r>
            <w:r w:rsidRPr="008819AF">
              <w:rPr>
                <w:sz w:val="20"/>
                <w:szCs w:val="20"/>
                <w:vertAlign w:val="subscript"/>
              </w:rPr>
              <w:t>;</w:t>
            </w:r>
          </w:p>
          <w:p w14:paraId="15132839" w14:textId="77777777" w:rsidR="0011561C" w:rsidRPr="008819AF" w:rsidRDefault="0011561C" w:rsidP="0011561C">
            <w:pPr>
              <w:autoSpaceDE w:val="0"/>
              <w:autoSpaceDN w:val="0"/>
              <w:adjustRightInd w:val="0"/>
              <w:ind w:left="26"/>
              <w:jc w:val="both"/>
            </w:pPr>
            <w:r w:rsidRPr="008819AF">
              <w:t>teplota sa meria v blízkosti vnútornej steny spaľovacej komory alebo na inom reprezentatívnom mieste spaľovacej komory podľa podmienok určených v povolení.</w:t>
            </w:r>
          </w:p>
          <w:p w14:paraId="1513283A" w14:textId="77777777" w:rsidR="0011561C" w:rsidRPr="008819AF" w:rsidRDefault="0011561C" w:rsidP="0011561C">
            <w:pPr>
              <w:pStyle w:val="Zpat"/>
              <w:keepNext/>
              <w:tabs>
                <w:tab w:val="clear" w:pos="4536"/>
                <w:tab w:val="clear" w:pos="9072"/>
              </w:tabs>
              <w:ind w:left="26"/>
              <w:jc w:val="both"/>
              <w:rPr>
                <w:sz w:val="20"/>
                <w:szCs w:val="20"/>
              </w:rPr>
            </w:pPr>
            <w:r w:rsidRPr="008819AF">
              <w:rPr>
                <w:sz w:val="20"/>
                <w:szCs w:val="20"/>
              </w:rPr>
              <w:t xml:space="preserve">4.2  Zariadenie na spoluspaľovanie odpadov musí byť navrhnuté, vybavené, vybudované a prevádzkované takým spôsobom, aby teplota spalín dosahovala riadeným spôsobom a rovnomerne aj pri najnepriaznivejších podmienkach počas najmenej 2 sekúnd hodnotu   </w:t>
            </w:r>
          </w:p>
          <w:p w14:paraId="1513283B" w14:textId="77777777" w:rsidR="0011561C" w:rsidRPr="008819AF" w:rsidRDefault="0011561C" w:rsidP="009C63CF">
            <w:pPr>
              <w:pStyle w:val="Zpat"/>
              <w:keepNext/>
              <w:numPr>
                <w:ilvl w:val="0"/>
                <w:numId w:val="80"/>
              </w:numPr>
              <w:tabs>
                <w:tab w:val="clear" w:pos="4536"/>
                <w:tab w:val="clear" w:pos="9072"/>
              </w:tabs>
              <w:ind w:left="167" w:hanging="141"/>
              <w:jc w:val="both"/>
              <w:rPr>
                <w:sz w:val="20"/>
                <w:szCs w:val="20"/>
              </w:rPr>
            </w:pPr>
            <w:r w:rsidRPr="008819AF">
              <w:rPr>
                <w:sz w:val="20"/>
                <w:szCs w:val="20"/>
              </w:rPr>
              <w:t xml:space="preserve">najmenej </w:t>
            </w:r>
            <w:smartTag w:uri="urn:schemas-microsoft-com:office:smarttags" w:element="metricconverter">
              <w:smartTagPr>
                <w:attr w:name="ProductID" w:val="850 ﾰC"/>
              </w:smartTagPr>
              <w:r w:rsidRPr="008819AF">
                <w:rPr>
                  <w:sz w:val="20"/>
                  <w:szCs w:val="20"/>
                </w:rPr>
                <w:t>850 °C</w:t>
              </w:r>
            </w:smartTag>
            <w:r w:rsidRPr="008819AF">
              <w:rPr>
                <w:sz w:val="20"/>
                <w:szCs w:val="20"/>
              </w:rPr>
              <w:t xml:space="preserve">, </w:t>
            </w:r>
          </w:p>
          <w:p w14:paraId="1513283C" w14:textId="77777777" w:rsidR="0011561C" w:rsidRPr="008819AF" w:rsidRDefault="0011561C" w:rsidP="009C63CF">
            <w:pPr>
              <w:pStyle w:val="Zpat"/>
              <w:keepNext/>
              <w:numPr>
                <w:ilvl w:val="0"/>
                <w:numId w:val="80"/>
              </w:numPr>
              <w:tabs>
                <w:tab w:val="clear" w:pos="4536"/>
                <w:tab w:val="clear" w:pos="9072"/>
              </w:tabs>
              <w:ind w:left="167" w:hanging="141"/>
              <w:jc w:val="both"/>
              <w:rPr>
                <w:sz w:val="20"/>
                <w:szCs w:val="20"/>
              </w:rPr>
            </w:pPr>
            <w:r w:rsidRPr="008819AF">
              <w:rPr>
                <w:sz w:val="20"/>
                <w:szCs w:val="20"/>
              </w:rPr>
              <w:t xml:space="preserve">najmenej </w:t>
            </w:r>
            <w:smartTag w:uri="urn:schemas-microsoft-com:office:smarttags" w:element="metricconverter">
              <w:smartTagPr>
                <w:attr w:name="ProductID" w:val="1ﾠ100ﾠﾰC"/>
              </w:smartTagPr>
              <w:r w:rsidRPr="008819AF">
                <w:rPr>
                  <w:sz w:val="20"/>
                  <w:szCs w:val="20"/>
                </w:rPr>
                <w:t>1 100 °C</w:t>
              </w:r>
            </w:smartTag>
            <w:r w:rsidRPr="008819AF">
              <w:rPr>
                <w:sz w:val="20"/>
                <w:szCs w:val="20"/>
              </w:rPr>
              <w:t>, ak sa spoluspaľuje nebezpečný odpad s obsahom halogénovaných organických zlúčenín &gt; 1 % vyjadrených ako chlór.</w:t>
            </w:r>
          </w:p>
        </w:tc>
        <w:tc>
          <w:tcPr>
            <w:tcW w:w="429" w:type="dxa"/>
            <w:tcBorders>
              <w:top w:val="single" w:sz="4" w:space="0" w:color="000000"/>
              <w:left w:val="single" w:sz="6" w:space="0" w:color="000000"/>
              <w:bottom w:val="single" w:sz="4" w:space="0" w:color="000000"/>
              <w:right w:val="single" w:sz="6" w:space="0" w:color="000000"/>
            </w:tcBorders>
          </w:tcPr>
          <w:p w14:paraId="1513283D"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83E" w14:textId="77777777" w:rsidR="007170C3" w:rsidRPr="008819AF" w:rsidRDefault="007170C3" w:rsidP="0021052F">
            <w:pPr>
              <w:ind w:left="215" w:hanging="215"/>
              <w:rPr>
                <w:rFonts w:eastAsia="Arial"/>
                <w:lang w:bidi="cs-CZ"/>
              </w:rPr>
            </w:pPr>
          </w:p>
        </w:tc>
      </w:tr>
      <w:tr w:rsidR="00F80158" w:rsidRPr="008819AF" w14:paraId="15132857"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2840" w14:textId="77777777" w:rsidR="007170C3" w:rsidRPr="008819AF" w:rsidRDefault="007170C3"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2841" w14:textId="77777777" w:rsidR="007170C3" w:rsidRPr="008819AF" w:rsidRDefault="006F0418" w:rsidP="0021052F">
            <w:pPr>
              <w:ind w:left="215" w:hanging="215"/>
              <w:rPr>
                <w:rFonts w:eastAsia="Arial"/>
              </w:rPr>
            </w:pPr>
            <w:r w:rsidRPr="008819AF">
              <w:rPr>
                <w:rFonts w:eastAsia="Arial"/>
              </w:rPr>
              <w:t>3.</w:t>
            </w:r>
            <w:r w:rsidRPr="008819AF">
              <w:t xml:space="preserve"> </w:t>
            </w:r>
            <w:r w:rsidRPr="008819AF">
              <w:rPr>
                <w:rFonts w:eastAsia="Arial"/>
              </w:rPr>
              <w:t>Každá spaľovacia komora spaľovne odpadov musí byť vybavená aspoň jedným pomocným horákom. Tento horák sa automaticky zapne, ak teplota spalín za posledným prívodom spaľovacieho vzduchu klesne pod teploty stanovené v odseku 2. Musí sa využívať aj v priebehu nábehu a odstavovania, aby sa zabezpečilo udržiavanie týchto teplôt po celý čas ich trvania, pokiaľ sa v spaľovacej komore nachádzajú nespálené odpady.</w:t>
            </w:r>
          </w:p>
          <w:p w14:paraId="15132842" w14:textId="77777777" w:rsidR="007170C3" w:rsidRPr="008819AF" w:rsidRDefault="006F0418" w:rsidP="0021052F">
            <w:pPr>
              <w:ind w:left="215" w:hanging="1"/>
              <w:rPr>
                <w:rFonts w:eastAsia="Arial"/>
              </w:rPr>
            </w:pPr>
            <w:r w:rsidRPr="008819AF">
              <w:rPr>
                <w:rFonts w:eastAsia="Arial"/>
              </w:rPr>
              <w:t>K pomocnému horáku sa nesmú privádzať palivá, ktoré môžu spôsobiť vyššie emisie ako emisie vznikajúce pri spaľovaní plynového oleja, ako je vymedzený v článku 2 bod 2 smernice Rady 1999/32/ES z 26. apríla 1999 o znížení obsahu síry v niektorých kvapalných palivách(1)</w:t>
            </w:r>
          </w:p>
          <w:p w14:paraId="15132843" w14:textId="77777777" w:rsidR="007170C3" w:rsidRPr="008819AF" w:rsidRDefault="006F0418" w:rsidP="0021052F">
            <w:pPr>
              <w:ind w:left="215" w:hanging="1"/>
              <w:rPr>
                <w:rFonts w:eastAsia="Arial"/>
              </w:rPr>
            </w:pPr>
            <w:r w:rsidRPr="008819AF">
              <w:rPr>
                <w:rFonts w:eastAsia="Arial"/>
              </w:rPr>
              <w:t>Ú. v. ES L 121, 11.5.1999, s. 13, skvapalneného plynu alebo zemného plynu.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844" w14:textId="77777777" w:rsidR="007170C3" w:rsidRPr="008819AF" w:rsidRDefault="0011561C" w:rsidP="0021052F">
            <w:pPr>
              <w:jc w:val="center"/>
              <w:rPr>
                <w:rFonts w:eastAsia="Arial"/>
                <w:lang w:bidi="cs-CZ"/>
              </w:rPr>
            </w:pPr>
            <w:r w:rsidRPr="008819AF">
              <w:rPr>
                <w:rFonts w:eastAsia="Arial"/>
                <w:lang w:bidi="cs-CZ"/>
              </w:rPr>
              <w:t>N</w:t>
            </w:r>
          </w:p>
          <w:p w14:paraId="15132845" w14:textId="77777777" w:rsidR="007170C3" w:rsidRPr="008819AF" w:rsidRDefault="007170C3" w:rsidP="0021052F">
            <w:pPr>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846" w14:textId="77777777" w:rsidR="007170C3" w:rsidRPr="008819AF" w:rsidRDefault="006F0418" w:rsidP="0021052F">
            <w:pPr>
              <w:jc w:val="center"/>
              <w:rPr>
                <w:rFonts w:eastAsia="Arial"/>
                <w:lang w:bidi="cs-CZ"/>
              </w:rPr>
            </w:pPr>
            <w:r w:rsidRPr="008819AF">
              <w:rPr>
                <w:rFonts w:eastAsia="Arial"/>
                <w:lang w:bidi="cs-CZ"/>
              </w:rPr>
              <w:t>NV2</w:t>
            </w:r>
          </w:p>
          <w:p w14:paraId="15132847" w14:textId="77777777" w:rsidR="007170C3" w:rsidRPr="008819AF" w:rsidRDefault="007170C3" w:rsidP="0021052F">
            <w:pPr>
              <w:jc w:val="center"/>
              <w:rPr>
                <w:rFonts w:eastAsia="Arial"/>
                <w:lang w:bidi="cs-CZ"/>
              </w:rPr>
            </w:pPr>
          </w:p>
          <w:p w14:paraId="15132848" w14:textId="77777777" w:rsidR="007170C3" w:rsidRPr="008819AF"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849" w14:textId="77777777" w:rsidR="0011561C" w:rsidRPr="008819AF" w:rsidRDefault="0011561C" w:rsidP="0011561C">
            <w:pPr>
              <w:jc w:val="center"/>
            </w:pPr>
            <w:r w:rsidRPr="008819AF">
              <w:t>Pr.5</w:t>
            </w:r>
          </w:p>
          <w:p w14:paraId="1513284A" w14:textId="77777777" w:rsidR="0011561C" w:rsidRPr="008819AF" w:rsidRDefault="0011561C" w:rsidP="0011561C">
            <w:pPr>
              <w:jc w:val="center"/>
            </w:pPr>
            <w:r w:rsidRPr="008819AF">
              <w:t>Časť II.</w:t>
            </w:r>
          </w:p>
          <w:p w14:paraId="1513284B" w14:textId="77777777" w:rsidR="0011561C" w:rsidRPr="008819AF" w:rsidRDefault="0011561C" w:rsidP="0011561C">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 xml:space="preserve">Bod </w:t>
            </w:r>
            <w:r w:rsidR="009916A2" w:rsidRPr="008819AF">
              <w:rPr>
                <w:rFonts w:ascii="Times New Roman" w:hAnsi="Times New Roman" w:cs="Times New Roman"/>
              </w:rPr>
              <w:t>5</w:t>
            </w:r>
            <w:r w:rsidRPr="008819AF">
              <w:rPr>
                <w:rFonts w:ascii="Times New Roman" w:hAnsi="Times New Roman" w:cs="Times New Roman"/>
              </w:rPr>
              <w:t>.</w:t>
            </w:r>
          </w:p>
          <w:p w14:paraId="1513284C" w14:textId="77777777" w:rsidR="007170C3" w:rsidRPr="008819AF" w:rsidRDefault="007170C3" w:rsidP="0021052F">
            <w:pPr>
              <w:pStyle w:val="BodyText21"/>
              <w:spacing w:before="0" w:line="240" w:lineRule="auto"/>
              <w:ind w:left="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84D" w14:textId="77777777" w:rsidR="0011561C" w:rsidRPr="008819AF" w:rsidRDefault="0011561C" w:rsidP="009C63CF">
            <w:pPr>
              <w:pStyle w:val="Zpat"/>
              <w:widowControl w:val="0"/>
              <w:numPr>
                <w:ilvl w:val="0"/>
                <w:numId w:val="81"/>
              </w:numPr>
              <w:tabs>
                <w:tab w:val="clear" w:pos="4536"/>
                <w:tab w:val="clear" w:pos="9072"/>
              </w:tabs>
              <w:ind w:left="284" w:hanging="284"/>
              <w:jc w:val="both"/>
              <w:rPr>
                <w:sz w:val="20"/>
                <w:szCs w:val="20"/>
              </w:rPr>
            </w:pPr>
            <w:r w:rsidRPr="008819AF">
              <w:rPr>
                <w:sz w:val="20"/>
                <w:szCs w:val="20"/>
              </w:rPr>
              <w:t>Prídavný horák</w:t>
            </w:r>
          </w:p>
          <w:p w14:paraId="1513284E" w14:textId="77777777" w:rsidR="0011561C" w:rsidRPr="008819AF" w:rsidRDefault="0011561C" w:rsidP="009916A2">
            <w:pPr>
              <w:pStyle w:val="Zpat"/>
              <w:widowControl w:val="0"/>
              <w:tabs>
                <w:tab w:val="clear" w:pos="4536"/>
                <w:tab w:val="clear" w:pos="9072"/>
              </w:tabs>
              <w:ind w:left="26"/>
              <w:jc w:val="both"/>
              <w:rPr>
                <w:sz w:val="20"/>
                <w:szCs w:val="20"/>
              </w:rPr>
            </w:pPr>
            <w:r w:rsidRPr="008819AF">
              <w:rPr>
                <w:sz w:val="20"/>
                <w:szCs w:val="20"/>
              </w:rPr>
              <w:t xml:space="preserve">Každá spaľovacia komora spaľovne odpadov musí byť vybavená najmenej jedným prídavným horákom, ktorý </w:t>
            </w:r>
          </w:p>
          <w:p w14:paraId="1513284F" w14:textId="77777777" w:rsidR="0011561C" w:rsidRPr="008819AF" w:rsidRDefault="0011561C" w:rsidP="009C63CF">
            <w:pPr>
              <w:pStyle w:val="Zkladntext20"/>
              <w:keepNext w:val="0"/>
              <w:numPr>
                <w:ilvl w:val="0"/>
                <w:numId w:val="82"/>
              </w:numPr>
              <w:spacing w:before="0" w:after="0"/>
              <w:ind w:left="167" w:hanging="141"/>
              <w:rPr>
                <w:sz w:val="20"/>
                <w:szCs w:val="20"/>
              </w:rPr>
            </w:pPr>
            <w:r w:rsidRPr="008819AF">
              <w:rPr>
                <w:sz w:val="20"/>
                <w:szCs w:val="20"/>
              </w:rPr>
              <w:t>sa automaticky uvedie do prevádzky, ak teplota spalín po poslednom prívode spaľovacieho vzduchu klesne pod hodnotu uvedenú v bode 4 v závislosti od druhu spaľovaných odpadov,</w:t>
            </w:r>
          </w:p>
          <w:p w14:paraId="15132850" w14:textId="77777777" w:rsidR="0011561C" w:rsidRPr="008819AF" w:rsidRDefault="0011561C" w:rsidP="009C63CF">
            <w:pPr>
              <w:pStyle w:val="Zkladntext20"/>
              <w:keepNext w:val="0"/>
              <w:numPr>
                <w:ilvl w:val="0"/>
                <w:numId w:val="82"/>
              </w:numPr>
              <w:spacing w:before="0" w:after="0"/>
              <w:ind w:left="167" w:hanging="141"/>
              <w:rPr>
                <w:sz w:val="20"/>
                <w:szCs w:val="20"/>
              </w:rPr>
            </w:pPr>
            <w:r w:rsidRPr="008819AF">
              <w:rPr>
                <w:sz w:val="20"/>
                <w:szCs w:val="20"/>
              </w:rPr>
              <w:t xml:space="preserve">bude v prevádzke aj počas nábehu a odstavovania, aby teplota v žiadnom intervale spaľovania neklesla pod hodnotu uvedenú v bode 4 v závislosti od druhu spaľovaných odpadov, po celý čas, kým sa v spaľovacom priestore nachádza ešte nespálený odpad, </w:t>
            </w:r>
          </w:p>
          <w:p w14:paraId="15132851" w14:textId="77777777" w:rsidR="0011561C" w:rsidRPr="008819AF" w:rsidRDefault="0011561C" w:rsidP="009C63CF">
            <w:pPr>
              <w:pStyle w:val="Zkladntext20"/>
              <w:keepNext w:val="0"/>
              <w:numPr>
                <w:ilvl w:val="0"/>
                <w:numId w:val="82"/>
              </w:numPr>
              <w:spacing w:before="0" w:after="0"/>
              <w:ind w:left="167" w:hanging="141"/>
              <w:rPr>
                <w:sz w:val="20"/>
                <w:szCs w:val="20"/>
              </w:rPr>
            </w:pPr>
            <w:r w:rsidRPr="008819AF">
              <w:rPr>
                <w:sz w:val="20"/>
                <w:szCs w:val="20"/>
              </w:rPr>
              <w:t>nesmie spaľovať palivá, ktoré môžu spôsobiť vyššie emisie ako emisie zo spaľovania zemného plynu, skvapalnených uhľovodíkových plynov alebo emisie so spaľovania  plynového oleja zodpovedajúce požiadavkám na kvalitu palív podľa osobitného predpisu.</w:t>
            </w:r>
            <w:r w:rsidR="00445A6C" w:rsidRPr="008819AF">
              <w:fldChar w:fldCharType="begin"/>
            </w:r>
            <w:r w:rsidR="00445A6C" w:rsidRPr="008819AF">
              <w:instrText xml:space="preserve"> NOTEREF _Ref91625287 \h  \* MERGEFORMAT </w:instrText>
            </w:r>
            <w:r w:rsidR="00445A6C" w:rsidRPr="008819AF">
              <w:fldChar w:fldCharType="separate"/>
            </w:r>
            <w:r w:rsidRPr="008819AF">
              <w:t>4</w:t>
            </w:r>
            <w:r w:rsidR="00445A6C" w:rsidRPr="008819AF">
              <w:fldChar w:fldCharType="end"/>
            </w:r>
            <w:r w:rsidRPr="008819AF">
              <w:rPr>
                <w:sz w:val="20"/>
                <w:szCs w:val="20"/>
              </w:rPr>
              <w:t>)</w:t>
            </w:r>
          </w:p>
          <w:p w14:paraId="15132852" w14:textId="77777777" w:rsidR="0011561C" w:rsidRPr="008819AF" w:rsidRDefault="00445A6C" w:rsidP="0021052F">
            <w:pPr>
              <w:pStyle w:val="Hlavika"/>
              <w:ind w:left="72" w:hanging="1"/>
              <w:rPr>
                <w:rFonts w:ascii="Times New Roman" w:hAnsi="Times New Roman" w:cs="Times New Roman"/>
              </w:rPr>
            </w:pPr>
            <w:r w:rsidRPr="008819AF">
              <w:fldChar w:fldCharType="begin"/>
            </w:r>
            <w:r w:rsidRPr="008819AF">
              <w:instrText xml:space="preserve"> NOTEREF _Ref91625287 \h  \* MERGEFORMAT </w:instrText>
            </w:r>
            <w:r w:rsidRPr="008819AF">
              <w:fldChar w:fldCharType="separate"/>
            </w:r>
            <w:r w:rsidR="009916A2" w:rsidRPr="008819AF">
              <w:t>4</w:t>
            </w:r>
            <w:r w:rsidRPr="008819AF">
              <w:fldChar w:fldCharType="end"/>
            </w:r>
            <w:r w:rsidR="009916A2" w:rsidRPr="008819AF">
              <w:t>)</w:t>
            </w:r>
          </w:p>
          <w:p w14:paraId="15132853" w14:textId="77777777" w:rsidR="007170C3" w:rsidRPr="008819AF" w:rsidRDefault="007170C3" w:rsidP="0021052F">
            <w:pPr>
              <w:pStyle w:val="Hlavika"/>
              <w:ind w:left="72" w:hanging="1"/>
              <w:rPr>
                <w:rFonts w:ascii="Times New Roman" w:hAnsi="Times New Roman" w:cs="Times New Roman"/>
                <w:lang w:bidi="cs-CZ"/>
              </w:rPr>
            </w:pPr>
          </w:p>
          <w:p w14:paraId="15132854" w14:textId="77777777" w:rsidR="007170C3" w:rsidRPr="008819AF" w:rsidRDefault="007170C3" w:rsidP="0021052F"/>
        </w:tc>
        <w:tc>
          <w:tcPr>
            <w:tcW w:w="429" w:type="dxa"/>
            <w:tcBorders>
              <w:top w:val="single" w:sz="4" w:space="0" w:color="000000"/>
              <w:left w:val="single" w:sz="6" w:space="0" w:color="000000"/>
              <w:bottom w:val="single" w:sz="4" w:space="0" w:color="000000"/>
              <w:right w:val="single" w:sz="6" w:space="0" w:color="000000"/>
            </w:tcBorders>
          </w:tcPr>
          <w:p w14:paraId="15132855" w14:textId="77777777" w:rsidR="007170C3" w:rsidRPr="008819AF" w:rsidRDefault="007170C3"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856" w14:textId="77777777" w:rsidR="007170C3" w:rsidRPr="008819AF" w:rsidRDefault="007170C3" w:rsidP="0021052F">
            <w:pPr>
              <w:ind w:left="215" w:hanging="215"/>
              <w:rPr>
                <w:rFonts w:eastAsia="Arial"/>
                <w:lang w:bidi="cs-CZ"/>
              </w:rPr>
            </w:pPr>
          </w:p>
        </w:tc>
      </w:tr>
      <w:tr w:rsidR="009916A2" w:rsidRPr="008819AF" w14:paraId="1513286E"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2858" w14:textId="77777777" w:rsidR="009916A2" w:rsidRPr="008819AF" w:rsidRDefault="009916A2"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2859" w14:textId="77777777" w:rsidR="009916A2" w:rsidRPr="008819AF" w:rsidRDefault="009916A2" w:rsidP="0021052F">
            <w:pPr>
              <w:ind w:left="215" w:hanging="215"/>
              <w:rPr>
                <w:rFonts w:eastAsia="Arial"/>
              </w:rPr>
            </w:pPr>
            <w:r w:rsidRPr="008819AF">
              <w:rPr>
                <w:rFonts w:eastAsia="Arial"/>
              </w:rPr>
              <w:t>4. Spaľovne odpadov a zariadenia na spoluspaľovanie odpadov musia využívať automatický systém, ktorý zabráni prívodu odpadov v týchto situáciách:</w:t>
            </w:r>
          </w:p>
          <w:p w14:paraId="1513285A" w14:textId="77777777" w:rsidR="009916A2" w:rsidRPr="008819AF" w:rsidRDefault="009916A2" w:rsidP="0021052F">
            <w:pPr>
              <w:ind w:left="215" w:hanging="215"/>
              <w:rPr>
                <w:rFonts w:eastAsia="Arial"/>
              </w:rPr>
            </w:pPr>
          </w:p>
          <w:p w14:paraId="1513285B" w14:textId="77777777" w:rsidR="009916A2" w:rsidRPr="008819AF" w:rsidRDefault="009916A2" w:rsidP="009C63CF">
            <w:pPr>
              <w:numPr>
                <w:ilvl w:val="0"/>
                <w:numId w:val="35"/>
              </w:numPr>
              <w:tabs>
                <w:tab w:val="left" w:pos="227"/>
              </w:tabs>
              <w:rPr>
                <w:rFonts w:eastAsia="Arial"/>
              </w:rPr>
            </w:pPr>
            <w:r w:rsidRPr="008819AF">
              <w:rPr>
                <w:rFonts w:eastAsia="Arial"/>
              </w:rPr>
              <w:t>počas nábehu, kým sa nedosiahne teplota stanovená v odseku 2 tohto článku alebo kým sa nedosiahne teplota v súlade s článkom 51 ods. 1;</w:t>
            </w:r>
          </w:p>
          <w:p w14:paraId="1513285C" w14:textId="77777777" w:rsidR="009916A2" w:rsidRPr="008819AF" w:rsidRDefault="009916A2" w:rsidP="009C63CF">
            <w:pPr>
              <w:numPr>
                <w:ilvl w:val="0"/>
                <w:numId w:val="35"/>
              </w:numPr>
              <w:tabs>
                <w:tab w:val="left" w:pos="227"/>
              </w:tabs>
              <w:ind w:left="497" w:hanging="283"/>
              <w:rPr>
                <w:rFonts w:eastAsia="Arial"/>
              </w:rPr>
            </w:pPr>
            <w:r w:rsidRPr="008819AF">
              <w:rPr>
                <w:rFonts w:eastAsia="Arial"/>
              </w:rPr>
              <w:t>vždy, keď sa neudrží teplota stanovená v odseku 2 tohto článku alebo teplota stanovená v súlade s článkom 51 ods. 1;</w:t>
            </w:r>
          </w:p>
          <w:p w14:paraId="1513285D" w14:textId="77777777" w:rsidR="009916A2" w:rsidRPr="008819AF" w:rsidRDefault="009916A2" w:rsidP="0021052F">
            <w:pPr>
              <w:ind w:left="215" w:hanging="215"/>
              <w:rPr>
                <w:rFonts w:eastAsia="Arial"/>
              </w:rPr>
            </w:pPr>
            <w:r w:rsidRPr="008819AF">
              <w:rPr>
                <w:rFonts w:eastAsia="Arial"/>
              </w:rPr>
              <w:t>c)</w:t>
            </w:r>
            <w:r w:rsidRPr="008819AF">
              <w:t xml:space="preserve"> </w:t>
            </w:r>
            <w:r w:rsidRPr="008819AF">
              <w:rPr>
                <w:rFonts w:eastAsia="Arial"/>
              </w:rPr>
              <w:t xml:space="preserve">vždy, keď kontinuálne merania ukazujú, že v dôsledku porúch alebo výpadkov zariadení na čistenie odpadových plynov sa presiahla </w:t>
            </w:r>
            <w:r w:rsidRPr="008819AF">
              <w:rPr>
                <w:rFonts w:eastAsia="Arial"/>
              </w:rPr>
              <w:lastRenderedPageBreak/>
              <w:t>ktorákoľvek emisný limit</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85E" w14:textId="77777777" w:rsidR="009916A2" w:rsidRPr="008819AF" w:rsidRDefault="009916A2" w:rsidP="006A5948">
            <w:pPr>
              <w:jc w:val="center"/>
              <w:rPr>
                <w:rFonts w:eastAsia="Arial"/>
                <w:lang w:bidi="cs-CZ"/>
              </w:rPr>
            </w:pPr>
            <w:r w:rsidRPr="008819AF">
              <w:rPr>
                <w:rFonts w:eastAsia="Arial"/>
                <w:lang w:bidi="cs-CZ"/>
              </w:rPr>
              <w:lastRenderedPageBreak/>
              <w:t>N</w:t>
            </w:r>
          </w:p>
          <w:p w14:paraId="1513285F" w14:textId="77777777" w:rsidR="009916A2" w:rsidRPr="008819AF" w:rsidRDefault="009916A2" w:rsidP="006A5948">
            <w:pPr>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860" w14:textId="77777777" w:rsidR="009916A2" w:rsidRPr="008819AF" w:rsidRDefault="009916A2" w:rsidP="006A5948">
            <w:pPr>
              <w:jc w:val="center"/>
              <w:rPr>
                <w:rFonts w:eastAsia="Arial"/>
                <w:lang w:bidi="cs-CZ"/>
              </w:rPr>
            </w:pPr>
            <w:r w:rsidRPr="008819AF">
              <w:rPr>
                <w:rFonts w:eastAsia="Arial"/>
                <w:lang w:bidi="cs-CZ"/>
              </w:rPr>
              <w:t>NV2</w:t>
            </w:r>
          </w:p>
          <w:p w14:paraId="15132861" w14:textId="77777777" w:rsidR="009916A2" w:rsidRPr="008819AF" w:rsidRDefault="009916A2" w:rsidP="006A5948">
            <w:pPr>
              <w:jc w:val="center"/>
              <w:rPr>
                <w:rFonts w:eastAsia="Arial"/>
                <w:lang w:bidi="cs-CZ"/>
              </w:rPr>
            </w:pPr>
          </w:p>
          <w:p w14:paraId="15132862" w14:textId="77777777" w:rsidR="009916A2" w:rsidRPr="008819AF" w:rsidRDefault="009916A2" w:rsidP="006A5948">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863" w14:textId="77777777" w:rsidR="009916A2" w:rsidRPr="008819AF" w:rsidRDefault="009916A2" w:rsidP="006A5948">
            <w:pPr>
              <w:jc w:val="center"/>
            </w:pPr>
            <w:r w:rsidRPr="008819AF">
              <w:t>Pr.5</w:t>
            </w:r>
          </w:p>
          <w:p w14:paraId="15132864" w14:textId="77777777" w:rsidR="009916A2" w:rsidRPr="008819AF" w:rsidRDefault="009916A2" w:rsidP="006A5948">
            <w:pPr>
              <w:jc w:val="center"/>
            </w:pPr>
            <w:r w:rsidRPr="008819AF">
              <w:t>Časť II.</w:t>
            </w:r>
          </w:p>
          <w:p w14:paraId="15132865" w14:textId="77777777" w:rsidR="009916A2" w:rsidRPr="008819AF" w:rsidRDefault="009916A2" w:rsidP="006A5948">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Bod 6.</w:t>
            </w:r>
          </w:p>
          <w:p w14:paraId="15132866" w14:textId="77777777" w:rsidR="009916A2" w:rsidRPr="008819AF" w:rsidRDefault="009916A2" w:rsidP="006A5948">
            <w:pPr>
              <w:pStyle w:val="BodyText21"/>
              <w:spacing w:before="0" w:line="240" w:lineRule="auto"/>
              <w:ind w:left="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867" w14:textId="77777777" w:rsidR="009916A2" w:rsidRPr="008819AF" w:rsidRDefault="009916A2" w:rsidP="009C63CF">
            <w:pPr>
              <w:pStyle w:val="Zpat"/>
              <w:widowControl w:val="0"/>
              <w:numPr>
                <w:ilvl w:val="0"/>
                <w:numId w:val="81"/>
              </w:numPr>
              <w:tabs>
                <w:tab w:val="clear" w:pos="4536"/>
                <w:tab w:val="clear" w:pos="9072"/>
              </w:tabs>
              <w:ind w:left="284" w:hanging="284"/>
              <w:jc w:val="both"/>
              <w:rPr>
                <w:sz w:val="20"/>
                <w:szCs w:val="20"/>
              </w:rPr>
            </w:pPr>
            <w:r w:rsidRPr="008819AF">
              <w:rPr>
                <w:sz w:val="20"/>
                <w:szCs w:val="20"/>
              </w:rPr>
              <w:t>Automatický systém odstavenia prísunu odpadov</w:t>
            </w:r>
          </w:p>
          <w:p w14:paraId="15132868" w14:textId="77777777" w:rsidR="009916A2" w:rsidRPr="008819AF" w:rsidRDefault="009916A2" w:rsidP="000C6209">
            <w:pPr>
              <w:pStyle w:val="Zpat"/>
              <w:widowControl w:val="0"/>
              <w:tabs>
                <w:tab w:val="clear" w:pos="4536"/>
                <w:tab w:val="clear" w:pos="9072"/>
              </w:tabs>
              <w:ind w:left="26"/>
              <w:jc w:val="both"/>
              <w:rPr>
                <w:sz w:val="20"/>
                <w:szCs w:val="20"/>
              </w:rPr>
            </w:pPr>
            <w:r w:rsidRPr="008819AF">
              <w:rPr>
                <w:sz w:val="20"/>
                <w:szCs w:val="20"/>
              </w:rPr>
              <w:t>Spaľovňa odpadov a zariadenie na spoluspaľovanie odpadov musí byť vybavené automatickým systémom, ktorý pri prevádzke spaľovne odpadov a zariadenia na spoluspaľovanie  odpadov zabezpečí odstavenie prísunu odpadu</w:t>
            </w:r>
          </w:p>
          <w:p w14:paraId="15132869" w14:textId="77777777" w:rsidR="009916A2" w:rsidRPr="008819AF" w:rsidRDefault="009916A2" w:rsidP="009C63CF">
            <w:pPr>
              <w:pStyle w:val="Zkladntext20"/>
              <w:keepNext w:val="0"/>
              <w:numPr>
                <w:ilvl w:val="0"/>
                <w:numId w:val="83"/>
              </w:numPr>
              <w:spacing w:before="0" w:after="0"/>
              <w:ind w:left="26" w:firstLine="0"/>
              <w:rPr>
                <w:sz w:val="20"/>
                <w:szCs w:val="20"/>
              </w:rPr>
            </w:pPr>
            <w:r w:rsidRPr="008819AF">
              <w:rPr>
                <w:sz w:val="20"/>
                <w:szCs w:val="20"/>
              </w:rPr>
              <w:t>pri nábehu, kým teplota nedosiahne hodnotu ustanovenú podľa bodu 4,</w:t>
            </w:r>
          </w:p>
          <w:p w14:paraId="1513286A" w14:textId="77777777" w:rsidR="009916A2" w:rsidRPr="008819AF" w:rsidRDefault="009916A2" w:rsidP="009C63CF">
            <w:pPr>
              <w:pStyle w:val="Zkladntext20"/>
              <w:keepNext w:val="0"/>
              <w:numPr>
                <w:ilvl w:val="0"/>
                <w:numId w:val="83"/>
              </w:numPr>
              <w:spacing w:before="0" w:after="0"/>
              <w:ind w:left="26" w:firstLine="0"/>
              <w:rPr>
                <w:sz w:val="20"/>
                <w:szCs w:val="20"/>
              </w:rPr>
            </w:pPr>
            <w:r w:rsidRPr="008819AF">
              <w:rPr>
                <w:sz w:val="20"/>
                <w:szCs w:val="20"/>
              </w:rPr>
              <w:t xml:space="preserve">pri každom poklese teploty pod hodnotu ustanovenú v bode 4, </w:t>
            </w:r>
          </w:p>
          <w:p w14:paraId="1513286B" w14:textId="77777777" w:rsidR="009916A2" w:rsidRPr="008819AF" w:rsidRDefault="009916A2" w:rsidP="009C63CF">
            <w:pPr>
              <w:pStyle w:val="Zkladntext20"/>
              <w:keepNext w:val="0"/>
              <w:numPr>
                <w:ilvl w:val="0"/>
                <w:numId w:val="83"/>
              </w:numPr>
              <w:spacing w:before="0" w:after="0"/>
              <w:ind w:left="26" w:firstLine="0"/>
              <w:rPr>
                <w:rFonts w:eastAsia="Arial"/>
                <w:sz w:val="20"/>
                <w:szCs w:val="20"/>
              </w:rPr>
            </w:pPr>
            <w:r w:rsidRPr="008819AF">
              <w:rPr>
                <w:sz w:val="20"/>
                <w:szCs w:val="20"/>
              </w:rPr>
              <w:t xml:space="preserve">v každom prípade, keď kontinuálne meranie ukáže, že v dôsledku poruchy alebo výpadku zariadenia na čistenie odpadových plynov </w:t>
            </w:r>
            <w:r w:rsidRPr="008819AF">
              <w:rPr>
                <w:sz w:val="20"/>
                <w:szCs w:val="20"/>
              </w:rPr>
              <w:lastRenderedPageBreak/>
              <w:t>boli prekročené emisné limity.</w:t>
            </w:r>
          </w:p>
        </w:tc>
        <w:tc>
          <w:tcPr>
            <w:tcW w:w="429" w:type="dxa"/>
            <w:tcBorders>
              <w:top w:val="single" w:sz="4" w:space="0" w:color="000000"/>
              <w:left w:val="single" w:sz="6" w:space="0" w:color="000000"/>
              <w:bottom w:val="single" w:sz="4" w:space="0" w:color="000000"/>
              <w:right w:val="single" w:sz="6" w:space="0" w:color="000000"/>
            </w:tcBorders>
          </w:tcPr>
          <w:p w14:paraId="1513286C" w14:textId="77777777" w:rsidR="009916A2" w:rsidRPr="008819AF" w:rsidRDefault="009916A2"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86D" w14:textId="77777777" w:rsidR="009916A2" w:rsidRPr="008819AF" w:rsidRDefault="009916A2" w:rsidP="0021052F">
            <w:pPr>
              <w:ind w:left="215" w:hanging="215"/>
              <w:rPr>
                <w:rFonts w:eastAsia="Arial"/>
                <w:lang w:bidi="cs-CZ"/>
              </w:rPr>
            </w:pPr>
          </w:p>
        </w:tc>
      </w:tr>
      <w:tr w:rsidR="009916A2" w:rsidRPr="008819AF" w14:paraId="1513287A"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286F" w14:textId="77777777" w:rsidR="009916A2" w:rsidRPr="008819AF" w:rsidRDefault="009916A2"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2870" w14:textId="77777777" w:rsidR="009916A2" w:rsidRPr="008819AF" w:rsidRDefault="009916A2" w:rsidP="000C6209">
            <w:pPr>
              <w:ind w:left="215" w:hanging="215"/>
              <w:rPr>
                <w:rFonts w:eastAsia="Arial"/>
              </w:rPr>
            </w:pPr>
            <w:r w:rsidRPr="008819AF">
              <w:rPr>
                <w:rFonts w:eastAsia="Arial"/>
              </w:rPr>
              <w:t xml:space="preserve">5. Všetko teplo vznikajúce v spaľovniach odpadov alebo zariadeniach na spoluspaľovanie odpadov sa musí v najväčšej možnej miere </w:t>
            </w:r>
            <w:r w:rsidR="000C6209" w:rsidRPr="008819AF">
              <w:rPr>
                <w:rFonts w:eastAsia="Arial"/>
              </w:rPr>
              <w:t>zhodnotiť.</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871" w14:textId="77777777" w:rsidR="009916A2" w:rsidRPr="008819AF" w:rsidRDefault="000C6209" w:rsidP="0021052F">
            <w:pPr>
              <w:jc w:val="center"/>
            </w:pPr>
            <w:r w:rsidRPr="008819AF">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872" w14:textId="77777777" w:rsidR="009916A2" w:rsidRPr="008819AF" w:rsidRDefault="009916A2" w:rsidP="0021052F">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15132873" w14:textId="77777777" w:rsidR="000C6209" w:rsidRPr="008819AF" w:rsidRDefault="000C6209" w:rsidP="000C6209">
            <w:pPr>
              <w:jc w:val="center"/>
            </w:pPr>
            <w:r w:rsidRPr="008819AF">
              <w:t>Pr.5</w:t>
            </w:r>
          </w:p>
          <w:p w14:paraId="15132874" w14:textId="77777777" w:rsidR="000C6209" w:rsidRPr="008819AF" w:rsidRDefault="000C6209" w:rsidP="000C6209">
            <w:pPr>
              <w:jc w:val="center"/>
            </w:pPr>
            <w:r w:rsidRPr="008819AF">
              <w:t>Časť II.</w:t>
            </w:r>
          </w:p>
          <w:p w14:paraId="15132875" w14:textId="77777777" w:rsidR="009916A2" w:rsidRPr="008819AF" w:rsidRDefault="000C6209" w:rsidP="000C6209">
            <w:pPr>
              <w:pStyle w:val="BodyText21"/>
              <w:spacing w:before="0" w:line="240" w:lineRule="auto"/>
              <w:ind w:left="0" w:firstLine="0"/>
              <w:jc w:val="center"/>
            </w:pPr>
            <w:r w:rsidRPr="008819AF">
              <w:rPr>
                <w:rFonts w:ascii="Times New Roman" w:hAnsi="Times New Roman" w:cs="Times New Roman"/>
              </w:rPr>
              <w:t>Bod7.</w:t>
            </w:r>
          </w:p>
        </w:tc>
        <w:tc>
          <w:tcPr>
            <w:tcW w:w="5664" w:type="dxa"/>
            <w:gridSpan w:val="5"/>
            <w:tcBorders>
              <w:top w:val="single" w:sz="4" w:space="0" w:color="000000"/>
              <w:left w:val="single" w:sz="6" w:space="0" w:color="000000"/>
              <w:bottom w:val="single" w:sz="4" w:space="0" w:color="000000"/>
              <w:right w:val="single" w:sz="6" w:space="0" w:color="000000"/>
            </w:tcBorders>
          </w:tcPr>
          <w:p w14:paraId="15132876" w14:textId="77777777" w:rsidR="000C6209" w:rsidRPr="008819AF" w:rsidRDefault="000C6209" w:rsidP="009C63CF">
            <w:pPr>
              <w:pStyle w:val="Zpat"/>
              <w:widowControl w:val="0"/>
              <w:numPr>
                <w:ilvl w:val="0"/>
                <w:numId w:val="81"/>
              </w:numPr>
              <w:tabs>
                <w:tab w:val="clear" w:pos="4536"/>
                <w:tab w:val="clear" w:pos="9072"/>
              </w:tabs>
              <w:ind w:left="284" w:hanging="284"/>
              <w:jc w:val="both"/>
              <w:rPr>
                <w:sz w:val="20"/>
                <w:szCs w:val="20"/>
              </w:rPr>
            </w:pPr>
            <w:r w:rsidRPr="008819AF">
              <w:rPr>
                <w:sz w:val="20"/>
                <w:szCs w:val="20"/>
              </w:rPr>
              <w:t>Využitie tepla</w:t>
            </w:r>
          </w:p>
          <w:p w14:paraId="15132877" w14:textId="77777777" w:rsidR="009916A2" w:rsidRPr="008819AF" w:rsidRDefault="000C6209" w:rsidP="000C6209">
            <w:pPr>
              <w:pStyle w:val="Zpat"/>
              <w:widowControl w:val="0"/>
              <w:tabs>
                <w:tab w:val="clear" w:pos="4536"/>
                <w:tab w:val="clear" w:pos="9072"/>
              </w:tabs>
              <w:ind w:left="26"/>
              <w:jc w:val="both"/>
              <w:rPr>
                <w:rFonts w:eastAsia="Arial"/>
                <w:sz w:val="20"/>
                <w:szCs w:val="20"/>
              </w:rPr>
            </w:pPr>
            <w:r w:rsidRPr="008819AF">
              <w:rPr>
                <w:sz w:val="20"/>
                <w:szCs w:val="20"/>
              </w:rPr>
              <w:t>Teplo vznikajúce pri spaľovaní odpadov alebo spoluspaľovaní odpadov musí byť podľa možnosti využité.</w:t>
            </w:r>
          </w:p>
        </w:tc>
        <w:tc>
          <w:tcPr>
            <w:tcW w:w="429" w:type="dxa"/>
            <w:tcBorders>
              <w:top w:val="single" w:sz="4" w:space="0" w:color="000000"/>
              <w:left w:val="single" w:sz="6" w:space="0" w:color="000000"/>
              <w:bottom w:val="single" w:sz="4" w:space="0" w:color="000000"/>
              <w:right w:val="single" w:sz="6" w:space="0" w:color="000000"/>
            </w:tcBorders>
          </w:tcPr>
          <w:p w14:paraId="15132878" w14:textId="77777777" w:rsidR="009916A2" w:rsidRPr="008819AF" w:rsidRDefault="009916A2" w:rsidP="0021052F"/>
        </w:tc>
        <w:tc>
          <w:tcPr>
            <w:tcW w:w="821" w:type="dxa"/>
            <w:gridSpan w:val="3"/>
            <w:tcBorders>
              <w:top w:val="single" w:sz="4" w:space="0" w:color="000000"/>
              <w:left w:val="single" w:sz="6" w:space="0" w:color="000000"/>
              <w:bottom w:val="single" w:sz="4" w:space="0" w:color="000000"/>
              <w:right w:val="single" w:sz="6" w:space="0" w:color="000000"/>
            </w:tcBorders>
          </w:tcPr>
          <w:p w14:paraId="15132879" w14:textId="77777777" w:rsidR="009916A2" w:rsidRPr="008819AF" w:rsidRDefault="009916A2" w:rsidP="0021052F">
            <w:pPr>
              <w:ind w:left="215" w:hanging="215"/>
              <w:rPr>
                <w:rFonts w:eastAsia="Arial"/>
                <w:lang w:bidi="cs-CZ"/>
              </w:rPr>
            </w:pPr>
          </w:p>
        </w:tc>
      </w:tr>
      <w:tr w:rsidR="000C6209" w:rsidRPr="008819AF" w14:paraId="15132886"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287B" w14:textId="77777777" w:rsidR="000C6209" w:rsidRPr="008819AF" w:rsidRDefault="000C6209"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287C" w14:textId="77777777" w:rsidR="000C6209" w:rsidRPr="008819AF" w:rsidRDefault="000C6209" w:rsidP="000C6209">
            <w:pPr>
              <w:ind w:left="215" w:hanging="215"/>
              <w:rPr>
                <w:rFonts w:eastAsia="Arial"/>
              </w:rPr>
            </w:pPr>
            <w:r w:rsidRPr="008819AF">
              <w:rPr>
                <w:rFonts w:eastAsia="Arial"/>
              </w:rPr>
              <w:t>6. Infekčné odpady zo zdravotníckej a veterinárnej starostlivosti sa musia vkladať priamo do pece bez toho, aby sa najprv miešali s inými kategóriami odpadov, a bez priamej manipulácie.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87D" w14:textId="77777777" w:rsidR="000C6209" w:rsidRPr="008819AF" w:rsidRDefault="000C6209" w:rsidP="006A5948">
            <w:pPr>
              <w:jc w:val="center"/>
            </w:pPr>
            <w:r w:rsidRPr="008819AF">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87E" w14:textId="77777777" w:rsidR="000C6209" w:rsidRPr="008819AF" w:rsidRDefault="000C6209" w:rsidP="006A5948">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1513287F" w14:textId="77777777" w:rsidR="000C6209" w:rsidRPr="008819AF" w:rsidRDefault="000C6209" w:rsidP="006A5948">
            <w:pPr>
              <w:jc w:val="center"/>
            </w:pPr>
            <w:r w:rsidRPr="008819AF">
              <w:t>Pr.5</w:t>
            </w:r>
          </w:p>
          <w:p w14:paraId="15132880" w14:textId="77777777" w:rsidR="000C6209" w:rsidRPr="008819AF" w:rsidRDefault="000C6209" w:rsidP="006A5948">
            <w:pPr>
              <w:jc w:val="center"/>
            </w:pPr>
            <w:r w:rsidRPr="008819AF">
              <w:t>Časť II.</w:t>
            </w:r>
          </w:p>
          <w:p w14:paraId="15132881" w14:textId="77777777" w:rsidR="000C6209" w:rsidRPr="008819AF" w:rsidRDefault="000C6209" w:rsidP="006A5948">
            <w:pPr>
              <w:pStyle w:val="BodyText21"/>
              <w:spacing w:before="0" w:line="240" w:lineRule="auto"/>
              <w:ind w:left="0" w:firstLine="0"/>
              <w:jc w:val="center"/>
            </w:pPr>
            <w:r w:rsidRPr="008819AF">
              <w:rPr>
                <w:rFonts w:ascii="Times New Roman" w:hAnsi="Times New Roman" w:cs="Times New Roman"/>
              </w:rPr>
              <w:t>Bod8.</w:t>
            </w:r>
          </w:p>
        </w:tc>
        <w:tc>
          <w:tcPr>
            <w:tcW w:w="5664" w:type="dxa"/>
            <w:gridSpan w:val="5"/>
            <w:tcBorders>
              <w:top w:val="single" w:sz="4" w:space="0" w:color="000000"/>
              <w:left w:val="single" w:sz="6" w:space="0" w:color="000000"/>
              <w:bottom w:val="single" w:sz="4" w:space="0" w:color="000000"/>
              <w:right w:val="single" w:sz="6" w:space="0" w:color="000000"/>
            </w:tcBorders>
          </w:tcPr>
          <w:p w14:paraId="15132882" w14:textId="77777777" w:rsidR="000C6209" w:rsidRPr="008819AF" w:rsidRDefault="000C6209" w:rsidP="009C63CF">
            <w:pPr>
              <w:pStyle w:val="Zpat"/>
              <w:widowControl w:val="0"/>
              <w:numPr>
                <w:ilvl w:val="0"/>
                <w:numId w:val="81"/>
              </w:numPr>
              <w:tabs>
                <w:tab w:val="clear" w:pos="4536"/>
                <w:tab w:val="clear" w:pos="9072"/>
              </w:tabs>
              <w:ind w:left="284" w:hanging="284"/>
              <w:jc w:val="both"/>
              <w:rPr>
                <w:sz w:val="20"/>
                <w:szCs w:val="20"/>
              </w:rPr>
            </w:pPr>
            <w:r w:rsidRPr="008819AF">
              <w:rPr>
                <w:sz w:val="20"/>
                <w:szCs w:val="20"/>
              </w:rPr>
              <w:t>Infekčný nemocničný odpad</w:t>
            </w:r>
          </w:p>
          <w:p w14:paraId="15132883" w14:textId="77777777" w:rsidR="000C6209" w:rsidRPr="008819AF" w:rsidRDefault="000C6209" w:rsidP="000C6209">
            <w:pPr>
              <w:pStyle w:val="Zpat"/>
              <w:widowControl w:val="0"/>
              <w:tabs>
                <w:tab w:val="clear" w:pos="4536"/>
                <w:tab w:val="clear" w:pos="9072"/>
              </w:tabs>
              <w:ind w:left="26"/>
              <w:jc w:val="both"/>
              <w:rPr>
                <w:rFonts w:eastAsia="Arial"/>
                <w:sz w:val="20"/>
                <w:szCs w:val="20"/>
                <w:lang w:bidi="cs-CZ"/>
              </w:rPr>
            </w:pPr>
            <w:r w:rsidRPr="008819AF">
              <w:rPr>
                <w:sz w:val="20"/>
                <w:szCs w:val="20"/>
              </w:rPr>
              <w:t>Infekčný nemocničný odpad sa podáva do spaľovacieho zariadenia bez predbežného zmiešania s inými druhmi odpadov a bez priameho kontaktu obsluhy.</w:t>
            </w:r>
          </w:p>
        </w:tc>
        <w:tc>
          <w:tcPr>
            <w:tcW w:w="429" w:type="dxa"/>
            <w:tcBorders>
              <w:top w:val="single" w:sz="4" w:space="0" w:color="000000"/>
              <w:left w:val="single" w:sz="6" w:space="0" w:color="000000"/>
              <w:bottom w:val="single" w:sz="4" w:space="0" w:color="000000"/>
              <w:right w:val="single" w:sz="6" w:space="0" w:color="000000"/>
            </w:tcBorders>
          </w:tcPr>
          <w:p w14:paraId="15132884" w14:textId="77777777" w:rsidR="000C6209" w:rsidRPr="008819AF" w:rsidRDefault="000C6209"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885" w14:textId="77777777" w:rsidR="000C6209" w:rsidRPr="008819AF" w:rsidRDefault="000C6209" w:rsidP="0021052F">
            <w:pPr>
              <w:ind w:left="215" w:hanging="215"/>
              <w:rPr>
                <w:rFonts w:eastAsia="Arial"/>
                <w:lang w:bidi="cs-CZ"/>
              </w:rPr>
            </w:pPr>
          </w:p>
        </w:tc>
      </w:tr>
      <w:tr w:rsidR="000C6209" w:rsidRPr="008819AF" w14:paraId="15132893"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2887" w14:textId="77777777" w:rsidR="000C6209" w:rsidRPr="008819AF" w:rsidRDefault="000C6209"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2888" w14:textId="77777777" w:rsidR="000C6209" w:rsidRPr="008819AF" w:rsidRDefault="000C6209" w:rsidP="0021052F">
            <w:pPr>
              <w:ind w:left="215" w:hanging="215"/>
              <w:rPr>
                <w:rFonts w:eastAsia="Arial"/>
              </w:rPr>
            </w:pPr>
            <w:r w:rsidRPr="008819AF">
              <w:rPr>
                <w:rFonts w:eastAsia="Arial"/>
              </w:rPr>
              <w:t>7. Členské štáty zabezpečia, že spaľovňa odpadov alebo zariadenie na spoluspaľovanie odpadov prevádzkuje a riadi fyzická osoba, ktorá je spôsobilá riadiť zariadenie.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889" w14:textId="77777777" w:rsidR="000C6209" w:rsidRPr="008819AF" w:rsidRDefault="000C6209" w:rsidP="0021052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57BA9FA4" w14:textId="77777777" w:rsidR="000C6209" w:rsidRPr="008819AF" w:rsidRDefault="000C6209" w:rsidP="0021052F">
            <w:pPr>
              <w:ind w:left="215" w:hanging="215"/>
              <w:jc w:val="center"/>
              <w:rPr>
                <w:rFonts w:eastAsia="Arial"/>
                <w:lang w:bidi="cs-CZ"/>
              </w:rPr>
            </w:pPr>
            <w:r w:rsidRPr="008819AF">
              <w:rPr>
                <w:rFonts w:eastAsia="Arial"/>
                <w:lang w:bidi="cs-CZ"/>
              </w:rPr>
              <w:t>NZ</w:t>
            </w:r>
          </w:p>
          <w:p w14:paraId="64F91D64" w14:textId="77777777" w:rsidR="00BB4CD9" w:rsidRPr="008819AF" w:rsidRDefault="00BB4CD9" w:rsidP="0021052F">
            <w:pPr>
              <w:ind w:left="215" w:hanging="215"/>
              <w:jc w:val="center"/>
              <w:rPr>
                <w:rFonts w:eastAsia="Arial"/>
                <w:lang w:bidi="cs-CZ"/>
              </w:rPr>
            </w:pPr>
          </w:p>
          <w:p w14:paraId="7173326F" w14:textId="77777777" w:rsidR="00BB4CD9" w:rsidRPr="008819AF" w:rsidRDefault="00BB4CD9" w:rsidP="0021052F">
            <w:pPr>
              <w:ind w:left="215" w:hanging="215"/>
              <w:jc w:val="center"/>
              <w:rPr>
                <w:rFonts w:eastAsia="Arial"/>
                <w:lang w:bidi="cs-CZ"/>
              </w:rPr>
            </w:pPr>
          </w:p>
          <w:p w14:paraId="3E226B23" w14:textId="77777777" w:rsidR="00BB4CD9" w:rsidRPr="008819AF" w:rsidRDefault="00BB4CD9" w:rsidP="0021052F">
            <w:pPr>
              <w:ind w:left="215" w:hanging="215"/>
              <w:jc w:val="center"/>
              <w:rPr>
                <w:rFonts w:eastAsia="Arial"/>
                <w:lang w:bidi="cs-CZ"/>
              </w:rPr>
            </w:pPr>
          </w:p>
          <w:p w14:paraId="5A1A4946" w14:textId="77777777" w:rsidR="00BB4CD9" w:rsidRPr="008819AF" w:rsidRDefault="00BB4CD9" w:rsidP="0021052F">
            <w:pPr>
              <w:ind w:left="215" w:hanging="215"/>
              <w:jc w:val="center"/>
              <w:rPr>
                <w:rFonts w:eastAsia="Arial"/>
                <w:lang w:bidi="cs-CZ"/>
              </w:rPr>
            </w:pPr>
          </w:p>
          <w:p w14:paraId="1513288A" w14:textId="7CA65CB6" w:rsidR="00BB4CD9" w:rsidRPr="008819AF" w:rsidRDefault="00BB4CD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88B" w14:textId="77777777" w:rsidR="008310AE" w:rsidRPr="008819AF" w:rsidRDefault="008310AE" w:rsidP="0021052F">
            <w:pPr>
              <w:pStyle w:val="BodyText21"/>
              <w:spacing w:before="0" w:line="240" w:lineRule="auto"/>
              <w:jc w:val="center"/>
              <w:rPr>
                <w:rFonts w:ascii="Times New Roman" w:hAnsi="Times New Roman" w:cs="Times New Roman"/>
              </w:rPr>
            </w:pPr>
            <w:r w:rsidRPr="008819AF">
              <w:rPr>
                <w:rFonts w:ascii="Times New Roman" w:hAnsi="Times New Roman" w:cs="Times New Roman"/>
              </w:rPr>
              <w:t>§ 34</w:t>
            </w:r>
          </w:p>
          <w:p w14:paraId="1513288C" w14:textId="77777777" w:rsidR="008310AE" w:rsidRPr="008819AF" w:rsidRDefault="008310AE" w:rsidP="0021052F">
            <w:pPr>
              <w:pStyle w:val="BodyText21"/>
              <w:spacing w:before="0" w:line="240" w:lineRule="auto"/>
              <w:jc w:val="center"/>
              <w:rPr>
                <w:rFonts w:ascii="Times New Roman" w:hAnsi="Times New Roman" w:cs="Times New Roman"/>
              </w:rPr>
            </w:pPr>
            <w:r w:rsidRPr="008819AF">
              <w:rPr>
                <w:rFonts w:ascii="Times New Roman" w:hAnsi="Times New Roman" w:cs="Times New Roman"/>
              </w:rPr>
              <w:t>O 1</w:t>
            </w:r>
          </w:p>
          <w:p w14:paraId="0AC63F2B" w14:textId="77777777" w:rsidR="000C6209" w:rsidRPr="008819AF" w:rsidRDefault="008310AE" w:rsidP="0021052F">
            <w:pPr>
              <w:pStyle w:val="BodyText21"/>
              <w:spacing w:before="0" w:line="240" w:lineRule="auto"/>
              <w:jc w:val="center"/>
              <w:rPr>
                <w:rFonts w:ascii="Times New Roman" w:hAnsi="Times New Roman" w:cs="Times New Roman"/>
              </w:rPr>
            </w:pPr>
            <w:r w:rsidRPr="008819AF">
              <w:rPr>
                <w:rFonts w:ascii="Times New Roman" w:hAnsi="Times New Roman" w:cs="Times New Roman"/>
              </w:rPr>
              <w:t>P i)</w:t>
            </w:r>
          </w:p>
          <w:p w14:paraId="7F446115" w14:textId="77777777" w:rsidR="00BB4CD9" w:rsidRPr="008819AF" w:rsidRDefault="00BB4CD9" w:rsidP="0021052F">
            <w:pPr>
              <w:pStyle w:val="BodyText21"/>
              <w:spacing w:before="0" w:line="240" w:lineRule="auto"/>
              <w:jc w:val="center"/>
              <w:rPr>
                <w:rFonts w:ascii="Times New Roman" w:hAnsi="Times New Roman" w:cs="Times New Roman"/>
              </w:rPr>
            </w:pPr>
          </w:p>
          <w:p w14:paraId="7EC62C5E" w14:textId="73385C52" w:rsidR="00BB4CD9" w:rsidRPr="008819AF" w:rsidRDefault="00BB4CD9" w:rsidP="0021052F">
            <w:pPr>
              <w:pStyle w:val="BodyText21"/>
              <w:spacing w:before="0" w:line="240" w:lineRule="auto"/>
              <w:jc w:val="center"/>
              <w:rPr>
                <w:rFonts w:ascii="Times New Roman" w:hAnsi="Times New Roman" w:cs="Times New Roman"/>
              </w:rPr>
            </w:pPr>
          </w:p>
          <w:p w14:paraId="1513288D" w14:textId="765D9265" w:rsidR="00BB4CD9" w:rsidRPr="008819AF" w:rsidRDefault="00BB4CD9" w:rsidP="0021052F">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8FCA4DD" w14:textId="77777777" w:rsidR="00BB4CD9" w:rsidRPr="008819AF" w:rsidRDefault="00BB4CD9" w:rsidP="00BB4CD9">
            <w:pPr>
              <w:ind w:left="215" w:hanging="143"/>
              <w:rPr>
                <w:rFonts w:eastAsia="Arial"/>
                <w:lang w:bidi="cs-CZ"/>
              </w:rPr>
            </w:pPr>
            <w:r w:rsidRPr="008819AF">
              <w:rPr>
                <w:rFonts w:eastAsia="Arial"/>
                <w:lang w:bidi="cs-CZ"/>
              </w:rPr>
              <w:t xml:space="preserve">Prevádzkovateľ veľkého zdroja a prevádzkovateľ stredného zdroja </w:t>
            </w:r>
          </w:p>
          <w:p w14:paraId="2F4D7BA4" w14:textId="77777777" w:rsidR="00BB4CD9" w:rsidRPr="008819AF" w:rsidRDefault="00BB4CD9" w:rsidP="00BB4CD9">
            <w:pPr>
              <w:ind w:left="215" w:hanging="143"/>
              <w:rPr>
                <w:rFonts w:eastAsia="Arial"/>
                <w:lang w:bidi="cs-CZ"/>
              </w:rPr>
            </w:pPr>
            <w:r w:rsidRPr="008819AF">
              <w:rPr>
                <w:rFonts w:eastAsia="Arial"/>
                <w:lang w:bidi="cs-CZ"/>
              </w:rPr>
              <w:t>je povinný</w:t>
            </w:r>
          </w:p>
          <w:p w14:paraId="4A8D15C0" w14:textId="77777777" w:rsidR="00BB4CD9" w:rsidRPr="008819AF" w:rsidRDefault="00BB4CD9" w:rsidP="00BB4CD9">
            <w:pPr>
              <w:ind w:left="215" w:hanging="143"/>
              <w:rPr>
                <w:rFonts w:eastAsia="Arial"/>
                <w:lang w:bidi="cs-CZ"/>
              </w:rPr>
            </w:pPr>
            <w:r w:rsidRPr="008819AF">
              <w:rPr>
                <w:rFonts w:eastAsia="Arial"/>
                <w:lang w:bidi="cs-CZ"/>
              </w:rPr>
              <w:t>i)</w:t>
            </w:r>
            <w:r w:rsidRPr="008819AF">
              <w:rPr>
                <w:rFonts w:eastAsia="Arial"/>
                <w:lang w:bidi="cs-CZ"/>
              </w:rPr>
              <w:tab/>
              <w:t>zabezpečiť, aby riadenie prevádzky spaľovne odpadov alebo zariadenia na spoluspaľovanie odpadov vykonávala osoba s odbornou spôsobilosťou podľa § 56 ods. 1 písm. b),</w:t>
            </w:r>
          </w:p>
          <w:p w14:paraId="15132890" w14:textId="4FAF3600" w:rsidR="00BB4CD9" w:rsidRPr="008819AF" w:rsidRDefault="00BB4CD9" w:rsidP="00BB4CD9">
            <w:pPr>
              <w:ind w:left="215" w:hanging="143"/>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2891" w14:textId="77777777" w:rsidR="000C6209" w:rsidRPr="008819AF" w:rsidRDefault="00841AF5" w:rsidP="0021052F">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15132892" w14:textId="57B18E68" w:rsidR="000C6209" w:rsidRPr="008819AF" w:rsidRDefault="000C6209" w:rsidP="00BB4CD9">
            <w:pPr>
              <w:rPr>
                <w:rFonts w:eastAsia="Arial"/>
                <w:lang w:bidi="cs-CZ"/>
              </w:rPr>
            </w:pPr>
          </w:p>
        </w:tc>
      </w:tr>
      <w:tr w:rsidR="000C6209" w:rsidRPr="008819AF" w14:paraId="15132919"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2894" w14:textId="77777777" w:rsidR="000C6209" w:rsidRPr="008819AF" w:rsidRDefault="000C6209" w:rsidP="003E351D">
            <w:pPr>
              <w:ind w:right="-70"/>
              <w:rPr>
                <w:rFonts w:eastAsia="Arial"/>
                <w:lang w:bidi="cs-CZ"/>
              </w:rPr>
            </w:pPr>
            <w:r w:rsidRPr="008819AF">
              <w:rPr>
                <w:rFonts w:eastAsia="Arial"/>
                <w:lang w:bidi="cs-CZ"/>
              </w:rPr>
              <w:t>Č:51</w:t>
            </w:r>
          </w:p>
        </w:tc>
        <w:tc>
          <w:tcPr>
            <w:tcW w:w="6227" w:type="dxa"/>
            <w:gridSpan w:val="2"/>
            <w:tcBorders>
              <w:top w:val="single" w:sz="4" w:space="0" w:color="000000"/>
              <w:left w:val="single" w:sz="6" w:space="0" w:color="000000"/>
              <w:bottom w:val="single" w:sz="4" w:space="0" w:color="000000"/>
              <w:right w:val="single" w:sz="6" w:space="0" w:color="000000"/>
            </w:tcBorders>
          </w:tcPr>
          <w:p w14:paraId="15132895" w14:textId="77777777" w:rsidR="000C6209" w:rsidRPr="008819AF" w:rsidRDefault="000C6209" w:rsidP="0021052F">
            <w:pPr>
              <w:ind w:left="215" w:hanging="215"/>
              <w:rPr>
                <w:rFonts w:eastAsia="Arial"/>
              </w:rPr>
            </w:pPr>
            <w:r w:rsidRPr="008819AF">
              <w:rPr>
                <w:rFonts w:eastAsia="Arial"/>
              </w:rPr>
              <w:t>Článok 51</w:t>
            </w:r>
          </w:p>
          <w:p w14:paraId="15132896" w14:textId="77777777" w:rsidR="000C6209" w:rsidRPr="008819AF" w:rsidRDefault="000C6209" w:rsidP="0021052F">
            <w:pPr>
              <w:ind w:left="215" w:hanging="215"/>
              <w:rPr>
                <w:rFonts w:eastAsia="Arial"/>
              </w:rPr>
            </w:pPr>
            <w:r w:rsidRPr="008819AF">
              <w:rPr>
                <w:rFonts w:eastAsia="Arial"/>
              </w:rPr>
              <w:t>Povolenie na zmenu prevádzkových podmienok</w:t>
            </w:r>
          </w:p>
          <w:p w14:paraId="15132897" w14:textId="77777777" w:rsidR="000C6209" w:rsidRPr="008819AF" w:rsidRDefault="000C6209" w:rsidP="0021052F">
            <w:pPr>
              <w:ind w:left="215" w:hanging="215"/>
              <w:rPr>
                <w:rFonts w:eastAsia="Arial"/>
              </w:rPr>
            </w:pPr>
            <w:r w:rsidRPr="008819AF">
              <w:rPr>
                <w:rFonts w:eastAsia="Arial"/>
              </w:rPr>
              <w:t>1. Príslušný orgán môže pre určité kategórie odpadov alebo pre určité tepelné procesy schváliť podmienky, ktoré sa líšia od podmienok stanovených v článku 50 ods. 1, 2 a 3 a, pokiaľ ide o teplotu, v odseku 4 uvedeného článku a špecifikovaných v povolení za predpokladu, že sú splnené ostatné požiadavky tejto kapitoly. Členské štáty môžu stanoviť pravidlá upravujúce toto schvaľovanie.</w:t>
            </w:r>
          </w:p>
          <w:p w14:paraId="15132898" w14:textId="77777777" w:rsidR="000C6209" w:rsidRPr="008819AF" w:rsidRDefault="000C6209" w:rsidP="0000600D">
            <w:pPr>
              <w:ind w:left="215" w:hanging="215"/>
              <w:rPr>
                <w:rFonts w:eastAsia="Arial"/>
              </w:rPr>
            </w:pPr>
            <w:r w:rsidRPr="008819AF">
              <w:rPr>
                <w:rFonts w:eastAsia="Arial"/>
              </w:rPr>
              <w:t>2. Pre spaľovne odpadov nesmie zmena v podmienkach prevádzkovaní spôsobiť vznik väčšieho množstva zvyškov alebo zvyškov s vyšším obsahom organických znečisťujúcich látok v porovnaní s tými zvyškami, ktoré by sa mohli očakávať za podmienok stanovených v článku 50 ods. 1, 2 a 3.</w:t>
            </w:r>
          </w:p>
          <w:p w14:paraId="15132899" w14:textId="77777777" w:rsidR="000C6209" w:rsidRPr="008819AF" w:rsidRDefault="000C6209" w:rsidP="0021052F">
            <w:pPr>
              <w:ind w:left="215" w:hanging="215"/>
              <w:rPr>
                <w:rFonts w:eastAsia="Arial"/>
              </w:rPr>
            </w:pPr>
            <w:r w:rsidRPr="008819AF">
              <w:rPr>
                <w:rFonts w:eastAsia="Arial"/>
              </w:rPr>
              <w:t>3. Celkové emisie organického uhlíka a oxidu uhoľnatého zo zariadení na spoluspaľovanie odpadov, ktoré dostali povolenie na zmenu prevádzkových podmienok podľa odseku 1, musia dodržiavať aj emisné limity stanovené v prílohe VI časť 3.</w:t>
            </w:r>
          </w:p>
          <w:p w14:paraId="1513289A" w14:textId="77777777" w:rsidR="000C6209" w:rsidRPr="008819AF" w:rsidRDefault="000C6209" w:rsidP="0021052F">
            <w:pPr>
              <w:ind w:left="215" w:hanging="1"/>
              <w:rPr>
                <w:rFonts w:eastAsia="Arial"/>
              </w:rPr>
            </w:pPr>
            <w:r w:rsidRPr="008819AF">
              <w:rPr>
                <w:rFonts w:eastAsia="Arial"/>
              </w:rPr>
              <w:t xml:space="preserve">Emisie celkového organického uhlíka z kotlov na spaľovanie kôry z celulózového a papierenského priemyslu, v ktorých sa spoluspaľuje odpad v mieste výroby, ktoré boli v prevádzke a mali povolenie pred 28. decembrom 2002 a ktoré dostali povolenie na zmenu prevádzkových podmienok podľa odseku 1, musia dodržiavať aj emisné limity stanovené </w:t>
            </w:r>
            <w:r w:rsidRPr="008819AF">
              <w:rPr>
                <w:rFonts w:eastAsia="Arial"/>
              </w:rPr>
              <w:lastRenderedPageBreak/>
              <w:t>v prílohe VI časť 3.</w:t>
            </w:r>
          </w:p>
          <w:p w14:paraId="1513289B" w14:textId="77777777" w:rsidR="00DC6538" w:rsidRPr="008819AF" w:rsidRDefault="00DC6538" w:rsidP="0021052F">
            <w:pPr>
              <w:ind w:left="215" w:hanging="215"/>
              <w:rPr>
                <w:rFonts w:eastAsia="Arial"/>
              </w:rPr>
            </w:pPr>
          </w:p>
          <w:p w14:paraId="1513289C" w14:textId="77777777" w:rsidR="000C6209" w:rsidRPr="008819AF" w:rsidRDefault="000C6209" w:rsidP="0021052F">
            <w:pPr>
              <w:ind w:left="215" w:hanging="215"/>
              <w:rPr>
                <w:rFonts w:eastAsia="Arial"/>
              </w:rPr>
            </w:pPr>
            <w:r w:rsidRPr="008819AF">
              <w:rPr>
                <w:rFonts w:eastAsia="Arial"/>
              </w:rPr>
              <w:t>4. Členské štáty oznámia Komisii všetky prevádzkové podmienky povolené podľa odsekov 1, 2 a 3 a výsledky overovania ako súčasť informácií poskytovaných v súlade s požiadavkami na podávanie správ podľa článku 72.</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89D" w14:textId="77777777" w:rsidR="000C6209" w:rsidRPr="008819AF" w:rsidRDefault="000C6209" w:rsidP="0021052F">
            <w:pPr>
              <w:ind w:left="215" w:hanging="215"/>
              <w:jc w:val="center"/>
              <w:rPr>
                <w:rFonts w:eastAsia="Arial"/>
                <w:lang w:bidi="cs-CZ"/>
              </w:rPr>
            </w:pPr>
            <w:r w:rsidRPr="008819AF">
              <w:rPr>
                <w:rFonts w:eastAsia="Arial"/>
                <w:lang w:bidi="cs-CZ"/>
              </w:rPr>
              <w:lastRenderedPageBreak/>
              <w:t>N</w:t>
            </w:r>
          </w:p>
          <w:p w14:paraId="1513289E" w14:textId="77777777" w:rsidR="000C6209" w:rsidRPr="008819AF" w:rsidRDefault="000C6209" w:rsidP="0021052F">
            <w:pPr>
              <w:ind w:left="215" w:hanging="215"/>
              <w:jc w:val="center"/>
              <w:rPr>
                <w:rFonts w:eastAsia="Arial"/>
                <w:lang w:bidi="cs-CZ"/>
              </w:rPr>
            </w:pPr>
          </w:p>
          <w:p w14:paraId="1513289F" w14:textId="77777777" w:rsidR="000C6209" w:rsidRPr="008819AF" w:rsidRDefault="000C6209" w:rsidP="0021052F">
            <w:pPr>
              <w:ind w:left="215" w:hanging="215"/>
              <w:jc w:val="center"/>
              <w:rPr>
                <w:rFonts w:eastAsia="Arial"/>
                <w:lang w:bidi="cs-CZ"/>
              </w:rPr>
            </w:pPr>
          </w:p>
          <w:p w14:paraId="151328A0" w14:textId="77777777" w:rsidR="000C6209" w:rsidRPr="008819AF" w:rsidRDefault="000C6209" w:rsidP="0021052F">
            <w:pPr>
              <w:ind w:left="215" w:hanging="215"/>
              <w:jc w:val="center"/>
              <w:rPr>
                <w:rFonts w:eastAsia="Arial"/>
                <w:lang w:bidi="cs-CZ"/>
              </w:rPr>
            </w:pPr>
          </w:p>
          <w:p w14:paraId="151328A1" w14:textId="77777777" w:rsidR="000C6209" w:rsidRPr="008819AF" w:rsidRDefault="000C6209" w:rsidP="0021052F">
            <w:pPr>
              <w:ind w:left="215" w:hanging="215"/>
              <w:jc w:val="center"/>
              <w:rPr>
                <w:rFonts w:eastAsia="Arial"/>
                <w:lang w:bidi="cs-CZ"/>
              </w:rPr>
            </w:pPr>
          </w:p>
          <w:p w14:paraId="151328A2" w14:textId="77777777" w:rsidR="000C6209" w:rsidRPr="008819AF" w:rsidRDefault="000C6209" w:rsidP="0021052F">
            <w:pPr>
              <w:ind w:left="215" w:hanging="215"/>
              <w:jc w:val="center"/>
              <w:rPr>
                <w:rFonts w:eastAsia="Arial"/>
                <w:lang w:bidi="cs-CZ"/>
              </w:rPr>
            </w:pPr>
          </w:p>
          <w:p w14:paraId="151328A3" w14:textId="77777777" w:rsidR="000C6209" w:rsidRPr="008819AF" w:rsidRDefault="000C6209" w:rsidP="0021052F">
            <w:pPr>
              <w:ind w:left="215" w:hanging="215"/>
              <w:jc w:val="center"/>
              <w:rPr>
                <w:rFonts w:eastAsia="Arial"/>
                <w:lang w:bidi="cs-CZ"/>
              </w:rPr>
            </w:pPr>
          </w:p>
          <w:p w14:paraId="151328A4" w14:textId="77777777" w:rsidR="000C6209" w:rsidRPr="008819AF" w:rsidRDefault="00DC6538" w:rsidP="0021052F">
            <w:pPr>
              <w:ind w:left="215" w:hanging="215"/>
              <w:jc w:val="center"/>
              <w:rPr>
                <w:rFonts w:eastAsia="Arial"/>
                <w:lang w:bidi="cs-CZ"/>
              </w:rPr>
            </w:pPr>
            <w:r w:rsidRPr="008819AF">
              <w:rPr>
                <w:rFonts w:eastAsia="Arial"/>
                <w:lang w:bidi="cs-CZ"/>
              </w:rPr>
              <w:t>N</w:t>
            </w:r>
          </w:p>
          <w:p w14:paraId="151328A5" w14:textId="77777777" w:rsidR="000C6209" w:rsidRPr="008819AF" w:rsidRDefault="000C6209" w:rsidP="0021052F">
            <w:pPr>
              <w:ind w:left="215" w:hanging="215"/>
              <w:jc w:val="center"/>
              <w:rPr>
                <w:rFonts w:eastAsia="Arial"/>
                <w:lang w:bidi="cs-CZ"/>
              </w:rPr>
            </w:pPr>
          </w:p>
          <w:p w14:paraId="151328A6" w14:textId="77777777" w:rsidR="000C6209" w:rsidRPr="008819AF" w:rsidRDefault="000C6209" w:rsidP="0021052F">
            <w:pPr>
              <w:ind w:left="215" w:hanging="215"/>
              <w:jc w:val="center"/>
              <w:rPr>
                <w:rFonts w:eastAsia="Arial"/>
                <w:lang w:bidi="cs-CZ"/>
              </w:rPr>
            </w:pPr>
          </w:p>
          <w:p w14:paraId="151328A7" w14:textId="77777777" w:rsidR="000C6209" w:rsidRPr="008819AF" w:rsidRDefault="000C6209" w:rsidP="0021052F">
            <w:pPr>
              <w:ind w:left="215" w:hanging="215"/>
              <w:jc w:val="center"/>
              <w:rPr>
                <w:rFonts w:eastAsia="Arial"/>
                <w:lang w:bidi="cs-CZ"/>
              </w:rPr>
            </w:pPr>
          </w:p>
          <w:p w14:paraId="151328A8" w14:textId="77777777" w:rsidR="000C6209" w:rsidRPr="008819AF" w:rsidRDefault="000C6209" w:rsidP="0021052F">
            <w:pPr>
              <w:ind w:left="215" w:hanging="215"/>
              <w:jc w:val="center"/>
              <w:rPr>
                <w:rFonts w:eastAsia="Arial"/>
                <w:lang w:bidi="cs-CZ"/>
              </w:rPr>
            </w:pPr>
          </w:p>
          <w:p w14:paraId="151328A9" w14:textId="77777777" w:rsidR="000C6209" w:rsidRPr="008819AF" w:rsidRDefault="000C6209" w:rsidP="0021052F">
            <w:pPr>
              <w:ind w:left="215" w:hanging="215"/>
              <w:jc w:val="center"/>
              <w:rPr>
                <w:rFonts w:eastAsia="Arial"/>
                <w:lang w:bidi="cs-CZ"/>
              </w:rPr>
            </w:pPr>
          </w:p>
          <w:p w14:paraId="151328AA" w14:textId="77777777" w:rsidR="000C6209" w:rsidRPr="008819AF" w:rsidRDefault="000C6209" w:rsidP="0021052F">
            <w:pPr>
              <w:ind w:left="215" w:hanging="215"/>
              <w:jc w:val="center"/>
              <w:rPr>
                <w:rFonts w:eastAsia="Arial"/>
                <w:lang w:bidi="cs-CZ"/>
              </w:rPr>
            </w:pPr>
          </w:p>
          <w:p w14:paraId="151328AB" w14:textId="77777777" w:rsidR="000C6209" w:rsidRPr="008819AF" w:rsidRDefault="000C6209" w:rsidP="0021052F">
            <w:pPr>
              <w:ind w:left="215" w:hanging="215"/>
              <w:jc w:val="center"/>
              <w:rPr>
                <w:rFonts w:eastAsia="Arial"/>
                <w:lang w:bidi="cs-CZ"/>
              </w:rPr>
            </w:pPr>
          </w:p>
          <w:p w14:paraId="151328AC" w14:textId="77777777" w:rsidR="000C6209" w:rsidRPr="008819AF" w:rsidRDefault="000C6209" w:rsidP="0021052F">
            <w:pPr>
              <w:ind w:left="215" w:hanging="215"/>
              <w:jc w:val="center"/>
              <w:rPr>
                <w:rFonts w:eastAsia="Arial"/>
                <w:lang w:bidi="cs-CZ"/>
              </w:rPr>
            </w:pPr>
          </w:p>
          <w:p w14:paraId="151328AD" w14:textId="77777777" w:rsidR="000C6209" w:rsidRPr="008819AF" w:rsidRDefault="000C6209" w:rsidP="0021052F">
            <w:pPr>
              <w:ind w:left="215" w:hanging="215"/>
              <w:jc w:val="center"/>
              <w:rPr>
                <w:rFonts w:eastAsia="Arial"/>
                <w:lang w:bidi="cs-CZ"/>
              </w:rPr>
            </w:pPr>
          </w:p>
          <w:p w14:paraId="151328AE" w14:textId="77777777" w:rsidR="000C6209" w:rsidRPr="008819AF" w:rsidRDefault="000C6209" w:rsidP="0021052F">
            <w:pPr>
              <w:ind w:left="215" w:hanging="215"/>
              <w:jc w:val="center"/>
              <w:rPr>
                <w:rFonts w:eastAsia="Arial"/>
                <w:lang w:bidi="cs-CZ"/>
              </w:rPr>
            </w:pPr>
          </w:p>
          <w:p w14:paraId="151328AF" w14:textId="77777777" w:rsidR="000C6209" w:rsidRPr="008819AF" w:rsidRDefault="000C6209" w:rsidP="0021052F">
            <w:pPr>
              <w:ind w:left="215" w:hanging="215"/>
              <w:jc w:val="center"/>
              <w:rPr>
                <w:rFonts w:eastAsia="Arial"/>
                <w:lang w:bidi="cs-CZ"/>
              </w:rPr>
            </w:pPr>
          </w:p>
          <w:p w14:paraId="151328B0" w14:textId="77777777" w:rsidR="000C6209" w:rsidRPr="008819AF" w:rsidRDefault="000C6209" w:rsidP="0021052F">
            <w:pPr>
              <w:ind w:left="215" w:hanging="215"/>
              <w:jc w:val="center"/>
              <w:rPr>
                <w:rFonts w:eastAsia="Arial"/>
                <w:lang w:bidi="cs-CZ"/>
              </w:rPr>
            </w:pPr>
          </w:p>
          <w:p w14:paraId="151328B1" w14:textId="77777777" w:rsidR="00DC6538" w:rsidRPr="008819AF" w:rsidRDefault="00DC6538" w:rsidP="0021052F">
            <w:pPr>
              <w:ind w:left="215" w:hanging="215"/>
              <w:jc w:val="center"/>
              <w:rPr>
                <w:rFonts w:eastAsia="Arial"/>
                <w:lang w:bidi="cs-CZ"/>
              </w:rPr>
            </w:pPr>
          </w:p>
          <w:p w14:paraId="151328B2" w14:textId="77777777" w:rsidR="00DC6538" w:rsidRPr="008819AF" w:rsidRDefault="00DC6538" w:rsidP="0021052F">
            <w:pPr>
              <w:ind w:left="215" w:hanging="215"/>
              <w:jc w:val="center"/>
              <w:rPr>
                <w:rFonts w:eastAsia="Arial"/>
                <w:lang w:bidi="cs-CZ"/>
              </w:rPr>
            </w:pPr>
          </w:p>
          <w:p w14:paraId="151328B3" w14:textId="77777777" w:rsidR="00DC6538" w:rsidRPr="008819AF" w:rsidRDefault="00DC6538" w:rsidP="0021052F">
            <w:pPr>
              <w:ind w:left="215" w:hanging="215"/>
              <w:jc w:val="center"/>
              <w:rPr>
                <w:rFonts w:eastAsia="Arial"/>
                <w:lang w:bidi="cs-CZ"/>
              </w:rPr>
            </w:pPr>
          </w:p>
          <w:p w14:paraId="151328B4" w14:textId="77777777" w:rsidR="00DC6538" w:rsidRPr="008819AF" w:rsidRDefault="00DC6538" w:rsidP="0021052F">
            <w:pPr>
              <w:ind w:left="215" w:hanging="215"/>
              <w:jc w:val="center"/>
              <w:rPr>
                <w:rFonts w:eastAsia="Arial"/>
                <w:lang w:bidi="cs-CZ"/>
              </w:rPr>
            </w:pPr>
          </w:p>
          <w:p w14:paraId="151328B5" w14:textId="77777777" w:rsidR="000C6209" w:rsidRPr="008819AF" w:rsidRDefault="000C6209" w:rsidP="0021052F">
            <w:pPr>
              <w:jc w:val="center"/>
              <w:rPr>
                <w:rFonts w:eastAsia="Arial"/>
                <w:lang w:bidi="cs-CZ"/>
              </w:rPr>
            </w:pPr>
            <w:r w:rsidRPr="008819AF">
              <w:rPr>
                <w:rFonts w:eastAsia="Arial"/>
                <w:lang w:bidi="cs-CZ"/>
              </w:rPr>
              <w:t>N</w:t>
            </w:r>
          </w:p>
          <w:p w14:paraId="151328B6" w14:textId="77777777" w:rsidR="000C6209" w:rsidRPr="008819AF" w:rsidRDefault="000C6209" w:rsidP="0021052F">
            <w:pPr>
              <w:ind w:left="215" w:hanging="215"/>
              <w:jc w:val="center"/>
              <w:rPr>
                <w:rFonts w:eastAsia="Arial"/>
                <w:lang w:bidi="cs-CZ"/>
              </w:rPr>
            </w:pPr>
          </w:p>
          <w:p w14:paraId="151328B7" w14:textId="77777777" w:rsidR="000C6209" w:rsidRPr="008819AF" w:rsidRDefault="000C6209"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8B8" w14:textId="77777777" w:rsidR="000C6209" w:rsidRPr="008819AF" w:rsidRDefault="000C6209" w:rsidP="0000600D">
            <w:pPr>
              <w:jc w:val="center"/>
              <w:rPr>
                <w:rFonts w:eastAsia="Arial"/>
                <w:lang w:bidi="cs-CZ"/>
              </w:rPr>
            </w:pPr>
            <w:r w:rsidRPr="008819AF">
              <w:rPr>
                <w:rFonts w:eastAsia="Arial"/>
                <w:lang w:bidi="cs-CZ"/>
              </w:rPr>
              <w:lastRenderedPageBreak/>
              <w:t>NZ</w:t>
            </w:r>
          </w:p>
          <w:p w14:paraId="151328B9" w14:textId="77777777" w:rsidR="000C6209" w:rsidRPr="008819AF" w:rsidRDefault="000C6209" w:rsidP="0000600D">
            <w:pPr>
              <w:ind w:left="215" w:hanging="215"/>
              <w:jc w:val="center"/>
              <w:rPr>
                <w:rFonts w:eastAsia="Arial"/>
                <w:lang w:bidi="cs-CZ"/>
              </w:rPr>
            </w:pPr>
          </w:p>
          <w:p w14:paraId="151328BA" w14:textId="77777777" w:rsidR="000C6209" w:rsidRPr="008819AF" w:rsidRDefault="000C6209" w:rsidP="0000600D">
            <w:pPr>
              <w:ind w:left="215" w:hanging="215"/>
              <w:jc w:val="center"/>
              <w:rPr>
                <w:rFonts w:eastAsia="Arial"/>
                <w:lang w:bidi="cs-CZ"/>
              </w:rPr>
            </w:pPr>
          </w:p>
          <w:p w14:paraId="151328BB" w14:textId="77777777" w:rsidR="000C6209" w:rsidRPr="008819AF" w:rsidRDefault="000C6209" w:rsidP="0000600D">
            <w:pPr>
              <w:ind w:left="215" w:hanging="215"/>
              <w:jc w:val="center"/>
              <w:rPr>
                <w:rFonts w:eastAsia="Arial"/>
                <w:lang w:bidi="cs-CZ"/>
              </w:rPr>
            </w:pPr>
          </w:p>
          <w:p w14:paraId="151328BC" w14:textId="77777777" w:rsidR="000C6209" w:rsidRPr="008819AF" w:rsidRDefault="000C6209" w:rsidP="0000600D">
            <w:pPr>
              <w:ind w:left="215" w:hanging="215"/>
              <w:jc w:val="center"/>
              <w:rPr>
                <w:rFonts w:eastAsia="Arial"/>
                <w:lang w:bidi="cs-CZ"/>
              </w:rPr>
            </w:pPr>
          </w:p>
          <w:p w14:paraId="151328BD" w14:textId="77777777" w:rsidR="000C6209" w:rsidRPr="008819AF" w:rsidRDefault="000C6209" w:rsidP="0000600D">
            <w:pPr>
              <w:ind w:left="215" w:hanging="215"/>
              <w:jc w:val="center"/>
              <w:rPr>
                <w:rFonts w:eastAsia="Arial"/>
                <w:lang w:bidi="cs-CZ"/>
              </w:rPr>
            </w:pPr>
          </w:p>
          <w:p w14:paraId="151328BE" w14:textId="77777777" w:rsidR="000C6209" w:rsidRPr="008819AF" w:rsidRDefault="000C6209" w:rsidP="0000600D">
            <w:pPr>
              <w:ind w:left="215" w:hanging="215"/>
              <w:jc w:val="center"/>
              <w:rPr>
                <w:rFonts w:eastAsia="Arial"/>
                <w:lang w:bidi="cs-CZ"/>
              </w:rPr>
            </w:pPr>
          </w:p>
          <w:p w14:paraId="151328BF" w14:textId="77777777" w:rsidR="000C6209" w:rsidRPr="008819AF" w:rsidRDefault="000C6209" w:rsidP="0000600D">
            <w:pPr>
              <w:jc w:val="center"/>
              <w:rPr>
                <w:rFonts w:eastAsia="Arial"/>
                <w:lang w:bidi="cs-CZ"/>
              </w:rPr>
            </w:pPr>
            <w:r w:rsidRPr="008819AF">
              <w:rPr>
                <w:rFonts w:eastAsia="Arial"/>
                <w:lang w:bidi="cs-CZ"/>
              </w:rPr>
              <w:t>NV2</w:t>
            </w:r>
          </w:p>
          <w:p w14:paraId="151328C0" w14:textId="77777777" w:rsidR="000C6209" w:rsidRPr="008819AF" w:rsidRDefault="000C6209" w:rsidP="0000600D">
            <w:pPr>
              <w:ind w:left="215" w:hanging="215"/>
              <w:jc w:val="center"/>
              <w:rPr>
                <w:rFonts w:eastAsia="Arial"/>
                <w:lang w:bidi="cs-CZ"/>
              </w:rPr>
            </w:pPr>
          </w:p>
          <w:p w14:paraId="151328C1" w14:textId="77777777" w:rsidR="000C6209" w:rsidRPr="008819AF" w:rsidRDefault="000C6209" w:rsidP="0000600D">
            <w:pPr>
              <w:ind w:left="215" w:hanging="215"/>
              <w:jc w:val="center"/>
              <w:rPr>
                <w:rFonts w:eastAsia="Arial"/>
                <w:lang w:bidi="cs-CZ"/>
              </w:rPr>
            </w:pPr>
          </w:p>
          <w:p w14:paraId="151328C2" w14:textId="77777777" w:rsidR="000C6209" w:rsidRPr="008819AF" w:rsidRDefault="000C6209" w:rsidP="0000600D">
            <w:pPr>
              <w:ind w:left="215" w:hanging="215"/>
              <w:jc w:val="center"/>
              <w:rPr>
                <w:rFonts w:eastAsia="Arial"/>
                <w:lang w:bidi="cs-CZ"/>
              </w:rPr>
            </w:pPr>
          </w:p>
          <w:p w14:paraId="151328C3" w14:textId="77777777" w:rsidR="000C6209" w:rsidRPr="008819AF" w:rsidRDefault="000C6209" w:rsidP="0000600D">
            <w:pPr>
              <w:ind w:left="215" w:hanging="215"/>
              <w:jc w:val="center"/>
              <w:rPr>
                <w:rFonts w:eastAsia="Arial"/>
                <w:lang w:bidi="cs-CZ"/>
              </w:rPr>
            </w:pPr>
          </w:p>
          <w:p w14:paraId="151328C4" w14:textId="77777777" w:rsidR="000C6209" w:rsidRPr="008819AF" w:rsidRDefault="000C6209" w:rsidP="0000600D">
            <w:pPr>
              <w:ind w:left="215" w:hanging="215"/>
              <w:jc w:val="center"/>
              <w:rPr>
                <w:rFonts w:eastAsia="Arial"/>
                <w:lang w:bidi="cs-CZ"/>
              </w:rPr>
            </w:pPr>
          </w:p>
          <w:p w14:paraId="151328C5" w14:textId="77777777" w:rsidR="000C6209" w:rsidRPr="008819AF" w:rsidRDefault="000C6209" w:rsidP="0000600D">
            <w:pPr>
              <w:ind w:left="215" w:hanging="215"/>
              <w:jc w:val="center"/>
              <w:rPr>
                <w:rFonts w:eastAsia="Arial"/>
                <w:lang w:bidi="cs-CZ"/>
              </w:rPr>
            </w:pPr>
          </w:p>
          <w:p w14:paraId="151328C6" w14:textId="77777777" w:rsidR="000C6209" w:rsidRPr="008819AF" w:rsidRDefault="000C6209" w:rsidP="0000600D">
            <w:pPr>
              <w:ind w:left="215" w:hanging="215"/>
              <w:jc w:val="center"/>
              <w:rPr>
                <w:rFonts w:eastAsia="Arial"/>
                <w:lang w:bidi="cs-CZ"/>
              </w:rPr>
            </w:pPr>
          </w:p>
          <w:p w14:paraId="151328C7" w14:textId="77777777" w:rsidR="000C6209" w:rsidRPr="008819AF" w:rsidRDefault="000C6209" w:rsidP="0000600D">
            <w:pPr>
              <w:ind w:left="215" w:hanging="215"/>
              <w:jc w:val="center"/>
              <w:rPr>
                <w:rFonts w:eastAsia="Arial"/>
                <w:lang w:bidi="cs-CZ"/>
              </w:rPr>
            </w:pPr>
          </w:p>
          <w:p w14:paraId="151328C8" w14:textId="77777777" w:rsidR="000C6209" w:rsidRPr="008819AF" w:rsidRDefault="000C6209" w:rsidP="0000600D">
            <w:pPr>
              <w:ind w:left="215" w:hanging="215"/>
              <w:jc w:val="center"/>
              <w:rPr>
                <w:rFonts w:eastAsia="Arial"/>
                <w:lang w:bidi="cs-CZ"/>
              </w:rPr>
            </w:pPr>
          </w:p>
          <w:p w14:paraId="151328C9" w14:textId="77777777" w:rsidR="000C6209" w:rsidRPr="008819AF" w:rsidRDefault="000C6209" w:rsidP="0000600D">
            <w:pPr>
              <w:ind w:left="215" w:hanging="215"/>
              <w:jc w:val="center"/>
              <w:rPr>
                <w:rFonts w:eastAsia="Arial"/>
                <w:lang w:bidi="cs-CZ"/>
              </w:rPr>
            </w:pPr>
          </w:p>
          <w:p w14:paraId="151328CA" w14:textId="77777777" w:rsidR="000C6209" w:rsidRPr="008819AF" w:rsidRDefault="000C6209" w:rsidP="0000600D">
            <w:pPr>
              <w:ind w:left="215" w:hanging="215"/>
              <w:jc w:val="center"/>
              <w:rPr>
                <w:rFonts w:eastAsia="Arial"/>
                <w:lang w:bidi="cs-CZ"/>
              </w:rPr>
            </w:pPr>
          </w:p>
          <w:p w14:paraId="151328CB" w14:textId="77777777" w:rsidR="000C6209" w:rsidRPr="008819AF" w:rsidRDefault="000C6209" w:rsidP="0000600D">
            <w:pPr>
              <w:ind w:left="215" w:hanging="215"/>
              <w:jc w:val="center"/>
              <w:rPr>
                <w:rFonts w:eastAsia="Arial"/>
                <w:lang w:bidi="cs-CZ"/>
              </w:rPr>
            </w:pPr>
          </w:p>
          <w:p w14:paraId="151328CC" w14:textId="77777777" w:rsidR="000C6209" w:rsidRPr="008819AF" w:rsidRDefault="000C6209" w:rsidP="0000600D">
            <w:pPr>
              <w:ind w:left="215" w:hanging="215"/>
              <w:jc w:val="center"/>
              <w:rPr>
                <w:rFonts w:eastAsia="Arial"/>
                <w:lang w:bidi="cs-CZ"/>
              </w:rPr>
            </w:pPr>
          </w:p>
          <w:p w14:paraId="151328CD" w14:textId="77777777" w:rsidR="00DC6538" w:rsidRPr="008819AF" w:rsidRDefault="00DC6538" w:rsidP="0000600D">
            <w:pPr>
              <w:ind w:left="215" w:hanging="215"/>
              <w:jc w:val="center"/>
              <w:rPr>
                <w:rFonts w:eastAsia="Arial"/>
                <w:lang w:bidi="cs-CZ"/>
              </w:rPr>
            </w:pPr>
          </w:p>
          <w:p w14:paraId="151328CE" w14:textId="77777777" w:rsidR="00DC6538" w:rsidRPr="008819AF" w:rsidRDefault="00DC6538" w:rsidP="0000600D">
            <w:pPr>
              <w:ind w:left="215" w:hanging="215"/>
              <w:jc w:val="center"/>
              <w:rPr>
                <w:rFonts w:eastAsia="Arial"/>
                <w:lang w:bidi="cs-CZ"/>
              </w:rPr>
            </w:pPr>
          </w:p>
          <w:p w14:paraId="151328CF" w14:textId="77777777" w:rsidR="00DC6538" w:rsidRPr="008819AF" w:rsidRDefault="00DC6538" w:rsidP="0000600D">
            <w:pPr>
              <w:ind w:left="215" w:hanging="215"/>
              <w:jc w:val="center"/>
              <w:rPr>
                <w:rFonts w:eastAsia="Arial"/>
                <w:lang w:bidi="cs-CZ"/>
              </w:rPr>
            </w:pPr>
          </w:p>
          <w:p w14:paraId="151328D0" w14:textId="77777777" w:rsidR="00990E33" w:rsidRPr="008819AF" w:rsidRDefault="00584CC6" w:rsidP="00584CC6">
            <w:pPr>
              <w:jc w:val="center"/>
              <w:rPr>
                <w:rFonts w:eastAsia="Arial"/>
                <w:lang w:bidi="cs-CZ"/>
              </w:rPr>
            </w:pPr>
            <w:r w:rsidRPr="008819AF">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151328D1" w14:textId="77777777" w:rsidR="000C6209" w:rsidRPr="008819AF" w:rsidRDefault="000C6209" w:rsidP="0000600D">
            <w:pPr>
              <w:pStyle w:val="BodyText21"/>
              <w:spacing w:before="0" w:line="240" w:lineRule="auto"/>
              <w:jc w:val="center"/>
              <w:rPr>
                <w:rFonts w:ascii="Times New Roman" w:hAnsi="Times New Roman" w:cs="Times New Roman"/>
              </w:rPr>
            </w:pPr>
            <w:r w:rsidRPr="008819AF">
              <w:rPr>
                <w:rFonts w:ascii="Times New Roman" w:hAnsi="Times New Roman" w:cs="Times New Roman"/>
              </w:rPr>
              <w:lastRenderedPageBreak/>
              <w:t>§ 44</w:t>
            </w:r>
          </w:p>
          <w:p w14:paraId="151328D2" w14:textId="77777777" w:rsidR="000C6209" w:rsidRPr="008819AF" w:rsidRDefault="000C6209" w:rsidP="0000600D">
            <w:pPr>
              <w:pStyle w:val="BodyText21"/>
              <w:spacing w:before="0" w:line="240" w:lineRule="auto"/>
              <w:jc w:val="center"/>
              <w:rPr>
                <w:rFonts w:ascii="Times New Roman" w:hAnsi="Times New Roman" w:cs="Times New Roman"/>
              </w:rPr>
            </w:pPr>
            <w:r w:rsidRPr="008819AF">
              <w:rPr>
                <w:rFonts w:ascii="Times New Roman" w:hAnsi="Times New Roman" w:cs="Times New Roman"/>
              </w:rPr>
              <w:t>O 2</w:t>
            </w:r>
          </w:p>
          <w:p w14:paraId="151328D3" w14:textId="77777777" w:rsidR="000C6209" w:rsidRPr="008819AF" w:rsidRDefault="000C6209" w:rsidP="0000600D">
            <w:pPr>
              <w:pStyle w:val="BodyText21"/>
              <w:spacing w:before="0" w:line="240" w:lineRule="auto"/>
              <w:jc w:val="center"/>
              <w:rPr>
                <w:rFonts w:ascii="Times New Roman" w:hAnsi="Times New Roman" w:cs="Times New Roman"/>
              </w:rPr>
            </w:pPr>
            <w:r w:rsidRPr="008819AF">
              <w:rPr>
                <w:rFonts w:ascii="Times New Roman" w:hAnsi="Times New Roman" w:cs="Times New Roman"/>
              </w:rPr>
              <w:t>P c)</w:t>
            </w:r>
          </w:p>
          <w:p w14:paraId="151328D4" w14:textId="77777777" w:rsidR="000C6209" w:rsidRPr="008819AF" w:rsidRDefault="000C6209" w:rsidP="0000600D">
            <w:pPr>
              <w:pStyle w:val="BodyText21"/>
              <w:spacing w:before="0" w:line="240" w:lineRule="auto"/>
              <w:jc w:val="center"/>
              <w:rPr>
                <w:rFonts w:ascii="Times New Roman" w:hAnsi="Times New Roman" w:cs="Times New Roman"/>
              </w:rPr>
            </w:pPr>
          </w:p>
          <w:p w14:paraId="151328D5" w14:textId="77777777" w:rsidR="000C6209" w:rsidRPr="008819AF" w:rsidRDefault="000C6209" w:rsidP="0000600D">
            <w:pPr>
              <w:pStyle w:val="BodyText21"/>
              <w:spacing w:before="0" w:line="240" w:lineRule="auto"/>
              <w:jc w:val="center"/>
              <w:rPr>
                <w:rFonts w:ascii="Times New Roman" w:hAnsi="Times New Roman" w:cs="Times New Roman"/>
              </w:rPr>
            </w:pPr>
          </w:p>
          <w:p w14:paraId="151328D6" w14:textId="77777777" w:rsidR="000C6209" w:rsidRPr="008819AF" w:rsidRDefault="000C6209" w:rsidP="0000600D">
            <w:pPr>
              <w:pStyle w:val="BodyText21"/>
              <w:spacing w:before="0" w:line="240" w:lineRule="auto"/>
              <w:jc w:val="center"/>
              <w:rPr>
                <w:rFonts w:ascii="Times New Roman" w:hAnsi="Times New Roman" w:cs="Times New Roman"/>
              </w:rPr>
            </w:pPr>
          </w:p>
          <w:p w14:paraId="151328D7" w14:textId="77777777" w:rsidR="000C6209" w:rsidRPr="008819AF" w:rsidRDefault="000C6209" w:rsidP="0000600D">
            <w:pPr>
              <w:pStyle w:val="BodyText21"/>
              <w:spacing w:before="0" w:line="240" w:lineRule="auto"/>
              <w:ind w:left="0" w:firstLine="0"/>
              <w:jc w:val="center"/>
              <w:rPr>
                <w:rFonts w:ascii="Times New Roman" w:hAnsi="Times New Roman" w:cs="Times New Roman"/>
              </w:rPr>
            </w:pPr>
          </w:p>
          <w:p w14:paraId="151328D8" w14:textId="77777777" w:rsidR="00DC6538" w:rsidRPr="008819AF" w:rsidRDefault="00DC6538" w:rsidP="0000600D">
            <w:pPr>
              <w:jc w:val="center"/>
            </w:pPr>
            <w:r w:rsidRPr="008819AF">
              <w:t>Pr.5</w:t>
            </w:r>
          </w:p>
          <w:p w14:paraId="151328D9" w14:textId="77777777" w:rsidR="00DC6538" w:rsidRPr="008819AF" w:rsidRDefault="00DC6538" w:rsidP="0000600D">
            <w:pPr>
              <w:jc w:val="center"/>
            </w:pPr>
            <w:r w:rsidRPr="008819AF">
              <w:t>Časť II.</w:t>
            </w:r>
          </w:p>
          <w:p w14:paraId="151328DA" w14:textId="77777777" w:rsidR="000C6209" w:rsidRPr="008819AF" w:rsidRDefault="00DC6538" w:rsidP="0000600D">
            <w:pPr>
              <w:pStyle w:val="BodyText21"/>
              <w:spacing w:before="0" w:line="240" w:lineRule="auto"/>
              <w:jc w:val="center"/>
              <w:rPr>
                <w:rFonts w:ascii="Times New Roman" w:hAnsi="Times New Roman" w:cs="Times New Roman"/>
              </w:rPr>
            </w:pPr>
            <w:r w:rsidRPr="008819AF">
              <w:rPr>
                <w:rFonts w:ascii="Times New Roman" w:hAnsi="Times New Roman" w:cs="Times New Roman"/>
              </w:rPr>
              <w:t>Bod9.</w:t>
            </w:r>
          </w:p>
          <w:p w14:paraId="151328DB" w14:textId="77777777" w:rsidR="000C6209" w:rsidRPr="008819AF" w:rsidRDefault="000C6209" w:rsidP="0000600D">
            <w:pPr>
              <w:pStyle w:val="BodyText21"/>
              <w:spacing w:before="0" w:line="240" w:lineRule="auto"/>
              <w:jc w:val="center"/>
              <w:rPr>
                <w:rFonts w:ascii="Times New Roman" w:hAnsi="Times New Roman" w:cs="Times New Roman"/>
              </w:rPr>
            </w:pPr>
          </w:p>
          <w:p w14:paraId="151328DC" w14:textId="77777777" w:rsidR="000C6209" w:rsidRPr="008819AF" w:rsidRDefault="000C6209" w:rsidP="0000600D">
            <w:pPr>
              <w:pStyle w:val="BodyText21"/>
              <w:spacing w:before="0" w:line="240" w:lineRule="auto"/>
              <w:jc w:val="center"/>
              <w:rPr>
                <w:rFonts w:ascii="Times New Roman" w:hAnsi="Times New Roman" w:cs="Times New Roman"/>
              </w:rPr>
            </w:pPr>
          </w:p>
          <w:p w14:paraId="151328DD" w14:textId="77777777" w:rsidR="000C6209" w:rsidRPr="008819AF" w:rsidRDefault="000C6209" w:rsidP="0000600D">
            <w:pPr>
              <w:pStyle w:val="BodyText21"/>
              <w:spacing w:before="0" w:line="240" w:lineRule="auto"/>
              <w:jc w:val="center"/>
              <w:rPr>
                <w:rFonts w:ascii="Times New Roman" w:hAnsi="Times New Roman" w:cs="Times New Roman"/>
              </w:rPr>
            </w:pPr>
          </w:p>
          <w:p w14:paraId="151328DE" w14:textId="77777777" w:rsidR="000C6209" w:rsidRPr="008819AF" w:rsidRDefault="000C6209" w:rsidP="0000600D">
            <w:pPr>
              <w:pStyle w:val="BodyText21"/>
              <w:spacing w:before="0" w:line="240" w:lineRule="auto"/>
              <w:jc w:val="center"/>
              <w:rPr>
                <w:rFonts w:ascii="Times New Roman" w:hAnsi="Times New Roman" w:cs="Times New Roman"/>
              </w:rPr>
            </w:pPr>
          </w:p>
          <w:p w14:paraId="151328DF" w14:textId="77777777" w:rsidR="000C6209" w:rsidRPr="008819AF" w:rsidRDefault="000C6209" w:rsidP="0000600D">
            <w:pPr>
              <w:pStyle w:val="BodyText21"/>
              <w:spacing w:before="0" w:line="240" w:lineRule="auto"/>
              <w:jc w:val="center"/>
              <w:rPr>
                <w:rFonts w:ascii="Times New Roman" w:hAnsi="Times New Roman" w:cs="Times New Roman"/>
              </w:rPr>
            </w:pPr>
          </w:p>
          <w:p w14:paraId="151328E0" w14:textId="77777777" w:rsidR="000C6209" w:rsidRPr="008819AF" w:rsidRDefault="000C6209" w:rsidP="0000600D">
            <w:pPr>
              <w:pStyle w:val="BodyText21"/>
              <w:spacing w:before="0" w:line="240" w:lineRule="auto"/>
              <w:jc w:val="center"/>
              <w:rPr>
                <w:rFonts w:ascii="Times New Roman" w:hAnsi="Times New Roman" w:cs="Times New Roman"/>
              </w:rPr>
            </w:pPr>
          </w:p>
          <w:p w14:paraId="151328E1" w14:textId="77777777" w:rsidR="000C6209" w:rsidRPr="008819AF" w:rsidRDefault="000C6209" w:rsidP="0000600D">
            <w:pPr>
              <w:pStyle w:val="BodyText21"/>
              <w:spacing w:before="0" w:line="240" w:lineRule="auto"/>
              <w:jc w:val="center"/>
              <w:rPr>
                <w:rFonts w:ascii="Times New Roman" w:hAnsi="Times New Roman" w:cs="Times New Roman"/>
              </w:rPr>
            </w:pPr>
          </w:p>
          <w:p w14:paraId="151328E2" w14:textId="77777777" w:rsidR="000C6209" w:rsidRPr="008819AF" w:rsidRDefault="000C6209" w:rsidP="0000600D">
            <w:pPr>
              <w:pStyle w:val="BodyText21"/>
              <w:spacing w:before="0" w:line="240" w:lineRule="auto"/>
              <w:jc w:val="center"/>
              <w:rPr>
                <w:rFonts w:ascii="Times New Roman" w:hAnsi="Times New Roman" w:cs="Times New Roman"/>
              </w:rPr>
            </w:pPr>
          </w:p>
          <w:p w14:paraId="151328E3" w14:textId="77777777" w:rsidR="000C6209" w:rsidRPr="008819AF" w:rsidRDefault="000C6209" w:rsidP="0000600D">
            <w:pPr>
              <w:pStyle w:val="BodyText21"/>
              <w:spacing w:before="0" w:line="240" w:lineRule="auto"/>
              <w:jc w:val="center"/>
              <w:rPr>
                <w:rFonts w:ascii="Times New Roman" w:hAnsi="Times New Roman" w:cs="Times New Roman"/>
              </w:rPr>
            </w:pPr>
          </w:p>
          <w:p w14:paraId="151328E4" w14:textId="77777777" w:rsidR="000C6209" w:rsidRPr="008819AF" w:rsidRDefault="000C6209" w:rsidP="0000600D">
            <w:pPr>
              <w:pStyle w:val="BodyText21"/>
              <w:spacing w:before="0" w:line="240" w:lineRule="auto"/>
              <w:jc w:val="center"/>
              <w:rPr>
                <w:rFonts w:ascii="Times New Roman" w:hAnsi="Times New Roman" w:cs="Times New Roman"/>
              </w:rPr>
            </w:pPr>
          </w:p>
          <w:p w14:paraId="151328E5" w14:textId="77777777" w:rsidR="000C6209" w:rsidRPr="008819AF" w:rsidRDefault="000C6209" w:rsidP="0000600D">
            <w:pPr>
              <w:pStyle w:val="BodyText21"/>
              <w:spacing w:before="0" w:line="240" w:lineRule="auto"/>
              <w:jc w:val="center"/>
              <w:rPr>
                <w:rFonts w:ascii="Times New Roman" w:hAnsi="Times New Roman" w:cs="Times New Roman"/>
              </w:rPr>
            </w:pPr>
          </w:p>
          <w:p w14:paraId="151328E6" w14:textId="77777777" w:rsidR="000C6209" w:rsidRPr="008819AF" w:rsidRDefault="000C6209" w:rsidP="0000600D">
            <w:pPr>
              <w:pStyle w:val="BodyText21"/>
              <w:spacing w:before="0" w:line="240" w:lineRule="auto"/>
              <w:jc w:val="center"/>
              <w:rPr>
                <w:rFonts w:ascii="Times New Roman" w:hAnsi="Times New Roman" w:cs="Times New Roman"/>
              </w:rPr>
            </w:pPr>
          </w:p>
          <w:p w14:paraId="151328E7" w14:textId="77777777" w:rsidR="000C6209" w:rsidRPr="008819AF" w:rsidRDefault="00887A90" w:rsidP="0000600D">
            <w:pPr>
              <w:pStyle w:val="BodyText21"/>
              <w:spacing w:before="0" w:line="240" w:lineRule="auto"/>
              <w:jc w:val="center"/>
              <w:rPr>
                <w:rFonts w:ascii="Times New Roman" w:hAnsi="Times New Roman" w:cs="Times New Roman"/>
              </w:rPr>
            </w:pPr>
            <w:r w:rsidRPr="008819AF">
              <w:rPr>
                <w:rFonts w:ascii="Times New Roman" w:hAnsi="Times New Roman" w:cs="Times New Roman"/>
              </w:rPr>
              <w:t>§ 40</w:t>
            </w:r>
          </w:p>
          <w:p w14:paraId="151328E8" w14:textId="77777777" w:rsidR="000C6209" w:rsidRPr="008819AF" w:rsidRDefault="000C6209" w:rsidP="0000600D">
            <w:pPr>
              <w:pStyle w:val="BodyText21"/>
              <w:spacing w:before="0" w:line="240" w:lineRule="auto"/>
              <w:jc w:val="center"/>
              <w:rPr>
                <w:rFonts w:ascii="Times New Roman" w:hAnsi="Times New Roman" w:cs="Times New Roman"/>
              </w:rPr>
            </w:pPr>
            <w:r w:rsidRPr="008819AF">
              <w:rPr>
                <w:rFonts w:ascii="Times New Roman" w:hAnsi="Times New Roman" w:cs="Times New Roman"/>
              </w:rPr>
              <w:t>P d)</w:t>
            </w:r>
          </w:p>
        </w:tc>
        <w:tc>
          <w:tcPr>
            <w:tcW w:w="5664" w:type="dxa"/>
            <w:gridSpan w:val="5"/>
            <w:tcBorders>
              <w:top w:val="single" w:sz="4" w:space="0" w:color="000000"/>
              <w:left w:val="single" w:sz="6" w:space="0" w:color="000000"/>
              <w:bottom w:val="single" w:sz="4" w:space="0" w:color="000000"/>
              <w:right w:val="single" w:sz="6" w:space="0" w:color="000000"/>
            </w:tcBorders>
          </w:tcPr>
          <w:p w14:paraId="151328E9" w14:textId="77777777" w:rsidR="000C6209" w:rsidRPr="008819AF" w:rsidRDefault="000C6209" w:rsidP="0021052F">
            <w:pPr>
              <w:tabs>
                <w:tab w:val="left" w:pos="360"/>
                <w:tab w:val="left" w:pos="643"/>
              </w:tabs>
              <w:ind w:left="72"/>
              <w:rPr>
                <w:rFonts w:eastAsia="a*i*l"/>
              </w:rPr>
            </w:pPr>
            <w:r w:rsidRPr="008819AF">
              <w:rPr>
                <w:rFonts w:eastAsia="a*i*l"/>
              </w:rPr>
              <w:lastRenderedPageBreak/>
              <w:t>Okresný úrad môže v ko</w:t>
            </w:r>
            <w:r w:rsidR="00346675" w:rsidRPr="008819AF">
              <w:rPr>
                <w:rFonts w:eastAsia="a*i*l"/>
              </w:rPr>
              <w:t>naní podľa odseku 1 písm. a) a d</w:t>
            </w:r>
            <w:r w:rsidRPr="008819AF">
              <w:rPr>
                <w:rFonts w:eastAsia="a*i*l"/>
              </w:rPr>
              <w:t>)</w:t>
            </w:r>
          </w:p>
          <w:p w14:paraId="151328EA" w14:textId="77777777" w:rsidR="000C6209" w:rsidRPr="008819AF" w:rsidRDefault="000C6209" w:rsidP="0021052F">
            <w:pPr>
              <w:ind w:left="215" w:hanging="215"/>
              <w:rPr>
                <w:rFonts w:eastAsia="Arial"/>
                <w:lang w:bidi="cs-CZ"/>
              </w:rPr>
            </w:pPr>
            <w:r w:rsidRPr="008819AF">
              <w:rPr>
                <w:rFonts w:eastAsia="a*i*l"/>
              </w:rPr>
              <w:t>c)</w:t>
            </w:r>
            <w:r w:rsidRPr="008819AF">
              <w:rPr>
                <w:rFonts w:eastAsia="a*i*l"/>
              </w:rPr>
              <w:tab/>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151328EB" w14:textId="77777777" w:rsidR="000C6209" w:rsidRPr="008819AF" w:rsidRDefault="000C6209" w:rsidP="0021052F">
            <w:pPr>
              <w:ind w:left="215" w:hanging="215"/>
              <w:rPr>
                <w:rFonts w:eastAsia="Arial"/>
                <w:lang w:bidi="cs-CZ"/>
              </w:rPr>
            </w:pPr>
          </w:p>
          <w:p w14:paraId="151328EC" w14:textId="77777777" w:rsidR="00DC6538" w:rsidRPr="008819AF" w:rsidRDefault="00DC6538" w:rsidP="009C63CF">
            <w:pPr>
              <w:pStyle w:val="Zpat"/>
              <w:widowControl w:val="0"/>
              <w:numPr>
                <w:ilvl w:val="0"/>
                <w:numId w:val="81"/>
              </w:numPr>
              <w:tabs>
                <w:tab w:val="clear" w:pos="4536"/>
                <w:tab w:val="clear" w:pos="9072"/>
              </w:tabs>
              <w:ind w:left="284" w:hanging="284"/>
              <w:jc w:val="both"/>
              <w:rPr>
                <w:sz w:val="20"/>
                <w:szCs w:val="20"/>
              </w:rPr>
            </w:pPr>
            <w:r w:rsidRPr="008819AF">
              <w:rPr>
                <w:sz w:val="20"/>
                <w:szCs w:val="20"/>
              </w:rPr>
              <w:t xml:space="preserve">Povolenie iných podmienok prevádzkovania </w:t>
            </w:r>
          </w:p>
          <w:p w14:paraId="151328ED" w14:textId="77777777" w:rsidR="00DC6538" w:rsidRPr="008819AF" w:rsidRDefault="00DC6538" w:rsidP="00DC6538">
            <w:pPr>
              <w:pStyle w:val="Zpat"/>
              <w:widowControl w:val="0"/>
              <w:tabs>
                <w:tab w:val="clear" w:pos="4536"/>
                <w:tab w:val="clear" w:pos="9072"/>
              </w:tabs>
              <w:ind w:left="26"/>
              <w:jc w:val="both"/>
              <w:rPr>
                <w:sz w:val="20"/>
                <w:szCs w:val="20"/>
              </w:rPr>
            </w:pPr>
            <w:r w:rsidRPr="008819AF">
              <w:rPr>
                <w:sz w:val="20"/>
                <w:szCs w:val="20"/>
              </w:rPr>
              <w:t xml:space="preserve">Pre určité kategórie odpadov alebo určité tepelné procesy správny orgán môže povoliť aj iné prevádzkové podmienky, ako sú uvedené v bode 3 až </w:t>
            </w:r>
            <w:smartTag w:uri="urn:schemas-microsoft-com:office:smarttags" w:element="metricconverter">
              <w:smartTagPr>
                <w:attr w:name="ProductID" w:val="5 a"/>
              </w:smartTagPr>
              <w:r w:rsidRPr="008819AF">
                <w:rPr>
                  <w:sz w:val="20"/>
                  <w:szCs w:val="20"/>
                </w:rPr>
                <w:t>5 a</w:t>
              </w:r>
            </w:smartTag>
            <w:r w:rsidRPr="008819AF">
              <w:rPr>
                <w:sz w:val="20"/>
                <w:szCs w:val="20"/>
              </w:rPr>
              <w:t>, ak ide o teplotu, uvedené v bode 6, za predpokladu, že sú splnené ostatné požiadavky tejto prílohy, a v prípade  ak ide o </w:t>
            </w:r>
          </w:p>
          <w:p w14:paraId="151328EE" w14:textId="77777777" w:rsidR="00DC6538" w:rsidRPr="008819AF" w:rsidRDefault="00DC6538" w:rsidP="009C63CF">
            <w:pPr>
              <w:pStyle w:val="Zkladntext20"/>
              <w:keepNext w:val="0"/>
              <w:numPr>
                <w:ilvl w:val="0"/>
                <w:numId w:val="84"/>
              </w:numPr>
              <w:spacing w:before="0" w:after="0"/>
              <w:ind w:left="26" w:firstLine="0"/>
              <w:rPr>
                <w:sz w:val="20"/>
                <w:szCs w:val="20"/>
              </w:rPr>
            </w:pPr>
            <w:r w:rsidRPr="008819AF">
              <w:rPr>
                <w:sz w:val="20"/>
                <w:szCs w:val="20"/>
              </w:rPr>
              <w:t>spaľovňu odpadov, odlišné prevádzkové podmienky nesmú spôsobiť vyššiu tvorbu zvyškov zo spaľovania odpadov alebo vyšší obsah organických znečisťujúcich látok vo zvyškoch, ako sa očakáva za podmienok ustanovených v bodoch 3 až 5,</w:t>
            </w:r>
          </w:p>
          <w:p w14:paraId="151328EF" w14:textId="77777777" w:rsidR="00DC6538" w:rsidRPr="008819AF" w:rsidRDefault="00DC6538" w:rsidP="009C63CF">
            <w:pPr>
              <w:pStyle w:val="Zkladntext20"/>
              <w:keepNext w:val="0"/>
              <w:numPr>
                <w:ilvl w:val="0"/>
                <w:numId w:val="84"/>
              </w:numPr>
              <w:spacing w:before="0" w:after="0"/>
              <w:ind w:left="26" w:firstLine="0"/>
              <w:rPr>
                <w:sz w:val="20"/>
                <w:szCs w:val="20"/>
              </w:rPr>
            </w:pPr>
            <w:r w:rsidRPr="008819AF">
              <w:rPr>
                <w:sz w:val="20"/>
                <w:szCs w:val="20"/>
              </w:rPr>
              <w:t>zariadenie na spoluspaľovanie odpadov, platia emisné limity pre TOC a CO v odpadových plynoch uvedené v tretej časti tejto prílohy,</w:t>
            </w:r>
          </w:p>
          <w:p w14:paraId="151328F0" w14:textId="77777777" w:rsidR="00DC6538" w:rsidRPr="008819AF" w:rsidRDefault="00DC6538" w:rsidP="009C63CF">
            <w:pPr>
              <w:pStyle w:val="Zkladntext20"/>
              <w:keepNext w:val="0"/>
              <w:numPr>
                <w:ilvl w:val="0"/>
                <w:numId w:val="84"/>
              </w:numPr>
              <w:spacing w:before="0" w:after="0"/>
              <w:ind w:left="26" w:firstLine="0"/>
              <w:rPr>
                <w:sz w:val="20"/>
                <w:szCs w:val="20"/>
              </w:rPr>
            </w:pPr>
            <w:r w:rsidRPr="008819AF">
              <w:rPr>
                <w:sz w:val="20"/>
                <w:szCs w:val="20"/>
              </w:rPr>
              <w:t xml:space="preserve">spoluspaľovanie odpadov z celulózového a papierenského priemyslu v mieste výroby v kotloch na drevnú kôru, ktoré mali vydané povolenie pred 28. decembrom 2002, platia emisné limity </w:t>
            </w:r>
            <w:r w:rsidRPr="008819AF">
              <w:rPr>
                <w:sz w:val="20"/>
                <w:szCs w:val="20"/>
              </w:rPr>
              <w:lastRenderedPageBreak/>
              <w:t>pre TOC uvedené v tretej časti tejto prílohy.</w:t>
            </w:r>
          </w:p>
          <w:p w14:paraId="151328F1" w14:textId="77777777" w:rsidR="000C6209" w:rsidRPr="008819AF" w:rsidRDefault="000C6209" w:rsidP="0021052F">
            <w:pPr>
              <w:ind w:left="215" w:hanging="215"/>
              <w:rPr>
                <w:rFonts w:eastAsia="Arial"/>
                <w:lang w:bidi="cs-CZ"/>
              </w:rPr>
            </w:pPr>
          </w:p>
          <w:p w14:paraId="151328F2" w14:textId="77777777" w:rsidR="0000600D" w:rsidRPr="008819AF" w:rsidRDefault="0000600D" w:rsidP="0021052F">
            <w:pPr>
              <w:pStyle w:val="Nra"/>
              <w:ind w:left="72"/>
              <w:rPr>
                <w:rFonts w:ascii="Times New Roman" w:eastAsia="a*i*l" w:hAnsi="Times New Roman" w:cs="Times New Roman"/>
              </w:rPr>
            </w:pPr>
          </w:p>
          <w:p w14:paraId="151328F3" w14:textId="77777777" w:rsidR="000C6209" w:rsidRPr="008819AF" w:rsidRDefault="000C6209" w:rsidP="0021052F">
            <w:pPr>
              <w:pStyle w:val="Nra"/>
              <w:ind w:left="72"/>
              <w:rPr>
                <w:rFonts w:ascii="Times New Roman" w:eastAsia="a*i*l" w:hAnsi="Times New Roman" w:cs="Times New Roman"/>
              </w:rPr>
            </w:pPr>
            <w:r w:rsidRPr="008819AF">
              <w:rPr>
                <w:rFonts w:ascii="Times New Roman" w:eastAsia="a*i*l" w:hAnsi="Times New Roman" w:cs="Times New Roman"/>
              </w:rPr>
              <w:t>Ministerstvo</w:t>
            </w:r>
          </w:p>
          <w:p w14:paraId="151328F4" w14:textId="77777777" w:rsidR="00DC6538" w:rsidRPr="008819AF" w:rsidRDefault="000C6209" w:rsidP="00584CC6">
            <w:pPr>
              <w:pStyle w:val="Nra"/>
              <w:ind w:left="72"/>
              <w:rPr>
                <w:rFonts w:ascii="Times New Roman" w:eastAsia="a*i*l" w:hAnsi="Times New Roman" w:cs="Times New Roman"/>
              </w:rPr>
            </w:pPr>
            <w:r w:rsidRPr="008819AF">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151328F5" w14:textId="77777777" w:rsidR="00DC6538" w:rsidRPr="008819AF" w:rsidRDefault="00DC6538" w:rsidP="0021052F">
            <w:pPr>
              <w:pStyle w:val="Nra"/>
              <w:ind w:left="72"/>
              <w:rPr>
                <w:rFonts w:ascii="Times New Roman" w:eastAsia="a*i*l" w:hAnsi="Times New Roman" w:cs="Times New Roman"/>
              </w:rPr>
            </w:pPr>
          </w:p>
          <w:p w14:paraId="151328F6" w14:textId="77777777" w:rsidR="00DC6538" w:rsidRPr="008819AF" w:rsidRDefault="00DC6538" w:rsidP="0021052F">
            <w:pPr>
              <w:pStyle w:val="Nra"/>
              <w:ind w:left="72"/>
              <w:rPr>
                <w:rFonts w:ascii="Times New Roman" w:eastAsia="a*i*l" w:hAnsi="Times New Roman" w:cs="Times New Roman"/>
              </w:rPr>
            </w:pPr>
          </w:p>
          <w:p w14:paraId="151328F7" w14:textId="77777777" w:rsidR="00DC6538" w:rsidRPr="008819AF" w:rsidRDefault="00DC6538" w:rsidP="0021052F">
            <w:pPr>
              <w:pStyle w:val="Nra"/>
              <w:ind w:left="72"/>
              <w:rPr>
                <w:rFonts w:ascii="Times New Roman" w:eastAsia="a*i*l"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151328F8" w14:textId="77777777" w:rsidR="000C6209" w:rsidRPr="008819AF" w:rsidRDefault="000C6209" w:rsidP="0021052F">
            <w:pPr>
              <w:ind w:left="215" w:hanging="215"/>
              <w:rPr>
                <w:rFonts w:eastAsia="Arial"/>
                <w:lang w:bidi="cs-CZ"/>
              </w:rPr>
            </w:pPr>
            <w:r w:rsidRPr="008819AF">
              <w:rPr>
                <w:rFonts w:eastAsia="Arial"/>
                <w:lang w:bidi="cs-CZ"/>
              </w:rPr>
              <w:lastRenderedPageBreak/>
              <w:t>Ú</w:t>
            </w:r>
          </w:p>
          <w:p w14:paraId="151328F9" w14:textId="77777777" w:rsidR="000C6209" w:rsidRPr="008819AF" w:rsidRDefault="000C6209" w:rsidP="0021052F">
            <w:pPr>
              <w:ind w:left="215" w:hanging="215"/>
              <w:rPr>
                <w:rFonts w:eastAsia="Arial"/>
                <w:lang w:bidi="cs-CZ"/>
              </w:rPr>
            </w:pPr>
          </w:p>
          <w:p w14:paraId="151328FA" w14:textId="77777777" w:rsidR="000C6209" w:rsidRPr="008819AF" w:rsidRDefault="000C6209" w:rsidP="0021052F">
            <w:pPr>
              <w:ind w:left="215" w:hanging="215"/>
              <w:rPr>
                <w:rFonts w:eastAsia="Arial"/>
                <w:lang w:bidi="cs-CZ"/>
              </w:rPr>
            </w:pPr>
          </w:p>
          <w:p w14:paraId="151328FB" w14:textId="77777777" w:rsidR="000C6209" w:rsidRPr="008819AF" w:rsidRDefault="000C6209" w:rsidP="0021052F">
            <w:pPr>
              <w:ind w:left="215" w:hanging="215"/>
              <w:rPr>
                <w:rFonts w:eastAsia="Arial"/>
                <w:lang w:bidi="cs-CZ"/>
              </w:rPr>
            </w:pPr>
          </w:p>
          <w:p w14:paraId="151328FC" w14:textId="77777777" w:rsidR="000C6209" w:rsidRPr="008819AF" w:rsidRDefault="000C6209" w:rsidP="0021052F">
            <w:pPr>
              <w:ind w:left="215" w:hanging="215"/>
              <w:rPr>
                <w:rFonts w:eastAsia="Arial"/>
                <w:lang w:bidi="cs-CZ"/>
              </w:rPr>
            </w:pPr>
          </w:p>
          <w:p w14:paraId="151328FD" w14:textId="77777777" w:rsidR="000C6209" w:rsidRPr="008819AF" w:rsidRDefault="000C6209" w:rsidP="0021052F">
            <w:pPr>
              <w:ind w:left="215" w:hanging="215"/>
              <w:rPr>
                <w:rFonts w:eastAsia="Arial"/>
                <w:lang w:bidi="cs-CZ"/>
              </w:rPr>
            </w:pPr>
          </w:p>
          <w:p w14:paraId="151328FE" w14:textId="77777777" w:rsidR="000C6209" w:rsidRPr="008819AF" w:rsidRDefault="000C6209" w:rsidP="0021052F">
            <w:pPr>
              <w:ind w:left="215" w:hanging="215"/>
              <w:rPr>
                <w:rFonts w:eastAsia="Arial"/>
                <w:lang w:bidi="cs-CZ"/>
              </w:rPr>
            </w:pPr>
          </w:p>
          <w:p w14:paraId="151328FF" w14:textId="77777777" w:rsidR="000C6209" w:rsidRPr="008819AF" w:rsidRDefault="000C6209" w:rsidP="0021052F">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4" w:space="0" w:color="000000"/>
              <w:right w:val="single" w:sz="6" w:space="0" w:color="000000"/>
            </w:tcBorders>
          </w:tcPr>
          <w:p w14:paraId="15132900" w14:textId="77777777" w:rsidR="000C6209" w:rsidRPr="008819AF" w:rsidRDefault="000C6209" w:rsidP="0021052F">
            <w:pPr>
              <w:ind w:left="215" w:hanging="215"/>
              <w:rPr>
                <w:rFonts w:eastAsia="Arial"/>
                <w:lang w:bidi="cs-CZ"/>
              </w:rPr>
            </w:pPr>
          </w:p>
          <w:p w14:paraId="15132901" w14:textId="77777777" w:rsidR="00584CC6" w:rsidRPr="008819AF" w:rsidRDefault="00584CC6" w:rsidP="0021052F">
            <w:pPr>
              <w:ind w:left="215" w:hanging="215"/>
              <w:rPr>
                <w:rFonts w:eastAsia="Arial"/>
                <w:lang w:bidi="cs-CZ"/>
              </w:rPr>
            </w:pPr>
          </w:p>
          <w:p w14:paraId="15132902" w14:textId="77777777" w:rsidR="00584CC6" w:rsidRPr="008819AF" w:rsidRDefault="00584CC6" w:rsidP="0021052F">
            <w:pPr>
              <w:ind w:left="215" w:hanging="215"/>
              <w:rPr>
                <w:rFonts w:eastAsia="Arial"/>
                <w:lang w:bidi="cs-CZ"/>
              </w:rPr>
            </w:pPr>
          </w:p>
          <w:p w14:paraId="15132903" w14:textId="77777777" w:rsidR="00584CC6" w:rsidRPr="008819AF" w:rsidRDefault="00584CC6" w:rsidP="0021052F">
            <w:pPr>
              <w:ind w:left="215" w:hanging="215"/>
              <w:rPr>
                <w:rFonts w:eastAsia="Arial"/>
                <w:lang w:bidi="cs-CZ"/>
              </w:rPr>
            </w:pPr>
          </w:p>
          <w:p w14:paraId="15132904" w14:textId="77777777" w:rsidR="00584CC6" w:rsidRPr="008819AF" w:rsidRDefault="00584CC6" w:rsidP="0021052F">
            <w:pPr>
              <w:ind w:left="215" w:hanging="215"/>
              <w:rPr>
                <w:rFonts w:eastAsia="Arial"/>
                <w:lang w:bidi="cs-CZ"/>
              </w:rPr>
            </w:pPr>
          </w:p>
          <w:p w14:paraId="15132905" w14:textId="77777777" w:rsidR="00584CC6" w:rsidRPr="008819AF" w:rsidRDefault="00584CC6" w:rsidP="0021052F">
            <w:pPr>
              <w:ind w:left="215" w:hanging="215"/>
              <w:rPr>
                <w:rFonts w:eastAsia="Arial"/>
                <w:lang w:bidi="cs-CZ"/>
              </w:rPr>
            </w:pPr>
          </w:p>
          <w:p w14:paraId="15132906" w14:textId="77777777" w:rsidR="00584CC6" w:rsidRPr="008819AF" w:rsidRDefault="00584CC6" w:rsidP="0021052F">
            <w:pPr>
              <w:ind w:left="215" w:hanging="215"/>
              <w:rPr>
                <w:rFonts w:eastAsia="Arial"/>
                <w:lang w:bidi="cs-CZ"/>
              </w:rPr>
            </w:pPr>
          </w:p>
          <w:p w14:paraId="15132907" w14:textId="77777777" w:rsidR="00584CC6" w:rsidRPr="008819AF" w:rsidRDefault="00584CC6" w:rsidP="0021052F">
            <w:pPr>
              <w:ind w:left="215" w:hanging="215"/>
              <w:rPr>
                <w:rFonts w:eastAsia="Arial"/>
                <w:lang w:bidi="cs-CZ"/>
              </w:rPr>
            </w:pPr>
          </w:p>
          <w:p w14:paraId="15132908" w14:textId="77777777" w:rsidR="00584CC6" w:rsidRPr="008819AF" w:rsidRDefault="00584CC6" w:rsidP="0021052F">
            <w:pPr>
              <w:ind w:left="215" w:hanging="215"/>
              <w:rPr>
                <w:rFonts w:eastAsia="Arial"/>
                <w:lang w:bidi="cs-CZ"/>
              </w:rPr>
            </w:pPr>
          </w:p>
          <w:p w14:paraId="15132909" w14:textId="77777777" w:rsidR="00584CC6" w:rsidRPr="008819AF" w:rsidRDefault="00584CC6" w:rsidP="0021052F">
            <w:pPr>
              <w:ind w:left="215" w:hanging="215"/>
              <w:rPr>
                <w:rFonts w:eastAsia="Arial"/>
                <w:lang w:bidi="cs-CZ"/>
              </w:rPr>
            </w:pPr>
          </w:p>
          <w:p w14:paraId="1513290A" w14:textId="77777777" w:rsidR="00584CC6" w:rsidRPr="008819AF" w:rsidRDefault="00584CC6" w:rsidP="0021052F">
            <w:pPr>
              <w:ind w:left="215" w:hanging="215"/>
              <w:rPr>
                <w:rFonts w:eastAsia="Arial"/>
                <w:lang w:bidi="cs-CZ"/>
              </w:rPr>
            </w:pPr>
          </w:p>
          <w:p w14:paraId="1513290B" w14:textId="77777777" w:rsidR="00584CC6" w:rsidRPr="008819AF" w:rsidRDefault="00584CC6" w:rsidP="0021052F">
            <w:pPr>
              <w:ind w:left="215" w:hanging="215"/>
              <w:rPr>
                <w:rFonts w:eastAsia="Arial"/>
                <w:lang w:bidi="cs-CZ"/>
              </w:rPr>
            </w:pPr>
          </w:p>
          <w:p w14:paraId="1513290C" w14:textId="77777777" w:rsidR="00584CC6" w:rsidRPr="008819AF" w:rsidRDefault="00584CC6" w:rsidP="0021052F">
            <w:pPr>
              <w:ind w:left="215" w:hanging="215"/>
              <w:rPr>
                <w:rFonts w:eastAsia="Arial"/>
                <w:lang w:bidi="cs-CZ"/>
              </w:rPr>
            </w:pPr>
          </w:p>
          <w:p w14:paraId="1513290D" w14:textId="77777777" w:rsidR="00584CC6" w:rsidRPr="008819AF" w:rsidRDefault="00584CC6" w:rsidP="0021052F">
            <w:pPr>
              <w:ind w:left="215" w:hanging="215"/>
              <w:rPr>
                <w:rFonts w:eastAsia="Arial"/>
                <w:lang w:bidi="cs-CZ"/>
              </w:rPr>
            </w:pPr>
          </w:p>
          <w:p w14:paraId="1513290E" w14:textId="77777777" w:rsidR="00584CC6" w:rsidRPr="008819AF" w:rsidRDefault="00584CC6" w:rsidP="0021052F">
            <w:pPr>
              <w:ind w:left="215" w:hanging="215"/>
              <w:rPr>
                <w:rFonts w:eastAsia="Arial"/>
                <w:lang w:bidi="cs-CZ"/>
              </w:rPr>
            </w:pPr>
          </w:p>
          <w:p w14:paraId="1513290F" w14:textId="77777777" w:rsidR="00584CC6" w:rsidRPr="008819AF" w:rsidRDefault="00584CC6" w:rsidP="0021052F">
            <w:pPr>
              <w:ind w:left="215" w:hanging="215"/>
              <w:rPr>
                <w:rFonts w:eastAsia="Arial"/>
                <w:lang w:bidi="cs-CZ"/>
              </w:rPr>
            </w:pPr>
          </w:p>
          <w:p w14:paraId="15132910" w14:textId="77777777" w:rsidR="00584CC6" w:rsidRPr="008819AF" w:rsidRDefault="00584CC6" w:rsidP="0021052F">
            <w:pPr>
              <w:ind w:left="215" w:hanging="215"/>
              <w:rPr>
                <w:rFonts w:eastAsia="Arial"/>
                <w:lang w:bidi="cs-CZ"/>
              </w:rPr>
            </w:pPr>
          </w:p>
          <w:p w14:paraId="15132911" w14:textId="77777777" w:rsidR="00584CC6" w:rsidRPr="008819AF" w:rsidRDefault="00584CC6" w:rsidP="0021052F">
            <w:pPr>
              <w:ind w:left="215" w:hanging="215"/>
              <w:rPr>
                <w:rFonts w:eastAsia="Arial"/>
                <w:lang w:bidi="cs-CZ"/>
              </w:rPr>
            </w:pPr>
          </w:p>
          <w:p w14:paraId="15132912" w14:textId="77777777" w:rsidR="00584CC6" w:rsidRPr="008819AF" w:rsidRDefault="00584CC6" w:rsidP="0021052F">
            <w:pPr>
              <w:ind w:left="215" w:hanging="215"/>
              <w:rPr>
                <w:rFonts w:eastAsia="Arial"/>
                <w:lang w:bidi="cs-CZ"/>
              </w:rPr>
            </w:pPr>
          </w:p>
          <w:p w14:paraId="15132913" w14:textId="77777777" w:rsidR="00584CC6" w:rsidRPr="008819AF" w:rsidRDefault="00584CC6" w:rsidP="0021052F">
            <w:pPr>
              <w:ind w:left="215" w:hanging="215"/>
              <w:rPr>
                <w:rFonts w:eastAsia="Arial"/>
                <w:lang w:bidi="cs-CZ"/>
              </w:rPr>
            </w:pPr>
          </w:p>
          <w:p w14:paraId="15132914" w14:textId="77777777" w:rsidR="00584CC6" w:rsidRPr="008819AF" w:rsidRDefault="00584CC6" w:rsidP="0021052F">
            <w:pPr>
              <w:ind w:left="215" w:hanging="215"/>
              <w:rPr>
                <w:rFonts w:eastAsia="Arial"/>
                <w:lang w:bidi="cs-CZ"/>
              </w:rPr>
            </w:pPr>
          </w:p>
          <w:p w14:paraId="15132915" w14:textId="77777777" w:rsidR="00584CC6" w:rsidRPr="008819AF" w:rsidRDefault="00584CC6" w:rsidP="0021052F">
            <w:pPr>
              <w:ind w:left="215" w:hanging="215"/>
              <w:rPr>
                <w:rFonts w:eastAsia="Arial"/>
                <w:lang w:bidi="cs-CZ"/>
              </w:rPr>
            </w:pPr>
          </w:p>
          <w:p w14:paraId="15132916" w14:textId="77777777" w:rsidR="00584CC6" w:rsidRPr="008819AF" w:rsidRDefault="00584CC6" w:rsidP="0021052F">
            <w:pPr>
              <w:ind w:left="215" w:hanging="215"/>
              <w:rPr>
                <w:rFonts w:eastAsia="Arial"/>
                <w:lang w:bidi="cs-CZ"/>
              </w:rPr>
            </w:pPr>
          </w:p>
          <w:p w14:paraId="15132917" w14:textId="77777777" w:rsidR="00584CC6" w:rsidRPr="008819AF" w:rsidRDefault="00584CC6" w:rsidP="0021052F">
            <w:pPr>
              <w:ind w:left="215" w:hanging="215"/>
              <w:rPr>
                <w:rFonts w:eastAsia="Arial"/>
                <w:lang w:bidi="cs-CZ"/>
              </w:rPr>
            </w:pPr>
          </w:p>
          <w:p w14:paraId="15132918" w14:textId="77777777" w:rsidR="00584CC6" w:rsidRPr="008819AF" w:rsidRDefault="00584CC6" w:rsidP="00584CC6">
            <w:pPr>
              <w:rPr>
                <w:rFonts w:eastAsia="Arial"/>
                <w:lang w:bidi="cs-CZ"/>
              </w:rPr>
            </w:pPr>
            <w:r w:rsidRPr="008819AF">
              <w:rPr>
                <w:rFonts w:eastAsia="Arial"/>
                <w:lang w:bidi="cs-CZ"/>
              </w:rPr>
              <w:t>Pozri: čl. 72</w:t>
            </w:r>
          </w:p>
        </w:tc>
      </w:tr>
      <w:tr w:rsidR="000C6209" w:rsidRPr="008819AF" w14:paraId="15132931"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1513291A" w14:textId="77777777" w:rsidR="000C6209" w:rsidRPr="008819AF" w:rsidRDefault="000C6209" w:rsidP="003E351D">
            <w:pPr>
              <w:ind w:right="-70"/>
              <w:rPr>
                <w:rFonts w:eastAsia="Arial"/>
                <w:lang w:bidi="cs-CZ"/>
              </w:rPr>
            </w:pPr>
            <w:r w:rsidRPr="008819AF">
              <w:rPr>
                <w:rFonts w:eastAsia="Arial"/>
                <w:lang w:bidi="cs-CZ"/>
              </w:rPr>
              <w:lastRenderedPageBreak/>
              <w:t>Č52</w:t>
            </w:r>
          </w:p>
        </w:tc>
        <w:tc>
          <w:tcPr>
            <w:tcW w:w="6227" w:type="dxa"/>
            <w:gridSpan w:val="2"/>
            <w:tcBorders>
              <w:top w:val="single" w:sz="4" w:space="0" w:color="000000"/>
              <w:left w:val="single" w:sz="6" w:space="0" w:color="000000"/>
              <w:bottom w:val="single" w:sz="4" w:space="0" w:color="000000"/>
              <w:right w:val="single" w:sz="6" w:space="0" w:color="000000"/>
            </w:tcBorders>
          </w:tcPr>
          <w:p w14:paraId="1513291B" w14:textId="77777777" w:rsidR="000C6209" w:rsidRPr="008819AF" w:rsidRDefault="000C6209" w:rsidP="0021052F">
            <w:pPr>
              <w:ind w:left="215" w:hanging="215"/>
              <w:rPr>
                <w:rFonts w:eastAsia="Arial"/>
              </w:rPr>
            </w:pPr>
            <w:r w:rsidRPr="008819AF">
              <w:rPr>
                <w:rFonts w:eastAsia="Arial"/>
              </w:rPr>
              <w:t>Článok 52</w:t>
            </w:r>
          </w:p>
          <w:p w14:paraId="1513291C" w14:textId="77777777" w:rsidR="000C6209" w:rsidRPr="008819AF" w:rsidRDefault="000C6209" w:rsidP="0021052F">
            <w:pPr>
              <w:ind w:left="215" w:hanging="215"/>
              <w:rPr>
                <w:rFonts w:eastAsia="Arial"/>
              </w:rPr>
            </w:pPr>
            <w:r w:rsidRPr="008819AF">
              <w:rPr>
                <w:rFonts w:eastAsia="Arial"/>
              </w:rPr>
              <w:t>Dodávka a preberanie odpadov</w:t>
            </w:r>
          </w:p>
          <w:p w14:paraId="1513291D" w14:textId="77777777" w:rsidR="000C6209" w:rsidRPr="008819AF" w:rsidRDefault="000C6209" w:rsidP="0021052F">
            <w:pPr>
              <w:ind w:left="215" w:hanging="215"/>
              <w:rPr>
                <w:rFonts w:eastAsia="Arial"/>
              </w:rPr>
            </w:pPr>
            <w:r w:rsidRPr="008819AF">
              <w:rPr>
                <w:rFonts w:eastAsia="Arial"/>
              </w:rPr>
              <w:t>1. Prevádzkovateľ spaľovane odpadov alebo zariadenia na spoluspaľovanie odpadov musí prijať všetky potrebné preventívne opatrenia týkajúce sa dodávky a preberania odpadov, ktorými zabráni alebo v najväčšej možnej miere obmedzí znečisťovanie ovzdušia, pôdy, povrchových a podzemných vôd, ako aj iné nepriaznivé vplyvy na životné prostredie, zápach a hluk a priame riziká pre ľudské zdravie.</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91E" w14:textId="77777777" w:rsidR="00346040" w:rsidRPr="008819AF" w:rsidRDefault="00346040" w:rsidP="0021052F">
            <w:pPr>
              <w:ind w:left="215" w:hanging="215"/>
              <w:jc w:val="center"/>
              <w:rPr>
                <w:rFonts w:eastAsia="Arial"/>
                <w:lang w:bidi="cs-CZ"/>
              </w:rPr>
            </w:pPr>
          </w:p>
          <w:p w14:paraId="1513291F" w14:textId="77777777" w:rsidR="00346040" w:rsidRPr="008819AF" w:rsidRDefault="00346040" w:rsidP="0021052F">
            <w:pPr>
              <w:ind w:left="215" w:hanging="215"/>
              <w:jc w:val="center"/>
              <w:rPr>
                <w:rFonts w:eastAsia="Arial"/>
                <w:lang w:bidi="cs-CZ"/>
              </w:rPr>
            </w:pPr>
          </w:p>
          <w:p w14:paraId="15132920" w14:textId="77777777" w:rsidR="000C6209" w:rsidRPr="008819AF" w:rsidRDefault="007A3E2D" w:rsidP="0021052F">
            <w:pPr>
              <w:ind w:left="215" w:hanging="215"/>
              <w:jc w:val="center"/>
              <w:rPr>
                <w:rFonts w:eastAsia="Arial"/>
                <w:lang w:bidi="cs-CZ"/>
              </w:rPr>
            </w:pPr>
            <w:r w:rsidRPr="008819AF">
              <w:rPr>
                <w:rFonts w:eastAsia="Arial"/>
                <w:lang w:bidi="cs-CZ"/>
              </w:rPr>
              <w:t>N</w:t>
            </w:r>
          </w:p>
          <w:p w14:paraId="15132921" w14:textId="77777777" w:rsidR="006F08ED" w:rsidRPr="008819AF" w:rsidRDefault="006F08ED"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922" w14:textId="77777777" w:rsidR="00346040" w:rsidRPr="008819AF" w:rsidRDefault="00346040" w:rsidP="0021052F">
            <w:pPr>
              <w:jc w:val="center"/>
              <w:rPr>
                <w:rFonts w:eastAsia="Arial"/>
                <w:lang w:bidi="cs-CZ"/>
              </w:rPr>
            </w:pPr>
          </w:p>
          <w:p w14:paraId="15132923" w14:textId="77777777" w:rsidR="00346040" w:rsidRPr="008819AF" w:rsidRDefault="00346040" w:rsidP="0021052F">
            <w:pPr>
              <w:jc w:val="center"/>
              <w:rPr>
                <w:rFonts w:eastAsia="Arial"/>
                <w:lang w:bidi="cs-CZ"/>
              </w:rPr>
            </w:pPr>
          </w:p>
          <w:p w14:paraId="15132924" w14:textId="77777777" w:rsidR="000C6209" w:rsidRPr="008819AF" w:rsidRDefault="000C6209" w:rsidP="0021052F">
            <w:pPr>
              <w:jc w:val="center"/>
              <w:rPr>
                <w:rFonts w:eastAsia="Arial"/>
                <w:lang w:bidi="cs-CZ"/>
              </w:rPr>
            </w:pPr>
            <w:r w:rsidRPr="008819AF">
              <w:rPr>
                <w:rFonts w:eastAsia="Arial"/>
                <w:lang w:bidi="cs-CZ"/>
              </w:rPr>
              <w:t>NV2</w:t>
            </w:r>
          </w:p>
          <w:p w14:paraId="15132925" w14:textId="77777777" w:rsidR="000C6209" w:rsidRPr="008819AF" w:rsidRDefault="000C620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926" w14:textId="77777777" w:rsidR="00346040" w:rsidRPr="008819AF" w:rsidRDefault="00346040" w:rsidP="00346040">
            <w:pPr>
              <w:jc w:val="center"/>
            </w:pPr>
          </w:p>
          <w:p w14:paraId="15132927" w14:textId="77777777" w:rsidR="00584CC6" w:rsidRPr="008819AF" w:rsidRDefault="00584CC6" w:rsidP="00346040">
            <w:pPr>
              <w:jc w:val="center"/>
            </w:pPr>
          </w:p>
          <w:p w14:paraId="15132928" w14:textId="77777777" w:rsidR="00346040" w:rsidRPr="008819AF" w:rsidRDefault="00346040" w:rsidP="00346040">
            <w:pPr>
              <w:jc w:val="center"/>
            </w:pPr>
            <w:r w:rsidRPr="008819AF">
              <w:t>Pr.5</w:t>
            </w:r>
          </w:p>
          <w:p w14:paraId="15132929" w14:textId="77777777" w:rsidR="00346040" w:rsidRPr="008819AF" w:rsidRDefault="00346040" w:rsidP="00346040">
            <w:pPr>
              <w:jc w:val="center"/>
            </w:pPr>
            <w:r w:rsidRPr="008819AF">
              <w:t>Časť II.</w:t>
            </w:r>
          </w:p>
          <w:p w14:paraId="1513292A" w14:textId="77777777" w:rsidR="000C6209" w:rsidRPr="008819AF" w:rsidRDefault="00346040" w:rsidP="00346040">
            <w:pPr>
              <w:pStyle w:val="BodyText21"/>
              <w:spacing w:before="0"/>
              <w:jc w:val="center"/>
              <w:rPr>
                <w:rFonts w:ascii="Times New Roman" w:hAnsi="Times New Roman" w:cs="Times New Roman"/>
              </w:rPr>
            </w:pPr>
            <w:r w:rsidRPr="008819AF">
              <w:rPr>
                <w:rFonts w:ascii="Times New Roman" w:hAnsi="Times New Roman" w:cs="Times New Roman"/>
              </w:rPr>
              <w:t>Bod1.</w:t>
            </w:r>
          </w:p>
        </w:tc>
        <w:tc>
          <w:tcPr>
            <w:tcW w:w="5664" w:type="dxa"/>
            <w:gridSpan w:val="5"/>
            <w:tcBorders>
              <w:top w:val="single" w:sz="4" w:space="0" w:color="000000"/>
              <w:left w:val="single" w:sz="6" w:space="0" w:color="000000"/>
              <w:bottom w:val="single" w:sz="4" w:space="0" w:color="000000"/>
              <w:right w:val="single" w:sz="6" w:space="0" w:color="000000"/>
            </w:tcBorders>
          </w:tcPr>
          <w:p w14:paraId="1513292B" w14:textId="77777777" w:rsidR="00820F0D" w:rsidRPr="008819AF" w:rsidRDefault="00820F0D" w:rsidP="0021052F">
            <w:pPr>
              <w:pStyle w:val="Hlavika"/>
              <w:ind w:left="72" w:hanging="1"/>
              <w:rPr>
                <w:rFonts w:ascii="Times New Roman" w:hAnsi="Times New Roman" w:cs="Times New Roman"/>
              </w:rPr>
            </w:pPr>
          </w:p>
          <w:p w14:paraId="1513292C" w14:textId="77777777" w:rsidR="00584CC6" w:rsidRPr="008819AF" w:rsidRDefault="00584CC6" w:rsidP="0021052F">
            <w:pPr>
              <w:pStyle w:val="Hlavika"/>
              <w:ind w:left="72" w:hanging="1"/>
              <w:rPr>
                <w:rFonts w:ascii="Times New Roman" w:hAnsi="Times New Roman" w:cs="Times New Roman"/>
              </w:rPr>
            </w:pPr>
          </w:p>
          <w:p w14:paraId="1513292D" w14:textId="77777777" w:rsidR="00346040" w:rsidRPr="008819AF" w:rsidRDefault="00346040" w:rsidP="00346040">
            <w:pPr>
              <w:pStyle w:val="Zkladntext20"/>
              <w:keepNext w:val="0"/>
              <w:spacing w:before="0" w:after="0"/>
              <w:ind w:left="26"/>
              <w:rPr>
                <w:sz w:val="20"/>
                <w:szCs w:val="20"/>
              </w:rPr>
            </w:pPr>
            <w:r w:rsidRPr="008819AF">
              <w:rPr>
                <w:sz w:val="20"/>
                <w:szCs w:val="20"/>
              </w:rPr>
              <w:t>Pri prevádzkovaní spaľovne odpadov a zariadenia na spoluspaľovanie odpadov treba vykonať všetky preventívne opatrenia, aby sa pri dodávke, príjme, medziskladovaní a manipulácii s odpadmi v najväčšej miere obmedzili negatívne vplyvy na životné prostredie, najmä znečisťovanie ovzdušia, pôdy, povrchových a podzemných vôd, ako aj hluk, zápach a priame ohrozenie zdravia ľudí v súlade s požiadavkami osobitných predpisov.</w:t>
            </w:r>
            <w:r w:rsidRPr="008819AF">
              <w:rPr>
                <w:sz w:val="20"/>
                <w:szCs w:val="20"/>
                <w:vertAlign w:val="superscript"/>
              </w:rPr>
              <w:t>26</w:t>
            </w:r>
            <w:r w:rsidRPr="008819AF">
              <w:rPr>
                <w:sz w:val="20"/>
                <w:szCs w:val="20"/>
              </w:rPr>
              <w:t>)</w:t>
            </w:r>
          </w:p>
          <w:p w14:paraId="1513292E" w14:textId="77777777" w:rsidR="000C6209" w:rsidRPr="008819AF" w:rsidRDefault="00346040" w:rsidP="00346040">
            <w:pPr>
              <w:pStyle w:val="Hlavika"/>
              <w:ind w:left="26" w:firstLine="0"/>
              <w:rPr>
                <w:lang w:bidi="cs-CZ"/>
              </w:rPr>
            </w:pPr>
            <w:r w:rsidRPr="008819AF">
              <w:rPr>
                <w:rFonts w:ascii="Times New Roman" w:hAnsi="Times New Roman" w:cs="Times New Roman"/>
                <w:sz w:val="18"/>
                <w:szCs w:val="18"/>
                <w:vertAlign w:val="superscript"/>
              </w:rPr>
              <w:t>26</w:t>
            </w:r>
            <w:r w:rsidRPr="008819AF">
              <w:rPr>
                <w:rFonts w:ascii="Times New Roman" w:hAnsi="Times New Roman" w:cs="Times New Roman"/>
                <w:sz w:val="18"/>
                <w:szCs w:val="18"/>
              </w:rPr>
              <w:t>) Napríklad zákon č. 79/2015 Z. z. v znení neskorších predpisov, zákon č. 364/2004 Z. z. v znení neskorších predpisov ,zákon č. 2/2005 Z. z. o posudzovaní a kontrole hluku vo vonkajšom prostredí a o zmene zákona Národnej rady Slovenskejre publiky č. 272/1994Z. z. o ochrane zdravia ľudí v znení neskorších predpisov, zákon č. 355/2007 Z. z o ochrane, podpore a rozvoji verejného zdravia a o zmene a doplnení niektorých zákonov v znení neskorších predpisov</w:t>
            </w:r>
            <w:r w:rsidR="000C6209" w:rsidRPr="008819AF">
              <w:rPr>
                <w:rFonts w:ascii="Times New Roman" w:hAnsi="Times New Roman" w:cs="Times New Roman"/>
                <w:sz w:val="18"/>
                <w:szCs w:val="18"/>
              </w:rPr>
              <w:t>.</w:t>
            </w:r>
          </w:p>
        </w:tc>
        <w:tc>
          <w:tcPr>
            <w:tcW w:w="429" w:type="dxa"/>
            <w:tcBorders>
              <w:top w:val="single" w:sz="4" w:space="0" w:color="000000"/>
              <w:left w:val="single" w:sz="6" w:space="0" w:color="000000"/>
              <w:bottom w:val="single" w:sz="4" w:space="0" w:color="000000"/>
              <w:right w:val="single" w:sz="6" w:space="0" w:color="000000"/>
            </w:tcBorders>
          </w:tcPr>
          <w:p w14:paraId="1513292F" w14:textId="77777777" w:rsidR="000C6209" w:rsidRPr="008819AF" w:rsidRDefault="000C6209"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930" w14:textId="77777777" w:rsidR="000C6209" w:rsidRPr="008819AF" w:rsidRDefault="000C6209" w:rsidP="0021052F">
            <w:pPr>
              <w:ind w:left="215" w:hanging="215"/>
              <w:rPr>
                <w:rFonts w:eastAsia="Arial"/>
                <w:lang w:bidi="cs-CZ"/>
              </w:rPr>
            </w:pPr>
          </w:p>
        </w:tc>
      </w:tr>
      <w:tr w:rsidR="000C6209" w:rsidRPr="008819AF" w14:paraId="15132944" w14:textId="77777777" w:rsidTr="003E351D">
        <w:trPr>
          <w:trHeight w:val="698"/>
          <w:jc w:val="center"/>
        </w:trPr>
        <w:tc>
          <w:tcPr>
            <w:tcW w:w="483" w:type="dxa"/>
            <w:tcBorders>
              <w:top w:val="single" w:sz="4" w:space="0" w:color="000000"/>
              <w:left w:val="single" w:sz="6" w:space="0" w:color="000000"/>
              <w:bottom w:val="single" w:sz="4" w:space="0" w:color="000000"/>
              <w:right w:val="single" w:sz="6" w:space="0" w:color="000000"/>
            </w:tcBorders>
          </w:tcPr>
          <w:p w14:paraId="15132932" w14:textId="77777777" w:rsidR="000C6209" w:rsidRPr="008819AF" w:rsidRDefault="000C6209" w:rsidP="003E351D">
            <w:pPr>
              <w:ind w:right="-70"/>
              <w:rPr>
                <w:rFonts w:eastAsia="Arial"/>
                <w:lang w:bidi="cs-CZ"/>
              </w:rPr>
            </w:pPr>
            <w:r w:rsidRPr="008819AF">
              <w:rPr>
                <w:rFonts w:eastAsia="Arial"/>
                <w:lang w:bidi="cs-CZ"/>
              </w:rPr>
              <w:t>Č:52</w:t>
            </w:r>
          </w:p>
        </w:tc>
        <w:tc>
          <w:tcPr>
            <w:tcW w:w="6227" w:type="dxa"/>
            <w:gridSpan w:val="2"/>
            <w:tcBorders>
              <w:top w:val="single" w:sz="4" w:space="0" w:color="000000"/>
              <w:left w:val="single" w:sz="6" w:space="0" w:color="000000"/>
              <w:bottom w:val="single" w:sz="4" w:space="0" w:color="000000"/>
              <w:right w:val="single" w:sz="6" w:space="0" w:color="000000"/>
            </w:tcBorders>
          </w:tcPr>
          <w:p w14:paraId="15132933" w14:textId="77777777" w:rsidR="000C6209" w:rsidRPr="008819AF" w:rsidRDefault="000C6209" w:rsidP="0021052F">
            <w:pPr>
              <w:ind w:left="215" w:hanging="215"/>
              <w:rPr>
                <w:rFonts w:eastAsia="Arial"/>
              </w:rPr>
            </w:pPr>
            <w:r w:rsidRPr="008819AF">
              <w:rPr>
                <w:rFonts w:eastAsia="Arial"/>
              </w:rPr>
              <w:t>2. Pred prevzatím odpadov do spaľovne odpadov alebo zariadenia na spoluspaľovanie odpadov určí prevádzkovateľ hmotnosť každého druhu odpadov, pokiaľ možno podľa európskeho katalógu odpadov ustanoveného rozhodnutím 2000/532/ES.</w:t>
            </w:r>
          </w:p>
          <w:p w14:paraId="15132934" w14:textId="77777777" w:rsidR="000C6209" w:rsidRPr="008819AF" w:rsidRDefault="000C6209" w:rsidP="0021052F">
            <w:pPr>
              <w:ind w:left="215" w:hanging="215"/>
              <w:rPr>
                <w:rFonts w:eastAsia="Arial"/>
              </w:rPr>
            </w:pPr>
            <w:r w:rsidRPr="008819AF">
              <w:rPr>
                <w:rFonts w:eastAsia="Arial"/>
              </w:rPr>
              <w:t>3. Pred prevzatím nebezpečných odpadov do spaľovne odpadov alebo zariadenia na spoluspaľovanie odpadov musí prevádzkovateľ získať dostupné informácie o týchto odpadoch na účel overenia dodržiavania požiadaviek povolenia stanovených v článku 45 ods. 2</w:t>
            </w:r>
          </w:p>
          <w:p w14:paraId="15132935" w14:textId="77777777" w:rsidR="000C6209" w:rsidRPr="008819AF" w:rsidRDefault="000C6209" w:rsidP="0021052F">
            <w:pPr>
              <w:ind w:left="215" w:hanging="1"/>
              <w:rPr>
                <w:rFonts w:eastAsia="Arial"/>
              </w:rPr>
            </w:pPr>
            <w:r w:rsidRPr="008819AF">
              <w:rPr>
                <w:rFonts w:eastAsia="Arial"/>
              </w:rPr>
              <w:t>Tieto informácie sa vzťahujú na:</w:t>
            </w:r>
          </w:p>
          <w:p w14:paraId="15132936" w14:textId="77777777" w:rsidR="000C6209" w:rsidRPr="008819AF" w:rsidRDefault="000C6209" w:rsidP="009C63CF">
            <w:pPr>
              <w:numPr>
                <w:ilvl w:val="0"/>
                <w:numId w:val="36"/>
              </w:numPr>
              <w:spacing w:after="120"/>
              <w:ind w:left="497" w:hanging="283"/>
              <w:rPr>
                <w:rFonts w:eastAsia="Arial"/>
              </w:rPr>
            </w:pPr>
            <w:r w:rsidRPr="008819AF">
              <w:rPr>
                <w:rFonts w:eastAsia="Arial"/>
              </w:rPr>
              <w:t>všetky administratívne informácie o procese vzniku odpadov obsiahnuté v dokumentoch uvedených v odseku 4 písm. a);</w:t>
            </w:r>
          </w:p>
          <w:p w14:paraId="15132937" w14:textId="77777777" w:rsidR="000C6209" w:rsidRPr="008819AF" w:rsidRDefault="000C6209" w:rsidP="009C63CF">
            <w:pPr>
              <w:numPr>
                <w:ilvl w:val="0"/>
                <w:numId w:val="36"/>
              </w:numPr>
              <w:spacing w:after="120"/>
              <w:ind w:left="497" w:hanging="283"/>
              <w:rPr>
                <w:rFonts w:eastAsia="Arial"/>
              </w:rPr>
            </w:pPr>
            <w:r w:rsidRPr="008819AF">
              <w:rPr>
                <w:rFonts w:eastAsia="Arial"/>
              </w:rPr>
              <w:t xml:space="preserve">fyzikálne, a pokiaľ je to možné, chemické zloženie odpadov a všetky </w:t>
            </w:r>
            <w:r w:rsidRPr="008819AF">
              <w:rPr>
                <w:rFonts w:eastAsia="Arial"/>
              </w:rPr>
              <w:lastRenderedPageBreak/>
              <w:t>ostatné informácie potrebné na vyhodnotenie vhodnosti odpadov pre určený spaľovací proces;</w:t>
            </w:r>
          </w:p>
          <w:p w14:paraId="15132938" w14:textId="77777777" w:rsidR="000C6209" w:rsidRPr="008819AF" w:rsidRDefault="000C6209" w:rsidP="009C63CF">
            <w:pPr>
              <w:numPr>
                <w:ilvl w:val="0"/>
                <w:numId w:val="36"/>
              </w:numPr>
              <w:spacing w:after="120"/>
              <w:ind w:left="497" w:hanging="283"/>
              <w:rPr>
                <w:rFonts w:eastAsia="Arial"/>
              </w:rPr>
            </w:pPr>
            <w:r w:rsidRPr="008819AF">
              <w:rPr>
                <w:rFonts w:eastAsia="Arial"/>
              </w:rPr>
              <w:t>nebezpečné vlastnosti odpadov, látok, s ktorými sa nemôžu miešať, a preventívne opatrenia, ktoré sa musia prijať pri manipulácii s odpadmi.</w:t>
            </w:r>
          </w:p>
          <w:p w14:paraId="15132939" w14:textId="77777777" w:rsidR="000C6209" w:rsidRPr="008819AF" w:rsidRDefault="000C6209" w:rsidP="0021052F">
            <w:pPr>
              <w:ind w:left="215" w:hanging="215"/>
              <w:rPr>
                <w:rFonts w:eastAsia="Arial"/>
              </w:rPr>
            </w:pPr>
            <w:r w:rsidRPr="008819AF">
              <w:rPr>
                <w:rFonts w:eastAsia="Arial"/>
              </w:rPr>
              <w:t>4. Pred prevzatím nebezpečných odpadov do spaľovne odpadov alebo zariadenia na spoluspaľovanie odpadov musí prevádzkovateľ vykonať aspoň tieto postupy:</w:t>
            </w:r>
          </w:p>
          <w:p w14:paraId="1513293A" w14:textId="77777777" w:rsidR="000C6209" w:rsidRPr="008819AF" w:rsidRDefault="000C6209" w:rsidP="009C63CF">
            <w:pPr>
              <w:numPr>
                <w:ilvl w:val="0"/>
                <w:numId w:val="37"/>
              </w:numPr>
              <w:spacing w:after="120"/>
              <w:ind w:left="497" w:hanging="283"/>
              <w:rPr>
                <w:rFonts w:eastAsia="Arial"/>
              </w:rPr>
            </w:pPr>
            <w:r w:rsidRPr="008819AF">
              <w:rPr>
                <w:rFonts w:eastAsia="Arial"/>
              </w:rPr>
              <w:t>kontrolu dokumentov, ktoré vyžaduje smernica 2008/98/ES a, ak je to možné, tých dokumentov, ktoré vyžaduje nariadenie Európskeho parlamentu a Rady (ES) č. 1013/2006 zo14. júna 2006 o preprave odpadu(1) Ú. v. EÚ L 190, 12.7.2006, s. 1. a právne predpisy v oblasti prepravy nebezpečných tovarov;</w:t>
            </w:r>
          </w:p>
          <w:p w14:paraId="1513293B" w14:textId="77777777" w:rsidR="000C6209" w:rsidRPr="008819AF" w:rsidRDefault="000C6209" w:rsidP="009C63CF">
            <w:pPr>
              <w:numPr>
                <w:ilvl w:val="0"/>
                <w:numId w:val="37"/>
              </w:numPr>
              <w:ind w:left="497" w:hanging="283"/>
              <w:rPr>
                <w:rFonts w:eastAsia="Arial"/>
              </w:rPr>
            </w:pPr>
            <w:r w:rsidRPr="008819AF">
              <w:rPr>
                <w:rFonts w:eastAsia="Arial"/>
              </w:rPr>
              <w:t>odber reprezentatívnych vzoriek, pokiaľ to nie je nevhodné, a ak je to možné pred ich vyložením, na overenie zhody s informáciami uvedenými v odseku 3 vykonaním kontrol, a aby sa príslušným orgánom umožnilo zistiť povahu spracovaných odpadov.</w:t>
            </w:r>
          </w:p>
          <w:p w14:paraId="1513293C" w14:textId="77777777" w:rsidR="000C6209" w:rsidRPr="008819AF" w:rsidRDefault="000C6209" w:rsidP="0021052F">
            <w:pPr>
              <w:ind w:left="215" w:hanging="1"/>
              <w:rPr>
                <w:rFonts w:eastAsia="Arial"/>
              </w:rPr>
            </w:pPr>
            <w:r w:rsidRPr="008819AF">
              <w:rPr>
                <w:rFonts w:eastAsia="Arial"/>
              </w:rPr>
              <w:t>Vzorky uvedené v písmene b) sa musia uchovať aspoň jeden mesiac po spálení alebo spoluspálení príslušných odpadov.</w:t>
            </w:r>
          </w:p>
          <w:p w14:paraId="1513293D" w14:textId="77777777" w:rsidR="000C6209" w:rsidRPr="008819AF" w:rsidRDefault="000C6209" w:rsidP="0021052F">
            <w:pPr>
              <w:ind w:left="215" w:hanging="215"/>
              <w:rPr>
                <w:rFonts w:eastAsia="Arial"/>
              </w:rPr>
            </w:pPr>
            <w:r w:rsidRPr="008819AF">
              <w:rPr>
                <w:rFonts w:eastAsia="Arial"/>
              </w:rPr>
              <w:t>5. Príslušný orgán môže udeľovať výnimky z odsekov 2, 3 a 4 spaľovniam odpadov alebo zariadeniam na spoluspaľovanie odpadov, ktoré sú súčasťou zariadenia, na ktoré sa vzťahuje kapitola II, a spaľujú alebo spoluspaľujú len odpady, ktoré vznikli v danom zariadení.</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93E" w14:textId="77777777" w:rsidR="000C6209" w:rsidRPr="008819AF" w:rsidRDefault="000C6209"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93F" w14:textId="77777777" w:rsidR="000C6209" w:rsidRPr="008819AF" w:rsidRDefault="000C6209"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940" w14:textId="77777777" w:rsidR="000C6209" w:rsidRPr="008819AF" w:rsidRDefault="000C6209" w:rsidP="00346040">
            <w:pPr>
              <w:pStyle w:val="BodyText21"/>
              <w:spacing w:before="0"/>
              <w:ind w:left="2" w:hanging="2"/>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941" w14:textId="77777777" w:rsidR="000C6209" w:rsidRPr="008819AF" w:rsidRDefault="000C6209" w:rsidP="0021052F">
            <w:pPr>
              <w:pStyle w:val="Zkladntext20"/>
              <w:spacing w:before="0" w:after="0"/>
              <w:ind w:left="72"/>
              <w:jc w:val="left"/>
              <w:rPr>
                <w:rFonts w:eastAsia="Arial"/>
                <w:b/>
                <w:bCs/>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15132942" w14:textId="77777777" w:rsidR="000C6209" w:rsidRPr="008819AF" w:rsidRDefault="000C6209"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943" w14:textId="77777777" w:rsidR="000C6209" w:rsidRPr="008819AF" w:rsidRDefault="000C6209" w:rsidP="0021052F">
            <w:pPr>
              <w:ind w:left="215" w:hanging="215"/>
              <w:rPr>
                <w:rFonts w:eastAsia="Arial"/>
                <w:lang w:bidi="cs-CZ"/>
              </w:rPr>
            </w:pPr>
          </w:p>
        </w:tc>
      </w:tr>
      <w:tr w:rsidR="000C6209" w:rsidRPr="008819AF" w14:paraId="1513298C" w14:textId="77777777" w:rsidTr="003E351D">
        <w:trPr>
          <w:trHeight w:val="332"/>
          <w:jc w:val="center"/>
        </w:trPr>
        <w:tc>
          <w:tcPr>
            <w:tcW w:w="483" w:type="dxa"/>
            <w:tcBorders>
              <w:top w:val="single" w:sz="4" w:space="0" w:color="000000"/>
              <w:left w:val="single" w:sz="6" w:space="0" w:color="000000"/>
              <w:bottom w:val="single" w:sz="4" w:space="0" w:color="000000"/>
              <w:right w:val="single" w:sz="6" w:space="0" w:color="000000"/>
            </w:tcBorders>
          </w:tcPr>
          <w:p w14:paraId="15132945" w14:textId="77777777" w:rsidR="000C6209" w:rsidRPr="008819AF" w:rsidRDefault="000C6209" w:rsidP="003E351D">
            <w:pPr>
              <w:ind w:right="-70"/>
              <w:rPr>
                <w:rFonts w:eastAsia="Arial"/>
                <w:lang w:bidi="cs-CZ"/>
              </w:rPr>
            </w:pPr>
            <w:r w:rsidRPr="008819AF">
              <w:rPr>
                <w:rFonts w:eastAsia="Arial"/>
                <w:lang w:bidi="cs-CZ"/>
              </w:rPr>
              <w:t>Č:53</w:t>
            </w:r>
          </w:p>
        </w:tc>
        <w:tc>
          <w:tcPr>
            <w:tcW w:w="6227" w:type="dxa"/>
            <w:gridSpan w:val="2"/>
            <w:tcBorders>
              <w:top w:val="single" w:sz="4" w:space="0" w:color="000000"/>
              <w:left w:val="single" w:sz="6" w:space="0" w:color="000000"/>
              <w:bottom w:val="single" w:sz="4" w:space="0" w:color="000000"/>
              <w:right w:val="single" w:sz="6" w:space="0" w:color="000000"/>
            </w:tcBorders>
          </w:tcPr>
          <w:p w14:paraId="15132946" w14:textId="77777777" w:rsidR="000C6209" w:rsidRPr="008819AF" w:rsidRDefault="000C6209" w:rsidP="0021052F">
            <w:pPr>
              <w:ind w:left="215" w:hanging="215"/>
              <w:rPr>
                <w:rFonts w:eastAsia="Arial"/>
              </w:rPr>
            </w:pPr>
            <w:r w:rsidRPr="008819AF">
              <w:rPr>
                <w:rFonts w:eastAsia="Arial"/>
              </w:rPr>
              <w:t>Článok 53</w:t>
            </w:r>
          </w:p>
          <w:p w14:paraId="15132947" w14:textId="77777777" w:rsidR="000C6209" w:rsidRPr="008819AF" w:rsidRDefault="000C6209" w:rsidP="0021052F">
            <w:pPr>
              <w:ind w:left="215" w:hanging="215"/>
              <w:rPr>
                <w:rFonts w:eastAsia="Arial"/>
              </w:rPr>
            </w:pPr>
            <w:r w:rsidRPr="008819AF">
              <w:rPr>
                <w:rFonts w:eastAsia="Arial"/>
              </w:rPr>
              <w:t>Zvyšky</w:t>
            </w:r>
          </w:p>
          <w:p w14:paraId="15132948" w14:textId="77777777" w:rsidR="000C6209" w:rsidRPr="008819AF" w:rsidRDefault="000C6209" w:rsidP="0021052F">
            <w:pPr>
              <w:ind w:left="215" w:hanging="215"/>
              <w:rPr>
                <w:rFonts w:eastAsia="Arial"/>
              </w:rPr>
            </w:pPr>
            <w:r w:rsidRPr="008819AF">
              <w:rPr>
                <w:rFonts w:eastAsia="Arial"/>
              </w:rPr>
              <w:t>1. Množstvo zvyškov a ich škodlivosť sa musí minimalizovať. Zvyšky sa musia podľa možnosti recyklovať priamo v zariadení alebo mimo neho.</w:t>
            </w:r>
          </w:p>
          <w:p w14:paraId="15132949" w14:textId="77777777" w:rsidR="000C6209" w:rsidRPr="008819AF" w:rsidRDefault="000C6209" w:rsidP="0021052F">
            <w:pPr>
              <w:ind w:left="215" w:hanging="215"/>
              <w:rPr>
                <w:rFonts w:eastAsia="Arial"/>
              </w:rPr>
            </w:pPr>
          </w:p>
          <w:p w14:paraId="1513294A" w14:textId="77777777" w:rsidR="000C6209" w:rsidRPr="008819AF" w:rsidRDefault="000C6209" w:rsidP="0021052F">
            <w:pPr>
              <w:ind w:left="215" w:hanging="215"/>
              <w:rPr>
                <w:rFonts w:eastAsia="Arial"/>
              </w:rPr>
            </w:pPr>
            <w:r w:rsidRPr="008819AF">
              <w:rPr>
                <w:rFonts w:eastAsia="Arial"/>
              </w:rPr>
              <w:t>2. Preprava a dočasné skladovanie suchých zvyškov vo forme prachu sa musí vykonávať takým spôsobom, aby sa zabránilo rozptylu daných zvyškov do životného prostredia.</w:t>
            </w:r>
          </w:p>
          <w:p w14:paraId="1513294B" w14:textId="77777777" w:rsidR="000C6209" w:rsidRPr="008819AF" w:rsidRDefault="000C6209" w:rsidP="0021052F">
            <w:pPr>
              <w:ind w:left="215" w:hanging="215"/>
              <w:rPr>
                <w:rFonts w:eastAsia="Arial"/>
              </w:rPr>
            </w:pPr>
          </w:p>
          <w:p w14:paraId="1513294C" w14:textId="77777777" w:rsidR="000C6209" w:rsidRPr="008819AF" w:rsidRDefault="000C6209" w:rsidP="0021052F">
            <w:pPr>
              <w:ind w:left="215" w:hanging="215"/>
              <w:rPr>
                <w:rFonts w:eastAsia="Arial"/>
              </w:rPr>
            </w:pPr>
          </w:p>
          <w:p w14:paraId="1513294D" w14:textId="77777777" w:rsidR="000C6209" w:rsidRPr="008819AF" w:rsidRDefault="000C6209" w:rsidP="0021052F">
            <w:pPr>
              <w:rPr>
                <w:rFonts w:eastAsia="Arial"/>
              </w:rPr>
            </w:pPr>
            <w:r w:rsidRPr="008819AF">
              <w:rPr>
                <w:rFonts w:eastAsia="Arial"/>
              </w:rPr>
              <w:t>3. Predtým, ako sa určia spôsoby zneškodnenia alebo recyklácie zvyškov, sa musia vykonať vhodné skúšky, ktorými sa zistia fyzikálne a chemické charakteristiky a potenciál zvyškov znečisťovať. Tieto skúšky sa týkajú celkovej rozpustnej frakcie a rozpustnej frakcie ťažkých kovov.</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94E" w14:textId="77777777" w:rsidR="00FA4AE4" w:rsidRPr="008819AF" w:rsidRDefault="00FA4AE4" w:rsidP="0021052F">
            <w:pPr>
              <w:ind w:left="215" w:hanging="215"/>
              <w:jc w:val="center"/>
              <w:rPr>
                <w:rFonts w:eastAsia="Arial"/>
                <w:lang w:bidi="cs-CZ"/>
              </w:rPr>
            </w:pPr>
          </w:p>
          <w:p w14:paraId="1513294F" w14:textId="77777777" w:rsidR="000C6209" w:rsidRPr="008819AF" w:rsidRDefault="00A6127B" w:rsidP="0021052F">
            <w:pPr>
              <w:ind w:left="215" w:hanging="215"/>
              <w:jc w:val="center"/>
              <w:rPr>
                <w:rFonts w:eastAsia="Arial"/>
                <w:lang w:bidi="cs-CZ"/>
              </w:rPr>
            </w:pPr>
            <w:r w:rsidRPr="008819AF">
              <w:rPr>
                <w:rFonts w:eastAsia="Arial"/>
                <w:lang w:bidi="cs-CZ"/>
              </w:rPr>
              <w:t>N</w:t>
            </w:r>
          </w:p>
          <w:p w14:paraId="15132950" w14:textId="77777777" w:rsidR="000C6209" w:rsidRPr="008819AF" w:rsidRDefault="000C6209" w:rsidP="0021052F">
            <w:pPr>
              <w:ind w:left="215" w:hanging="215"/>
              <w:jc w:val="center"/>
              <w:rPr>
                <w:rFonts w:eastAsia="Arial"/>
                <w:lang w:bidi="cs-CZ"/>
              </w:rPr>
            </w:pPr>
          </w:p>
          <w:p w14:paraId="15132951" w14:textId="77777777" w:rsidR="000C6209" w:rsidRPr="008819AF" w:rsidRDefault="000C6209" w:rsidP="0021052F">
            <w:pPr>
              <w:ind w:left="215" w:hanging="215"/>
              <w:jc w:val="center"/>
              <w:rPr>
                <w:rFonts w:eastAsia="Arial"/>
                <w:lang w:bidi="cs-CZ"/>
              </w:rPr>
            </w:pPr>
          </w:p>
          <w:p w14:paraId="15132952" w14:textId="77777777" w:rsidR="000C6209" w:rsidRPr="008819AF" w:rsidRDefault="000C6209" w:rsidP="0021052F">
            <w:pPr>
              <w:ind w:left="215" w:hanging="215"/>
              <w:jc w:val="center"/>
              <w:rPr>
                <w:rFonts w:eastAsia="Arial"/>
                <w:lang w:bidi="cs-CZ"/>
              </w:rPr>
            </w:pPr>
          </w:p>
          <w:p w14:paraId="15132953" w14:textId="77777777" w:rsidR="000C6209" w:rsidRPr="008819AF" w:rsidRDefault="000C6209" w:rsidP="0021052F">
            <w:pPr>
              <w:ind w:left="215" w:hanging="215"/>
              <w:jc w:val="center"/>
              <w:rPr>
                <w:rFonts w:eastAsia="Arial"/>
                <w:lang w:bidi="cs-CZ"/>
              </w:rPr>
            </w:pPr>
          </w:p>
          <w:p w14:paraId="15132954" w14:textId="77777777" w:rsidR="000C6209" w:rsidRPr="008819AF" w:rsidRDefault="000C6209" w:rsidP="0021052F">
            <w:pPr>
              <w:ind w:left="215" w:hanging="215"/>
              <w:jc w:val="center"/>
              <w:rPr>
                <w:rFonts w:eastAsia="Arial"/>
                <w:lang w:bidi="cs-CZ"/>
              </w:rPr>
            </w:pPr>
          </w:p>
          <w:p w14:paraId="15132955" w14:textId="77777777" w:rsidR="000C6209" w:rsidRPr="008819AF" w:rsidRDefault="000C6209" w:rsidP="0021052F">
            <w:pPr>
              <w:ind w:left="215" w:hanging="215"/>
              <w:jc w:val="center"/>
              <w:rPr>
                <w:rFonts w:eastAsia="Arial"/>
                <w:lang w:bidi="cs-CZ"/>
              </w:rPr>
            </w:pPr>
          </w:p>
          <w:p w14:paraId="15132956" w14:textId="77777777" w:rsidR="000C6209" w:rsidRPr="008819AF" w:rsidRDefault="000C6209" w:rsidP="0021052F">
            <w:pPr>
              <w:ind w:left="215" w:hanging="215"/>
              <w:jc w:val="center"/>
              <w:rPr>
                <w:rFonts w:eastAsia="Arial"/>
                <w:lang w:bidi="cs-CZ"/>
              </w:rPr>
            </w:pPr>
          </w:p>
          <w:p w14:paraId="15132957" w14:textId="77777777" w:rsidR="000C6209" w:rsidRPr="008819AF" w:rsidRDefault="000C6209" w:rsidP="0021052F">
            <w:pPr>
              <w:ind w:left="215" w:hanging="215"/>
              <w:jc w:val="center"/>
              <w:rPr>
                <w:rFonts w:eastAsia="Arial"/>
                <w:lang w:bidi="cs-CZ"/>
              </w:rPr>
            </w:pPr>
          </w:p>
          <w:p w14:paraId="15132958" w14:textId="77777777" w:rsidR="000C6209" w:rsidRPr="008819AF" w:rsidRDefault="000C6209" w:rsidP="0021052F">
            <w:pPr>
              <w:ind w:left="215" w:hanging="215"/>
              <w:jc w:val="center"/>
              <w:rPr>
                <w:rFonts w:eastAsia="Arial"/>
                <w:lang w:bidi="cs-CZ"/>
              </w:rPr>
            </w:pPr>
          </w:p>
          <w:p w14:paraId="15132959" w14:textId="77777777" w:rsidR="000C6209" w:rsidRPr="008819AF" w:rsidRDefault="000C6209" w:rsidP="0021052F">
            <w:pPr>
              <w:ind w:left="215" w:hanging="215"/>
              <w:jc w:val="center"/>
              <w:rPr>
                <w:rFonts w:eastAsia="Arial"/>
                <w:lang w:bidi="cs-CZ"/>
              </w:rPr>
            </w:pPr>
          </w:p>
          <w:p w14:paraId="1513295A" w14:textId="77777777" w:rsidR="000C6209" w:rsidRPr="008819AF" w:rsidRDefault="000C6209" w:rsidP="0021052F">
            <w:pPr>
              <w:ind w:left="215" w:hanging="215"/>
              <w:jc w:val="center"/>
              <w:rPr>
                <w:rFonts w:eastAsia="Arial"/>
                <w:lang w:bidi="cs-CZ"/>
              </w:rPr>
            </w:pPr>
          </w:p>
          <w:p w14:paraId="1513295B" w14:textId="77777777" w:rsidR="000C6209" w:rsidRPr="008819AF" w:rsidRDefault="000C6209" w:rsidP="0021052F">
            <w:pPr>
              <w:ind w:left="215" w:hanging="215"/>
              <w:jc w:val="center"/>
              <w:rPr>
                <w:rFonts w:eastAsia="Arial"/>
                <w:lang w:bidi="cs-CZ"/>
              </w:rPr>
            </w:pPr>
          </w:p>
          <w:p w14:paraId="1513295C" w14:textId="77777777" w:rsidR="000C6209" w:rsidRPr="008819AF" w:rsidRDefault="000C6209" w:rsidP="0021052F">
            <w:pPr>
              <w:ind w:left="215" w:hanging="215"/>
              <w:jc w:val="center"/>
              <w:rPr>
                <w:rFonts w:eastAsia="Arial"/>
                <w:lang w:bidi="cs-CZ"/>
              </w:rPr>
            </w:pPr>
          </w:p>
          <w:p w14:paraId="1513295D" w14:textId="77777777" w:rsidR="000C6209" w:rsidRPr="008819AF" w:rsidRDefault="000C6209" w:rsidP="0021052F">
            <w:pPr>
              <w:ind w:left="215" w:hanging="215"/>
              <w:jc w:val="center"/>
              <w:rPr>
                <w:rFonts w:eastAsia="Arial"/>
                <w:lang w:bidi="cs-CZ"/>
              </w:rPr>
            </w:pPr>
          </w:p>
          <w:p w14:paraId="1513295E" w14:textId="77777777" w:rsidR="000C6209" w:rsidRPr="008819AF" w:rsidRDefault="000C6209" w:rsidP="0021052F">
            <w:pPr>
              <w:ind w:left="215" w:hanging="215"/>
              <w:jc w:val="center"/>
              <w:rPr>
                <w:rFonts w:eastAsia="Arial"/>
                <w:lang w:bidi="cs-CZ"/>
              </w:rPr>
            </w:pPr>
          </w:p>
          <w:p w14:paraId="1513295F" w14:textId="77777777" w:rsidR="000C6209" w:rsidRPr="008819AF" w:rsidRDefault="000C6209"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960" w14:textId="77777777" w:rsidR="00FA4AE4" w:rsidRPr="008819AF" w:rsidRDefault="00FA4AE4" w:rsidP="0021052F">
            <w:pPr>
              <w:jc w:val="center"/>
              <w:rPr>
                <w:rFonts w:eastAsia="Arial"/>
                <w:lang w:bidi="cs-CZ"/>
              </w:rPr>
            </w:pPr>
          </w:p>
          <w:p w14:paraId="15132961" w14:textId="77777777" w:rsidR="000C6209" w:rsidRPr="008819AF" w:rsidRDefault="000C6209" w:rsidP="0021052F">
            <w:pPr>
              <w:jc w:val="center"/>
              <w:rPr>
                <w:rFonts w:eastAsia="Arial"/>
                <w:lang w:bidi="cs-CZ"/>
              </w:rPr>
            </w:pPr>
            <w:r w:rsidRPr="008819AF">
              <w:rPr>
                <w:rFonts w:eastAsia="Arial"/>
                <w:lang w:bidi="cs-CZ"/>
              </w:rPr>
              <w:t>NV2</w:t>
            </w:r>
          </w:p>
          <w:p w14:paraId="15132962" w14:textId="77777777" w:rsidR="000C6209" w:rsidRPr="008819AF" w:rsidRDefault="000C6209" w:rsidP="0021052F">
            <w:pPr>
              <w:ind w:left="215" w:hanging="215"/>
              <w:jc w:val="center"/>
              <w:rPr>
                <w:rFonts w:eastAsia="Arial"/>
                <w:lang w:bidi="cs-CZ"/>
              </w:rPr>
            </w:pPr>
          </w:p>
          <w:p w14:paraId="15132963" w14:textId="77777777" w:rsidR="000C6209" w:rsidRPr="008819AF" w:rsidRDefault="000C6209" w:rsidP="0021052F">
            <w:pPr>
              <w:ind w:left="215" w:hanging="215"/>
              <w:jc w:val="center"/>
              <w:rPr>
                <w:rFonts w:eastAsia="Arial"/>
                <w:lang w:bidi="cs-CZ"/>
              </w:rPr>
            </w:pPr>
          </w:p>
          <w:p w14:paraId="15132964" w14:textId="77777777" w:rsidR="000C6209" w:rsidRPr="008819AF" w:rsidRDefault="000C6209" w:rsidP="0021052F">
            <w:pPr>
              <w:ind w:left="215" w:hanging="215"/>
              <w:jc w:val="center"/>
              <w:rPr>
                <w:rFonts w:eastAsia="Arial"/>
                <w:lang w:bidi="cs-CZ"/>
              </w:rPr>
            </w:pPr>
          </w:p>
          <w:p w14:paraId="15132965" w14:textId="77777777" w:rsidR="000C6209" w:rsidRPr="008819AF" w:rsidRDefault="000C6209" w:rsidP="0021052F">
            <w:pPr>
              <w:ind w:left="215" w:hanging="215"/>
              <w:jc w:val="center"/>
              <w:rPr>
                <w:rFonts w:eastAsia="Arial"/>
                <w:lang w:bidi="cs-CZ"/>
              </w:rPr>
            </w:pPr>
          </w:p>
          <w:p w14:paraId="15132966" w14:textId="77777777" w:rsidR="000C6209" w:rsidRPr="008819AF" w:rsidRDefault="000C6209" w:rsidP="0021052F">
            <w:pPr>
              <w:ind w:left="215" w:hanging="215"/>
              <w:jc w:val="center"/>
              <w:rPr>
                <w:rFonts w:eastAsia="Arial"/>
                <w:lang w:bidi="cs-CZ"/>
              </w:rPr>
            </w:pPr>
          </w:p>
          <w:p w14:paraId="15132967" w14:textId="77777777" w:rsidR="000C6209" w:rsidRPr="008819AF" w:rsidRDefault="000C6209" w:rsidP="0021052F">
            <w:pPr>
              <w:ind w:left="215" w:hanging="215"/>
              <w:jc w:val="center"/>
              <w:rPr>
                <w:rFonts w:eastAsia="Arial"/>
                <w:lang w:bidi="cs-CZ"/>
              </w:rPr>
            </w:pPr>
          </w:p>
          <w:p w14:paraId="15132968" w14:textId="77777777" w:rsidR="000C6209" w:rsidRPr="008819AF" w:rsidRDefault="000C6209" w:rsidP="0021052F">
            <w:pPr>
              <w:ind w:left="215" w:hanging="215"/>
              <w:jc w:val="center"/>
              <w:rPr>
                <w:rFonts w:eastAsia="Arial"/>
                <w:lang w:bidi="cs-CZ"/>
              </w:rPr>
            </w:pPr>
          </w:p>
          <w:p w14:paraId="15132969" w14:textId="77777777" w:rsidR="000C6209" w:rsidRPr="008819AF" w:rsidRDefault="000C6209" w:rsidP="0021052F">
            <w:pPr>
              <w:ind w:left="215" w:hanging="215"/>
              <w:jc w:val="center"/>
              <w:rPr>
                <w:rFonts w:eastAsia="Arial"/>
                <w:lang w:bidi="cs-CZ"/>
              </w:rPr>
            </w:pPr>
          </w:p>
          <w:p w14:paraId="1513296A" w14:textId="77777777" w:rsidR="000C6209" w:rsidRPr="008819AF" w:rsidRDefault="000C6209" w:rsidP="0021052F">
            <w:pPr>
              <w:ind w:left="215" w:hanging="215"/>
              <w:jc w:val="center"/>
              <w:rPr>
                <w:rFonts w:eastAsia="Arial"/>
                <w:lang w:bidi="cs-CZ"/>
              </w:rPr>
            </w:pPr>
          </w:p>
          <w:p w14:paraId="1513296B" w14:textId="77777777" w:rsidR="000C6209" w:rsidRPr="008819AF" w:rsidRDefault="000C6209" w:rsidP="0021052F">
            <w:pPr>
              <w:ind w:left="215" w:hanging="215"/>
              <w:jc w:val="center"/>
              <w:rPr>
                <w:rFonts w:eastAsia="Arial"/>
                <w:lang w:bidi="cs-CZ"/>
              </w:rPr>
            </w:pPr>
          </w:p>
          <w:p w14:paraId="1513296C" w14:textId="77777777" w:rsidR="000C6209" w:rsidRPr="008819AF" w:rsidRDefault="000C6209" w:rsidP="0021052F">
            <w:pPr>
              <w:ind w:left="215" w:hanging="215"/>
              <w:jc w:val="center"/>
              <w:rPr>
                <w:rFonts w:eastAsia="Arial"/>
                <w:lang w:bidi="cs-CZ"/>
              </w:rPr>
            </w:pPr>
          </w:p>
          <w:p w14:paraId="1513296D" w14:textId="77777777" w:rsidR="000C6209" w:rsidRPr="008819AF" w:rsidRDefault="000C6209" w:rsidP="0021052F">
            <w:pPr>
              <w:ind w:left="215" w:hanging="215"/>
              <w:jc w:val="center"/>
              <w:rPr>
                <w:rFonts w:eastAsia="Arial"/>
                <w:lang w:bidi="cs-CZ"/>
              </w:rPr>
            </w:pPr>
          </w:p>
          <w:p w14:paraId="1513296E" w14:textId="77777777" w:rsidR="000C6209" w:rsidRPr="008819AF" w:rsidRDefault="000C6209" w:rsidP="0021052F">
            <w:pPr>
              <w:ind w:left="215" w:hanging="215"/>
              <w:jc w:val="center"/>
              <w:rPr>
                <w:rFonts w:eastAsia="Arial"/>
                <w:lang w:bidi="cs-CZ"/>
              </w:rPr>
            </w:pPr>
          </w:p>
          <w:p w14:paraId="1513296F" w14:textId="77777777" w:rsidR="000C6209" w:rsidRPr="008819AF" w:rsidRDefault="000C6209" w:rsidP="0021052F">
            <w:pPr>
              <w:ind w:left="215" w:hanging="215"/>
              <w:jc w:val="center"/>
              <w:rPr>
                <w:rFonts w:eastAsia="Arial"/>
                <w:lang w:bidi="cs-CZ"/>
              </w:rPr>
            </w:pPr>
          </w:p>
          <w:p w14:paraId="15132970" w14:textId="77777777" w:rsidR="000C6209" w:rsidRPr="008819AF" w:rsidRDefault="000C620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971" w14:textId="77777777" w:rsidR="00FA4AE4" w:rsidRPr="008819AF" w:rsidRDefault="00FA4AE4" w:rsidP="00FA4AE4">
            <w:pPr>
              <w:jc w:val="center"/>
            </w:pPr>
          </w:p>
          <w:p w14:paraId="15132972" w14:textId="77777777" w:rsidR="00FA4AE4" w:rsidRPr="008819AF" w:rsidRDefault="00FA4AE4" w:rsidP="00FA4AE4">
            <w:pPr>
              <w:jc w:val="center"/>
            </w:pPr>
            <w:r w:rsidRPr="008819AF">
              <w:t>Pr.5</w:t>
            </w:r>
          </w:p>
          <w:p w14:paraId="15132973" w14:textId="77777777" w:rsidR="00FA4AE4" w:rsidRPr="008819AF" w:rsidRDefault="00FA4AE4" w:rsidP="00FA4AE4">
            <w:pPr>
              <w:jc w:val="center"/>
            </w:pPr>
            <w:r w:rsidRPr="008819AF">
              <w:t>Časť II.</w:t>
            </w:r>
          </w:p>
          <w:p w14:paraId="15132974" w14:textId="77777777" w:rsidR="000C6209" w:rsidRPr="008819AF" w:rsidRDefault="00FA4AE4" w:rsidP="00FA4AE4">
            <w:pPr>
              <w:pStyle w:val="BodyText21"/>
              <w:spacing w:before="0"/>
              <w:jc w:val="center"/>
              <w:rPr>
                <w:rFonts w:ascii="Times New Roman" w:hAnsi="Times New Roman" w:cs="Times New Roman"/>
              </w:rPr>
            </w:pPr>
            <w:r w:rsidRPr="008819AF">
              <w:rPr>
                <w:rFonts w:ascii="Times New Roman" w:hAnsi="Times New Roman" w:cs="Times New Roman"/>
              </w:rPr>
              <w:t>Bod10</w:t>
            </w:r>
          </w:p>
          <w:p w14:paraId="15132975" w14:textId="77777777" w:rsidR="000C6209" w:rsidRPr="008819AF" w:rsidRDefault="000C6209" w:rsidP="0021052F">
            <w:pPr>
              <w:pStyle w:val="BodyText21"/>
              <w:spacing w:before="0"/>
              <w:jc w:val="center"/>
              <w:rPr>
                <w:rFonts w:ascii="Times New Roman" w:hAnsi="Times New Roman" w:cs="Times New Roman"/>
              </w:rPr>
            </w:pPr>
          </w:p>
          <w:p w14:paraId="15132976" w14:textId="77777777" w:rsidR="000C6209" w:rsidRPr="008819AF" w:rsidRDefault="000C6209" w:rsidP="0021052F">
            <w:pPr>
              <w:pStyle w:val="BodyText21"/>
              <w:spacing w:before="0"/>
              <w:jc w:val="center"/>
              <w:rPr>
                <w:rFonts w:ascii="Times New Roman" w:hAnsi="Times New Roman" w:cs="Times New Roman"/>
              </w:rPr>
            </w:pPr>
          </w:p>
          <w:p w14:paraId="15132977" w14:textId="77777777" w:rsidR="000C6209" w:rsidRPr="008819AF" w:rsidRDefault="000C6209" w:rsidP="0021052F">
            <w:pPr>
              <w:pStyle w:val="BodyText21"/>
              <w:spacing w:before="0"/>
              <w:jc w:val="center"/>
              <w:rPr>
                <w:rFonts w:ascii="Times New Roman" w:hAnsi="Times New Roman" w:cs="Times New Roman"/>
              </w:rPr>
            </w:pPr>
          </w:p>
          <w:p w14:paraId="15132978" w14:textId="77777777" w:rsidR="000C6209" w:rsidRPr="008819AF" w:rsidRDefault="000C6209" w:rsidP="0021052F">
            <w:pPr>
              <w:pStyle w:val="BodyText21"/>
              <w:spacing w:before="0"/>
              <w:jc w:val="center"/>
              <w:rPr>
                <w:rFonts w:ascii="Times New Roman" w:hAnsi="Times New Roman" w:cs="Times New Roman"/>
              </w:rPr>
            </w:pPr>
          </w:p>
          <w:p w14:paraId="15132979" w14:textId="77777777" w:rsidR="000C6209" w:rsidRPr="008819AF" w:rsidRDefault="000C6209" w:rsidP="0021052F">
            <w:pPr>
              <w:pStyle w:val="BodyText21"/>
              <w:spacing w:before="0"/>
              <w:jc w:val="center"/>
              <w:rPr>
                <w:rFonts w:ascii="Times New Roman" w:hAnsi="Times New Roman" w:cs="Times New Roman"/>
              </w:rPr>
            </w:pPr>
          </w:p>
          <w:p w14:paraId="1513297A" w14:textId="77777777" w:rsidR="000C6209" w:rsidRPr="008819AF" w:rsidRDefault="000C6209" w:rsidP="0021052F">
            <w:pPr>
              <w:pStyle w:val="BodyText21"/>
              <w:spacing w:before="0"/>
              <w:jc w:val="center"/>
              <w:rPr>
                <w:rFonts w:ascii="Times New Roman" w:hAnsi="Times New Roman" w:cs="Times New Roman"/>
              </w:rPr>
            </w:pPr>
          </w:p>
          <w:p w14:paraId="1513297B" w14:textId="77777777" w:rsidR="000C6209" w:rsidRPr="008819AF" w:rsidRDefault="000C6209" w:rsidP="0021052F">
            <w:pPr>
              <w:pStyle w:val="BodyText21"/>
              <w:spacing w:before="0"/>
              <w:jc w:val="center"/>
              <w:rPr>
                <w:rFonts w:ascii="Times New Roman" w:hAnsi="Times New Roman" w:cs="Times New Roman"/>
              </w:rPr>
            </w:pPr>
          </w:p>
          <w:p w14:paraId="1513297C" w14:textId="77777777" w:rsidR="000C6209" w:rsidRPr="008819AF" w:rsidRDefault="000C6209" w:rsidP="0021052F">
            <w:pPr>
              <w:pStyle w:val="BodyText21"/>
              <w:spacing w:before="0"/>
              <w:jc w:val="center"/>
              <w:rPr>
                <w:rFonts w:ascii="Times New Roman" w:hAnsi="Times New Roman" w:cs="Times New Roman"/>
              </w:rPr>
            </w:pPr>
          </w:p>
          <w:p w14:paraId="1513297D" w14:textId="77777777" w:rsidR="000C6209" w:rsidRPr="008819AF" w:rsidRDefault="000C6209" w:rsidP="0021052F">
            <w:pPr>
              <w:pStyle w:val="BodyText21"/>
              <w:spacing w:before="0"/>
              <w:jc w:val="center"/>
              <w:rPr>
                <w:rFonts w:ascii="Times New Roman" w:hAnsi="Times New Roman" w:cs="Times New Roman"/>
              </w:rPr>
            </w:pPr>
          </w:p>
          <w:p w14:paraId="1513297E" w14:textId="77777777" w:rsidR="000C6209" w:rsidRPr="008819AF" w:rsidRDefault="000C6209" w:rsidP="0021052F">
            <w:pPr>
              <w:pStyle w:val="BodyText21"/>
              <w:spacing w:before="0"/>
              <w:jc w:val="center"/>
              <w:rPr>
                <w:rFonts w:ascii="Times New Roman" w:hAnsi="Times New Roman" w:cs="Times New Roman"/>
              </w:rPr>
            </w:pPr>
          </w:p>
          <w:p w14:paraId="1513297F" w14:textId="77777777" w:rsidR="000C6209" w:rsidRPr="008819AF" w:rsidRDefault="000C6209" w:rsidP="0021052F">
            <w:pPr>
              <w:pStyle w:val="BodyText21"/>
              <w:spacing w:before="0"/>
              <w:jc w:val="center"/>
              <w:rPr>
                <w:rFonts w:ascii="Times New Roman" w:hAnsi="Times New Roman" w:cs="Times New Roman"/>
              </w:rPr>
            </w:pPr>
          </w:p>
          <w:p w14:paraId="15132980" w14:textId="77777777" w:rsidR="000C6209" w:rsidRPr="008819AF" w:rsidRDefault="000C6209" w:rsidP="0021052F">
            <w:pPr>
              <w:pStyle w:val="BodyText21"/>
              <w:spacing w:before="0"/>
              <w:jc w:val="center"/>
              <w:rPr>
                <w:rFonts w:ascii="Times New Roman" w:hAnsi="Times New Roman" w:cs="Times New Roman"/>
              </w:rPr>
            </w:pPr>
          </w:p>
          <w:p w14:paraId="15132981" w14:textId="77777777" w:rsidR="000C6209" w:rsidRPr="008819AF" w:rsidRDefault="000C6209" w:rsidP="0021052F">
            <w:pPr>
              <w:pStyle w:val="BodyText21"/>
              <w:spacing w:before="0"/>
              <w:jc w:val="center"/>
              <w:rPr>
                <w:rFonts w:ascii="Times New Roman" w:hAnsi="Times New Roman" w:cs="Times New Roman"/>
              </w:rPr>
            </w:pPr>
          </w:p>
          <w:p w14:paraId="15132982" w14:textId="77777777" w:rsidR="000C6209" w:rsidRPr="008819AF" w:rsidRDefault="000C6209" w:rsidP="00FA4AE4">
            <w:pPr>
              <w:pStyle w:val="BodyText21"/>
              <w:spacing w:before="0"/>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983" w14:textId="77777777" w:rsidR="00820F0D" w:rsidRPr="008819AF" w:rsidRDefault="00820F0D" w:rsidP="0021052F">
            <w:pPr>
              <w:pStyle w:val="Hlavika"/>
              <w:ind w:left="72" w:hanging="1"/>
              <w:rPr>
                <w:rFonts w:ascii="Times New Roman" w:hAnsi="Times New Roman" w:cs="Times New Roman"/>
              </w:rPr>
            </w:pPr>
          </w:p>
          <w:p w14:paraId="15132984" w14:textId="77777777" w:rsidR="00820F0D" w:rsidRPr="008819AF" w:rsidRDefault="00820F0D" w:rsidP="009C63CF">
            <w:pPr>
              <w:pStyle w:val="Zkladntext20"/>
              <w:keepNext w:val="0"/>
              <w:numPr>
                <w:ilvl w:val="0"/>
                <w:numId w:val="85"/>
              </w:numPr>
              <w:spacing w:before="0" w:after="0"/>
              <w:rPr>
                <w:sz w:val="20"/>
                <w:szCs w:val="20"/>
              </w:rPr>
            </w:pPr>
            <w:r w:rsidRPr="008819AF">
              <w:rPr>
                <w:sz w:val="20"/>
                <w:szCs w:val="20"/>
              </w:rPr>
              <w:t>Manipulácia  a nakladanie so zvyškami</w:t>
            </w:r>
          </w:p>
          <w:p w14:paraId="15132985" w14:textId="77777777" w:rsidR="00820F0D" w:rsidRPr="008819AF" w:rsidRDefault="00820F0D" w:rsidP="009C63CF">
            <w:pPr>
              <w:pStyle w:val="Zpat"/>
              <w:keepNext/>
              <w:numPr>
                <w:ilvl w:val="1"/>
                <w:numId w:val="85"/>
              </w:numPr>
              <w:tabs>
                <w:tab w:val="clear" w:pos="4536"/>
                <w:tab w:val="clear" w:pos="9072"/>
              </w:tabs>
              <w:ind w:left="164" w:hanging="164"/>
              <w:jc w:val="both"/>
              <w:rPr>
                <w:sz w:val="20"/>
                <w:szCs w:val="20"/>
              </w:rPr>
            </w:pPr>
            <w:r w:rsidRPr="008819AF">
              <w:rPr>
                <w:sz w:val="20"/>
                <w:szCs w:val="20"/>
              </w:rPr>
              <w:t>Pri prevádzke spaľovne odpadov alebo zariadenia na spoluspaľovanie odpadov treba predchádzať vzniku zvyškov alebo ich tvorbu podľa množstva a škodlivosti v čo najväčšom rozsahu obmedziť. Zvyšky sa musia podľa možnosti zhodnotiť priamo v zariadení na spaľovanie odpadov alebo mimo neho.</w:t>
            </w:r>
          </w:p>
          <w:p w14:paraId="15132986" w14:textId="77777777" w:rsidR="00820F0D" w:rsidRPr="008819AF" w:rsidRDefault="00820F0D" w:rsidP="009C63CF">
            <w:pPr>
              <w:pStyle w:val="Zpat"/>
              <w:keepNext/>
              <w:numPr>
                <w:ilvl w:val="1"/>
                <w:numId w:val="85"/>
              </w:numPr>
              <w:tabs>
                <w:tab w:val="clear" w:pos="4536"/>
                <w:tab w:val="clear" w:pos="9072"/>
              </w:tabs>
              <w:ind w:left="164" w:hanging="164"/>
              <w:jc w:val="both"/>
              <w:rPr>
                <w:sz w:val="20"/>
                <w:szCs w:val="20"/>
              </w:rPr>
            </w:pPr>
            <w:r w:rsidRPr="008819AF">
              <w:rPr>
                <w:sz w:val="20"/>
                <w:szCs w:val="20"/>
              </w:rPr>
              <w:t>Preprava, manipulácia a dočasné skladovanie prašných suchých zvyškov treba vykonávať takým spôsobom, aby sa zabránilo ich rozptýleniu  do životného prostredia.</w:t>
            </w:r>
          </w:p>
          <w:p w14:paraId="15132987" w14:textId="77777777" w:rsidR="00820F0D" w:rsidRPr="008819AF" w:rsidRDefault="00820F0D" w:rsidP="009C63CF">
            <w:pPr>
              <w:pStyle w:val="Zpat"/>
              <w:keepNext/>
              <w:numPr>
                <w:ilvl w:val="1"/>
                <w:numId w:val="85"/>
              </w:numPr>
              <w:tabs>
                <w:tab w:val="clear" w:pos="4536"/>
                <w:tab w:val="clear" w:pos="9072"/>
              </w:tabs>
              <w:ind w:left="164" w:hanging="164"/>
              <w:jc w:val="both"/>
              <w:rPr>
                <w:sz w:val="20"/>
                <w:szCs w:val="20"/>
              </w:rPr>
            </w:pPr>
            <w:r w:rsidRPr="008819AF">
              <w:rPr>
                <w:sz w:val="20"/>
                <w:szCs w:val="20"/>
              </w:rPr>
              <w:t>Pri zneškodňovaní alebo zužitkovaní zvyškov zo spaľovania odpadov alebo spoluspaľovania odpadov sa postupuje podľa osobitných predpisov.</w:t>
            </w:r>
            <w:r w:rsidR="00A6127B" w:rsidRPr="008819AF">
              <w:rPr>
                <w:sz w:val="20"/>
                <w:szCs w:val="20"/>
                <w:vertAlign w:val="superscript"/>
              </w:rPr>
              <w:t>27</w:t>
            </w:r>
            <w:r w:rsidRPr="008819AF">
              <w:rPr>
                <w:sz w:val="20"/>
                <w:szCs w:val="20"/>
              </w:rPr>
              <w:t>)</w:t>
            </w:r>
          </w:p>
          <w:p w14:paraId="15132988" w14:textId="77777777" w:rsidR="00820F0D" w:rsidRPr="008819AF" w:rsidRDefault="00A6127B" w:rsidP="0021052F">
            <w:pPr>
              <w:pStyle w:val="Hlavika"/>
              <w:ind w:left="72" w:hanging="1"/>
              <w:rPr>
                <w:rFonts w:ascii="Times New Roman" w:hAnsi="Times New Roman" w:cs="Times New Roman"/>
                <w:sz w:val="18"/>
                <w:szCs w:val="18"/>
              </w:rPr>
            </w:pPr>
            <w:r w:rsidRPr="008819AF">
              <w:rPr>
                <w:rFonts w:ascii="Times New Roman" w:hAnsi="Times New Roman" w:cs="Times New Roman"/>
                <w:sz w:val="18"/>
                <w:szCs w:val="18"/>
                <w:vertAlign w:val="superscript"/>
              </w:rPr>
              <w:t>27</w:t>
            </w:r>
            <w:r w:rsidRPr="008819AF">
              <w:rPr>
                <w:rFonts w:ascii="Times New Roman" w:hAnsi="Times New Roman" w:cs="Times New Roman"/>
                <w:sz w:val="18"/>
                <w:szCs w:val="18"/>
              </w:rPr>
              <w:t>) § 12 vyhlášky Ministerstva životného prostredia Slovenskej republiky č. 371/2015 Z. z., ktorou sa vykonávajú niektoré ustanovenia zákona o odpadoch</w:t>
            </w:r>
          </w:p>
          <w:p w14:paraId="15132989" w14:textId="77777777" w:rsidR="000C6209" w:rsidRPr="008819AF" w:rsidRDefault="000C6209" w:rsidP="0021052F">
            <w:pPr>
              <w:pStyle w:val="Zkladntext20"/>
              <w:spacing w:before="0"/>
              <w:jc w:val="left"/>
              <w:rPr>
                <w:rFonts w:eastAsia="Arial"/>
                <w:sz w:val="20"/>
                <w:szCs w:val="20"/>
                <w:lang w:bidi="cs-CZ"/>
              </w:rPr>
            </w:pPr>
          </w:p>
        </w:tc>
        <w:tc>
          <w:tcPr>
            <w:tcW w:w="429" w:type="dxa"/>
            <w:tcBorders>
              <w:top w:val="single" w:sz="4" w:space="0" w:color="000000"/>
              <w:left w:val="single" w:sz="6" w:space="0" w:color="000000"/>
              <w:bottom w:val="single" w:sz="4" w:space="0" w:color="000000"/>
              <w:right w:val="single" w:sz="6" w:space="0" w:color="000000"/>
            </w:tcBorders>
          </w:tcPr>
          <w:p w14:paraId="1513298A" w14:textId="77777777" w:rsidR="000C6209" w:rsidRPr="008819AF" w:rsidRDefault="000C6209"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98B" w14:textId="77777777" w:rsidR="000C6209" w:rsidRPr="008819AF" w:rsidRDefault="000C6209" w:rsidP="0021052F">
            <w:pPr>
              <w:ind w:left="215" w:hanging="215"/>
              <w:rPr>
                <w:rFonts w:eastAsia="Arial"/>
                <w:lang w:bidi="cs-CZ"/>
              </w:rPr>
            </w:pPr>
          </w:p>
        </w:tc>
      </w:tr>
      <w:tr w:rsidR="000C6209" w:rsidRPr="008819AF" w14:paraId="15132998" w14:textId="77777777" w:rsidTr="003E351D">
        <w:trPr>
          <w:trHeight w:val="976"/>
          <w:jc w:val="center"/>
        </w:trPr>
        <w:tc>
          <w:tcPr>
            <w:tcW w:w="483" w:type="dxa"/>
            <w:tcBorders>
              <w:top w:val="single" w:sz="4" w:space="0" w:color="000000"/>
              <w:left w:val="single" w:sz="6" w:space="0" w:color="000000"/>
              <w:bottom w:val="single" w:sz="4" w:space="0" w:color="000000"/>
              <w:right w:val="single" w:sz="6" w:space="0" w:color="000000"/>
            </w:tcBorders>
          </w:tcPr>
          <w:p w14:paraId="1513298D" w14:textId="77777777" w:rsidR="000C6209" w:rsidRPr="008819AF" w:rsidRDefault="000C6209" w:rsidP="003E351D">
            <w:pPr>
              <w:ind w:right="-70"/>
              <w:rPr>
                <w:rFonts w:eastAsia="Arial"/>
                <w:lang w:bidi="cs-CZ"/>
              </w:rPr>
            </w:pPr>
            <w:r w:rsidRPr="008819AF">
              <w:rPr>
                <w:rFonts w:eastAsia="Arial"/>
                <w:lang w:bidi="cs-CZ"/>
              </w:rPr>
              <w:t>Č:54</w:t>
            </w:r>
          </w:p>
        </w:tc>
        <w:tc>
          <w:tcPr>
            <w:tcW w:w="6227" w:type="dxa"/>
            <w:gridSpan w:val="2"/>
            <w:tcBorders>
              <w:top w:val="single" w:sz="4" w:space="0" w:color="000000"/>
              <w:left w:val="single" w:sz="6" w:space="0" w:color="000000"/>
              <w:bottom w:val="single" w:sz="4" w:space="0" w:color="000000"/>
              <w:right w:val="single" w:sz="6" w:space="0" w:color="000000"/>
            </w:tcBorders>
          </w:tcPr>
          <w:p w14:paraId="1513298E" w14:textId="77777777" w:rsidR="000C6209" w:rsidRPr="008819AF" w:rsidRDefault="000C6209" w:rsidP="0021052F">
            <w:pPr>
              <w:ind w:left="215" w:hanging="215"/>
              <w:rPr>
                <w:rFonts w:eastAsia="Arial"/>
              </w:rPr>
            </w:pPr>
            <w:r w:rsidRPr="008819AF">
              <w:rPr>
                <w:rFonts w:eastAsia="Arial"/>
              </w:rPr>
              <w:t>Článok 54</w:t>
            </w:r>
          </w:p>
          <w:p w14:paraId="1513298F" w14:textId="77777777" w:rsidR="000C6209" w:rsidRPr="008819AF" w:rsidRDefault="000C6209" w:rsidP="0021052F">
            <w:pPr>
              <w:ind w:left="215" w:hanging="215"/>
              <w:rPr>
                <w:rFonts w:eastAsia="Arial"/>
              </w:rPr>
            </w:pPr>
            <w:r w:rsidRPr="008819AF">
              <w:rPr>
                <w:rFonts w:eastAsia="Arial"/>
              </w:rPr>
              <w:t>Podstatná zmena</w:t>
            </w:r>
          </w:p>
          <w:p w14:paraId="15132990" w14:textId="77777777" w:rsidR="000C6209" w:rsidRPr="008819AF" w:rsidRDefault="000C6209" w:rsidP="0021052F">
            <w:pPr>
              <w:pStyle w:val="Zkladntext"/>
              <w:ind w:hanging="1"/>
              <w:jc w:val="left"/>
              <w:rPr>
                <w:rFonts w:ascii="Times New Roman" w:hAnsi="Times New Roman" w:cs="Times New Roman"/>
                <w:sz w:val="20"/>
                <w:szCs w:val="20"/>
                <w:lang w:bidi="sk-SK"/>
              </w:rPr>
            </w:pPr>
            <w:r w:rsidRPr="008819AF">
              <w:rPr>
                <w:rFonts w:ascii="Times New Roman" w:hAnsi="Times New Roman" w:cs="Times New Roman"/>
                <w:sz w:val="20"/>
                <w:szCs w:val="20"/>
                <w:lang w:bidi="sk-SK"/>
              </w:rPr>
              <w:t>Zmena činnosti zariadenia na spaľovanie odpadov alebo zariadenia na spoluspaľovanie odpadov v prevádzke, kde sa spracúva len odpad, ktorý nie je nebezpečný, na ktorú sa vzťahuje kapitola II a ktorá zahŕňa spaľovanie alebo spoluspaľovanie nebezpečných odpadov, sa považuje za podstatnú zmenu.</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991" w14:textId="77777777" w:rsidR="000C6209" w:rsidRPr="008819AF" w:rsidRDefault="00A6127B" w:rsidP="0021052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992" w14:textId="77777777" w:rsidR="000C6209" w:rsidRPr="008819AF" w:rsidRDefault="000C6209" w:rsidP="0021052F">
            <w:pPr>
              <w:jc w:val="center"/>
              <w:rPr>
                <w:rFonts w:eastAsia="Arial"/>
                <w:lang w:bidi="cs-CZ"/>
              </w:rPr>
            </w:pPr>
            <w:r w:rsidRPr="008819AF">
              <w:rPr>
                <w:rFonts w:eastAsia="Arial"/>
                <w:lang w:bidi="cs-CZ"/>
              </w:rPr>
              <w:t>NV2</w:t>
            </w:r>
          </w:p>
          <w:p w14:paraId="15132993" w14:textId="77777777" w:rsidR="000C6209" w:rsidRPr="008819AF" w:rsidRDefault="000C620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994" w14:textId="77777777" w:rsidR="000C6209" w:rsidRPr="008819AF" w:rsidRDefault="00A6127B" w:rsidP="0021052F">
            <w:pPr>
              <w:pStyle w:val="BodyText21"/>
              <w:spacing w:before="0"/>
              <w:jc w:val="center"/>
              <w:rPr>
                <w:rFonts w:ascii="Times New Roman" w:hAnsi="Times New Roman" w:cs="Times New Roman"/>
              </w:rPr>
            </w:pPr>
            <w:r w:rsidRPr="008819AF">
              <w:rPr>
                <w:rFonts w:ascii="Times New Roman" w:hAnsi="Times New Roman" w:cs="Times New Roman"/>
              </w:rPr>
              <w:t>§24</w:t>
            </w:r>
          </w:p>
        </w:tc>
        <w:tc>
          <w:tcPr>
            <w:tcW w:w="5664" w:type="dxa"/>
            <w:gridSpan w:val="5"/>
            <w:tcBorders>
              <w:top w:val="single" w:sz="4" w:space="0" w:color="000000"/>
              <w:left w:val="single" w:sz="6" w:space="0" w:color="000000"/>
              <w:bottom w:val="single" w:sz="4" w:space="0" w:color="000000"/>
              <w:right w:val="single" w:sz="6" w:space="0" w:color="000000"/>
            </w:tcBorders>
          </w:tcPr>
          <w:p w14:paraId="15132995" w14:textId="77777777" w:rsidR="000C6209" w:rsidRPr="008819AF" w:rsidRDefault="00A6127B" w:rsidP="00A6127B">
            <w:pPr>
              <w:spacing w:after="240"/>
              <w:ind w:left="-17" w:firstLine="17"/>
              <w:jc w:val="both"/>
              <w:rPr>
                <w:rFonts w:eastAsia="Arial"/>
              </w:rPr>
            </w:pPr>
            <w:r w:rsidRPr="008819AF">
              <w:rPr>
                <w:rFonts w:eastAsia="Calibri"/>
                <w:noProof/>
              </w:rPr>
              <w:t>Podstatnou zmenou sa rozumie tiež zámer spaľovať nebezpečný odpad v spaľovni odpadov alebo v zariadení na spoluspaľovanie odpadov, ak ide o zdroj, ktorý podlieha integrovanému povoľovaniu</w:t>
            </w:r>
            <w:r w:rsidR="00445A6C" w:rsidRPr="008819AF">
              <w:fldChar w:fldCharType="begin"/>
            </w:r>
            <w:r w:rsidR="00445A6C" w:rsidRPr="008819AF">
              <w:instrText xml:space="preserve"> NOTEREF _Ref98447821 \h  \* MERGEFORMAT </w:instrText>
            </w:r>
            <w:r w:rsidR="00445A6C" w:rsidRPr="008819AF">
              <w:fldChar w:fldCharType="separate"/>
            </w:r>
            <w:r w:rsidRPr="008819AF">
              <w:t>6</w:t>
            </w:r>
            <w:r w:rsidR="00445A6C" w:rsidRPr="008819AF">
              <w:fldChar w:fldCharType="end"/>
            </w:r>
            <w:r w:rsidRPr="008819AF">
              <w:t>),</w:t>
            </w:r>
            <w:r w:rsidRPr="008819AF">
              <w:rPr>
                <w:rFonts w:eastAsia="Calibri"/>
                <w:noProof/>
              </w:rPr>
              <w:t xml:space="preserve"> a ak sa tam doteraz nebezpečný odpad nespaľoval.</w:t>
            </w:r>
          </w:p>
        </w:tc>
        <w:tc>
          <w:tcPr>
            <w:tcW w:w="429" w:type="dxa"/>
            <w:tcBorders>
              <w:top w:val="single" w:sz="4" w:space="0" w:color="000000"/>
              <w:left w:val="single" w:sz="6" w:space="0" w:color="000000"/>
              <w:bottom w:val="single" w:sz="4" w:space="0" w:color="000000"/>
              <w:right w:val="single" w:sz="6" w:space="0" w:color="000000"/>
            </w:tcBorders>
          </w:tcPr>
          <w:p w14:paraId="15132996" w14:textId="77777777" w:rsidR="000C6209" w:rsidRPr="008819AF" w:rsidRDefault="000C6209" w:rsidP="0021052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997" w14:textId="77777777" w:rsidR="000C6209" w:rsidRPr="008819AF" w:rsidRDefault="000C6209" w:rsidP="0021052F">
            <w:pPr>
              <w:ind w:left="215" w:hanging="215"/>
              <w:rPr>
                <w:rFonts w:eastAsia="Arial"/>
                <w:lang w:bidi="cs-CZ"/>
              </w:rPr>
            </w:pPr>
          </w:p>
        </w:tc>
      </w:tr>
      <w:tr w:rsidR="000C6209" w:rsidRPr="008819AF" w14:paraId="15132A21" w14:textId="77777777" w:rsidTr="003E351D">
        <w:trPr>
          <w:trHeight w:val="823"/>
          <w:jc w:val="center"/>
        </w:trPr>
        <w:tc>
          <w:tcPr>
            <w:tcW w:w="483" w:type="dxa"/>
            <w:tcBorders>
              <w:top w:val="single" w:sz="4" w:space="0" w:color="000000"/>
              <w:left w:val="single" w:sz="6" w:space="0" w:color="000000"/>
              <w:bottom w:val="single" w:sz="4" w:space="0" w:color="000000"/>
              <w:right w:val="single" w:sz="6" w:space="0" w:color="000000"/>
            </w:tcBorders>
          </w:tcPr>
          <w:p w14:paraId="15132999" w14:textId="77777777" w:rsidR="000C6209" w:rsidRPr="008819AF" w:rsidRDefault="000C6209" w:rsidP="003E351D">
            <w:pPr>
              <w:ind w:right="-70"/>
              <w:rPr>
                <w:rFonts w:eastAsia="Arial"/>
                <w:lang w:bidi="cs-CZ"/>
              </w:rPr>
            </w:pPr>
            <w:r w:rsidRPr="008819AF">
              <w:rPr>
                <w:rFonts w:eastAsia="Arial"/>
                <w:lang w:bidi="cs-CZ"/>
              </w:rPr>
              <w:t>Č:55</w:t>
            </w:r>
          </w:p>
        </w:tc>
        <w:tc>
          <w:tcPr>
            <w:tcW w:w="6227" w:type="dxa"/>
            <w:gridSpan w:val="2"/>
            <w:tcBorders>
              <w:top w:val="single" w:sz="4" w:space="0" w:color="000000"/>
              <w:left w:val="single" w:sz="6" w:space="0" w:color="000000"/>
              <w:bottom w:val="single" w:sz="4" w:space="0" w:color="000000"/>
              <w:right w:val="single" w:sz="6" w:space="0" w:color="000000"/>
            </w:tcBorders>
          </w:tcPr>
          <w:p w14:paraId="1513299A" w14:textId="77777777" w:rsidR="000C6209" w:rsidRPr="008819AF" w:rsidRDefault="000C6209" w:rsidP="0021052F">
            <w:pPr>
              <w:ind w:left="215" w:hanging="215"/>
              <w:rPr>
                <w:rFonts w:eastAsia="Arial"/>
              </w:rPr>
            </w:pPr>
            <w:r w:rsidRPr="008819AF">
              <w:rPr>
                <w:rFonts w:eastAsia="Arial"/>
              </w:rPr>
              <w:t>Článok 55</w:t>
            </w:r>
          </w:p>
          <w:p w14:paraId="1513299B" w14:textId="77777777" w:rsidR="000C6209" w:rsidRPr="008819AF" w:rsidRDefault="000C6209" w:rsidP="0021052F">
            <w:pPr>
              <w:ind w:hanging="1"/>
              <w:rPr>
                <w:rFonts w:eastAsia="Arial"/>
              </w:rPr>
            </w:pPr>
            <w:r w:rsidRPr="008819AF">
              <w:rPr>
                <w:rFonts w:eastAsia="Arial"/>
              </w:rPr>
              <w:t>Podávanie správ a informovanie verejnosti o spaľovniach odpadov a zariadeniach na spoluspaľovanie odpadov</w:t>
            </w:r>
          </w:p>
          <w:p w14:paraId="1513299C" w14:textId="77777777" w:rsidR="000C6209" w:rsidRPr="008819AF" w:rsidRDefault="000C6209" w:rsidP="0021052F">
            <w:pPr>
              <w:ind w:left="215" w:hanging="215"/>
              <w:rPr>
                <w:rFonts w:eastAsia="Arial"/>
              </w:rPr>
            </w:pPr>
            <w:r w:rsidRPr="008819AF">
              <w:rPr>
                <w:rFonts w:eastAsia="Arial"/>
              </w:rPr>
              <w:t>1. Žiadosti o nové povolenia pre spaľovne odpadov a zariadenia na spoluspaľovanie odpadov musia byť k dispozícii verejnosti na jednom alebo viacerých miestach na vhodne dlhý čas, ktorý verejnosti umožní pripomienkovať žiadosti predtým, ako príslušný orgán dospeje k rozhodnutiu. Rozhodnutie, vrátane aspoň kópie povolenia a všetkých nasledujúcich aktualizácií, sa musí takisto sprístupniť verejnosti.</w:t>
            </w:r>
          </w:p>
          <w:p w14:paraId="1513299D" w14:textId="77777777" w:rsidR="000C6209" w:rsidRPr="008819AF" w:rsidRDefault="000C6209" w:rsidP="0021052F">
            <w:pPr>
              <w:ind w:left="215" w:hanging="215"/>
              <w:rPr>
                <w:rFonts w:eastAsia="Arial"/>
              </w:rPr>
            </w:pP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99E" w14:textId="77777777" w:rsidR="000C6209" w:rsidRPr="008819AF" w:rsidRDefault="000C6209" w:rsidP="0021052F">
            <w:pPr>
              <w:ind w:left="215" w:hanging="215"/>
              <w:jc w:val="center"/>
              <w:rPr>
                <w:rFonts w:eastAsia="Arial"/>
                <w:lang w:bidi="cs-CZ"/>
              </w:rPr>
            </w:pPr>
            <w:r w:rsidRPr="008819AF">
              <w:rPr>
                <w:rFonts w:eastAsia="Arial"/>
                <w:lang w:bidi="cs-CZ"/>
              </w:rPr>
              <w:t>N</w:t>
            </w:r>
          </w:p>
          <w:p w14:paraId="1513299F" w14:textId="77777777" w:rsidR="000C6209" w:rsidRPr="008819AF" w:rsidRDefault="000C6209" w:rsidP="0021052F">
            <w:pPr>
              <w:ind w:left="215" w:hanging="215"/>
              <w:jc w:val="center"/>
              <w:rPr>
                <w:rFonts w:eastAsia="Arial"/>
                <w:lang w:bidi="cs-CZ"/>
              </w:rPr>
            </w:pPr>
          </w:p>
          <w:p w14:paraId="151329A0" w14:textId="77777777" w:rsidR="000C6209" w:rsidRPr="008819AF" w:rsidRDefault="000C6209" w:rsidP="0021052F">
            <w:pPr>
              <w:ind w:left="215" w:hanging="215"/>
              <w:jc w:val="center"/>
              <w:rPr>
                <w:rFonts w:eastAsia="Arial"/>
                <w:lang w:bidi="cs-CZ"/>
              </w:rPr>
            </w:pPr>
          </w:p>
          <w:p w14:paraId="151329A1" w14:textId="77777777" w:rsidR="000C6209" w:rsidRPr="008819AF" w:rsidRDefault="000C6209" w:rsidP="0021052F">
            <w:pPr>
              <w:ind w:left="215" w:hanging="215"/>
              <w:jc w:val="center"/>
              <w:rPr>
                <w:rFonts w:eastAsia="Arial"/>
                <w:lang w:bidi="cs-CZ"/>
              </w:rPr>
            </w:pPr>
          </w:p>
          <w:p w14:paraId="151329A2" w14:textId="77777777" w:rsidR="000C6209" w:rsidRPr="008819AF" w:rsidRDefault="000C6209" w:rsidP="0021052F">
            <w:pPr>
              <w:ind w:left="215" w:hanging="215"/>
              <w:jc w:val="center"/>
              <w:rPr>
                <w:rFonts w:eastAsia="Arial"/>
                <w:lang w:bidi="cs-CZ"/>
              </w:rPr>
            </w:pPr>
          </w:p>
          <w:p w14:paraId="151329A3" w14:textId="77777777" w:rsidR="000C6209" w:rsidRPr="008819AF" w:rsidRDefault="000C6209" w:rsidP="0021052F">
            <w:pPr>
              <w:ind w:left="215" w:hanging="215"/>
              <w:jc w:val="center"/>
              <w:rPr>
                <w:rFonts w:eastAsia="Arial"/>
                <w:lang w:bidi="cs-CZ"/>
              </w:rPr>
            </w:pPr>
          </w:p>
          <w:p w14:paraId="151329A4" w14:textId="77777777" w:rsidR="000C6209" w:rsidRPr="008819AF" w:rsidRDefault="000C6209" w:rsidP="0021052F">
            <w:pPr>
              <w:ind w:left="215" w:hanging="215"/>
              <w:jc w:val="center"/>
              <w:rPr>
                <w:rFonts w:eastAsia="Arial"/>
                <w:lang w:bidi="cs-CZ"/>
              </w:rPr>
            </w:pPr>
          </w:p>
          <w:p w14:paraId="151329A5" w14:textId="77777777" w:rsidR="000C6209" w:rsidRPr="008819AF" w:rsidRDefault="000C6209" w:rsidP="0021052F">
            <w:pPr>
              <w:ind w:left="215" w:hanging="215"/>
              <w:jc w:val="center"/>
              <w:rPr>
                <w:rFonts w:eastAsia="Arial"/>
                <w:lang w:bidi="cs-CZ"/>
              </w:rPr>
            </w:pPr>
          </w:p>
          <w:p w14:paraId="151329A6" w14:textId="77777777" w:rsidR="000C6209" w:rsidRPr="008819AF" w:rsidRDefault="000C6209" w:rsidP="0021052F">
            <w:pPr>
              <w:ind w:left="215" w:hanging="215"/>
              <w:jc w:val="center"/>
              <w:rPr>
                <w:rFonts w:eastAsia="Arial"/>
                <w:lang w:bidi="cs-CZ"/>
              </w:rPr>
            </w:pPr>
          </w:p>
          <w:p w14:paraId="151329A7" w14:textId="77777777" w:rsidR="000C6209" w:rsidRPr="008819AF" w:rsidRDefault="000C6209" w:rsidP="0021052F">
            <w:pPr>
              <w:ind w:left="215" w:hanging="215"/>
              <w:jc w:val="center"/>
              <w:rPr>
                <w:rFonts w:eastAsia="Arial"/>
                <w:lang w:bidi="cs-CZ"/>
              </w:rPr>
            </w:pPr>
          </w:p>
          <w:p w14:paraId="151329A8" w14:textId="77777777" w:rsidR="000C6209" w:rsidRPr="008819AF" w:rsidRDefault="000C6209" w:rsidP="0021052F">
            <w:pPr>
              <w:ind w:left="215" w:hanging="215"/>
              <w:jc w:val="center"/>
              <w:rPr>
                <w:rFonts w:eastAsia="Arial"/>
                <w:lang w:bidi="cs-CZ"/>
              </w:rPr>
            </w:pPr>
          </w:p>
          <w:p w14:paraId="151329A9" w14:textId="77777777" w:rsidR="000C6209" w:rsidRPr="008819AF" w:rsidRDefault="000C6209" w:rsidP="0021052F">
            <w:pPr>
              <w:ind w:left="215" w:hanging="215"/>
              <w:jc w:val="center"/>
              <w:rPr>
                <w:rFonts w:eastAsia="Arial"/>
                <w:lang w:bidi="cs-CZ"/>
              </w:rPr>
            </w:pPr>
          </w:p>
          <w:p w14:paraId="151329AA" w14:textId="77777777" w:rsidR="000C6209" w:rsidRPr="008819AF" w:rsidRDefault="000C6209" w:rsidP="0021052F">
            <w:pPr>
              <w:ind w:left="215" w:hanging="215"/>
              <w:jc w:val="center"/>
              <w:rPr>
                <w:rFonts w:eastAsia="Arial"/>
                <w:lang w:bidi="cs-CZ"/>
              </w:rPr>
            </w:pPr>
          </w:p>
          <w:p w14:paraId="151329AB" w14:textId="77777777" w:rsidR="000C6209" w:rsidRPr="008819AF" w:rsidRDefault="000C6209" w:rsidP="0021052F">
            <w:pPr>
              <w:ind w:left="215" w:hanging="215"/>
              <w:jc w:val="center"/>
              <w:rPr>
                <w:rFonts w:eastAsia="Arial"/>
                <w:lang w:bidi="cs-CZ"/>
              </w:rPr>
            </w:pPr>
          </w:p>
          <w:p w14:paraId="151329AC" w14:textId="77777777" w:rsidR="000C6209" w:rsidRPr="008819AF" w:rsidRDefault="000C6209" w:rsidP="0021052F">
            <w:pPr>
              <w:ind w:left="215" w:hanging="215"/>
              <w:jc w:val="center"/>
              <w:rPr>
                <w:rFonts w:eastAsia="Arial"/>
                <w:lang w:bidi="cs-CZ"/>
              </w:rPr>
            </w:pPr>
          </w:p>
          <w:p w14:paraId="151329AD" w14:textId="77777777" w:rsidR="006F79BD" w:rsidRPr="008819AF" w:rsidRDefault="006F79BD" w:rsidP="0021052F">
            <w:pPr>
              <w:ind w:left="215" w:hanging="215"/>
              <w:jc w:val="center"/>
              <w:rPr>
                <w:rFonts w:eastAsia="Arial"/>
                <w:lang w:bidi="cs-CZ"/>
              </w:rPr>
            </w:pPr>
          </w:p>
          <w:p w14:paraId="151329AE" w14:textId="77777777" w:rsidR="006F79BD" w:rsidRPr="008819AF" w:rsidRDefault="006F79BD" w:rsidP="0021052F">
            <w:pPr>
              <w:ind w:left="215" w:hanging="215"/>
              <w:jc w:val="center"/>
              <w:rPr>
                <w:rFonts w:eastAsia="Arial"/>
                <w:lang w:bidi="cs-CZ"/>
              </w:rPr>
            </w:pPr>
          </w:p>
          <w:p w14:paraId="151329AF" w14:textId="77777777" w:rsidR="006F79BD" w:rsidRPr="008819AF" w:rsidRDefault="006F79BD" w:rsidP="0021052F">
            <w:pPr>
              <w:ind w:left="215" w:hanging="215"/>
              <w:jc w:val="center"/>
              <w:rPr>
                <w:rFonts w:eastAsia="Arial"/>
                <w:lang w:bidi="cs-CZ"/>
              </w:rPr>
            </w:pPr>
          </w:p>
          <w:p w14:paraId="151329B0" w14:textId="77777777" w:rsidR="006F79BD" w:rsidRPr="008819AF" w:rsidRDefault="006F79BD" w:rsidP="0021052F">
            <w:pPr>
              <w:ind w:left="215" w:hanging="215"/>
              <w:jc w:val="center"/>
              <w:rPr>
                <w:rFonts w:eastAsia="Arial"/>
                <w:lang w:bidi="cs-CZ"/>
              </w:rPr>
            </w:pPr>
          </w:p>
          <w:p w14:paraId="151329B1" w14:textId="77777777" w:rsidR="006F79BD" w:rsidRPr="008819AF" w:rsidRDefault="006F79BD" w:rsidP="0021052F">
            <w:pPr>
              <w:ind w:left="215" w:hanging="215"/>
              <w:jc w:val="center"/>
              <w:rPr>
                <w:rFonts w:eastAsia="Arial"/>
                <w:lang w:bidi="cs-CZ"/>
              </w:rPr>
            </w:pPr>
          </w:p>
          <w:p w14:paraId="151329B2" w14:textId="77777777" w:rsidR="000C6209" w:rsidRPr="008819AF" w:rsidRDefault="000C6209" w:rsidP="0021052F">
            <w:pPr>
              <w:ind w:left="215" w:hanging="215"/>
              <w:jc w:val="center"/>
              <w:rPr>
                <w:rFonts w:eastAsia="Arial"/>
                <w:lang w:bidi="cs-CZ"/>
              </w:rPr>
            </w:pPr>
          </w:p>
          <w:p w14:paraId="151329B3" w14:textId="77777777" w:rsidR="000C6209" w:rsidRPr="008819AF" w:rsidRDefault="000C6209" w:rsidP="0021052F">
            <w:pPr>
              <w:ind w:left="215" w:hanging="215"/>
              <w:jc w:val="center"/>
              <w:rPr>
                <w:rFonts w:eastAsia="Arial"/>
                <w:lang w:bidi="cs-CZ"/>
              </w:rPr>
            </w:pPr>
            <w:r w:rsidRPr="008819AF">
              <w:rPr>
                <w:rFonts w:eastAsia="Arial"/>
                <w:lang w:bidi="cs-CZ"/>
              </w:rPr>
              <w:t>N</w:t>
            </w:r>
          </w:p>
          <w:p w14:paraId="151329B4" w14:textId="77777777" w:rsidR="000C6209" w:rsidRPr="008819AF" w:rsidRDefault="000C6209" w:rsidP="0021052F">
            <w:pPr>
              <w:ind w:left="215" w:hanging="215"/>
              <w:jc w:val="center"/>
              <w:rPr>
                <w:rFonts w:eastAsia="Arial"/>
                <w:lang w:bidi="cs-CZ"/>
              </w:rPr>
            </w:pPr>
          </w:p>
          <w:p w14:paraId="151329B5" w14:textId="77777777" w:rsidR="000C6209" w:rsidRPr="008819AF" w:rsidRDefault="000C6209" w:rsidP="0021052F">
            <w:pPr>
              <w:ind w:left="215" w:hanging="215"/>
              <w:jc w:val="center"/>
              <w:rPr>
                <w:rFonts w:eastAsia="Arial"/>
                <w:lang w:bidi="cs-CZ"/>
              </w:rPr>
            </w:pPr>
          </w:p>
          <w:p w14:paraId="151329B6" w14:textId="77777777" w:rsidR="000C6209" w:rsidRPr="008819AF" w:rsidRDefault="000C6209" w:rsidP="0021052F">
            <w:pPr>
              <w:ind w:left="215" w:hanging="215"/>
              <w:jc w:val="center"/>
              <w:rPr>
                <w:rFonts w:eastAsia="Arial"/>
                <w:lang w:bidi="cs-CZ"/>
              </w:rPr>
            </w:pPr>
          </w:p>
          <w:p w14:paraId="151329B7" w14:textId="77777777" w:rsidR="006F79BD" w:rsidRPr="008819AF" w:rsidRDefault="006F79BD" w:rsidP="0021052F">
            <w:pPr>
              <w:ind w:left="215" w:hanging="215"/>
              <w:jc w:val="center"/>
              <w:rPr>
                <w:rFonts w:eastAsia="Arial"/>
                <w:lang w:bidi="cs-CZ"/>
              </w:rPr>
            </w:pPr>
          </w:p>
          <w:p w14:paraId="151329B8" w14:textId="77777777" w:rsidR="006F79BD" w:rsidRPr="008819AF" w:rsidRDefault="006F79BD" w:rsidP="0021052F">
            <w:pPr>
              <w:ind w:left="215" w:hanging="215"/>
              <w:jc w:val="center"/>
              <w:rPr>
                <w:rFonts w:eastAsia="Arial"/>
                <w:lang w:bidi="cs-CZ"/>
              </w:rPr>
            </w:pPr>
          </w:p>
          <w:p w14:paraId="151329B9" w14:textId="77777777" w:rsidR="000C6209" w:rsidRPr="008819AF" w:rsidRDefault="000C6209" w:rsidP="0021052F">
            <w:pPr>
              <w:ind w:left="215" w:hanging="215"/>
              <w:jc w:val="center"/>
              <w:rPr>
                <w:rFonts w:eastAsia="Arial"/>
                <w:lang w:bidi="cs-CZ"/>
              </w:rPr>
            </w:pPr>
          </w:p>
          <w:p w14:paraId="151329BA" w14:textId="77777777" w:rsidR="000C6209" w:rsidRPr="008819AF" w:rsidRDefault="000C6209" w:rsidP="0021052F">
            <w:pPr>
              <w:ind w:left="215" w:hanging="215"/>
              <w:jc w:val="center"/>
              <w:rPr>
                <w:rFonts w:eastAsia="Arial"/>
                <w:lang w:bidi="cs-CZ"/>
              </w:rPr>
            </w:pPr>
            <w:r w:rsidRPr="008819AF">
              <w:rPr>
                <w:rFonts w:eastAsia="Arial"/>
                <w:lang w:bidi="cs-CZ"/>
              </w:rPr>
              <w:lastRenderedPageBreak/>
              <w:t>N</w:t>
            </w:r>
          </w:p>
        </w:tc>
        <w:tc>
          <w:tcPr>
            <w:tcW w:w="543" w:type="dxa"/>
            <w:gridSpan w:val="2"/>
            <w:tcBorders>
              <w:top w:val="single" w:sz="4" w:space="0" w:color="000000"/>
              <w:left w:val="single" w:sz="6" w:space="0" w:color="000000"/>
              <w:bottom w:val="single" w:sz="4" w:space="0" w:color="000000"/>
              <w:right w:val="single" w:sz="6" w:space="0" w:color="000000"/>
            </w:tcBorders>
          </w:tcPr>
          <w:p w14:paraId="151329BB" w14:textId="77777777" w:rsidR="000C6209" w:rsidRPr="008819AF" w:rsidRDefault="000C6209" w:rsidP="0021052F">
            <w:pPr>
              <w:jc w:val="center"/>
              <w:rPr>
                <w:rFonts w:eastAsia="Arial"/>
                <w:lang w:bidi="cs-CZ"/>
              </w:rPr>
            </w:pPr>
            <w:r w:rsidRPr="008819AF">
              <w:rPr>
                <w:rFonts w:eastAsia="Arial"/>
                <w:lang w:bidi="cs-CZ"/>
              </w:rPr>
              <w:lastRenderedPageBreak/>
              <w:t>NZ</w:t>
            </w:r>
          </w:p>
          <w:p w14:paraId="151329BC" w14:textId="77777777" w:rsidR="000C6209" w:rsidRPr="008819AF" w:rsidRDefault="000C6209" w:rsidP="0021052F">
            <w:pPr>
              <w:ind w:left="215" w:hanging="215"/>
              <w:jc w:val="center"/>
              <w:rPr>
                <w:rFonts w:eastAsia="Arial"/>
                <w:lang w:bidi="cs-CZ"/>
              </w:rPr>
            </w:pPr>
          </w:p>
          <w:p w14:paraId="151329BD" w14:textId="77777777" w:rsidR="000C6209" w:rsidRPr="008819AF" w:rsidRDefault="000C6209" w:rsidP="0021052F">
            <w:pPr>
              <w:ind w:left="215" w:hanging="215"/>
              <w:jc w:val="center"/>
              <w:rPr>
                <w:rFonts w:eastAsia="Arial"/>
                <w:lang w:bidi="cs-CZ"/>
              </w:rPr>
            </w:pPr>
          </w:p>
          <w:p w14:paraId="151329BE" w14:textId="77777777" w:rsidR="000C6209" w:rsidRPr="008819AF" w:rsidRDefault="000C6209" w:rsidP="0021052F">
            <w:pPr>
              <w:ind w:left="215" w:hanging="215"/>
              <w:jc w:val="center"/>
              <w:rPr>
                <w:rFonts w:eastAsia="Arial"/>
                <w:lang w:bidi="cs-CZ"/>
              </w:rPr>
            </w:pPr>
          </w:p>
          <w:p w14:paraId="151329BF" w14:textId="77777777" w:rsidR="000C6209" w:rsidRPr="008819AF" w:rsidRDefault="000C6209" w:rsidP="0021052F">
            <w:pPr>
              <w:ind w:left="215" w:hanging="215"/>
              <w:jc w:val="center"/>
              <w:rPr>
                <w:rFonts w:eastAsia="Arial"/>
                <w:lang w:bidi="cs-CZ"/>
              </w:rPr>
            </w:pPr>
          </w:p>
          <w:p w14:paraId="151329C0" w14:textId="77777777" w:rsidR="000C6209" w:rsidRPr="008819AF" w:rsidRDefault="000C6209" w:rsidP="0021052F">
            <w:pPr>
              <w:ind w:left="215" w:hanging="215"/>
              <w:jc w:val="center"/>
              <w:rPr>
                <w:rFonts w:eastAsia="Arial"/>
                <w:lang w:bidi="cs-CZ"/>
              </w:rPr>
            </w:pPr>
          </w:p>
          <w:p w14:paraId="151329C1" w14:textId="77777777" w:rsidR="000C6209" w:rsidRPr="008819AF" w:rsidRDefault="000C6209" w:rsidP="0021052F">
            <w:pPr>
              <w:ind w:left="215" w:hanging="215"/>
              <w:jc w:val="center"/>
              <w:rPr>
                <w:rFonts w:eastAsia="Arial"/>
                <w:lang w:bidi="cs-CZ"/>
              </w:rPr>
            </w:pPr>
          </w:p>
          <w:p w14:paraId="151329C2" w14:textId="77777777" w:rsidR="000C6209" w:rsidRPr="008819AF" w:rsidRDefault="000C6209" w:rsidP="0021052F">
            <w:pPr>
              <w:ind w:left="215" w:hanging="215"/>
              <w:jc w:val="center"/>
              <w:rPr>
                <w:rFonts w:eastAsia="Arial"/>
                <w:lang w:bidi="cs-CZ"/>
              </w:rPr>
            </w:pPr>
          </w:p>
          <w:p w14:paraId="151329C3" w14:textId="77777777" w:rsidR="000C6209" w:rsidRPr="008819AF" w:rsidRDefault="000C6209" w:rsidP="0021052F">
            <w:pPr>
              <w:ind w:left="215" w:hanging="215"/>
              <w:jc w:val="center"/>
              <w:rPr>
                <w:rFonts w:eastAsia="Arial"/>
                <w:lang w:bidi="cs-CZ"/>
              </w:rPr>
            </w:pPr>
          </w:p>
          <w:p w14:paraId="151329C4" w14:textId="77777777" w:rsidR="000C6209" w:rsidRPr="008819AF" w:rsidRDefault="000C6209" w:rsidP="0021052F">
            <w:pPr>
              <w:ind w:left="215" w:hanging="215"/>
              <w:jc w:val="center"/>
              <w:rPr>
                <w:rFonts w:eastAsia="Arial"/>
                <w:lang w:bidi="cs-CZ"/>
              </w:rPr>
            </w:pPr>
          </w:p>
          <w:p w14:paraId="151329C5" w14:textId="77777777" w:rsidR="000C6209" w:rsidRPr="008819AF" w:rsidRDefault="000C6209" w:rsidP="0021052F">
            <w:pPr>
              <w:ind w:left="215" w:hanging="215"/>
              <w:jc w:val="center"/>
              <w:rPr>
                <w:rFonts w:eastAsia="Arial"/>
                <w:lang w:bidi="cs-CZ"/>
              </w:rPr>
            </w:pPr>
          </w:p>
          <w:p w14:paraId="151329C6" w14:textId="77777777" w:rsidR="000C6209" w:rsidRPr="008819AF" w:rsidRDefault="000C6209" w:rsidP="0021052F">
            <w:pPr>
              <w:ind w:left="215" w:hanging="215"/>
              <w:jc w:val="center"/>
              <w:rPr>
                <w:rFonts w:eastAsia="Arial"/>
                <w:lang w:bidi="cs-CZ"/>
              </w:rPr>
            </w:pPr>
          </w:p>
          <w:p w14:paraId="151329C7" w14:textId="77777777" w:rsidR="000C6209" w:rsidRPr="008819AF" w:rsidRDefault="000C6209" w:rsidP="0021052F">
            <w:pPr>
              <w:ind w:left="215" w:hanging="215"/>
              <w:jc w:val="center"/>
              <w:rPr>
                <w:rFonts w:eastAsia="Arial"/>
                <w:lang w:bidi="cs-CZ"/>
              </w:rPr>
            </w:pPr>
          </w:p>
          <w:p w14:paraId="151329C8" w14:textId="77777777" w:rsidR="000C6209" w:rsidRPr="008819AF" w:rsidRDefault="000C6209" w:rsidP="0021052F">
            <w:pPr>
              <w:ind w:left="215" w:hanging="215"/>
              <w:jc w:val="center"/>
              <w:rPr>
                <w:rFonts w:eastAsia="Arial"/>
                <w:lang w:bidi="cs-CZ"/>
              </w:rPr>
            </w:pPr>
          </w:p>
          <w:p w14:paraId="151329C9" w14:textId="77777777" w:rsidR="000C6209" w:rsidRPr="008819AF" w:rsidRDefault="000C6209" w:rsidP="0021052F">
            <w:pPr>
              <w:ind w:left="215" w:hanging="215"/>
              <w:jc w:val="center"/>
              <w:rPr>
                <w:rFonts w:eastAsia="Arial"/>
                <w:lang w:bidi="cs-CZ"/>
              </w:rPr>
            </w:pPr>
          </w:p>
          <w:p w14:paraId="151329CA" w14:textId="77777777" w:rsidR="006F79BD" w:rsidRPr="008819AF" w:rsidRDefault="006F79BD" w:rsidP="0021052F">
            <w:pPr>
              <w:ind w:left="215" w:hanging="215"/>
              <w:jc w:val="center"/>
              <w:rPr>
                <w:rFonts w:eastAsia="Arial"/>
                <w:lang w:bidi="cs-CZ"/>
              </w:rPr>
            </w:pPr>
          </w:p>
          <w:p w14:paraId="151329CB" w14:textId="77777777" w:rsidR="006F79BD" w:rsidRPr="008819AF" w:rsidRDefault="006F79BD" w:rsidP="0021052F">
            <w:pPr>
              <w:ind w:left="215" w:hanging="215"/>
              <w:jc w:val="center"/>
              <w:rPr>
                <w:rFonts w:eastAsia="Arial"/>
                <w:lang w:bidi="cs-CZ"/>
              </w:rPr>
            </w:pPr>
          </w:p>
          <w:p w14:paraId="151329CC" w14:textId="77777777" w:rsidR="006F79BD" w:rsidRPr="008819AF" w:rsidRDefault="006F79BD" w:rsidP="0021052F">
            <w:pPr>
              <w:ind w:left="215" w:hanging="215"/>
              <w:jc w:val="center"/>
              <w:rPr>
                <w:rFonts w:eastAsia="Arial"/>
                <w:lang w:bidi="cs-CZ"/>
              </w:rPr>
            </w:pPr>
          </w:p>
          <w:p w14:paraId="151329CD" w14:textId="77777777" w:rsidR="006F79BD" w:rsidRPr="008819AF" w:rsidRDefault="006F79BD" w:rsidP="0021052F">
            <w:pPr>
              <w:ind w:left="215" w:hanging="215"/>
              <w:jc w:val="center"/>
              <w:rPr>
                <w:rFonts w:eastAsia="Arial"/>
                <w:lang w:bidi="cs-CZ"/>
              </w:rPr>
            </w:pPr>
          </w:p>
          <w:p w14:paraId="151329CE" w14:textId="77777777" w:rsidR="006F79BD" w:rsidRPr="008819AF" w:rsidRDefault="006F79BD" w:rsidP="0021052F">
            <w:pPr>
              <w:ind w:left="215" w:hanging="215"/>
              <w:jc w:val="center"/>
              <w:rPr>
                <w:rFonts w:eastAsia="Arial"/>
                <w:lang w:bidi="cs-CZ"/>
              </w:rPr>
            </w:pPr>
          </w:p>
          <w:p w14:paraId="151329CF" w14:textId="77777777" w:rsidR="000C6209" w:rsidRPr="008819AF" w:rsidRDefault="000C6209" w:rsidP="0021052F">
            <w:pPr>
              <w:ind w:left="215" w:hanging="215"/>
              <w:jc w:val="center"/>
              <w:rPr>
                <w:rFonts w:eastAsia="Arial"/>
                <w:lang w:bidi="cs-CZ"/>
              </w:rPr>
            </w:pPr>
          </w:p>
          <w:p w14:paraId="151329D0" w14:textId="77777777" w:rsidR="000C6209" w:rsidRPr="008819AF" w:rsidRDefault="000C6209" w:rsidP="0021052F">
            <w:pPr>
              <w:jc w:val="center"/>
              <w:rPr>
                <w:rFonts w:eastAsia="Arial"/>
                <w:lang w:bidi="cs-CZ"/>
              </w:rPr>
            </w:pPr>
            <w:r w:rsidRPr="008819AF">
              <w:rPr>
                <w:rFonts w:eastAsia="Arial"/>
                <w:lang w:bidi="cs-CZ"/>
              </w:rPr>
              <w:t>NZ</w:t>
            </w:r>
          </w:p>
          <w:p w14:paraId="151329D1" w14:textId="77777777" w:rsidR="000C6209" w:rsidRPr="008819AF" w:rsidRDefault="000C6209" w:rsidP="0021052F">
            <w:pPr>
              <w:ind w:left="215" w:hanging="215"/>
              <w:jc w:val="center"/>
              <w:rPr>
                <w:rFonts w:eastAsia="Arial"/>
                <w:lang w:bidi="cs-CZ"/>
              </w:rPr>
            </w:pPr>
          </w:p>
          <w:p w14:paraId="151329D2" w14:textId="77777777" w:rsidR="000C6209" w:rsidRPr="008819AF" w:rsidRDefault="000C6209" w:rsidP="0021052F">
            <w:pPr>
              <w:ind w:left="215" w:hanging="215"/>
              <w:jc w:val="center"/>
              <w:rPr>
                <w:rFonts w:eastAsia="Arial"/>
                <w:lang w:bidi="cs-CZ"/>
              </w:rPr>
            </w:pPr>
          </w:p>
          <w:p w14:paraId="151329D3" w14:textId="77777777" w:rsidR="000C6209" w:rsidRPr="008819AF" w:rsidRDefault="000C6209" w:rsidP="0021052F">
            <w:pPr>
              <w:ind w:left="215" w:hanging="215"/>
              <w:jc w:val="center"/>
              <w:rPr>
                <w:rFonts w:eastAsia="Arial"/>
                <w:lang w:bidi="cs-CZ"/>
              </w:rPr>
            </w:pPr>
          </w:p>
          <w:p w14:paraId="151329D4" w14:textId="77777777" w:rsidR="006F79BD" w:rsidRPr="008819AF" w:rsidRDefault="006F79BD" w:rsidP="0021052F">
            <w:pPr>
              <w:ind w:left="215" w:hanging="215"/>
              <w:jc w:val="center"/>
              <w:rPr>
                <w:rFonts w:eastAsia="Arial"/>
                <w:lang w:bidi="cs-CZ"/>
              </w:rPr>
            </w:pPr>
          </w:p>
          <w:p w14:paraId="151329D5" w14:textId="77777777" w:rsidR="006F79BD" w:rsidRPr="008819AF" w:rsidRDefault="006F79BD" w:rsidP="0021052F">
            <w:pPr>
              <w:ind w:left="215" w:hanging="215"/>
              <w:jc w:val="center"/>
              <w:rPr>
                <w:rFonts w:eastAsia="Arial"/>
                <w:lang w:bidi="cs-CZ"/>
              </w:rPr>
            </w:pPr>
          </w:p>
          <w:p w14:paraId="151329D6" w14:textId="77777777" w:rsidR="000C6209" w:rsidRPr="008819AF" w:rsidRDefault="000C6209" w:rsidP="0021052F">
            <w:pPr>
              <w:ind w:left="215" w:hanging="215"/>
              <w:jc w:val="center"/>
              <w:rPr>
                <w:rFonts w:eastAsia="Arial"/>
                <w:lang w:bidi="cs-CZ"/>
              </w:rPr>
            </w:pPr>
          </w:p>
          <w:p w14:paraId="151329D7" w14:textId="77777777" w:rsidR="000C6209" w:rsidRPr="008819AF" w:rsidRDefault="000C6209" w:rsidP="0021052F">
            <w:pPr>
              <w:jc w:val="center"/>
              <w:rPr>
                <w:rFonts w:eastAsia="Arial"/>
                <w:lang w:bidi="cs-CZ"/>
              </w:rPr>
            </w:pPr>
            <w:r w:rsidRPr="008819AF">
              <w:rPr>
                <w:rFonts w:eastAsia="Arial"/>
                <w:lang w:bidi="cs-CZ"/>
              </w:rPr>
              <w:lastRenderedPageBreak/>
              <w:t>NZ</w:t>
            </w:r>
          </w:p>
          <w:p w14:paraId="151329D8" w14:textId="77777777" w:rsidR="000C6209" w:rsidRPr="008819AF" w:rsidRDefault="000C620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9D9" w14:textId="77777777" w:rsidR="000C6209" w:rsidRPr="008819AF" w:rsidRDefault="000C6209" w:rsidP="0021052F">
            <w:pPr>
              <w:pStyle w:val="Nadpis6"/>
              <w:ind w:left="0" w:firstLine="0"/>
              <w:jc w:val="center"/>
              <w:rPr>
                <w:rFonts w:ascii="Times New Roman" w:hAnsi="Times New Roman" w:cs="Times New Roman"/>
                <w:b w:val="0"/>
                <w:bCs w:val="0"/>
                <w:sz w:val="20"/>
                <w:szCs w:val="20"/>
              </w:rPr>
            </w:pPr>
            <w:r w:rsidRPr="008819AF">
              <w:rPr>
                <w:rFonts w:ascii="Times New Roman" w:hAnsi="Times New Roman" w:cs="Times New Roman"/>
                <w:b w:val="0"/>
                <w:bCs w:val="0"/>
                <w:sz w:val="20"/>
                <w:szCs w:val="20"/>
              </w:rPr>
              <w:lastRenderedPageBreak/>
              <w:t>§ 28</w:t>
            </w:r>
          </w:p>
          <w:p w14:paraId="151329DA" w14:textId="77777777" w:rsidR="000C6209" w:rsidRPr="008819AF" w:rsidRDefault="000C6209" w:rsidP="0021052F">
            <w:pPr>
              <w:ind w:left="215" w:hanging="215"/>
              <w:jc w:val="center"/>
              <w:rPr>
                <w:rFonts w:eastAsia="Arial"/>
                <w:lang w:bidi="cs-CZ"/>
              </w:rPr>
            </w:pPr>
            <w:r w:rsidRPr="008819AF">
              <w:rPr>
                <w:rFonts w:eastAsia="Arial"/>
                <w:lang w:bidi="cs-CZ"/>
              </w:rPr>
              <w:t>O 4</w:t>
            </w:r>
          </w:p>
          <w:p w14:paraId="151329DB" w14:textId="77777777" w:rsidR="000C6209" w:rsidRPr="008819AF" w:rsidRDefault="000C6209" w:rsidP="0021052F">
            <w:pPr>
              <w:ind w:left="215" w:hanging="215"/>
              <w:jc w:val="center"/>
              <w:rPr>
                <w:rFonts w:eastAsia="Arial"/>
                <w:lang w:bidi="cs-CZ"/>
              </w:rPr>
            </w:pPr>
          </w:p>
          <w:p w14:paraId="151329DC" w14:textId="77777777" w:rsidR="000C6209" w:rsidRPr="008819AF" w:rsidRDefault="000C6209" w:rsidP="0021052F">
            <w:pPr>
              <w:ind w:left="215" w:hanging="215"/>
              <w:jc w:val="center"/>
              <w:rPr>
                <w:rFonts w:eastAsia="Arial"/>
                <w:lang w:bidi="cs-CZ"/>
              </w:rPr>
            </w:pPr>
          </w:p>
          <w:p w14:paraId="151329DD" w14:textId="77777777" w:rsidR="000C6209" w:rsidRPr="008819AF" w:rsidRDefault="000C6209" w:rsidP="0021052F">
            <w:pPr>
              <w:ind w:left="215" w:hanging="215"/>
              <w:jc w:val="center"/>
              <w:rPr>
                <w:rFonts w:eastAsia="Arial"/>
                <w:lang w:bidi="cs-CZ"/>
              </w:rPr>
            </w:pPr>
          </w:p>
          <w:p w14:paraId="151329DE" w14:textId="77777777" w:rsidR="000C6209" w:rsidRPr="008819AF" w:rsidRDefault="000C6209" w:rsidP="0021052F">
            <w:pPr>
              <w:ind w:left="215" w:hanging="215"/>
              <w:jc w:val="center"/>
              <w:rPr>
                <w:rFonts w:eastAsia="Arial"/>
                <w:lang w:bidi="cs-CZ"/>
              </w:rPr>
            </w:pPr>
          </w:p>
          <w:p w14:paraId="151329DF" w14:textId="77777777" w:rsidR="000C6209" w:rsidRPr="008819AF" w:rsidRDefault="000C6209" w:rsidP="0021052F">
            <w:pPr>
              <w:ind w:left="215" w:hanging="215"/>
              <w:jc w:val="center"/>
              <w:rPr>
                <w:rFonts w:eastAsia="Arial"/>
                <w:lang w:bidi="cs-CZ"/>
              </w:rPr>
            </w:pPr>
          </w:p>
          <w:p w14:paraId="151329E0" w14:textId="77777777" w:rsidR="000C6209" w:rsidRPr="008819AF" w:rsidRDefault="000C6209" w:rsidP="0021052F">
            <w:pPr>
              <w:ind w:left="215" w:hanging="215"/>
              <w:jc w:val="center"/>
              <w:rPr>
                <w:rFonts w:eastAsia="Arial"/>
                <w:lang w:bidi="cs-CZ"/>
              </w:rPr>
            </w:pPr>
          </w:p>
          <w:p w14:paraId="151329E1" w14:textId="77777777" w:rsidR="000C6209" w:rsidRPr="008819AF" w:rsidRDefault="000C6209" w:rsidP="0021052F">
            <w:pPr>
              <w:ind w:left="215" w:hanging="215"/>
              <w:jc w:val="center"/>
              <w:rPr>
                <w:rFonts w:eastAsia="Arial"/>
                <w:lang w:bidi="cs-CZ"/>
              </w:rPr>
            </w:pPr>
          </w:p>
          <w:p w14:paraId="151329E2" w14:textId="77777777" w:rsidR="000C6209" w:rsidRPr="008819AF" w:rsidRDefault="000C6209" w:rsidP="0021052F">
            <w:pPr>
              <w:ind w:left="215" w:hanging="215"/>
              <w:jc w:val="center"/>
              <w:rPr>
                <w:rFonts w:eastAsia="Arial"/>
                <w:lang w:bidi="cs-CZ"/>
              </w:rPr>
            </w:pPr>
          </w:p>
          <w:p w14:paraId="151329E3" w14:textId="77777777" w:rsidR="000C6209" w:rsidRPr="008819AF" w:rsidRDefault="000C6209" w:rsidP="0021052F">
            <w:pPr>
              <w:ind w:left="215" w:hanging="215"/>
              <w:jc w:val="center"/>
              <w:rPr>
                <w:rFonts w:eastAsia="Arial"/>
                <w:lang w:bidi="cs-CZ"/>
              </w:rPr>
            </w:pPr>
          </w:p>
          <w:p w14:paraId="151329E4" w14:textId="77777777" w:rsidR="000C6209" w:rsidRPr="008819AF" w:rsidRDefault="000C6209" w:rsidP="0021052F">
            <w:pPr>
              <w:ind w:left="215" w:hanging="215"/>
              <w:jc w:val="center"/>
              <w:rPr>
                <w:rFonts w:eastAsia="Arial"/>
                <w:lang w:bidi="cs-CZ"/>
              </w:rPr>
            </w:pPr>
          </w:p>
          <w:p w14:paraId="151329E5" w14:textId="77777777" w:rsidR="000C6209" w:rsidRPr="008819AF" w:rsidRDefault="000C6209" w:rsidP="0021052F">
            <w:pPr>
              <w:ind w:left="215" w:hanging="215"/>
              <w:jc w:val="center"/>
              <w:rPr>
                <w:rFonts w:eastAsia="Arial"/>
                <w:lang w:bidi="cs-CZ"/>
              </w:rPr>
            </w:pPr>
          </w:p>
          <w:p w14:paraId="151329E6" w14:textId="77777777" w:rsidR="000C6209" w:rsidRPr="008819AF" w:rsidRDefault="000C6209" w:rsidP="0021052F">
            <w:pPr>
              <w:ind w:left="215" w:hanging="215"/>
              <w:jc w:val="center"/>
              <w:rPr>
                <w:rFonts w:eastAsia="Arial"/>
                <w:lang w:bidi="cs-CZ"/>
              </w:rPr>
            </w:pPr>
          </w:p>
          <w:p w14:paraId="151329E7" w14:textId="77777777" w:rsidR="000C6209" w:rsidRPr="008819AF" w:rsidRDefault="000C6209" w:rsidP="0021052F">
            <w:pPr>
              <w:ind w:left="215" w:hanging="215"/>
              <w:jc w:val="center"/>
              <w:rPr>
                <w:rFonts w:eastAsia="Arial"/>
                <w:lang w:bidi="cs-CZ"/>
              </w:rPr>
            </w:pPr>
          </w:p>
          <w:p w14:paraId="151329E8" w14:textId="77777777" w:rsidR="000C6209" w:rsidRPr="008819AF" w:rsidRDefault="000C6209" w:rsidP="0021052F">
            <w:pPr>
              <w:ind w:left="215" w:hanging="215"/>
              <w:jc w:val="center"/>
              <w:rPr>
                <w:rFonts w:eastAsia="Arial"/>
                <w:lang w:bidi="cs-CZ"/>
              </w:rPr>
            </w:pPr>
          </w:p>
          <w:p w14:paraId="151329E9" w14:textId="77777777" w:rsidR="006F79BD" w:rsidRPr="008819AF" w:rsidRDefault="006F79BD" w:rsidP="0021052F">
            <w:pPr>
              <w:ind w:left="215" w:hanging="215"/>
              <w:jc w:val="center"/>
              <w:rPr>
                <w:rFonts w:eastAsia="Arial"/>
                <w:lang w:bidi="cs-CZ"/>
              </w:rPr>
            </w:pPr>
          </w:p>
          <w:p w14:paraId="151329EA" w14:textId="77777777" w:rsidR="006F79BD" w:rsidRPr="008819AF" w:rsidRDefault="006F79BD" w:rsidP="0021052F">
            <w:pPr>
              <w:ind w:left="215" w:hanging="215"/>
              <w:jc w:val="center"/>
              <w:rPr>
                <w:rFonts w:eastAsia="Arial"/>
                <w:lang w:bidi="cs-CZ"/>
              </w:rPr>
            </w:pPr>
          </w:p>
          <w:p w14:paraId="151329EB" w14:textId="77777777" w:rsidR="006F79BD" w:rsidRPr="008819AF" w:rsidRDefault="006F79BD" w:rsidP="0021052F">
            <w:pPr>
              <w:ind w:left="215" w:hanging="215"/>
              <w:jc w:val="center"/>
              <w:rPr>
                <w:rFonts w:eastAsia="Arial"/>
                <w:lang w:bidi="cs-CZ"/>
              </w:rPr>
            </w:pPr>
          </w:p>
          <w:p w14:paraId="151329EC" w14:textId="77777777" w:rsidR="006F79BD" w:rsidRPr="008819AF" w:rsidRDefault="006F79BD" w:rsidP="0021052F">
            <w:pPr>
              <w:ind w:left="215" w:hanging="215"/>
              <w:jc w:val="center"/>
              <w:rPr>
                <w:rFonts w:eastAsia="Arial"/>
                <w:lang w:bidi="cs-CZ"/>
              </w:rPr>
            </w:pPr>
          </w:p>
          <w:p w14:paraId="151329ED" w14:textId="77777777" w:rsidR="006F79BD" w:rsidRPr="008819AF" w:rsidRDefault="006F79BD" w:rsidP="0021052F">
            <w:pPr>
              <w:ind w:left="215" w:hanging="215"/>
              <w:jc w:val="center"/>
              <w:rPr>
                <w:rFonts w:eastAsia="Arial"/>
                <w:lang w:bidi="cs-CZ"/>
              </w:rPr>
            </w:pPr>
          </w:p>
          <w:p w14:paraId="151329EE" w14:textId="77777777" w:rsidR="000C6209" w:rsidRPr="008819AF" w:rsidRDefault="000C6209" w:rsidP="0021052F">
            <w:pPr>
              <w:pStyle w:val="Nadpis6"/>
              <w:ind w:left="0" w:firstLine="0"/>
              <w:jc w:val="center"/>
              <w:rPr>
                <w:rFonts w:ascii="Times New Roman" w:hAnsi="Times New Roman" w:cs="Times New Roman"/>
                <w:b w:val="0"/>
                <w:bCs w:val="0"/>
                <w:sz w:val="20"/>
                <w:szCs w:val="20"/>
              </w:rPr>
            </w:pPr>
            <w:r w:rsidRPr="008819AF">
              <w:rPr>
                <w:rFonts w:ascii="Times New Roman" w:hAnsi="Times New Roman" w:cs="Times New Roman"/>
                <w:b w:val="0"/>
                <w:bCs w:val="0"/>
                <w:sz w:val="20"/>
                <w:szCs w:val="20"/>
              </w:rPr>
              <w:t>§ 28</w:t>
            </w:r>
          </w:p>
          <w:p w14:paraId="151329EF" w14:textId="77777777" w:rsidR="000C6209" w:rsidRPr="008819AF" w:rsidRDefault="000C6209" w:rsidP="0021052F">
            <w:pPr>
              <w:ind w:left="215" w:hanging="215"/>
              <w:jc w:val="center"/>
              <w:rPr>
                <w:rFonts w:eastAsia="Arial"/>
                <w:lang w:bidi="cs-CZ"/>
              </w:rPr>
            </w:pPr>
            <w:r w:rsidRPr="008819AF">
              <w:rPr>
                <w:rFonts w:eastAsia="Arial"/>
                <w:lang w:bidi="cs-CZ"/>
              </w:rPr>
              <w:t>O 5</w:t>
            </w:r>
          </w:p>
          <w:p w14:paraId="151329F0" w14:textId="77777777" w:rsidR="000C6209" w:rsidRPr="008819AF" w:rsidRDefault="000C6209" w:rsidP="0021052F">
            <w:pPr>
              <w:ind w:left="215" w:hanging="215"/>
              <w:jc w:val="center"/>
              <w:rPr>
                <w:rFonts w:eastAsia="Arial"/>
                <w:lang w:bidi="cs-CZ"/>
              </w:rPr>
            </w:pPr>
          </w:p>
          <w:p w14:paraId="151329F1" w14:textId="77777777" w:rsidR="000C6209" w:rsidRPr="008819AF" w:rsidRDefault="000C6209" w:rsidP="0021052F">
            <w:pPr>
              <w:ind w:left="215" w:hanging="215"/>
              <w:jc w:val="center"/>
              <w:rPr>
                <w:rFonts w:eastAsia="Arial"/>
                <w:lang w:bidi="cs-CZ"/>
              </w:rPr>
            </w:pPr>
          </w:p>
          <w:p w14:paraId="151329F2" w14:textId="77777777" w:rsidR="000C6209" w:rsidRPr="008819AF" w:rsidRDefault="000C6209" w:rsidP="0021052F">
            <w:pPr>
              <w:ind w:left="215" w:hanging="215"/>
              <w:jc w:val="center"/>
              <w:rPr>
                <w:rFonts w:eastAsia="Arial"/>
                <w:lang w:bidi="cs-CZ"/>
              </w:rPr>
            </w:pPr>
          </w:p>
          <w:p w14:paraId="151329F3" w14:textId="77777777" w:rsidR="006F79BD" w:rsidRPr="008819AF" w:rsidRDefault="006F79BD" w:rsidP="0021052F">
            <w:pPr>
              <w:ind w:left="215" w:hanging="215"/>
              <w:jc w:val="center"/>
              <w:rPr>
                <w:rFonts w:eastAsia="Arial"/>
                <w:lang w:bidi="cs-CZ"/>
              </w:rPr>
            </w:pPr>
          </w:p>
          <w:p w14:paraId="151329F4" w14:textId="77777777" w:rsidR="006F79BD" w:rsidRPr="008819AF" w:rsidRDefault="006F79BD" w:rsidP="0021052F">
            <w:pPr>
              <w:ind w:left="215" w:hanging="215"/>
              <w:jc w:val="center"/>
              <w:rPr>
                <w:rFonts w:eastAsia="Arial"/>
                <w:lang w:bidi="cs-CZ"/>
              </w:rPr>
            </w:pPr>
          </w:p>
          <w:p w14:paraId="151329F5" w14:textId="77777777" w:rsidR="000C6209" w:rsidRPr="008819AF" w:rsidRDefault="000C6209" w:rsidP="0021052F">
            <w:pPr>
              <w:pStyle w:val="Nadpis6"/>
              <w:ind w:left="0" w:firstLine="0"/>
              <w:jc w:val="center"/>
              <w:rPr>
                <w:rFonts w:ascii="Times New Roman" w:hAnsi="Times New Roman" w:cs="Times New Roman"/>
                <w:b w:val="0"/>
                <w:bCs w:val="0"/>
                <w:sz w:val="20"/>
                <w:szCs w:val="20"/>
              </w:rPr>
            </w:pPr>
            <w:r w:rsidRPr="008819AF">
              <w:rPr>
                <w:rFonts w:ascii="Times New Roman" w:hAnsi="Times New Roman" w:cs="Times New Roman"/>
                <w:b w:val="0"/>
                <w:bCs w:val="0"/>
                <w:sz w:val="20"/>
                <w:szCs w:val="20"/>
              </w:rPr>
              <w:lastRenderedPageBreak/>
              <w:t>§ 28</w:t>
            </w:r>
          </w:p>
          <w:p w14:paraId="151329F6" w14:textId="77777777" w:rsidR="000C6209" w:rsidRPr="008819AF" w:rsidRDefault="000C6209" w:rsidP="0021052F">
            <w:pPr>
              <w:ind w:left="215" w:hanging="215"/>
              <w:jc w:val="center"/>
              <w:rPr>
                <w:rFonts w:eastAsia="Arial"/>
                <w:lang w:bidi="cs-CZ"/>
              </w:rPr>
            </w:pPr>
            <w:r w:rsidRPr="008819AF">
              <w:rPr>
                <w:rFonts w:eastAsia="Arial"/>
                <w:lang w:bidi="cs-CZ"/>
              </w:rPr>
              <w:t>O 8</w:t>
            </w:r>
          </w:p>
          <w:p w14:paraId="151329F7" w14:textId="77777777" w:rsidR="000C6209" w:rsidRPr="008819AF" w:rsidRDefault="000C6209" w:rsidP="0021052F">
            <w:pPr>
              <w:pStyle w:val="Nadpis6"/>
              <w:ind w:left="72" w:firstLine="0"/>
              <w:jc w:val="center"/>
              <w:rPr>
                <w:rFonts w:ascii="Times New Roman" w:hAnsi="Times New Roman" w:cs="Times New Roman"/>
                <w:sz w:val="20"/>
                <w:szCs w:val="20"/>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9F8" w14:textId="77777777" w:rsidR="000C6209" w:rsidRPr="008819AF" w:rsidRDefault="000C6209" w:rsidP="00FD20C0">
            <w:pPr>
              <w:pStyle w:val="Nadpis6"/>
              <w:ind w:left="74" w:hanging="74"/>
              <w:rPr>
                <w:rFonts w:ascii="Times New Roman" w:hAnsi="Times New Roman" w:cs="Times New Roman"/>
                <w:b w:val="0"/>
                <w:bCs w:val="0"/>
                <w:sz w:val="20"/>
                <w:szCs w:val="20"/>
              </w:rPr>
            </w:pPr>
            <w:r w:rsidRPr="008819AF">
              <w:rPr>
                <w:rFonts w:ascii="Times New Roman" w:hAnsi="Times New Roman" w:cs="Times New Roman"/>
                <w:b w:val="0"/>
                <w:bCs w:val="0"/>
                <w:sz w:val="20"/>
                <w:szCs w:val="20"/>
              </w:rPr>
              <w:lastRenderedPageBreak/>
              <w:t xml:space="preserve">Okresný úrad v konaní </w:t>
            </w:r>
            <w:r w:rsidR="006F79BD" w:rsidRPr="008819AF">
              <w:rPr>
                <w:rFonts w:ascii="Times New Roman" w:hAnsi="Times New Roman" w:cs="Times New Roman"/>
                <w:b w:val="0"/>
                <w:bCs w:val="0"/>
                <w:sz w:val="20"/>
                <w:szCs w:val="20"/>
              </w:rPr>
              <w:t xml:space="preserve">pri povolení nového zdroja, pri podstatnej zmene, pri preskúmaní povolenia existujúceho zdroja a pri aktualizácií povolenia, ktorej predmetom je zmena emisných limitov </w:t>
            </w:r>
            <w:r w:rsidRPr="008819AF">
              <w:rPr>
                <w:rFonts w:ascii="Times New Roman" w:hAnsi="Times New Roman" w:cs="Times New Roman"/>
                <w:b w:val="0"/>
                <w:bCs w:val="0"/>
                <w:sz w:val="20"/>
                <w:szCs w:val="20"/>
              </w:rPr>
              <w:t>pre spaľovňu odpadov a pre zariadenie na spoluspaľovanie odpadov</w:t>
            </w:r>
            <w:r w:rsidR="006F79BD" w:rsidRPr="008819AF">
              <w:rPr>
                <w:rFonts w:ascii="Times New Roman" w:hAnsi="Times New Roman" w:cs="Times New Roman"/>
                <w:b w:val="0"/>
                <w:bCs w:val="0"/>
                <w:sz w:val="20"/>
                <w:szCs w:val="20"/>
              </w:rPr>
              <w:t>,</w:t>
            </w:r>
            <w:r w:rsidRPr="008819AF">
              <w:rPr>
                <w:rFonts w:ascii="Times New Roman" w:hAnsi="Times New Roman" w:cs="Times New Roman"/>
                <w:b w:val="0"/>
                <w:bCs w:val="0"/>
                <w:sz w:val="20"/>
                <w:szCs w:val="20"/>
              </w:rPr>
              <w:t xml:space="preserve"> do 15 dní od podania žiadosti: </w:t>
            </w:r>
          </w:p>
          <w:p w14:paraId="151329F9" w14:textId="77777777" w:rsidR="000C6209" w:rsidRPr="008819AF" w:rsidRDefault="000C6209" w:rsidP="00FD20C0">
            <w:pPr>
              <w:pStyle w:val="Nadpis6"/>
              <w:ind w:left="74" w:hanging="74"/>
              <w:rPr>
                <w:rFonts w:ascii="Times New Roman" w:hAnsi="Times New Roman" w:cs="Times New Roman"/>
                <w:b w:val="0"/>
                <w:bCs w:val="0"/>
                <w:sz w:val="20"/>
                <w:szCs w:val="20"/>
              </w:rPr>
            </w:pPr>
            <w:r w:rsidRPr="008819AF">
              <w:rPr>
                <w:rFonts w:ascii="Times New Roman" w:hAnsi="Times New Roman" w:cs="Times New Roman"/>
                <w:b w:val="0"/>
                <w:bCs w:val="0"/>
                <w:sz w:val="20"/>
                <w:szCs w:val="20"/>
              </w:rPr>
              <w:t>a)</w:t>
            </w:r>
            <w:r w:rsidRPr="008819AF">
              <w:rPr>
                <w:rFonts w:ascii="Times New Roman" w:hAnsi="Times New Roman" w:cs="Times New Roman"/>
                <w:b w:val="0"/>
                <w:bCs w:val="0"/>
                <w:sz w:val="20"/>
                <w:szCs w:val="20"/>
              </w:rPr>
              <w:tab/>
              <w:t>zverejní danú žiadosť na verejné pripomienkovanie na svojom webovom sídle a úradnej tabuli najmenej na dobu 21 dní spolu s informáciou o</w:t>
            </w:r>
          </w:p>
          <w:p w14:paraId="151329FA" w14:textId="77777777" w:rsidR="000C6209" w:rsidRPr="008819AF" w:rsidRDefault="000C6209" w:rsidP="006F79BD">
            <w:pPr>
              <w:pStyle w:val="Nadpis6"/>
              <w:ind w:left="175" w:hanging="74"/>
              <w:rPr>
                <w:rFonts w:ascii="Times New Roman" w:hAnsi="Times New Roman" w:cs="Times New Roman"/>
                <w:b w:val="0"/>
                <w:bCs w:val="0"/>
                <w:sz w:val="20"/>
                <w:szCs w:val="20"/>
              </w:rPr>
            </w:pPr>
            <w:r w:rsidRPr="008819AF">
              <w:rPr>
                <w:rFonts w:ascii="Times New Roman" w:hAnsi="Times New Roman" w:cs="Times New Roman"/>
                <w:b w:val="0"/>
                <w:bCs w:val="0"/>
                <w:sz w:val="20"/>
                <w:szCs w:val="20"/>
              </w:rPr>
              <w:t>1.</w:t>
            </w:r>
            <w:r w:rsidRPr="008819AF">
              <w:rPr>
                <w:rFonts w:ascii="Times New Roman" w:hAnsi="Times New Roman" w:cs="Times New Roman"/>
                <w:b w:val="0"/>
                <w:bCs w:val="0"/>
                <w:sz w:val="20"/>
                <w:szCs w:val="20"/>
              </w:rPr>
              <w:tab/>
              <w:t>tom, kde možno do žiadosti nahliadnuť,</w:t>
            </w:r>
          </w:p>
          <w:p w14:paraId="151329FB" w14:textId="77777777" w:rsidR="000C6209" w:rsidRPr="008819AF" w:rsidRDefault="000C6209" w:rsidP="006F79BD">
            <w:pPr>
              <w:pStyle w:val="Nadpis6"/>
              <w:ind w:left="175" w:hanging="74"/>
              <w:rPr>
                <w:rFonts w:ascii="Times New Roman" w:hAnsi="Times New Roman" w:cs="Times New Roman"/>
                <w:b w:val="0"/>
                <w:bCs w:val="0"/>
                <w:sz w:val="20"/>
                <w:szCs w:val="20"/>
              </w:rPr>
            </w:pPr>
            <w:r w:rsidRPr="008819AF">
              <w:rPr>
                <w:rFonts w:ascii="Times New Roman" w:hAnsi="Times New Roman" w:cs="Times New Roman"/>
                <w:b w:val="0"/>
                <w:bCs w:val="0"/>
                <w:sz w:val="20"/>
                <w:szCs w:val="20"/>
              </w:rPr>
              <w:t>2.</w:t>
            </w:r>
            <w:r w:rsidRPr="008819AF">
              <w:rPr>
                <w:rFonts w:ascii="Times New Roman" w:hAnsi="Times New Roman" w:cs="Times New Roman"/>
                <w:b w:val="0"/>
                <w:bCs w:val="0"/>
                <w:sz w:val="20"/>
                <w:szCs w:val="20"/>
              </w:rPr>
              <w:tab/>
              <w:t xml:space="preserve">možnosti podať pripomienky okresnému úradu, </w:t>
            </w:r>
          </w:p>
          <w:p w14:paraId="151329FC" w14:textId="77777777" w:rsidR="000C6209" w:rsidRPr="008819AF" w:rsidRDefault="000C6209" w:rsidP="006F79BD">
            <w:pPr>
              <w:pStyle w:val="Nadpis6"/>
              <w:ind w:left="175" w:hanging="74"/>
              <w:rPr>
                <w:rFonts w:ascii="Times New Roman" w:hAnsi="Times New Roman" w:cs="Times New Roman"/>
                <w:b w:val="0"/>
                <w:bCs w:val="0"/>
                <w:sz w:val="20"/>
                <w:szCs w:val="20"/>
              </w:rPr>
            </w:pPr>
            <w:r w:rsidRPr="008819AF">
              <w:rPr>
                <w:rFonts w:ascii="Times New Roman" w:hAnsi="Times New Roman" w:cs="Times New Roman"/>
                <w:b w:val="0"/>
                <w:bCs w:val="0"/>
                <w:sz w:val="20"/>
                <w:szCs w:val="20"/>
              </w:rPr>
              <w:t>3.</w:t>
            </w:r>
            <w:r w:rsidRPr="008819AF">
              <w:rPr>
                <w:rFonts w:ascii="Times New Roman" w:hAnsi="Times New Roman" w:cs="Times New Roman"/>
                <w:b w:val="0"/>
                <w:bCs w:val="0"/>
                <w:sz w:val="20"/>
                <w:szCs w:val="20"/>
              </w:rPr>
              <w:tab/>
              <w:t xml:space="preserve">termíne a mieste konania verejného prerokovania, </w:t>
            </w:r>
          </w:p>
          <w:p w14:paraId="151329FD" w14:textId="77777777" w:rsidR="000C6209" w:rsidRPr="008819AF" w:rsidRDefault="000C6209" w:rsidP="00FD20C0">
            <w:pPr>
              <w:pStyle w:val="Nadpis6"/>
              <w:ind w:left="74" w:hanging="74"/>
              <w:rPr>
                <w:rFonts w:ascii="Times New Roman" w:hAnsi="Times New Roman" w:cs="Times New Roman"/>
                <w:b w:val="0"/>
                <w:bCs w:val="0"/>
                <w:sz w:val="20"/>
                <w:szCs w:val="20"/>
              </w:rPr>
            </w:pPr>
            <w:r w:rsidRPr="008819AF">
              <w:rPr>
                <w:rFonts w:ascii="Times New Roman" w:hAnsi="Times New Roman" w:cs="Times New Roman"/>
                <w:b w:val="0"/>
                <w:bCs w:val="0"/>
                <w:sz w:val="20"/>
                <w:szCs w:val="20"/>
              </w:rPr>
              <w:t>b)</w:t>
            </w:r>
            <w:r w:rsidRPr="008819AF">
              <w:rPr>
                <w:rFonts w:ascii="Times New Roman" w:hAnsi="Times New Roman" w:cs="Times New Roman"/>
                <w:b w:val="0"/>
                <w:bCs w:val="0"/>
                <w:sz w:val="20"/>
                <w:szCs w:val="20"/>
              </w:rPr>
              <w:tab/>
              <w:t>požiada obec, na ktorej území sa tento zdroj nachádza alebo sa umiestni, aby bezodkladne zverejnila žiadosť a informácie podľa písmena a) na svojom webovom sídle a na úradnej tabuli alebo aj iným spôsobom v mieste obvyklým,</w:t>
            </w:r>
          </w:p>
          <w:p w14:paraId="151329FE" w14:textId="77777777" w:rsidR="000C6209" w:rsidRPr="008819AF" w:rsidRDefault="000C6209" w:rsidP="00FD20C0">
            <w:pPr>
              <w:pStyle w:val="Nadpis6"/>
              <w:ind w:left="216" w:hanging="142"/>
              <w:jc w:val="left"/>
              <w:rPr>
                <w:rFonts w:ascii="Times New Roman" w:hAnsi="Times New Roman" w:cs="Times New Roman"/>
                <w:b w:val="0"/>
                <w:bCs w:val="0"/>
                <w:sz w:val="20"/>
                <w:szCs w:val="20"/>
              </w:rPr>
            </w:pPr>
            <w:r w:rsidRPr="008819AF">
              <w:rPr>
                <w:rFonts w:ascii="Times New Roman" w:hAnsi="Times New Roman" w:cs="Times New Roman"/>
                <w:b w:val="0"/>
                <w:bCs w:val="0"/>
                <w:sz w:val="20"/>
                <w:szCs w:val="20"/>
              </w:rPr>
              <w:t>c)</w:t>
            </w:r>
            <w:r w:rsidRPr="008819AF">
              <w:rPr>
                <w:rFonts w:ascii="Times New Roman" w:hAnsi="Times New Roman" w:cs="Times New Roman"/>
                <w:b w:val="0"/>
                <w:bCs w:val="0"/>
                <w:sz w:val="20"/>
                <w:szCs w:val="20"/>
              </w:rPr>
              <w:tab/>
              <w:t>uskutoční verejné prerokovanie najneskôr do 15 pracovných dní od uplynutia lehoty podľa písmena a).</w:t>
            </w:r>
          </w:p>
          <w:p w14:paraId="151329FF" w14:textId="77777777" w:rsidR="000C6209" w:rsidRPr="008819AF" w:rsidRDefault="000C6209" w:rsidP="00FD20C0">
            <w:pPr>
              <w:rPr>
                <w:lang w:bidi="cs-CZ"/>
              </w:rPr>
            </w:pPr>
          </w:p>
          <w:p w14:paraId="15132A00" w14:textId="77777777" w:rsidR="000C6209" w:rsidRPr="008819AF" w:rsidRDefault="006F79BD" w:rsidP="0021052F">
            <w:pPr>
              <w:rPr>
                <w:rFonts w:eastAsia="Arial"/>
                <w:lang w:bidi="cs-CZ"/>
              </w:rPr>
            </w:pPr>
            <w:r w:rsidRPr="008819AF">
              <w:rPr>
                <w:rFonts w:eastAsia="Arial"/>
                <w:lang w:bidi="cs-CZ"/>
              </w:rPr>
              <w:t>(5)</w:t>
            </w:r>
            <w:r w:rsidRPr="008819AF">
              <w:rPr>
                <w:rFonts w:eastAsia="Arial"/>
                <w:lang w:bidi="cs-CZ"/>
              </w:rPr>
              <w:tab/>
              <w:t>Okresný úrad pri určení požiadaviek na prevádzku zdroja, ktorým je spaľovňa odpadov alebo zariadenie na spoluspaľovanie odpadov, je povinný akceptovať podmienky určené súhlasom a vyjadrením dotknutých orgánov; vyhodnotiť včas podané pripomienky z verejného pripomienkovania a verejného prerokovania a prihliadať na pripomienky, ktoré sú opodstatnené.</w:t>
            </w:r>
          </w:p>
          <w:p w14:paraId="15132A01" w14:textId="77777777" w:rsidR="000C6209" w:rsidRPr="008819AF" w:rsidRDefault="000C6209" w:rsidP="0021052F">
            <w:pPr>
              <w:rPr>
                <w:lang w:bidi="cs-CZ"/>
              </w:rPr>
            </w:pPr>
          </w:p>
          <w:p w14:paraId="15132A02" w14:textId="77777777" w:rsidR="000C6209" w:rsidRPr="008819AF" w:rsidRDefault="000C6209" w:rsidP="0021052F">
            <w:pPr>
              <w:rPr>
                <w:rFonts w:eastAsia="Arial"/>
                <w:lang w:bidi="cs-CZ"/>
              </w:rPr>
            </w:pPr>
            <w:r w:rsidRPr="008819AF">
              <w:rPr>
                <w:rFonts w:eastAsia="Arial"/>
                <w:lang w:bidi="cs-CZ"/>
              </w:rPr>
              <w:t xml:space="preserve">Okresný úrad zverejní vydané povolenie zdroja pre spaľovňu odpadov alebo na zariadenie pre spoluspaľovanie odpadov a jeho aktualizáciu na svojom webovom sídle najmenej na 60 dní od dňa </w:t>
            </w:r>
            <w:r w:rsidRPr="008819AF">
              <w:rPr>
                <w:rFonts w:eastAsia="Arial"/>
                <w:lang w:bidi="cs-CZ"/>
              </w:rPr>
              <w:lastRenderedPageBreak/>
              <w:t>nadobudnutia právoplatnosti. Povolenie zdroja vydané podľa tohto zákona, alebo podľa doterajšieho zákona musí byť počas jeho platnosti prístupné verejnost</w:t>
            </w:r>
            <w:r w:rsidR="006F79BD" w:rsidRPr="008819AF">
              <w:rPr>
                <w:rFonts w:eastAsia="Arial"/>
                <w:lang w:bidi="cs-CZ"/>
              </w:rPr>
              <w:t>i na príslušnom okresnom úrade.</w:t>
            </w:r>
          </w:p>
        </w:tc>
        <w:tc>
          <w:tcPr>
            <w:tcW w:w="429" w:type="dxa"/>
            <w:tcBorders>
              <w:top w:val="single" w:sz="4" w:space="0" w:color="000000"/>
              <w:left w:val="single" w:sz="6" w:space="0" w:color="000000"/>
              <w:bottom w:val="single" w:sz="4" w:space="0" w:color="000000"/>
              <w:right w:val="single" w:sz="6" w:space="0" w:color="000000"/>
            </w:tcBorders>
          </w:tcPr>
          <w:p w14:paraId="15132A03" w14:textId="77777777" w:rsidR="000C6209" w:rsidRPr="008819AF" w:rsidRDefault="000C6209" w:rsidP="0021052F">
            <w:pPr>
              <w:ind w:left="215" w:hanging="215"/>
              <w:rPr>
                <w:rFonts w:eastAsia="Arial"/>
                <w:lang w:bidi="cs-CZ"/>
              </w:rPr>
            </w:pPr>
            <w:r w:rsidRPr="008819AF">
              <w:rPr>
                <w:rFonts w:eastAsia="Arial"/>
                <w:lang w:bidi="cs-CZ"/>
              </w:rPr>
              <w:lastRenderedPageBreak/>
              <w:t>Ú</w:t>
            </w:r>
          </w:p>
          <w:p w14:paraId="15132A04" w14:textId="77777777" w:rsidR="000C6209" w:rsidRPr="008819AF" w:rsidRDefault="000C6209" w:rsidP="0021052F">
            <w:pPr>
              <w:ind w:left="215" w:hanging="215"/>
              <w:rPr>
                <w:rFonts w:eastAsia="Arial"/>
                <w:lang w:bidi="cs-CZ"/>
              </w:rPr>
            </w:pPr>
          </w:p>
          <w:p w14:paraId="15132A05" w14:textId="77777777" w:rsidR="000C6209" w:rsidRPr="008819AF" w:rsidRDefault="000C6209" w:rsidP="0021052F">
            <w:pPr>
              <w:ind w:left="215" w:hanging="215"/>
              <w:rPr>
                <w:rFonts w:eastAsia="Arial"/>
                <w:lang w:bidi="cs-CZ"/>
              </w:rPr>
            </w:pPr>
          </w:p>
          <w:p w14:paraId="15132A06" w14:textId="77777777" w:rsidR="000C6209" w:rsidRPr="008819AF" w:rsidRDefault="000C6209" w:rsidP="0021052F">
            <w:pPr>
              <w:ind w:left="215" w:hanging="215"/>
              <w:rPr>
                <w:rFonts w:eastAsia="Arial"/>
                <w:lang w:bidi="cs-CZ"/>
              </w:rPr>
            </w:pPr>
          </w:p>
          <w:p w14:paraId="15132A07" w14:textId="77777777" w:rsidR="000C6209" w:rsidRPr="008819AF" w:rsidRDefault="000C6209" w:rsidP="0021052F">
            <w:pPr>
              <w:ind w:left="215" w:hanging="215"/>
              <w:rPr>
                <w:rFonts w:eastAsia="Arial"/>
                <w:lang w:bidi="cs-CZ"/>
              </w:rPr>
            </w:pPr>
          </w:p>
          <w:p w14:paraId="15132A08" w14:textId="77777777" w:rsidR="000C6209" w:rsidRPr="008819AF" w:rsidRDefault="000C6209" w:rsidP="0021052F">
            <w:pPr>
              <w:ind w:left="215" w:hanging="215"/>
              <w:rPr>
                <w:rFonts w:eastAsia="Arial"/>
                <w:lang w:bidi="cs-CZ"/>
              </w:rPr>
            </w:pPr>
          </w:p>
          <w:p w14:paraId="15132A09" w14:textId="77777777" w:rsidR="000C6209" w:rsidRPr="008819AF" w:rsidRDefault="000C6209" w:rsidP="0021052F">
            <w:pPr>
              <w:ind w:left="215" w:hanging="215"/>
              <w:rPr>
                <w:rFonts w:eastAsia="Arial"/>
                <w:lang w:bidi="cs-CZ"/>
              </w:rPr>
            </w:pPr>
          </w:p>
          <w:p w14:paraId="15132A0A" w14:textId="77777777" w:rsidR="000C6209" w:rsidRPr="008819AF" w:rsidRDefault="000C6209" w:rsidP="0021052F">
            <w:pPr>
              <w:ind w:left="215" w:hanging="215"/>
              <w:rPr>
                <w:rFonts w:eastAsia="Arial"/>
                <w:lang w:bidi="cs-CZ"/>
              </w:rPr>
            </w:pPr>
          </w:p>
          <w:p w14:paraId="15132A0B" w14:textId="77777777" w:rsidR="000C6209" w:rsidRPr="008819AF" w:rsidRDefault="000C6209" w:rsidP="0021052F">
            <w:pPr>
              <w:ind w:left="215" w:hanging="215"/>
              <w:rPr>
                <w:rFonts w:eastAsia="Arial"/>
                <w:lang w:bidi="cs-CZ"/>
              </w:rPr>
            </w:pPr>
          </w:p>
          <w:p w14:paraId="15132A0C" w14:textId="77777777" w:rsidR="000C6209" w:rsidRPr="008819AF" w:rsidRDefault="000C6209" w:rsidP="0021052F">
            <w:pPr>
              <w:ind w:left="215" w:hanging="215"/>
              <w:rPr>
                <w:rFonts w:eastAsia="Arial"/>
                <w:lang w:bidi="cs-CZ"/>
              </w:rPr>
            </w:pPr>
          </w:p>
          <w:p w14:paraId="15132A0D" w14:textId="77777777" w:rsidR="000C6209" w:rsidRPr="008819AF" w:rsidRDefault="000C6209" w:rsidP="0021052F">
            <w:pPr>
              <w:ind w:left="215" w:hanging="215"/>
              <w:rPr>
                <w:rFonts w:eastAsia="Arial"/>
                <w:lang w:bidi="cs-CZ"/>
              </w:rPr>
            </w:pPr>
          </w:p>
          <w:p w14:paraId="15132A0E" w14:textId="77777777" w:rsidR="000C6209" w:rsidRPr="008819AF" w:rsidRDefault="000C6209" w:rsidP="0021052F">
            <w:pPr>
              <w:ind w:left="215" w:hanging="215"/>
              <w:rPr>
                <w:rFonts w:eastAsia="Arial"/>
                <w:lang w:bidi="cs-CZ"/>
              </w:rPr>
            </w:pPr>
          </w:p>
          <w:p w14:paraId="15132A0F" w14:textId="77777777" w:rsidR="000C6209" w:rsidRPr="008819AF" w:rsidRDefault="000C6209" w:rsidP="0021052F">
            <w:pPr>
              <w:ind w:left="215" w:hanging="215"/>
              <w:rPr>
                <w:rFonts w:eastAsia="Arial"/>
                <w:lang w:bidi="cs-CZ"/>
              </w:rPr>
            </w:pPr>
          </w:p>
          <w:p w14:paraId="15132A10" w14:textId="77777777" w:rsidR="000C6209" w:rsidRPr="008819AF" w:rsidRDefault="000C6209" w:rsidP="0021052F">
            <w:pPr>
              <w:ind w:left="215" w:hanging="215"/>
              <w:rPr>
                <w:rFonts w:eastAsia="Arial"/>
                <w:lang w:bidi="cs-CZ"/>
              </w:rPr>
            </w:pPr>
          </w:p>
          <w:p w14:paraId="15132A11" w14:textId="77777777" w:rsidR="000C6209" w:rsidRPr="008819AF" w:rsidRDefault="000C6209" w:rsidP="0021052F">
            <w:pPr>
              <w:ind w:left="215" w:hanging="215"/>
              <w:rPr>
                <w:rFonts w:eastAsia="Arial"/>
                <w:lang w:bidi="cs-CZ"/>
              </w:rPr>
            </w:pPr>
          </w:p>
          <w:p w14:paraId="15132A12" w14:textId="77777777" w:rsidR="006F79BD" w:rsidRPr="008819AF" w:rsidRDefault="006F79BD" w:rsidP="0021052F">
            <w:pPr>
              <w:ind w:left="215" w:hanging="215"/>
              <w:rPr>
                <w:rFonts w:eastAsia="Arial"/>
                <w:lang w:bidi="cs-CZ"/>
              </w:rPr>
            </w:pPr>
          </w:p>
          <w:p w14:paraId="15132A13" w14:textId="77777777" w:rsidR="006F79BD" w:rsidRPr="008819AF" w:rsidRDefault="006F79BD" w:rsidP="0021052F">
            <w:pPr>
              <w:ind w:left="215" w:hanging="215"/>
              <w:rPr>
                <w:rFonts w:eastAsia="Arial"/>
                <w:lang w:bidi="cs-CZ"/>
              </w:rPr>
            </w:pPr>
          </w:p>
          <w:p w14:paraId="15132A14" w14:textId="77777777" w:rsidR="006F79BD" w:rsidRPr="008819AF" w:rsidRDefault="006F79BD" w:rsidP="0021052F">
            <w:pPr>
              <w:ind w:left="215" w:hanging="215"/>
              <w:rPr>
                <w:rFonts w:eastAsia="Arial"/>
                <w:lang w:bidi="cs-CZ"/>
              </w:rPr>
            </w:pPr>
          </w:p>
          <w:p w14:paraId="15132A15" w14:textId="77777777" w:rsidR="006F79BD" w:rsidRPr="008819AF" w:rsidRDefault="006F79BD" w:rsidP="0021052F">
            <w:pPr>
              <w:ind w:left="215" w:hanging="215"/>
              <w:rPr>
                <w:rFonts w:eastAsia="Arial"/>
                <w:lang w:bidi="cs-CZ"/>
              </w:rPr>
            </w:pPr>
          </w:p>
          <w:p w14:paraId="15132A16" w14:textId="77777777" w:rsidR="006F79BD" w:rsidRPr="008819AF" w:rsidRDefault="006F79BD" w:rsidP="0021052F">
            <w:pPr>
              <w:ind w:left="215" w:hanging="215"/>
              <w:rPr>
                <w:rFonts w:eastAsia="Arial"/>
                <w:lang w:bidi="cs-CZ"/>
              </w:rPr>
            </w:pPr>
          </w:p>
          <w:p w14:paraId="15132A17" w14:textId="77777777" w:rsidR="000C6209" w:rsidRPr="008819AF" w:rsidRDefault="000C6209" w:rsidP="0021052F">
            <w:pPr>
              <w:ind w:left="215" w:hanging="215"/>
              <w:rPr>
                <w:rFonts w:eastAsia="Arial"/>
                <w:lang w:bidi="cs-CZ"/>
              </w:rPr>
            </w:pPr>
          </w:p>
          <w:p w14:paraId="15132A18" w14:textId="77777777" w:rsidR="000C6209" w:rsidRPr="008819AF" w:rsidRDefault="000C6209" w:rsidP="0021052F">
            <w:pPr>
              <w:ind w:left="215" w:hanging="215"/>
              <w:rPr>
                <w:rFonts w:eastAsia="Arial"/>
                <w:lang w:bidi="cs-CZ"/>
              </w:rPr>
            </w:pPr>
            <w:r w:rsidRPr="008819AF">
              <w:rPr>
                <w:rFonts w:eastAsia="Arial"/>
                <w:lang w:bidi="cs-CZ"/>
              </w:rPr>
              <w:t>Ú</w:t>
            </w:r>
          </w:p>
          <w:p w14:paraId="15132A19" w14:textId="77777777" w:rsidR="000C6209" w:rsidRPr="008819AF" w:rsidRDefault="000C6209" w:rsidP="0021052F">
            <w:pPr>
              <w:ind w:left="215" w:hanging="215"/>
              <w:rPr>
                <w:rFonts w:eastAsia="Arial"/>
                <w:lang w:bidi="cs-CZ"/>
              </w:rPr>
            </w:pPr>
          </w:p>
          <w:p w14:paraId="15132A1A" w14:textId="77777777" w:rsidR="000C6209" w:rsidRPr="008819AF" w:rsidRDefault="000C6209" w:rsidP="0021052F">
            <w:pPr>
              <w:ind w:left="215" w:hanging="215"/>
              <w:rPr>
                <w:rFonts w:eastAsia="Arial"/>
                <w:lang w:bidi="cs-CZ"/>
              </w:rPr>
            </w:pPr>
          </w:p>
          <w:p w14:paraId="15132A1B" w14:textId="77777777" w:rsidR="000C6209" w:rsidRPr="008819AF" w:rsidRDefault="000C6209" w:rsidP="0021052F">
            <w:pPr>
              <w:ind w:left="215" w:hanging="215"/>
              <w:rPr>
                <w:rFonts w:eastAsia="Arial"/>
                <w:lang w:bidi="cs-CZ"/>
              </w:rPr>
            </w:pPr>
          </w:p>
          <w:p w14:paraId="15132A1C" w14:textId="77777777" w:rsidR="000C6209" w:rsidRPr="008819AF" w:rsidRDefault="000C6209" w:rsidP="0021052F">
            <w:pPr>
              <w:ind w:left="215" w:hanging="215"/>
              <w:rPr>
                <w:rFonts w:eastAsia="Arial"/>
                <w:lang w:bidi="cs-CZ"/>
              </w:rPr>
            </w:pPr>
          </w:p>
          <w:p w14:paraId="15132A1D" w14:textId="77777777" w:rsidR="006F79BD" w:rsidRPr="008819AF" w:rsidRDefault="006F79BD" w:rsidP="0021052F">
            <w:pPr>
              <w:ind w:left="215" w:hanging="215"/>
              <w:rPr>
                <w:rFonts w:eastAsia="Arial"/>
                <w:lang w:bidi="cs-CZ"/>
              </w:rPr>
            </w:pPr>
          </w:p>
          <w:p w14:paraId="15132A1E" w14:textId="77777777" w:rsidR="006F79BD" w:rsidRPr="008819AF" w:rsidRDefault="006F79BD" w:rsidP="0021052F">
            <w:pPr>
              <w:ind w:left="215" w:hanging="215"/>
              <w:rPr>
                <w:rFonts w:eastAsia="Arial"/>
                <w:lang w:bidi="cs-CZ"/>
              </w:rPr>
            </w:pPr>
          </w:p>
          <w:p w14:paraId="15132A1F" w14:textId="77777777" w:rsidR="000C6209" w:rsidRPr="008819AF" w:rsidRDefault="000C6209" w:rsidP="0021052F">
            <w:pPr>
              <w:ind w:left="215" w:hanging="215"/>
              <w:rPr>
                <w:rFonts w:eastAsia="Arial"/>
                <w:lang w:bidi="cs-CZ"/>
              </w:rPr>
            </w:pPr>
            <w:r w:rsidRPr="008819AF">
              <w:rPr>
                <w:rFonts w:eastAsia="Arial"/>
                <w:lang w:bidi="cs-CZ"/>
              </w:rPr>
              <w:lastRenderedPageBreak/>
              <w:t>Ú</w:t>
            </w:r>
          </w:p>
        </w:tc>
        <w:tc>
          <w:tcPr>
            <w:tcW w:w="821" w:type="dxa"/>
            <w:gridSpan w:val="3"/>
            <w:tcBorders>
              <w:top w:val="single" w:sz="4" w:space="0" w:color="000000"/>
              <w:left w:val="single" w:sz="6" w:space="0" w:color="000000"/>
              <w:bottom w:val="single" w:sz="4" w:space="0" w:color="000000"/>
              <w:right w:val="single" w:sz="6" w:space="0" w:color="000000"/>
            </w:tcBorders>
          </w:tcPr>
          <w:p w14:paraId="15132A20" w14:textId="77777777" w:rsidR="000C6209" w:rsidRPr="008819AF" w:rsidRDefault="000C6209" w:rsidP="0021052F">
            <w:pPr>
              <w:ind w:left="215" w:hanging="215"/>
              <w:rPr>
                <w:rFonts w:eastAsia="Arial"/>
                <w:lang w:bidi="cs-CZ"/>
              </w:rPr>
            </w:pPr>
          </w:p>
        </w:tc>
      </w:tr>
      <w:tr w:rsidR="000C6209" w:rsidRPr="008819AF" w14:paraId="15132A55" w14:textId="77777777" w:rsidTr="003E351D">
        <w:trPr>
          <w:trHeight w:val="823"/>
          <w:jc w:val="center"/>
        </w:trPr>
        <w:tc>
          <w:tcPr>
            <w:tcW w:w="483" w:type="dxa"/>
            <w:tcBorders>
              <w:top w:val="single" w:sz="4" w:space="0" w:color="000000"/>
              <w:left w:val="single" w:sz="6" w:space="0" w:color="000000"/>
              <w:bottom w:val="single" w:sz="4" w:space="0" w:color="000000"/>
              <w:right w:val="single" w:sz="6" w:space="0" w:color="000000"/>
            </w:tcBorders>
          </w:tcPr>
          <w:p w14:paraId="15132A22" w14:textId="77777777" w:rsidR="000C6209" w:rsidRPr="008819AF" w:rsidRDefault="000C6209" w:rsidP="003E351D">
            <w:pPr>
              <w:ind w:right="-70"/>
              <w:rPr>
                <w:rFonts w:eastAsia="Arial"/>
                <w:lang w:bidi="cs-CZ"/>
              </w:rPr>
            </w:pPr>
          </w:p>
        </w:tc>
        <w:tc>
          <w:tcPr>
            <w:tcW w:w="6227" w:type="dxa"/>
            <w:gridSpan w:val="2"/>
            <w:tcBorders>
              <w:top w:val="single" w:sz="4" w:space="0" w:color="000000"/>
              <w:left w:val="single" w:sz="6" w:space="0" w:color="000000"/>
              <w:bottom w:val="single" w:sz="4" w:space="0" w:color="000000"/>
              <w:right w:val="single" w:sz="6" w:space="0" w:color="000000"/>
            </w:tcBorders>
          </w:tcPr>
          <w:p w14:paraId="15132A23" w14:textId="77777777" w:rsidR="000C6209" w:rsidRPr="008819AF" w:rsidRDefault="000C6209" w:rsidP="00B65BAF">
            <w:pPr>
              <w:rPr>
                <w:rFonts w:eastAsia="Arial"/>
              </w:rPr>
            </w:pPr>
            <w:r w:rsidRPr="008819AF">
              <w:rPr>
                <w:rFonts w:eastAsia="Arial"/>
              </w:rPr>
              <w:t>2. Pre spaľovne odpadov a zariadenia na spoluspaľovanie odpadov s menovitou kapacitou dve tony alebo viac za hodinu musí správa uvedená v článku 72 obsahovať informácie o fungovaní a monitorovaní zariadenia, ako aj o priebehu procesu spaľovania alebo spoluspaľovania a úrovni znečisťovania ovzdušia a vody v porovnaní s emisnými limitami. Tieto informácie sa sprístupnia verejnosti.</w:t>
            </w:r>
          </w:p>
        </w:tc>
        <w:tc>
          <w:tcPr>
            <w:tcW w:w="542" w:type="dxa"/>
            <w:gridSpan w:val="2"/>
            <w:tcBorders>
              <w:top w:val="single" w:sz="4" w:space="0" w:color="000000"/>
              <w:left w:val="single" w:sz="6" w:space="0" w:color="000000"/>
              <w:bottom w:val="single" w:sz="4" w:space="0" w:color="000000"/>
              <w:right w:val="single" w:sz="6" w:space="0" w:color="000000"/>
            </w:tcBorders>
            <w:noWrap/>
          </w:tcPr>
          <w:p w14:paraId="15132A24" w14:textId="77777777" w:rsidR="000C6209" w:rsidRPr="008819AF" w:rsidRDefault="000C6209" w:rsidP="0021052F">
            <w:pPr>
              <w:ind w:left="215" w:hanging="215"/>
              <w:jc w:val="center"/>
              <w:rPr>
                <w:rFonts w:eastAsia="Arial"/>
                <w:lang w:bidi="cs-CZ"/>
              </w:rPr>
            </w:pPr>
            <w:r w:rsidRPr="008819AF">
              <w:rPr>
                <w:rFonts w:eastAsia="Arial"/>
                <w:lang w:bidi="cs-CZ"/>
              </w:rPr>
              <w:t>N</w:t>
            </w:r>
          </w:p>
          <w:p w14:paraId="15132A25" w14:textId="77777777" w:rsidR="000C6209" w:rsidRPr="008819AF" w:rsidRDefault="000C6209" w:rsidP="0021052F">
            <w:pPr>
              <w:ind w:left="215" w:hanging="215"/>
              <w:jc w:val="center"/>
              <w:rPr>
                <w:rFonts w:eastAsia="Arial"/>
                <w:lang w:bidi="cs-CZ"/>
              </w:rPr>
            </w:pPr>
          </w:p>
          <w:p w14:paraId="15132A26" w14:textId="77777777" w:rsidR="000C6209" w:rsidRPr="008819AF" w:rsidRDefault="000C6209" w:rsidP="0021052F">
            <w:pPr>
              <w:ind w:left="215" w:hanging="215"/>
              <w:jc w:val="center"/>
              <w:rPr>
                <w:rFonts w:eastAsia="Arial"/>
                <w:lang w:bidi="cs-CZ"/>
              </w:rPr>
            </w:pPr>
          </w:p>
          <w:p w14:paraId="15132A27" w14:textId="77777777" w:rsidR="000C6209" w:rsidRPr="008819AF" w:rsidRDefault="000C6209" w:rsidP="0021052F">
            <w:pPr>
              <w:ind w:left="215" w:hanging="215"/>
              <w:jc w:val="center"/>
              <w:rPr>
                <w:rFonts w:eastAsia="Arial"/>
                <w:lang w:bidi="cs-CZ"/>
              </w:rPr>
            </w:pPr>
          </w:p>
          <w:p w14:paraId="15132A28" w14:textId="77777777" w:rsidR="000C6209" w:rsidRPr="008819AF" w:rsidRDefault="000C6209" w:rsidP="0021052F">
            <w:pPr>
              <w:ind w:left="215" w:hanging="215"/>
              <w:jc w:val="center"/>
              <w:rPr>
                <w:rFonts w:eastAsia="Arial"/>
                <w:lang w:bidi="cs-CZ"/>
              </w:rPr>
            </w:pPr>
          </w:p>
          <w:p w14:paraId="15132A29" w14:textId="77777777" w:rsidR="000C6209" w:rsidRPr="008819AF" w:rsidRDefault="000C6209" w:rsidP="0021052F">
            <w:pPr>
              <w:ind w:left="215" w:hanging="215"/>
              <w:jc w:val="center"/>
              <w:rPr>
                <w:rFonts w:eastAsia="Arial"/>
                <w:lang w:bidi="cs-CZ"/>
              </w:rPr>
            </w:pPr>
          </w:p>
          <w:p w14:paraId="15132A2A" w14:textId="77777777" w:rsidR="000C6209" w:rsidRPr="008819AF" w:rsidRDefault="000C6209" w:rsidP="0021052F">
            <w:pPr>
              <w:ind w:left="215" w:hanging="215"/>
              <w:jc w:val="center"/>
              <w:rPr>
                <w:rFonts w:eastAsia="Arial"/>
                <w:lang w:bidi="cs-CZ"/>
              </w:rPr>
            </w:pPr>
          </w:p>
          <w:p w14:paraId="15132A2B" w14:textId="77777777" w:rsidR="000C6209" w:rsidRPr="008819AF" w:rsidRDefault="000C6209" w:rsidP="0021052F">
            <w:pPr>
              <w:ind w:left="215" w:hanging="215"/>
              <w:jc w:val="center"/>
              <w:rPr>
                <w:rFonts w:eastAsia="Arial"/>
                <w:lang w:bidi="cs-CZ"/>
              </w:rPr>
            </w:pPr>
          </w:p>
          <w:p w14:paraId="15132A2C" w14:textId="77777777" w:rsidR="000C6209" w:rsidRPr="008819AF" w:rsidRDefault="000C6209" w:rsidP="0021052F">
            <w:pPr>
              <w:ind w:left="215" w:hanging="215"/>
              <w:jc w:val="center"/>
              <w:rPr>
                <w:rFonts w:eastAsia="Arial"/>
                <w:lang w:bidi="cs-CZ"/>
              </w:rPr>
            </w:pPr>
          </w:p>
          <w:p w14:paraId="15132A2D" w14:textId="77777777" w:rsidR="00B65BAF" w:rsidRPr="008819AF" w:rsidRDefault="00B65BAF" w:rsidP="0021052F">
            <w:pPr>
              <w:ind w:left="215" w:hanging="215"/>
              <w:jc w:val="center"/>
              <w:rPr>
                <w:rFonts w:eastAsia="Arial"/>
                <w:lang w:bidi="cs-CZ"/>
              </w:rPr>
            </w:pPr>
          </w:p>
          <w:p w14:paraId="15132A2E" w14:textId="77777777" w:rsidR="00B65BAF" w:rsidRPr="008819AF" w:rsidRDefault="00B65BAF" w:rsidP="0021052F">
            <w:pPr>
              <w:ind w:left="215" w:hanging="215"/>
              <w:jc w:val="center"/>
              <w:rPr>
                <w:rFonts w:eastAsia="Arial"/>
                <w:lang w:bidi="cs-CZ"/>
              </w:rPr>
            </w:pPr>
          </w:p>
          <w:p w14:paraId="15132A2F" w14:textId="77777777" w:rsidR="000C6209" w:rsidRPr="008819AF" w:rsidRDefault="000C6209"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4" w:space="0" w:color="000000"/>
              <w:right w:val="single" w:sz="6" w:space="0" w:color="000000"/>
            </w:tcBorders>
          </w:tcPr>
          <w:p w14:paraId="15132A30" w14:textId="77777777" w:rsidR="000C6209" w:rsidRPr="008819AF" w:rsidRDefault="000C6209" w:rsidP="0021052F">
            <w:pPr>
              <w:jc w:val="center"/>
              <w:rPr>
                <w:rFonts w:eastAsia="Arial"/>
                <w:lang w:bidi="cs-CZ"/>
              </w:rPr>
            </w:pPr>
            <w:r w:rsidRPr="008819AF">
              <w:rPr>
                <w:rFonts w:eastAsia="Arial"/>
                <w:lang w:bidi="cs-CZ"/>
              </w:rPr>
              <w:t>NZ</w:t>
            </w:r>
          </w:p>
          <w:p w14:paraId="15132A31" w14:textId="77777777" w:rsidR="000C6209" w:rsidRPr="008819AF" w:rsidRDefault="000C6209" w:rsidP="0021052F">
            <w:pPr>
              <w:jc w:val="center"/>
              <w:rPr>
                <w:rFonts w:eastAsia="Arial"/>
                <w:lang w:bidi="cs-CZ"/>
              </w:rPr>
            </w:pPr>
          </w:p>
          <w:p w14:paraId="15132A32" w14:textId="77777777" w:rsidR="000C6209" w:rsidRPr="008819AF" w:rsidRDefault="000C6209" w:rsidP="0021052F">
            <w:pPr>
              <w:jc w:val="center"/>
              <w:rPr>
                <w:rFonts w:eastAsia="Arial"/>
                <w:lang w:bidi="cs-CZ"/>
              </w:rPr>
            </w:pPr>
          </w:p>
          <w:p w14:paraId="15132A33" w14:textId="77777777" w:rsidR="000C6209" w:rsidRPr="008819AF" w:rsidRDefault="000C6209" w:rsidP="0021052F">
            <w:pPr>
              <w:jc w:val="center"/>
              <w:rPr>
                <w:rFonts w:eastAsia="Arial"/>
                <w:lang w:bidi="cs-CZ"/>
              </w:rPr>
            </w:pPr>
          </w:p>
          <w:p w14:paraId="15132A34" w14:textId="77777777" w:rsidR="000C6209" w:rsidRPr="008819AF" w:rsidRDefault="000C6209" w:rsidP="0021052F">
            <w:pPr>
              <w:jc w:val="center"/>
              <w:rPr>
                <w:rFonts w:eastAsia="Arial"/>
                <w:lang w:bidi="cs-CZ"/>
              </w:rPr>
            </w:pPr>
          </w:p>
          <w:p w14:paraId="15132A35" w14:textId="77777777" w:rsidR="000C6209" w:rsidRPr="008819AF" w:rsidRDefault="000C6209" w:rsidP="0021052F">
            <w:pPr>
              <w:jc w:val="center"/>
              <w:rPr>
                <w:rFonts w:eastAsia="Arial"/>
                <w:lang w:bidi="cs-CZ"/>
              </w:rPr>
            </w:pPr>
          </w:p>
          <w:p w14:paraId="15132A36" w14:textId="77777777" w:rsidR="000C6209" w:rsidRPr="008819AF" w:rsidRDefault="000C6209" w:rsidP="0021052F">
            <w:pPr>
              <w:jc w:val="center"/>
              <w:rPr>
                <w:rFonts w:eastAsia="Arial"/>
                <w:lang w:bidi="cs-CZ"/>
              </w:rPr>
            </w:pPr>
          </w:p>
          <w:p w14:paraId="15132A37" w14:textId="77777777" w:rsidR="000C6209" w:rsidRPr="008819AF" w:rsidRDefault="000C6209" w:rsidP="0021052F">
            <w:pPr>
              <w:jc w:val="center"/>
              <w:rPr>
                <w:rFonts w:eastAsia="Arial"/>
                <w:lang w:bidi="cs-CZ"/>
              </w:rPr>
            </w:pPr>
          </w:p>
          <w:p w14:paraId="15132A38" w14:textId="77777777" w:rsidR="000C6209" w:rsidRPr="008819AF" w:rsidRDefault="000C6209" w:rsidP="0021052F">
            <w:pPr>
              <w:jc w:val="center"/>
              <w:rPr>
                <w:rFonts w:eastAsia="Arial"/>
                <w:lang w:bidi="cs-CZ"/>
              </w:rPr>
            </w:pPr>
          </w:p>
          <w:p w14:paraId="15132A39" w14:textId="77777777" w:rsidR="000C6209" w:rsidRPr="008819AF" w:rsidRDefault="000C6209" w:rsidP="0021052F">
            <w:pPr>
              <w:jc w:val="center"/>
              <w:rPr>
                <w:rFonts w:eastAsia="Arial"/>
                <w:lang w:bidi="cs-CZ"/>
              </w:rPr>
            </w:pPr>
          </w:p>
          <w:p w14:paraId="15132A3A" w14:textId="77777777" w:rsidR="000C6209" w:rsidRPr="008819AF" w:rsidRDefault="000C6209" w:rsidP="0021052F">
            <w:pPr>
              <w:jc w:val="center"/>
              <w:rPr>
                <w:rFonts w:eastAsia="Arial"/>
                <w:lang w:bidi="cs-CZ"/>
              </w:rPr>
            </w:pPr>
          </w:p>
          <w:p w14:paraId="15132A3B" w14:textId="77777777" w:rsidR="000C6209" w:rsidRPr="008819AF" w:rsidRDefault="000C6209" w:rsidP="0021052F">
            <w:pPr>
              <w:jc w:val="center"/>
              <w:rPr>
                <w:rFonts w:eastAsia="Arial"/>
                <w:lang w:bidi="cs-CZ"/>
              </w:rPr>
            </w:pPr>
            <w:r w:rsidRPr="008819AF">
              <w:rPr>
                <w:rFonts w:eastAsia="Arial"/>
                <w:lang w:bidi="cs-CZ"/>
              </w:rPr>
              <w:t>NV3</w:t>
            </w:r>
          </w:p>
          <w:p w14:paraId="15132A3C" w14:textId="77777777" w:rsidR="000C6209" w:rsidRPr="008819AF" w:rsidRDefault="000C6209"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15132A3D" w14:textId="77777777" w:rsidR="000C6209" w:rsidRPr="008819AF" w:rsidRDefault="000C6209" w:rsidP="0021052F">
            <w:pPr>
              <w:pStyle w:val="Nadpis6"/>
              <w:ind w:left="0" w:firstLine="0"/>
              <w:jc w:val="center"/>
              <w:rPr>
                <w:rFonts w:ascii="Times New Roman" w:hAnsi="Times New Roman" w:cs="Times New Roman"/>
                <w:b w:val="0"/>
                <w:bCs w:val="0"/>
                <w:sz w:val="20"/>
                <w:szCs w:val="20"/>
              </w:rPr>
            </w:pPr>
            <w:r w:rsidRPr="008819AF">
              <w:rPr>
                <w:rFonts w:ascii="Times New Roman" w:hAnsi="Times New Roman" w:cs="Times New Roman"/>
                <w:b w:val="0"/>
                <w:bCs w:val="0"/>
                <w:sz w:val="20"/>
                <w:szCs w:val="20"/>
              </w:rPr>
              <w:t>§ 34</w:t>
            </w:r>
          </w:p>
          <w:p w14:paraId="15132A3E" w14:textId="77777777" w:rsidR="000C6209" w:rsidRPr="008819AF" w:rsidRDefault="000C6209" w:rsidP="0021052F">
            <w:pPr>
              <w:pStyle w:val="Nadpis6"/>
              <w:ind w:left="0" w:firstLine="0"/>
              <w:jc w:val="center"/>
              <w:rPr>
                <w:rFonts w:ascii="Times New Roman" w:hAnsi="Times New Roman" w:cs="Times New Roman"/>
                <w:b w:val="0"/>
                <w:bCs w:val="0"/>
                <w:sz w:val="20"/>
                <w:szCs w:val="20"/>
              </w:rPr>
            </w:pPr>
            <w:r w:rsidRPr="008819AF">
              <w:rPr>
                <w:rFonts w:ascii="Times New Roman" w:hAnsi="Times New Roman" w:cs="Times New Roman"/>
                <w:b w:val="0"/>
                <w:bCs w:val="0"/>
                <w:sz w:val="20"/>
                <w:szCs w:val="20"/>
              </w:rPr>
              <w:t>O 2</w:t>
            </w:r>
          </w:p>
          <w:p w14:paraId="15132A3F" w14:textId="77777777" w:rsidR="000C6209" w:rsidRPr="008819AF" w:rsidRDefault="000C6209" w:rsidP="0021052F">
            <w:pPr>
              <w:pStyle w:val="Nadpis6"/>
              <w:ind w:left="0" w:firstLine="0"/>
              <w:jc w:val="center"/>
              <w:rPr>
                <w:rFonts w:ascii="Times New Roman" w:hAnsi="Times New Roman" w:cs="Times New Roman"/>
                <w:b w:val="0"/>
                <w:bCs w:val="0"/>
                <w:sz w:val="20"/>
                <w:szCs w:val="20"/>
              </w:rPr>
            </w:pPr>
            <w:r w:rsidRPr="008819AF">
              <w:rPr>
                <w:rFonts w:ascii="Times New Roman" w:hAnsi="Times New Roman" w:cs="Times New Roman"/>
                <w:b w:val="0"/>
                <w:bCs w:val="0"/>
                <w:sz w:val="20"/>
                <w:szCs w:val="20"/>
              </w:rPr>
              <w:t>P f)</w:t>
            </w:r>
          </w:p>
          <w:p w14:paraId="15132A40" w14:textId="77777777" w:rsidR="000C6209" w:rsidRPr="008819AF" w:rsidRDefault="000C6209" w:rsidP="0021052F">
            <w:pPr>
              <w:ind w:left="215" w:hanging="215"/>
              <w:jc w:val="center"/>
              <w:rPr>
                <w:rFonts w:eastAsia="Arial"/>
                <w:lang w:bidi="cs-CZ"/>
              </w:rPr>
            </w:pPr>
          </w:p>
          <w:p w14:paraId="15132A41" w14:textId="77777777" w:rsidR="000C6209" w:rsidRPr="008819AF" w:rsidRDefault="000C6209" w:rsidP="0021052F">
            <w:pPr>
              <w:ind w:left="215" w:hanging="215"/>
              <w:jc w:val="center"/>
              <w:rPr>
                <w:rFonts w:eastAsia="Arial"/>
                <w:lang w:bidi="cs-CZ"/>
              </w:rPr>
            </w:pPr>
          </w:p>
          <w:p w14:paraId="15132A42" w14:textId="77777777" w:rsidR="000C6209" w:rsidRPr="008819AF" w:rsidRDefault="000C6209" w:rsidP="0021052F">
            <w:pPr>
              <w:jc w:val="center"/>
              <w:rPr>
                <w:rFonts w:eastAsia="Arial"/>
                <w:lang w:bidi="cs-CZ"/>
              </w:rPr>
            </w:pPr>
          </w:p>
          <w:p w14:paraId="15132A43" w14:textId="77777777" w:rsidR="000C6209" w:rsidRPr="008819AF" w:rsidRDefault="000C6209" w:rsidP="0021052F">
            <w:pPr>
              <w:jc w:val="center"/>
              <w:rPr>
                <w:rFonts w:eastAsia="Arial"/>
                <w:lang w:bidi="cs-CZ"/>
              </w:rPr>
            </w:pPr>
          </w:p>
          <w:p w14:paraId="15132A44" w14:textId="77777777" w:rsidR="000C6209" w:rsidRPr="008819AF" w:rsidRDefault="000C6209" w:rsidP="0021052F">
            <w:pPr>
              <w:jc w:val="center"/>
              <w:rPr>
                <w:rFonts w:eastAsia="Arial"/>
                <w:lang w:bidi="cs-CZ"/>
              </w:rPr>
            </w:pPr>
          </w:p>
          <w:p w14:paraId="15132A45" w14:textId="77777777" w:rsidR="000C6209" w:rsidRPr="008819AF" w:rsidRDefault="000C6209" w:rsidP="0021052F">
            <w:pPr>
              <w:jc w:val="center"/>
              <w:rPr>
                <w:rFonts w:eastAsia="Arial"/>
                <w:lang w:bidi="cs-CZ"/>
              </w:rPr>
            </w:pPr>
          </w:p>
          <w:p w14:paraId="15132A46" w14:textId="77777777" w:rsidR="00B65BAF" w:rsidRPr="008819AF" w:rsidRDefault="00B65BAF" w:rsidP="0021052F">
            <w:pPr>
              <w:jc w:val="center"/>
              <w:rPr>
                <w:rFonts w:eastAsia="Arial"/>
                <w:lang w:bidi="cs-CZ"/>
              </w:rPr>
            </w:pPr>
          </w:p>
          <w:p w14:paraId="15132A47" w14:textId="77777777" w:rsidR="00B65BAF" w:rsidRPr="008819AF" w:rsidRDefault="00B65BAF" w:rsidP="0021052F">
            <w:pPr>
              <w:jc w:val="center"/>
              <w:rPr>
                <w:rFonts w:eastAsia="Arial"/>
                <w:lang w:bidi="cs-CZ"/>
              </w:rPr>
            </w:pPr>
          </w:p>
          <w:p w14:paraId="15132A48" w14:textId="4143B678" w:rsidR="000C6209" w:rsidRPr="008819AF" w:rsidRDefault="00AA25D6" w:rsidP="0021052F">
            <w:pPr>
              <w:jc w:val="center"/>
              <w:rPr>
                <w:rFonts w:eastAsia="Arial"/>
                <w:lang w:bidi="cs-CZ"/>
              </w:rPr>
            </w:pPr>
            <w:r w:rsidRPr="008819AF">
              <w:rPr>
                <w:rFonts w:eastAsia="Arial"/>
                <w:lang w:bidi="cs-CZ"/>
              </w:rPr>
              <w:t>Pr 5</w:t>
            </w:r>
          </w:p>
          <w:p w14:paraId="15132A49" w14:textId="77777777" w:rsidR="000C6209" w:rsidRPr="008819AF" w:rsidRDefault="000C6209" w:rsidP="00B65BAF">
            <w:pPr>
              <w:jc w:val="center"/>
              <w:rPr>
                <w:rFonts w:eastAsia="Arial"/>
                <w:lang w:bidi="cs-CZ"/>
              </w:rPr>
            </w:pPr>
          </w:p>
        </w:tc>
        <w:tc>
          <w:tcPr>
            <w:tcW w:w="5664" w:type="dxa"/>
            <w:gridSpan w:val="5"/>
            <w:tcBorders>
              <w:top w:val="single" w:sz="4" w:space="0" w:color="000000"/>
              <w:left w:val="single" w:sz="6" w:space="0" w:color="000000"/>
              <w:bottom w:val="single" w:sz="4" w:space="0" w:color="000000"/>
              <w:right w:val="single" w:sz="6" w:space="0" w:color="000000"/>
            </w:tcBorders>
          </w:tcPr>
          <w:p w14:paraId="15132A4A" w14:textId="77777777" w:rsidR="000C6209" w:rsidRPr="008819AF" w:rsidRDefault="000C6209" w:rsidP="00AE4896">
            <w:pPr>
              <w:rPr>
                <w:rFonts w:eastAsia="Arial"/>
                <w:lang w:bidi="cs-CZ"/>
              </w:rPr>
            </w:pPr>
            <w:r w:rsidRPr="008819AF">
              <w:rPr>
                <w:rFonts w:eastAsia="Arial"/>
                <w:lang w:bidi="cs-CZ"/>
              </w:rPr>
              <w:t>Prevádzkovateľ veľkého zdroja a prevádzkovateľ stredného zdroja vo veciach vedenia prevádzkovej evidencie, zisťovania množstva emisií, oznamovania údajov o emisiách a zdroji,  predkladania správ, súboru parametrov a opatrení, a programov na zníženie množstva emisií a informovania verejnosti je povinný</w:t>
            </w:r>
          </w:p>
          <w:p w14:paraId="15132A4B" w14:textId="77777777" w:rsidR="000C6209" w:rsidRPr="008819AF" w:rsidRDefault="000C6209" w:rsidP="009C63CF">
            <w:pPr>
              <w:numPr>
                <w:ilvl w:val="0"/>
                <w:numId w:val="65"/>
              </w:numPr>
              <w:rPr>
                <w:rFonts w:eastAsia="Arial"/>
                <w:lang w:bidi="cs-CZ"/>
              </w:rPr>
            </w:pPr>
            <w:r w:rsidRPr="008819AF">
              <w:rPr>
                <w:rFonts w:eastAsia="Arial"/>
                <w:lang w:bidi="cs-CZ"/>
              </w:rPr>
              <w:t xml:space="preserve">vypracovať a predkladať každoročne správu o prevádzke stacionárneho zdroja podľa vykonávacieho predpisu § 62 písm. h), ak ide o spaľovňu odpadov alebo zariadenie na spoluspaľovanie odpadov s kapacitou dve a viac ton spaľovaného odpadu za hodinu, do </w:t>
            </w:r>
            <w:r w:rsidR="006F79BD" w:rsidRPr="008819AF">
              <w:rPr>
                <w:rFonts w:eastAsia="Arial"/>
                <w:lang w:bidi="cs-CZ"/>
              </w:rPr>
              <w:t>konca</w:t>
            </w:r>
            <w:r w:rsidRPr="008819AF">
              <w:rPr>
                <w:rFonts w:eastAsia="Arial"/>
                <w:lang w:bidi="cs-CZ"/>
              </w:rPr>
              <w:t xml:space="preserve"> februára nasledujúceho roka,</w:t>
            </w:r>
          </w:p>
          <w:p w14:paraId="15132A4C" w14:textId="77777777" w:rsidR="006F79BD" w:rsidRPr="008819AF" w:rsidRDefault="006F79BD" w:rsidP="00B65BAF">
            <w:pPr>
              <w:rPr>
                <w:rFonts w:eastAsia="Arial"/>
                <w:lang w:bidi="cs-CZ"/>
              </w:rPr>
            </w:pPr>
          </w:p>
          <w:p w14:paraId="0E630FF5" w14:textId="77777777" w:rsidR="00AA25D6" w:rsidRPr="008819AF" w:rsidRDefault="00AA25D6" w:rsidP="00AA25D6">
            <w:pPr>
              <w:jc w:val="both"/>
              <w:rPr>
                <w:rFonts w:eastAsia="Arial"/>
                <w:lang w:bidi="cs-CZ"/>
              </w:rPr>
            </w:pPr>
            <w:r w:rsidRPr="008819AF">
              <w:rPr>
                <w:rFonts w:eastAsia="Arial"/>
                <w:lang w:bidi="cs-CZ"/>
              </w:rPr>
              <w:t>(1)</w:t>
            </w:r>
            <w:r w:rsidRPr="008819AF">
              <w:rPr>
                <w:rFonts w:eastAsia="Arial"/>
                <w:lang w:bidi="cs-CZ"/>
              </w:rPr>
              <w:tab/>
              <w:t>Údaje o zdroji znečisťovania ovzdušia</w:t>
            </w:r>
          </w:p>
          <w:p w14:paraId="0967DA1D"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názov a sídlo prevádzkovateľa</w:t>
            </w:r>
          </w:p>
          <w:p w14:paraId="70272F2C"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Identifikačné údaje zdroja znečisťovania – názov, umiestnenie</w:t>
            </w:r>
          </w:p>
          <w:p w14:paraId="2A49A45F"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Kategorizácia a členenie zdroja znečisťovania ovzdušia</w:t>
            </w:r>
          </w:p>
          <w:p w14:paraId="66338DE0"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Kapacita zdroja a zariadení</w:t>
            </w:r>
          </w:p>
          <w:p w14:paraId="62D6C182"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 xml:space="preserve">Rok uvedenia ZZO do prevádzky </w:t>
            </w:r>
          </w:p>
          <w:p w14:paraId="63CA9116"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Číslo a dátum platného povolenia + odkaz na povolenie</w:t>
            </w:r>
          </w:p>
          <w:p w14:paraId="6D2CD24E"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 xml:space="preserve">Druhy a množstvá spálených odpadov v danom roku </w:t>
            </w:r>
          </w:p>
          <w:p w14:paraId="6B8CE7F4"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využitie alternatívnych materiálov</w:t>
            </w:r>
          </w:p>
          <w:p w14:paraId="17AB71F5"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kontrola spaľovacieho zariadenia</w:t>
            </w:r>
          </w:p>
          <w:p w14:paraId="273F704A" w14:textId="77777777" w:rsidR="00AA25D6" w:rsidRPr="008819AF" w:rsidRDefault="00AA25D6" w:rsidP="00AA25D6">
            <w:pPr>
              <w:jc w:val="both"/>
              <w:rPr>
                <w:rFonts w:eastAsia="Arial"/>
                <w:lang w:bidi="cs-CZ"/>
              </w:rPr>
            </w:pPr>
            <w:r w:rsidRPr="008819AF">
              <w:rPr>
                <w:rFonts w:eastAsia="Arial"/>
                <w:lang w:bidi="cs-CZ"/>
              </w:rPr>
              <w:t>(2)</w:t>
            </w:r>
            <w:r w:rsidRPr="008819AF">
              <w:rPr>
                <w:rFonts w:eastAsia="Arial"/>
                <w:lang w:bidi="cs-CZ"/>
              </w:rPr>
              <w:tab/>
              <w:t>Emisie do ovzdušia</w:t>
            </w:r>
          </w:p>
          <w:p w14:paraId="47C387C5"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Množstvo emisií znečisťujúcich látok</w:t>
            </w:r>
          </w:p>
          <w:p w14:paraId="333C75F2"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charakteristické parametre spalín</w:t>
            </w:r>
          </w:p>
          <w:p w14:paraId="3185958A" w14:textId="77777777" w:rsidR="00AA25D6" w:rsidRPr="008819AF" w:rsidRDefault="00AA25D6" w:rsidP="00AA25D6">
            <w:pPr>
              <w:jc w:val="both"/>
              <w:rPr>
                <w:rFonts w:eastAsia="Arial"/>
                <w:lang w:bidi="cs-CZ"/>
              </w:rPr>
            </w:pPr>
            <w:r w:rsidRPr="008819AF">
              <w:rPr>
                <w:rFonts w:eastAsia="Arial"/>
                <w:lang w:bidi="cs-CZ"/>
              </w:rPr>
              <w:t>(3)</w:t>
            </w:r>
            <w:r w:rsidRPr="008819AF">
              <w:rPr>
                <w:rFonts w:eastAsia="Arial"/>
                <w:lang w:bidi="cs-CZ"/>
              </w:rPr>
              <w:tab/>
              <w:t xml:space="preserve">Emisie do vôd a pôdy </w:t>
            </w:r>
          </w:p>
          <w:p w14:paraId="6CC693B1" w14:textId="77777777" w:rsidR="00AA25D6" w:rsidRPr="008819AF" w:rsidRDefault="00AA25D6" w:rsidP="00AA25D6">
            <w:pPr>
              <w:jc w:val="both"/>
              <w:rPr>
                <w:rFonts w:eastAsia="Arial"/>
                <w:lang w:bidi="cs-CZ"/>
              </w:rPr>
            </w:pPr>
            <w:r w:rsidRPr="008819AF">
              <w:rPr>
                <w:rFonts w:eastAsia="Arial"/>
                <w:lang w:bidi="cs-CZ"/>
              </w:rPr>
              <w:t>(4)</w:t>
            </w:r>
            <w:r w:rsidRPr="008819AF">
              <w:rPr>
                <w:rFonts w:eastAsia="Arial"/>
                <w:lang w:bidi="cs-CZ"/>
              </w:rPr>
              <w:tab/>
              <w:t xml:space="preserve"> Odpady </w:t>
            </w:r>
          </w:p>
          <w:p w14:paraId="191CCEDC" w14:textId="77777777" w:rsidR="00AA25D6" w:rsidRPr="008819AF" w:rsidRDefault="00AA25D6" w:rsidP="00AA25D6">
            <w:pPr>
              <w:jc w:val="both"/>
              <w:rPr>
                <w:rFonts w:eastAsia="Arial"/>
                <w:lang w:bidi="cs-CZ"/>
              </w:rPr>
            </w:pPr>
            <w:r w:rsidRPr="008819AF">
              <w:rPr>
                <w:rFonts w:eastAsia="Arial"/>
                <w:lang w:bidi="cs-CZ"/>
              </w:rPr>
              <w:t>(5)</w:t>
            </w:r>
            <w:r w:rsidRPr="008819AF">
              <w:rPr>
                <w:rFonts w:eastAsia="Arial"/>
                <w:lang w:bidi="cs-CZ"/>
              </w:rPr>
              <w:tab/>
              <w:t xml:space="preserve">Prevádzkovanie zdroja znečisťovania ovzdušia </w:t>
            </w:r>
          </w:p>
          <w:p w14:paraId="01389495"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počet prevádzkových hodín rozpísaný na jednotlivé zariadenia</w:t>
            </w:r>
          </w:p>
          <w:p w14:paraId="72A8D69E"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vyhodnotenie/preukázanie dodržania určených emisných limitov – odkazy na zverejnené protokoly a správy z merania</w:t>
            </w:r>
          </w:p>
          <w:p w14:paraId="523E57F8"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druhy a množstvá spálených odpadov + najmenšiu a najväčšiu výhrevnosť a maximálny obsah znečisťujúcich látok, najmä polychlórovaných bifenylov polychlorovaných bifenylov, pentachlórfenolu, chlóru, fluóru, síry, ťažkých kovov a ďalších znečisťujúcich látok,</w:t>
            </w:r>
          </w:p>
          <w:p w14:paraId="3CC1B21D"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druhy a množstvá vypustených znečisťujúcich látok do ovzdušia, vôd a pôdy</w:t>
            </w:r>
          </w:p>
          <w:p w14:paraId="6DDAE763" w14:textId="77777777" w:rsidR="00AA25D6" w:rsidRPr="008819AF" w:rsidRDefault="00AA25D6" w:rsidP="00AA25D6">
            <w:pPr>
              <w:jc w:val="both"/>
              <w:rPr>
                <w:rFonts w:eastAsia="Arial"/>
                <w:lang w:bidi="cs-CZ"/>
              </w:rPr>
            </w:pPr>
            <w:r w:rsidRPr="008819AF">
              <w:rPr>
                <w:rFonts w:eastAsia="Arial"/>
                <w:lang w:bidi="cs-CZ"/>
              </w:rPr>
              <w:lastRenderedPageBreak/>
              <w:t>-</w:t>
            </w:r>
            <w:r w:rsidRPr="008819AF">
              <w:rPr>
                <w:rFonts w:eastAsia="Arial"/>
                <w:lang w:bidi="cs-CZ"/>
              </w:rPr>
              <w:tab/>
              <w:t>poruchové, havarijné a iné neštandardné stavy zdroja - počet hodín + vyčíslené množstvá emisií,</w:t>
            </w:r>
          </w:p>
          <w:p w14:paraId="7603D8FA" w14:textId="71BF29E0"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poruchové, havarijné a iné neštandardné stavy AMS - počet hodín</w:t>
            </w:r>
          </w:p>
          <w:p w14:paraId="0CA7D8FF"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 xml:space="preserve">uplatnené výnimky z prevádzkovania </w:t>
            </w:r>
          </w:p>
          <w:p w14:paraId="1E3C70F3" w14:textId="77777777" w:rsidR="00AA25D6"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informácie o vykonaných kontrolách orgánmi ochrany ovzdušia</w:t>
            </w:r>
          </w:p>
          <w:p w14:paraId="15132A4D" w14:textId="6DEDB656" w:rsidR="000C6209" w:rsidRPr="008819AF" w:rsidRDefault="00AA25D6" w:rsidP="00AA25D6">
            <w:pPr>
              <w:jc w:val="both"/>
              <w:rPr>
                <w:rFonts w:eastAsia="Arial"/>
                <w:lang w:bidi="cs-CZ"/>
              </w:rPr>
            </w:pPr>
            <w:r w:rsidRPr="008819AF">
              <w:rPr>
                <w:rFonts w:eastAsia="Arial"/>
                <w:lang w:bidi="cs-CZ"/>
              </w:rPr>
              <w:t>-</w:t>
            </w:r>
            <w:r w:rsidRPr="008819AF">
              <w:rPr>
                <w:rFonts w:eastAsia="Arial"/>
                <w:lang w:bidi="cs-CZ"/>
              </w:rPr>
              <w:tab/>
              <w:t>informácie o podaných sťažnostiach a prešetrených podnetoch</w:t>
            </w:r>
          </w:p>
        </w:tc>
        <w:tc>
          <w:tcPr>
            <w:tcW w:w="429" w:type="dxa"/>
            <w:tcBorders>
              <w:top w:val="single" w:sz="4" w:space="0" w:color="000000"/>
              <w:left w:val="single" w:sz="6" w:space="0" w:color="000000"/>
              <w:bottom w:val="single" w:sz="4" w:space="0" w:color="000000"/>
              <w:right w:val="single" w:sz="6" w:space="0" w:color="000000"/>
            </w:tcBorders>
          </w:tcPr>
          <w:p w14:paraId="15132A4E" w14:textId="77777777" w:rsidR="000C6209" w:rsidRPr="008819AF" w:rsidRDefault="000C6209" w:rsidP="0021052F">
            <w:pPr>
              <w:ind w:left="215" w:hanging="215"/>
              <w:rPr>
                <w:rFonts w:eastAsia="Arial"/>
                <w:lang w:bidi="cs-CZ"/>
              </w:rPr>
            </w:pPr>
            <w:r w:rsidRPr="008819AF">
              <w:rPr>
                <w:rFonts w:eastAsia="Arial"/>
                <w:lang w:bidi="cs-CZ"/>
              </w:rPr>
              <w:lastRenderedPageBreak/>
              <w:t>Ú</w:t>
            </w:r>
          </w:p>
          <w:p w14:paraId="15132A4F" w14:textId="77777777" w:rsidR="000C6209" w:rsidRPr="008819AF" w:rsidRDefault="000C6209" w:rsidP="0021052F">
            <w:pPr>
              <w:ind w:left="215" w:hanging="215"/>
              <w:rPr>
                <w:rFonts w:eastAsia="Arial"/>
                <w:lang w:bidi="cs-CZ"/>
              </w:rPr>
            </w:pPr>
          </w:p>
          <w:p w14:paraId="15132A50" w14:textId="77777777" w:rsidR="000C6209" w:rsidRPr="008819AF" w:rsidRDefault="000C6209" w:rsidP="0021052F">
            <w:pPr>
              <w:ind w:left="215" w:hanging="215"/>
              <w:rPr>
                <w:rFonts w:eastAsia="Arial"/>
                <w:lang w:bidi="cs-CZ"/>
              </w:rPr>
            </w:pPr>
          </w:p>
          <w:p w14:paraId="15132A51" w14:textId="77777777" w:rsidR="000C6209" w:rsidRPr="008819AF" w:rsidRDefault="000C6209" w:rsidP="0021052F">
            <w:pPr>
              <w:ind w:left="215" w:hanging="215"/>
              <w:rPr>
                <w:rFonts w:eastAsia="Arial"/>
                <w:lang w:bidi="cs-CZ"/>
              </w:rPr>
            </w:pPr>
          </w:p>
          <w:p w14:paraId="15132A52" w14:textId="77777777" w:rsidR="000C6209" w:rsidRPr="008819AF" w:rsidRDefault="000C6209" w:rsidP="0021052F">
            <w:pPr>
              <w:ind w:left="215" w:hanging="215"/>
              <w:rPr>
                <w:rFonts w:eastAsia="Arial"/>
                <w:lang w:bidi="cs-CZ"/>
              </w:rPr>
            </w:pPr>
          </w:p>
          <w:p w14:paraId="15132A53" w14:textId="77777777" w:rsidR="000C6209" w:rsidRPr="008819AF" w:rsidRDefault="000C6209" w:rsidP="00B65BAF">
            <w:pPr>
              <w:ind w:left="215" w:hanging="215"/>
              <w:rPr>
                <w:rFonts w:eastAsia="Arial"/>
                <w:lang w:bidi="cs-CZ"/>
              </w:rPr>
            </w:pPr>
          </w:p>
        </w:tc>
        <w:tc>
          <w:tcPr>
            <w:tcW w:w="821" w:type="dxa"/>
            <w:gridSpan w:val="3"/>
            <w:tcBorders>
              <w:top w:val="single" w:sz="4" w:space="0" w:color="000000"/>
              <w:left w:val="single" w:sz="6" w:space="0" w:color="000000"/>
              <w:bottom w:val="single" w:sz="4" w:space="0" w:color="000000"/>
              <w:right w:val="single" w:sz="6" w:space="0" w:color="000000"/>
            </w:tcBorders>
          </w:tcPr>
          <w:p w14:paraId="15132A54" w14:textId="77777777" w:rsidR="000C6209" w:rsidRPr="008819AF" w:rsidRDefault="000C6209" w:rsidP="0021052F">
            <w:pPr>
              <w:ind w:left="215" w:hanging="215"/>
              <w:rPr>
                <w:rFonts w:eastAsia="Arial"/>
                <w:lang w:bidi="cs-CZ"/>
              </w:rPr>
            </w:pPr>
          </w:p>
        </w:tc>
      </w:tr>
      <w:tr w:rsidR="00B65BAF" w:rsidRPr="008819AF" w14:paraId="15132A63" w14:textId="77777777" w:rsidTr="003E351D">
        <w:trPr>
          <w:trHeight w:val="1765"/>
          <w:jc w:val="center"/>
        </w:trPr>
        <w:tc>
          <w:tcPr>
            <w:tcW w:w="483" w:type="dxa"/>
            <w:tcBorders>
              <w:top w:val="single" w:sz="4" w:space="0" w:color="000000"/>
              <w:left w:val="single" w:sz="6" w:space="0" w:color="000000"/>
              <w:bottom w:val="single" w:sz="6" w:space="0" w:color="000000"/>
              <w:right w:val="single" w:sz="6" w:space="0" w:color="000000"/>
            </w:tcBorders>
          </w:tcPr>
          <w:p w14:paraId="15132A56" w14:textId="77777777" w:rsidR="00B65BAF" w:rsidRPr="008819AF" w:rsidRDefault="00B65BAF"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A57" w14:textId="77777777" w:rsidR="00B65BAF" w:rsidRPr="008819AF" w:rsidRDefault="00B65BAF" w:rsidP="00B65BAF">
            <w:pPr>
              <w:ind w:left="215" w:hanging="215"/>
              <w:rPr>
                <w:rFonts w:eastAsia="Arial"/>
              </w:rPr>
            </w:pPr>
          </w:p>
          <w:p w14:paraId="15132A58" w14:textId="77777777" w:rsidR="00B65BAF" w:rsidRPr="008819AF" w:rsidRDefault="00B65BAF" w:rsidP="00B65BAF">
            <w:pPr>
              <w:ind w:left="215" w:hanging="215"/>
              <w:rPr>
                <w:rFonts w:eastAsia="Arial"/>
              </w:rPr>
            </w:pPr>
            <w:r w:rsidRPr="008819AF">
              <w:rPr>
                <w:rFonts w:eastAsia="Arial"/>
              </w:rPr>
              <w:t>3. Príslušný orgán vypracuje zoznam spaľovní odpadov a zariadení na spoluspaľovanie odpadov s menovitou kapacitou menej ako dve tony za hodinu a sprístupní ho verejnosti.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59" w14:textId="77777777" w:rsidR="00B65BAF" w:rsidRPr="008819AF" w:rsidRDefault="00B65BAF" w:rsidP="0021052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2A5A" w14:textId="77777777" w:rsidR="00B65BAF" w:rsidRPr="008819AF" w:rsidRDefault="00B65BAF" w:rsidP="0021052F">
            <w:pPr>
              <w:jc w:val="center"/>
              <w:rPr>
                <w:rFonts w:eastAsia="Arial"/>
                <w:lang w:bidi="cs-CZ"/>
              </w:rPr>
            </w:pPr>
            <w:r w:rsidRPr="008819AF">
              <w:rPr>
                <w:rFonts w:eastAsia="Arial"/>
                <w:lang w:bidi="cs-CZ"/>
              </w:rPr>
              <w:t>NZ</w:t>
            </w:r>
          </w:p>
        </w:tc>
        <w:tc>
          <w:tcPr>
            <w:tcW w:w="543" w:type="dxa"/>
            <w:tcBorders>
              <w:top w:val="single" w:sz="4" w:space="0" w:color="000000"/>
              <w:left w:val="single" w:sz="6" w:space="0" w:color="000000"/>
              <w:bottom w:val="single" w:sz="6" w:space="0" w:color="000000"/>
              <w:right w:val="single" w:sz="6" w:space="0" w:color="000000"/>
            </w:tcBorders>
          </w:tcPr>
          <w:p w14:paraId="15132A5B" w14:textId="77777777" w:rsidR="00B65BAF" w:rsidRPr="008819AF" w:rsidRDefault="00B65BAF" w:rsidP="00B65BAF">
            <w:pPr>
              <w:jc w:val="center"/>
              <w:rPr>
                <w:rFonts w:eastAsia="Arial"/>
                <w:lang w:bidi="cs-CZ"/>
              </w:rPr>
            </w:pPr>
            <w:r w:rsidRPr="008819AF">
              <w:rPr>
                <w:rFonts w:eastAsia="Arial"/>
                <w:lang w:bidi="cs-CZ"/>
              </w:rPr>
              <w:t>§ 44</w:t>
            </w:r>
          </w:p>
          <w:p w14:paraId="15132A5C" w14:textId="77777777" w:rsidR="00B65BAF" w:rsidRPr="008819AF" w:rsidRDefault="00B65BAF" w:rsidP="00B65BAF">
            <w:pPr>
              <w:jc w:val="center"/>
              <w:rPr>
                <w:rFonts w:eastAsia="Arial"/>
                <w:lang w:bidi="cs-CZ"/>
              </w:rPr>
            </w:pPr>
            <w:r w:rsidRPr="008819AF">
              <w:rPr>
                <w:rFonts w:eastAsia="Arial"/>
                <w:lang w:bidi="cs-CZ"/>
              </w:rPr>
              <w:t>O 4</w:t>
            </w:r>
          </w:p>
          <w:p w14:paraId="15132A5D" w14:textId="77777777" w:rsidR="00B65BAF" w:rsidRPr="008819AF" w:rsidRDefault="00B65BAF" w:rsidP="00B65BAF">
            <w:pPr>
              <w:jc w:val="center"/>
              <w:rPr>
                <w:rFonts w:eastAsia="Arial"/>
                <w:lang w:bidi="cs-CZ"/>
              </w:rPr>
            </w:pPr>
            <w:r w:rsidRPr="008819AF">
              <w:rPr>
                <w:rFonts w:eastAsia="Arial"/>
                <w:lang w:bidi="cs-CZ"/>
              </w:rPr>
              <w:t>P c)</w:t>
            </w:r>
          </w:p>
          <w:p w14:paraId="15132A5E" w14:textId="77777777" w:rsidR="00B65BAF" w:rsidRPr="008819AF" w:rsidRDefault="00B65BAF" w:rsidP="0021052F">
            <w:pPr>
              <w:pStyle w:val="BodyText21"/>
              <w:spacing w:before="0"/>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A5F" w14:textId="77777777" w:rsidR="00B65BAF" w:rsidRPr="008819AF" w:rsidRDefault="00B65BAF" w:rsidP="00B65BAF">
            <w:pPr>
              <w:rPr>
                <w:rFonts w:eastAsia="Arial"/>
                <w:lang w:bidi="cs-CZ"/>
              </w:rPr>
            </w:pPr>
            <w:r w:rsidRPr="008819AF">
              <w:rPr>
                <w:rFonts w:eastAsia="Arial"/>
                <w:lang w:bidi="cs-CZ"/>
              </w:rPr>
              <w:t>Okresný úrad vo vzťahu k verejnosti</w:t>
            </w:r>
          </w:p>
          <w:p w14:paraId="15132A60" w14:textId="77777777" w:rsidR="00B65BAF" w:rsidRPr="008819AF" w:rsidRDefault="00B65BAF" w:rsidP="00B65BAF">
            <w:pPr>
              <w:pStyle w:val="Nadpis1"/>
              <w:spacing w:before="0"/>
              <w:ind w:left="0" w:firstLine="0"/>
              <w:jc w:val="left"/>
              <w:rPr>
                <w:rFonts w:ascii="Times New Roman" w:hAnsi="Times New Roman" w:cs="Times New Roman"/>
                <w:b w:val="0"/>
                <w:sz w:val="20"/>
                <w:szCs w:val="20"/>
              </w:rPr>
            </w:pPr>
            <w:r w:rsidRPr="008819AF">
              <w:rPr>
                <w:rFonts w:ascii="Times New Roman" w:hAnsi="Times New Roman" w:cs="Times New Roman"/>
                <w:b w:val="0"/>
                <w:sz w:val="20"/>
                <w:szCs w:val="20"/>
              </w:rPr>
              <w:t>c) zverejňuje do 31. mája vybrané údaje o spaľovniach odpadov a zariadeniach na spoluspaľovanie odpadov, vrátane ročných správ o prevádzkach spaľovní odpadov alebo zariadení na spoluspaľovanie odpadov s kapacitou dvoch a viac ton spaľovaného odpadu za hodinu, na webovom portáli o životnom prostredí</w:t>
            </w:r>
          </w:p>
        </w:tc>
        <w:tc>
          <w:tcPr>
            <w:tcW w:w="429" w:type="dxa"/>
            <w:tcBorders>
              <w:top w:val="single" w:sz="4" w:space="0" w:color="000000"/>
              <w:left w:val="single" w:sz="6" w:space="0" w:color="000000"/>
              <w:bottom w:val="single" w:sz="6" w:space="0" w:color="000000"/>
              <w:right w:val="single" w:sz="6" w:space="0" w:color="000000"/>
            </w:tcBorders>
          </w:tcPr>
          <w:p w14:paraId="15132A61" w14:textId="77777777" w:rsidR="00B65BAF" w:rsidRPr="008819AF" w:rsidRDefault="00B65BAF" w:rsidP="0021052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A62" w14:textId="77777777" w:rsidR="00B65BAF" w:rsidRPr="008819AF" w:rsidRDefault="00B65BAF" w:rsidP="0021052F">
            <w:pPr>
              <w:ind w:left="215" w:hanging="215"/>
              <w:rPr>
                <w:rFonts w:eastAsia="Arial"/>
              </w:rPr>
            </w:pPr>
          </w:p>
        </w:tc>
      </w:tr>
      <w:tr w:rsidR="000C6209" w:rsidRPr="008819AF" w14:paraId="15132A74" w14:textId="77777777" w:rsidTr="003E351D">
        <w:trPr>
          <w:trHeight w:val="1765"/>
          <w:jc w:val="center"/>
        </w:trPr>
        <w:tc>
          <w:tcPr>
            <w:tcW w:w="483" w:type="dxa"/>
            <w:tcBorders>
              <w:top w:val="single" w:sz="4" w:space="0" w:color="000000"/>
              <w:left w:val="single" w:sz="6" w:space="0" w:color="000000"/>
              <w:bottom w:val="single" w:sz="6" w:space="0" w:color="000000"/>
              <w:right w:val="single" w:sz="6" w:space="0" w:color="000000"/>
            </w:tcBorders>
          </w:tcPr>
          <w:p w14:paraId="15132A64" w14:textId="77777777" w:rsidR="000C6209" w:rsidRPr="008819AF" w:rsidRDefault="000C6209" w:rsidP="003E351D">
            <w:pPr>
              <w:tabs>
                <w:tab w:val="left" w:pos="470"/>
              </w:tabs>
              <w:ind w:right="-70"/>
              <w:rPr>
                <w:rFonts w:eastAsia="Arial"/>
                <w:lang w:bidi="cs-CZ"/>
              </w:rPr>
            </w:pPr>
          </w:p>
          <w:p w14:paraId="15132A65" w14:textId="77777777" w:rsidR="00812F92" w:rsidRPr="008819AF" w:rsidRDefault="00812F92" w:rsidP="003E351D">
            <w:pPr>
              <w:tabs>
                <w:tab w:val="left" w:pos="470"/>
              </w:tabs>
              <w:ind w:right="-70"/>
              <w:rPr>
                <w:rFonts w:eastAsia="Arial"/>
                <w:lang w:bidi="cs-CZ"/>
              </w:rPr>
            </w:pPr>
          </w:p>
          <w:p w14:paraId="15132A66" w14:textId="77777777" w:rsidR="000C6209" w:rsidRPr="008819AF" w:rsidRDefault="000C6209" w:rsidP="003E351D">
            <w:pPr>
              <w:tabs>
                <w:tab w:val="left" w:pos="470"/>
              </w:tabs>
              <w:ind w:right="-70"/>
              <w:rPr>
                <w:rFonts w:eastAsia="Arial"/>
                <w:lang w:bidi="cs-CZ"/>
              </w:rPr>
            </w:pPr>
          </w:p>
          <w:p w14:paraId="15132A67" w14:textId="77777777" w:rsidR="000C6209" w:rsidRPr="008819AF" w:rsidRDefault="000C6209" w:rsidP="003E351D">
            <w:pPr>
              <w:tabs>
                <w:tab w:val="left" w:pos="470"/>
              </w:tabs>
              <w:ind w:right="-70"/>
              <w:rPr>
                <w:rFonts w:eastAsia="Arial"/>
                <w:lang w:bidi="cs-CZ"/>
              </w:rPr>
            </w:pPr>
            <w:r w:rsidRPr="008819AF">
              <w:rPr>
                <w:rFonts w:eastAsia="Arial"/>
                <w:lang w:bidi="cs-CZ"/>
              </w:rPr>
              <w:t>Č:56</w:t>
            </w:r>
          </w:p>
        </w:tc>
        <w:tc>
          <w:tcPr>
            <w:tcW w:w="6227" w:type="dxa"/>
            <w:gridSpan w:val="2"/>
            <w:tcBorders>
              <w:top w:val="single" w:sz="4" w:space="0" w:color="000000"/>
              <w:left w:val="single" w:sz="6" w:space="0" w:color="000000"/>
              <w:bottom w:val="single" w:sz="6" w:space="0" w:color="000000"/>
              <w:right w:val="single" w:sz="6" w:space="0" w:color="000000"/>
            </w:tcBorders>
          </w:tcPr>
          <w:p w14:paraId="15132A68" w14:textId="77777777" w:rsidR="000C6209" w:rsidRPr="008819AF" w:rsidRDefault="000C6209" w:rsidP="0021052F">
            <w:pPr>
              <w:ind w:left="215" w:hanging="215"/>
              <w:rPr>
                <w:rFonts w:eastAsia="Arial"/>
              </w:rPr>
            </w:pPr>
            <w:r w:rsidRPr="008819AF">
              <w:rPr>
                <w:rFonts w:eastAsia="Arial"/>
              </w:rPr>
              <w:t>KAPITOLA V</w:t>
            </w:r>
          </w:p>
          <w:p w14:paraId="15132A69" w14:textId="77777777" w:rsidR="000C6209" w:rsidRPr="008819AF" w:rsidRDefault="000C6209" w:rsidP="0021052F">
            <w:pPr>
              <w:rPr>
                <w:rFonts w:eastAsia="Arial"/>
              </w:rPr>
            </w:pPr>
            <w:r w:rsidRPr="008819AF">
              <w:rPr>
                <w:rFonts w:eastAsia="Arial"/>
              </w:rPr>
              <w:t>OSOBITNÉ USTANOVENIA PRE ZARIADENIA A ČINNOSTI POUŽÍVAJÚCE ORGANICKÉ ROZPÚŠŤADLÁ</w:t>
            </w:r>
          </w:p>
          <w:p w14:paraId="15132A6A" w14:textId="77777777" w:rsidR="000C6209" w:rsidRPr="008819AF" w:rsidRDefault="000C6209" w:rsidP="0021052F">
            <w:pPr>
              <w:ind w:left="215" w:hanging="215"/>
              <w:rPr>
                <w:rFonts w:eastAsia="Arial"/>
              </w:rPr>
            </w:pPr>
            <w:r w:rsidRPr="008819AF">
              <w:rPr>
                <w:rFonts w:eastAsia="Arial"/>
              </w:rPr>
              <w:t>Článok 56</w:t>
            </w:r>
          </w:p>
          <w:p w14:paraId="15132A6B" w14:textId="77777777" w:rsidR="000C6209" w:rsidRPr="008819AF" w:rsidRDefault="000C6209" w:rsidP="0021052F">
            <w:pPr>
              <w:ind w:left="215" w:hanging="215"/>
              <w:rPr>
                <w:rFonts w:eastAsia="Arial"/>
              </w:rPr>
            </w:pPr>
            <w:r w:rsidRPr="008819AF">
              <w:rPr>
                <w:rFonts w:eastAsia="Arial"/>
              </w:rPr>
              <w:t>Rozsah pôsobnosti</w:t>
            </w:r>
          </w:p>
          <w:p w14:paraId="15132A6C" w14:textId="77777777" w:rsidR="000C6209" w:rsidRPr="008819AF" w:rsidRDefault="000C6209" w:rsidP="0021052F">
            <w:pPr>
              <w:ind w:left="215" w:hanging="1"/>
              <w:rPr>
                <w:rFonts w:eastAsia="Arial"/>
              </w:rPr>
            </w:pPr>
            <w:r w:rsidRPr="008819AF">
              <w:rPr>
                <w:rFonts w:eastAsia="Arial"/>
              </w:rPr>
              <w:t>Táto kapitola sa uplatňuje na činnosti uvedené v prílohe VII časti 1 a ak ide o takúto činnosť pri dosiahnutí prahových spotrieb stanovených v časti 2 uvedenej prílohy.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6D" w14:textId="0AC23BB3" w:rsidR="000C6209" w:rsidRPr="008819AF" w:rsidRDefault="00EB6E9B" w:rsidP="0021052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2A6E" w14:textId="77777777" w:rsidR="000C6209" w:rsidRPr="008819AF" w:rsidRDefault="000C6209" w:rsidP="0021052F">
            <w:pPr>
              <w:jc w:val="center"/>
              <w:rPr>
                <w:rFonts w:eastAsia="Arial"/>
                <w:lang w:bidi="cs-CZ"/>
              </w:rPr>
            </w:pPr>
            <w:r w:rsidRPr="008819AF">
              <w:rPr>
                <w:rFonts w:eastAsia="Arial"/>
                <w:lang w:bidi="cs-CZ"/>
              </w:rPr>
              <w:t>NV2</w:t>
            </w:r>
          </w:p>
          <w:p w14:paraId="15132A6F" w14:textId="77777777" w:rsidR="000C6209" w:rsidRPr="008819AF" w:rsidRDefault="000C620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A70" w14:textId="77777777" w:rsidR="000C6209" w:rsidRPr="008819AF" w:rsidRDefault="00111E05" w:rsidP="0021052F">
            <w:pPr>
              <w:pStyle w:val="BodyText21"/>
              <w:spacing w:before="0"/>
              <w:jc w:val="center"/>
              <w:rPr>
                <w:rFonts w:ascii="Times New Roman" w:hAnsi="Times New Roman" w:cs="Times New Roman"/>
              </w:rPr>
            </w:pPr>
            <w:r w:rsidRPr="008819AF">
              <w:rPr>
                <w:rFonts w:ascii="Times New Roman" w:hAnsi="Times New Roman" w:cs="Times New Roman"/>
              </w:rPr>
              <w:t>§ 26</w:t>
            </w:r>
          </w:p>
        </w:tc>
        <w:tc>
          <w:tcPr>
            <w:tcW w:w="5664" w:type="dxa"/>
            <w:gridSpan w:val="5"/>
            <w:tcBorders>
              <w:top w:val="single" w:sz="4" w:space="0" w:color="000000"/>
              <w:left w:val="single" w:sz="6" w:space="0" w:color="000000"/>
              <w:bottom w:val="single" w:sz="6" w:space="0" w:color="000000"/>
              <w:right w:val="single" w:sz="6" w:space="0" w:color="000000"/>
            </w:tcBorders>
          </w:tcPr>
          <w:p w14:paraId="15132A71" w14:textId="77777777" w:rsidR="00DD3F15" w:rsidRPr="008819AF" w:rsidRDefault="00DD3F15" w:rsidP="009C63CF">
            <w:pPr>
              <w:numPr>
                <w:ilvl w:val="0"/>
                <w:numId w:val="86"/>
              </w:numPr>
              <w:rPr>
                <w:lang w:bidi="cs-CZ"/>
              </w:rPr>
            </w:pPr>
            <w:r w:rsidRPr="008819AF">
              <w:rPr>
                <w:lang w:bidi="cs-CZ"/>
              </w:rPr>
              <w:t>Špecifické požiadavky ustanovené v tejto časti sa uplatňujú na zariadenie používajúce organické rozpúšťadlá. Zariadenie používajúce organické rozpúšťadlá sa vymedzuje ako súhrn všetkých častí a súčastí zdroja, v ktorých sa vykonáva jedna činnosť alebo viac činností uvedených v zozname podľa prílohy č. 6 prvej časti vrátane všetkých pridružených činností, ktoré technicky súvisia s činnosťami vykonávanými na určenom mieste a ktoré môžu mať vplyv na emisie.</w:t>
            </w:r>
          </w:p>
        </w:tc>
        <w:tc>
          <w:tcPr>
            <w:tcW w:w="429" w:type="dxa"/>
            <w:tcBorders>
              <w:top w:val="single" w:sz="4" w:space="0" w:color="000000"/>
              <w:left w:val="single" w:sz="6" w:space="0" w:color="000000"/>
              <w:bottom w:val="single" w:sz="6" w:space="0" w:color="000000"/>
              <w:right w:val="single" w:sz="6" w:space="0" w:color="000000"/>
            </w:tcBorders>
          </w:tcPr>
          <w:p w14:paraId="15132A72" w14:textId="77777777" w:rsidR="000C6209" w:rsidRPr="008819AF" w:rsidRDefault="000C6209" w:rsidP="0021052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A73" w14:textId="77777777" w:rsidR="000C6209" w:rsidRPr="008819AF" w:rsidRDefault="000C6209" w:rsidP="0021052F">
            <w:pPr>
              <w:ind w:left="215" w:hanging="215"/>
              <w:rPr>
                <w:rFonts w:eastAsia="Arial"/>
              </w:rPr>
            </w:pPr>
          </w:p>
        </w:tc>
      </w:tr>
      <w:tr w:rsidR="000C6209" w:rsidRPr="008819AF" w14:paraId="15132A8C" w14:textId="77777777" w:rsidTr="003E351D">
        <w:trPr>
          <w:trHeight w:val="850"/>
          <w:jc w:val="center"/>
        </w:trPr>
        <w:tc>
          <w:tcPr>
            <w:tcW w:w="483" w:type="dxa"/>
            <w:vMerge w:val="restart"/>
            <w:tcBorders>
              <w:top w:val="single" w:sz="4" w:space="0" w:color="000000"/>
              <w:left w:val="single" w:sz="6" w:space="0" w:color="000000"/>
              <w:bottom w:val="single" w:sz="6" w:space="0" w:color="000000"/>
              <w:right w:val="single" w:sz="6" w:space="0" w:color="000000"/>
            </w:tcBorders>
          </w:tcPr>
          <w:p w14:paraId="15132A75" w14:textId="77777777" w:rsidR="000C6209" w:rsidRPr="008819AF" w:rsidRDefault="000C6209" w:rsidP="003E351D">
            <w:pPr>
              <w:ind w:right="-70"/>
              <w:rPr>
                <w:rFonts w:eastAsia="Arial"/>
                <w:lang w:bidi="cs-CZ"/>
              </w:rPr>
            </w:pPr>
            <w:r w:rsidRPr="008819AF">
              <w:rPr>
                <w:rFonts w:eastAsia="Arial"/>
                <w:lang w:bidi="cs-CZ"/>
              </w:rPr>
              <w:t>Č57</w:t>
            </w:r>
          </w:p>
        </w:tc>
        <w:tc>
          <w:tcPr>
            <w:tcW w:w="6227" w:type="dxa"/>
            <w:gridSpan w:val="2"/>
            <w:tcBorders>
              <w:top w:val="single" w:sz="4" w:space="0" w:color="000000"/>
              <w:left w:val="single" w:sz="6" w:space="0" w:color="000000"/>
              <w:bottom w:val="single" w:sz="6" w:space="0" w:color="000000"/>
              <w:right w:val="single" w:sz="6" w:space="0" w:color="000000"/>
            </w:tcBorders>
          </w:tcPr>
          <w:p w14:paraId="15132A76" w14:textId="77777777" w:rsidR="000C6209" w:rsidRPr="008819AF" w:rsidRDefault="000C6209" w:rsidP="0021052F">
            <w:pPr>
              <w:ind w:left="215" w:hanging="215"/>
              <w:rPr>
                <w:rFonts w:eastAsia="Arial"/>
              </w:rPr>
            </w:pPr>
            <w:r w:rsidRPr="008819AF">
              <w:rPr>
                <w:rFonts w:eastAsia="Arial"/>
              </w:rPr>
              <w:t>Článok 57</w:t>
            </w:r>
          </w:p>
          <w:p w14:paraId="15132A77" w14:textId="77777777" w:rsidR="000C6209" w:rsidRPr="008819AF" w:rsidRDefault="000C6209" w:rsidP="0021052F">
            <w:pPr>
              <w:ind w:left="215" w:hanging="215"/>
              <w:rPr>
                <w:rFonts w:eastAsia="Arial"/>
              </w:rPr>
            </w:pPr>
            <w:r w:rsidRPr="008819AF">
              <w:rPr>
                <w:rFonts w:eastAsia="Arial"/>
              </w:rPr>
              <w:t>Vymedzenie pojmov</w:t>
            </w:r>
          </w:p>
          <w:p w14:paraId="15132A78" w14:textId="77777777" w:rsidR="000C6209" w:rsidRPr="008819AF" w:rsidRDefault="000C6209" w:rsidP="0021052F">
            <w:pPr>
              <w:ind w:left="215" w:hanging="1"/>
              <w:rPr>
                <w:rFonts w:eastAsia="Arial"/>
              </w:rPr>
            </w:pPr>
            <w:r w:rsidRPr="008819AF">
              <w:rPr>
                <w:rFonts w:eastAsia="Arial"/>
              </w:rPr>
              <w:t>Na účely tejto kapitoly sa uplatňuje toto vymedzenie pojmov:</w:t>
            </w:r>
          </w:p>
          <w:p w14:paraId="15132A79" w14:textId="77777777" w:rsidR="000C6209" w:rsidRPr="008819AF" w:rsidRDefault="000C6209" w:rsidP="009C63CF">
            <w:pPr>
              <w:numPr>
                <w:ilvl w:val="0"/>
                <w:numId w:val="38"/>
              </w:numPr>
              <w:spacing w:after="120"/>
              <w:ind w:left="357" w:hanging="357"/>
              <w:rPr>
                <w:rFonts w:eastAsia="Arial"/>
              </w:rPr>
            </w:pPr>
            <w:r w:rsidRPr="008819AF">
              <w:rPr>
                <w:rFonts w:eastAsia="Arial"/>
              </w:rPr>
              <w:t>„existujúce zariadenie“ je zariadenie v prevádzke k 29. marcu 1999 alebo zariadenie, ktorému bolo vydané povolenie alebo ktoré sa zaregistrovalo pred 1. aprílom 2001 alebo ktorého prevádzkovateľ predložil úplnú žiadosť o povolenie pred 1 aprílom 2001, pokiaľ bolo dané zariadenie uvedené do prevádzkovaní najneskôr 1. apríla 2002;</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7A" w14:textId="77777777" w:rsidR="000C6209" w:rsidRPr="008819AF" w:rsidRDefault="000C6209"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A7B" w14:textId="77777777" w:rsidR="000C6209" w:rsidRPr="008819AF" w:rsidRDefault="000C6209" w:rsidP="0021052F">
            <w:pPr>
              <w:jc w:val="center"/>
              <w:rPr>
                <w:rFonts w:eastAsia="Arial"/>
                <w:lang w:bidi="cs-CZ"/>
              </w:rPr>
            </w:pPr>
            <w:r w:rsidRPr="008819AF">
              <w:rPr>
                <w:rFonts w:eastAsia="Arial"/>
                <w:lang w:bidi="cs-CZ"/>
              </w:rPr>
              <w:t>NV2</w:t>
            </w:r>
          </w:p>
          <w:p w14:paraId="15132A7C" w14:textId="77777777" w:rsidR="000C6209" w:rsidRPr="008819AF" w:rsidRDefault="000C620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A7D" w14:textId="77777777" w:rsidR="000C6209" w:rsidRPr="008819AF" w:rsidRDefault="00111E05" w:rsidP="00111E05">
            <w:pPr>
              <w:jc w:val="center"/>
            </w:pPr>
            <w:r w:rsidRPr="008819AF">
              <w:t>Príl 6</w:t>
            </w:r>
          </w:p>
          <w:p w14:paraId="15132A7E" w14:textId="77777777" w:rsidR="00111E05" w:rsidRPr="008819AF" w:rsidRDefault="00111E05" w:rsidP="00111E05">
            <w:pPr>
              <w:jc w:val="center"/>
            </w:pPr>
            <w:r w:rsidRPr="008819AF">
              <w:t>Č 2</w:t>
            </w:r>
          </w:p>
        </w:tc>
        <w:tc>
          <w:tcPr>
            <w:tcW w:w="5664" w:type="dxa"/>
            <w:gridSpan w:val="5"/>
            <w:tcBorders>
              <w:top w:val="single" w:sz="4" w:space="0" w:color="000000"/>
              <w:left w:val="single" w:sz="6" w:space="0" w:color="000000"/>
              <w:bottom w:val="single" w:sz="6" w:space="0" w:color="000000"/>
              <w:right w:val="single" w:sz="6" w:space="0" w:color="000000"/>
            </w:tcBorders>
          </w:tcPr>
          <w:p w14:paraId="15132A7F" w14:textId="77777777" w:rsidR="000C6209" w:rsidRPr="008819AF" w:rsidRDefault="000C6209" w:rsidP="0021052F">
            <w:pPr>
              <w:pStyle w:val="Hlavika"/>
              <w:ind w:left="72" w:hanging="1"/>
              <w:rPr>
                <w:rFonts w:ascii="Times New Roman" w:hAnsi="Times New Roman" w:cs="Times New Roman"/>
                <w:lang w:bidi="cs-CZ"/>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77"/>
              <w:gridCol w:w="4667"/>
            </w:tblGrid>
            <w:tr w:rsidR="008378EE" w:rsidRPr="008819AF" w14:paraId="15132A84" w14:textId="77777777" w:rsidTr="004C1DAF">
              <w:trPr>
                <w:jc w:val="center"/>
              </w:trPr>
              <w:tc>
                <w:tcPr>
                  <w:tcW w:w="1296" w:type="dxa"/>
                  <w:vAlign w:val="center"/>
                </w:tcPr>
                <w:p w14:paraId="15132A80" w14:textId="77777777" w:rsidR="008378EE" w:rsidRPr="008819AF" w:rsidRDefault="008378EE" w:rsidP="008378EE">
                  <w:pPr>
                    <w:rPr>
                      <w:b/>
                    </w:rPr>
                  </w:pPr>
                  <w:r w:rsidRPr="008819AF">
                    <w:rPr>
                      <w:b/>
                    </w:rPr>
                    <w:t>Jestvujúce zariadenie</w:t>
                  </w:r>
                </w:p>
              </w:tc>
              <w:tc>
                <w:tcPr>
                  <w:tcW w:w="7566" w:type="dxa"/>
                </w:tcPr>
                <w:p w14:paraId="15132A81" w14:textId="77777777" w:rsidR="008378EE" w:rsidRPr="008819AF" w:rsidRDefault="008378EE" w:rsidP="008378EE">
                  <w:pPr>
                    <w:tabs>
                      <w:tab w:val="left" w:pos="2700"/>
                    </w:tabs>
                    <w:jc w:val="both"/>
                  </w:pPr>
                  <w:r w:rsidRPr="008819AF">
                    <w:t xml:space="preserve">Zariadenie používajúce organické rozpúšťadlá, </w:t>
                  </w:r>
                </w:p>
                <w:p w14:paraId="15132A82" w14:textId="77777777" w:rsidR="008378EE" w:rsidRPr="008819AF" w:rsidRDefault="008378EE" w:rsidP="009C63CF">
                  <w:pPr>
                    <w:pStyle w:val="Odsekzoznamu1"/>
                    <w:numPr>
                      <w:ilvl w:val="1"/>
                      <w:numId w:val="87"/>
                    </w:numPr>
                    <w:tabs>
                      <w:tab w:val="left" w:pos="317"/>
                    </w:tabs>
                    <w:ind w:left="34" w:firstLine="0"/>
                    <w:jc w:val="both"/>
                    <w:rPr>
                      <w:sz w:val="20"/>
                      <w:szCs w:val="20"/>
                    </w:rPr>
                  </w:pPr>
                  <w:r w:rsidRPr="008819AF">
                    <w:rPr>
                      <w:sz w:val="20"/>
                      <w:szCs w:val="20"/>
                    </w:rPr>
                    <w:t>ktoré bolo uvedené do prevádzky do 29. marca 1999 alebo</w:t>
                  </w:r>
                </w:p>
                <w:p w14:paraId="15132A83" w14:textId="77777777" w:rsidR="008378EE" w:rsidRPr="008819AF" w:rsidRDefault="008378EE" w:rsidP="009C63CF">
                  <w:pPr>
                    <w:pStyle w:val="Odsekzoznamu1"/>
                    <w:numPr>
                      <w:ilvl w:val="1"/>
                      <w:numId w:val="87"/>
                    </w:numPr>
                    <w:ind w:left="317" w:hanging="283"/>
                    <w:jc w:val="both"/>
                    <w:rPr>
                      <w:sz w:val="20"/>
                      <w:szCs w:val="20"/>
                    </w:rPr>
                  </w:pPr>
                  <w:r w:rsidRPr="008819AF">
                    <w:rPr>
                      <w:sz w:val="20"/>
                      <w:szCs w:val="20"/>
                    </w:rPr>
                    <w:t xml:space="preserve">pre ktoré sa začalo konanie o vydanie súhlasu na povolenie stavby pred 1. aprílom </w:t>
                  </w:r>
                  <w:smartTag w:uri="urn:schemas-microsoft-com:office:smarttags" w:element="metricconverter">
                    <w:smartTagPr>
                      <w:attr w:name="ProductID" w:val="2001 a"/>
                    </w:smartTagPr>
                    <w:r w:rsidRPr="008819AF">
                      <w:rPr>
                        <w:sz w:val="20"/>
                        <w:szCs w:val="20"/>
                      </w:rPr>
                      <w:t>2001 a</w:t>
                    </w:r>
                  </w:smartTag>
                  <w:r w:rsidRPr="008819AF">
                    <w:rPr>
                      <w:sz w:val="20"/>
                      <w:szCs w:val="20"/>
                    </w:rPr>
                    <w:t xml:space="preserve"> ktoré bolo uvedené do prevádzky do 1. apríla 2002</w:t>
                  </w:r>
                </w:p>
              </w:tc>
            </w:tr>
            <w:tr w:rsidR="008378EE" w:rsidRPr="008819AF" w14:paraId="15132A88" w14:textId="77777777" w:rsidTr="004C1DAF">
              <w:trPr>
                <w:trHeight w:val="688"/>
                <w:jc w:val="center"/>
              </w:trPr>
              <w:tc>
                <w:tcPr>
                  <w:tcW w:w="1296" w:type="dxa"/>
                  <w:vAlign w:val="center"/>
                </w:tcPr>
                <w:p w14:paraId="15132A85" w14:textId="77777777" w:rsidR="008378EE" w:rsidRPr="008819AF" w:rsidRDefault="008378EE" w:rsidP="008378EE">
                  <w:pPr>
                    <w:rPr>
                      <w:b/>
                    </w:rPr>
                  </w:pPr>
                  <w:r w:rsidRPr="008819AF">
                    <w:rPr>
                      <w:b/>
                    </w:rPr>
                    <w:t>Nové</w:t>
                  </w:r>
                </w:p>
                <w:p w14:paraId="15132A86" w14:textId="77777777" w:rsidR="008378EE" w:rsidRPr="008819AF" w:rsidRDefault="008378EE" w:rsidP="008378EE">
                  <w:pPr>
                    <w:rPr>
                      <w:b/>
                    </w:rPr>
                  </w:pPr>
                  <w:r w:rsidRPr="008819AF">
                    <w:rPr>
                      <w:b/>
                    </w:rPr>
                    <w:t>zariadenie</w:t>
                  </w:r>
                </w:p>
              </w:tc>
              <w:tc>
                <w:tcPr>
                  <w:tcW w:w="7566" w:type="dxa"/>
                  <w:vAlign w:val="center"/>
                </w:tcPr>
                <w:p w14:paraId="15132A87" w14:textId="77777777" w:rsidR="008378EE" w:rsidRPr="008819AF" w:rsidRDefault="008378EE" w:rsidP="008378EE">
                  <w:pPr>
                    <w:tabs>
                      <w:tab w:val="left" w:pos="2700"/>
                    </w:tabs>
                  </w:pPr>
                  <w:r w:rsidRPr="008819AF">
                    <w:t>Zariadenie používajúce organické rozpúšťadlá, ktoré nie je  uvedené  ako jestvujúce zariadenie.</w:t>
                  </w:r>
                </w:p>
              </w:tc>
            </w:tr>
          </w:tbl>
          <w:p w14:paraId="15132A89" w14:textId="77777777" w:rsidR="000C6209" w:rsidRPr="008819AF" w:rsidRDefault="000C6209" w:rsidP="0021052F">
            <w:pPr>
              <w:pStyle w:val="Odsekzoznamu"/>
              <w:tabs>
                <w:tab w:val="left" w:pos="317"/>
              </w:tabs>
              <w:ind w:left="34"/>
              <w:rPr>
                <w:rFonts w:eastAsia="Arial"/>
                <w:b/>
                <w:bCs/>
                <w:sz w:val="20"/>
                <w:szCs w:val="20"/>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2A8A" w14:textId="77777777" w:rsidR="000C6209" w:rsidRPr="008819AF" w:rsidRDefault="000C6209" w:rsidP="0021052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A8B" w14:textId="77777777" w:rsidR="000C6209" w:rsidRPr="008819AF" w:rsidRDefault="000C6209" w:rsidP="0021052F">
            <w:pPr>
              <w:ind w:left="215" w:hanging="215"/>
              <w:rPr>
                <w:rFonts w:eastAsia="Arial"/>
              </w:rPr>
            </w:pPr>
          </w:p>
        </w:tc>
      </w:tr>
      <w:tr w:rsidR="000C6209" w:rsidRPr="008819AF" w14:paraId="15132A99"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A8D" w14:textId="77777777" w:rsidR="000C6209" w:rsidRPr="008819AF" w:rsidRDefault="000C620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A8E" w14:textId="77777777" w:rsidR="000C6209" w:rsidRPr="008819AF" w:rsidRDefault="000C6209" w:rsidP="009C63CF">
            <w:pPr>
              <w:numPr>
                <w:ilvl w:val="0"/>
                <w:numId w:val="38"/>
              </w:numPr>
              <w:spacing w:after="120"/>
              <w:ind w:left="357" w:hanging="357"/>
              <w:rPr>
                <w:rFonts w:eastAsia="Arial"/>
              </w:rPr>
            </w:pPr>
            <w:r w:rsidRPr="008819AF">
              <w:rPr>
                <w:rFonts w:eastAsia="Arial"/>
              </w:rPr>
              <w:t>„odpadové plyny“ sú finálne vypustenie plynov obsahujúcich prchavé organické zlúčeniny alebo iné znečisťujúce látky z komína alebo odlučovacieho zariadenia do ovzdušia;</w:t>
            </w:r>
          </w:p>
          <w:p w14:paraId="15132A8F" w14:textId="77777777" w:rsidR="000C6209" w:rsidRPr="008819AF" w:rsidRDefault="000C6209" w:rsidP="0021052F">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90" w14:textId="77777777" w:rsidR="000C6209" w:rsidRPr="008819AF" w:rsidRDefault="000C6209"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A91" w14:textId="77777777" w:rsidR="000C6209" w:rsidRPr="008819AF" w:rsidRDefault="000C6209" w:rsidP="0021052F">
            <w:pPr>
              <w:jc w:val="center"/>
              <w:rPr>
                <w:rFonts w:eastAsia="Arial"/>
                <w:lang w:bidi="cs-CZ"/>
              </w:rPr>
            </w:pPr>
            <w:r w:rsidRPr="008819AF">
              <w:rPr>
                <w:rFonts w:eastAsia="Arial"/>
                <w:lang w:bidi="cs-CZ"/>
              </w:rPr>
              <w:t>NV2</w:t>
            </w:r>
          </w:p>
          <w:p w14:paraId="15132A92" w14:textId="77777777" w:rsidR="000C6209" w:rsidRPr="008819AF" w:rsidRDefault="000C620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A93" w14:textId="77777777" w:rsidR="00111E05" w:rsidRPr="008819AF" w:rsidRDefault="00111E05" w:rsidP="00111E05">
            <w:pPr>
              <w:pStyle w:val="BodyText21"/>
              <w:spacing w:before="0"/>
              <w:rPr>
                <w:rFonts w:ascii="Times New Roman" w:hAnsi="Times New Roman" w:cs="Times New Roman"/>
              </w:rPr>
            </w:pPr>
            <w:r w:rsidRPr="008819AF">
              <w:rPr>
                <w:rFonts w:ascii="Times New Roman" w:hAnsi="Times New Roman" w:cs="Times New Roman"/>
              </w:rPr>
              <w:t>§ 2</w:t>
            </w:r>
          </w:p>
          <w:p w14:paraId="15132A94" w14:textId="77777777" w:rsidR="000C6209" w:rsidRPr="008819AF" w:rsidRDefault="00111E05" w:rsidP="00111E05">
            <w:pPr>
              <w:pStyle w:val="BodyText21"/>
              <w:spacing w:before="0"/>
              <w:rPr>
                <w:rFonts w:ascii="Times New Roman" w:hAnsi="Times New Roman" w:cs="Times New Roman"/>
              </w:rPr>
            </w:pPr>
            <w:r w:rsidRPr="008819AF">
              <w:rPr>
                <w:rFonts w:ascii="Times New Roman" w:hAnsi="Times New Roman" w:cs="Times New Roman"/>
              </w:rPr>
              <w:t xml:space="preserve">Pa) </w:t>
            </w:r>
          </w:p>
        </w:tc>
        <w:tc>
          <w:tcPr>
            <w:tcW w:w="5664" w:type="dxa"/>
            <w:gridSpan w:val="5"/>
            <w:tcBorders>
              <w:top w:val="single" w:sz="4" w:space="0" w:color="000000"/>
              <w:left w:val="single" w:sz="6" w:space="0" w:color="000000"/>
              <w:bottom w:val="single" w:sz="6" w:space="0" w:color="000000"/>
              <w:right w:val="single" w:sz="6" w:space="0" w:color="000000"/>
            </w:tcBorders>
          </w:tcPr>
          <w:p w14:paraId="15132A95" w14:textId="77777777" w:rsidR="00111E05" w:rsidRPr="008819AF" w:rsidRDefault="00111E05" w:rsidP="00111E05">
            <w:pPr>
              <w:pStyle w:val="Hlavika"/>
              <w:ind w:left="72" w:hanging="1"/>
              <w:rPr>
                <w:rFonts w:ascii="Times New Roman" w:hAnsi="Times New Roman" w:cs="Times New Roman"/>
                <w:lang w:bidi="cs-CZ"/>
              </w:rPr>
            </w:pPr>
            <w:r w:rsidRPr="008819AF">
              <w:rPr>
                <w:rFonts w:ascii="Times New Roman" w:hAnsi="Times New Roman" w:cs="Times New Roman"/>
                <w:lang w:bidi="cs-CZ"/>
              </w:rPr>
              <w:t>Na účely tejto vyhlášky sa rozumie</w:t>
            </w:r>
          </w:p>
          <w:p w14:paraId="15132A96" w14:textId="77777777" w:rsidR="00111E05" w:rsidRPr="008819AF" w:rsidRDefault="00111E05" w:rsidP="00111E05">
            <w:pPr>
              <w:pStyle w:val="Hlavika"/>
              <w:ind w:left="72" w:hanging="1"/>
              <w:rPr>
                <w:rFonts w:ascii="Times New Roman" w:hAnsi="Times New Roman" w:cs="Times New Roman"/>
                <w:lang w:bidi="cs-CZ"/>
              </w:rPr>
            </w:pPr>
            <w:r w:rsidRPr="008819AF">
              <w:rPr>
                <w:rFonts w:ascii="Times New Roman" w:hAnsi="Times New Roman" w:cs="Times New Roman"/>
                <w:lang w:bidi="cs-CZ"/>
              </w:rPr>
              <w:t>a)</w:t>
            </w:r>
            <w:r w:rsidRPr="008819AF">
              <w:rPr>
                <w:rFonts w:ascii="Times New Roman" w:hAnsi="Times New Roman" w:cs="Times New Roman"/>
                <w:lang w:bidi="cs-CZ"/>
              </w:rPr>
              <w:tab/>
              <w:t xml:space="preserve">odpadovým plynom plyn, ktorý obsahuje znečisťujúce látky v tuhom, kvapalnom alebo plynnom skupenstve, ak je odvádzaný zo stacionárneho zdroja alebo časti zdroja a vypúšťaný do okolitého ovzdušia (ďalej len „ovzdušie“) ohraničeným organizovaným odvodom, napríklad technologickým potrubím, výduchom, </w:t>
            </w:r>
            <w:r w:rsidRPr="008819AF">
              <w:rPr>
                <w:rFonts w:ascii="Times New Roman" w:hAnsi="Times New Roman" w:cs="Times New Roman"/>
                <w:lang w:bidi="cs-CZ"/>
              </w:rPr>
              <w:lastRenderedPageBreak/>
              <w:t>komínom alebo vypúšťaný zo zariadenia na obmedzovanie emisií okrem emisií z bezpečnostno-poistných odvodov, ak nie je ďalej ustanovené inak,</w:t>
            </w:r>
          </w:p>
        </w:tc>
        <w:tc>
          <w:tcPr>
            <w:tcW w:w="429" w:type="dxa"/>
            <w:tcBorders>
              <w:top w:val="single" w:sz="4" w:space="0" w:color="000000"/>
              <w:left w:val="single" w:sz="6" w:space="0" w:color="000000"/>
              <w:bottom w:val="single" w:sz="6" w:space="0" w:color="000000"/>
              <w:right w:val="single" w:sz="6" w:space="0" w:color="000000"/>
            </w:tcBorders>
          </w:tcPr>
          <w:p w14:paraId="15132A97" w14:textId="77777777" w:rsidR="000C6209" w:rsidRPr="008819AF" w:rsidRDefault="000C6209" w:rsidP="0021052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A98" w14:textId="77777777" w:rsidR="000C6209" w:rsidRPr="008819AF" w:rsidRDefault="000C6209" w:rsidP="0021052F">
            <w:pPr>
              <w:ind w:left="215" w:hanging="215"/>
              <w:rPr>
                <w:rFonts w:eastAsia="Arial"/>
              </w:rPr>
            </w:pPr>
          </w:p>
        </w:tc>
      </w:tr>
      <w:tr w:rsidR="000C6209" w:rsidRPr="008819AF" w14:paraId="15132AA5" w14:textId="77777777" w:rsidTr="003E351D">
        <w:trPr>
          <w:trHeight w:val="327"/>
          <w:jc w:val="center"/>
        </w:trPr>
        <w:tc>
          <w:tcPr>
            <w:tcW w:w="483" w:type="dxa"/>
            <w:vMerge/>
            <w:tcBorders>
              <w:top w:val="single" w:sz="6" w:space="0" w:color="000000"/>
              <w:left w:val="single" w:sz="6" w:space="0" w:color="000000"/>
              <w:bottom w:val="single" w:sz="6" w:space="0" w:color="000000"/>
              <w:right w:val="single" w:sz="6" w:space="0" w:color="000000"/>
            </w:tcBorders>
          </w:tcPr>
          <w:p w14:paraId="15132A9A" w14:textId="77777777" w:rsidR="000C6209" w:rsidRPr="008819AF" w:rsidRDefault="000C620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A9B" w14:textId="77777777" w:rsidR="000C6209" w:rsidRPr="008819AF" w:rsidRDefault="000C6209" w:rsidP="009C63CF">
            <w:pPr>
              <w:numPr>
                <w:ilvl w:val="0"/>
                <w:numId w:val="38"/>
              </w:numPr>
              <w:spacing w:after="120"/>
              <w:ind w:left="357" w:hanging="357"/>
              <w:rPr>
                <w:rFonts w:eastAsia="Arial"/>
              </w:rPr>
            </w:pPr>
            <w:r w:rsidRPr="008819AF">
              <w:rPr>
                <w:rFonts w:eastAsia="Arial"/>
              </w:rPr>
              <w:t>„fugitívne emisie“ sú akékoľvek emisie prchavých organických zlúčenín s výnimkou odpadových plynov do ovzdušia, pôdy a vody, ako aj rozpúšťadiel, ktoré sú obsiahnuté v akýchkoľvek výrobkoch, pokiaľ v prílohe VII časť 2 nie je stanovené inak;</w:t>
            </w:r>
          </w:p>
          <w:p w14:paraId="15132A9C" w14:textId="77777777" w:rsidR="000C6209" w:rsidRPr="008819AF" w:rsidRDefault="000C6209" w:rsidP="0021052F">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9D" w14:textId="77777777" w:rsidR="000C6209" w:rsidRPr="008819AF" w:rsidRDefault="000C6209" w:rsidP="0021052F">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A9E" w14:textId="77777777" w:rsidR="000C6209" w:rsidRPr="008819AF" w:rsidRDefault="000C6209" w:rsidP="0021052F">
            <w:pPr>
              <w:jc w:val="center"/>
              <w:rPr>
                <w:rFonts w:eastAsia="Arial"/>
                <w:lang w:bidi="cs-CZ"/>
              </w:rPr>
            </w:pPr>
            <w:r w:rsidRPr="008819AF">
              <w:rPr>
                <w:rFonts w:eastAsia="Arial"/>
                <w:lang w:bidi="cs-CZ"/>
              </w:rPr>
              <w:t>NV2</w:t>
            </w:r>
          </w:p>
          <w:p w14:paraId="15132A9F" w14:textId="77777777" w:rsidR="000C6209" w:rsidRPr="008819AF" w:rsidRDefault="000C620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AA0" w14:textId="77777777" w:rsidR="00111E05" w:rsidRPr="008819AF" w:rsidRDefault="00111E05" w:rsidP="00111E05">
            <w:pPr>
              <w:pStyle w:val="BodyText21"/>
              <w:spacing w:before="0"/>
              <w:jc w:val="center"/>
              <w:rPr>
                <w:rFonts w:ascii="Times New Roman" w:hAnsi="Times New Roman" w:cs="Times New Roman"/>
              </w:rPr>
            </w:pPr>
            <w:r w:rsidRPr="008819AF">
              <w:rPr>
                <w:rFonts w:ascii="Times New Roman" w:hAnsi="Times New Roman" w:cs="Times New Roman"/>
              </w:rPr>
              <w:t>§ 2</w:t>
            </w:r>
          </w:p>
          <w:p w14:paraId="15132AA1" w14:textId="77777777" w:rsidR="000C6209" w:rsidRPr="008819AF" w:rsidRDefault="00111E05" w:rsidP="00111E05">
            <w:pPr>
              <w:pStyle w:val="BodyText21"/>
              <w:spacing w:before="0"/>
              <w:jc w:val="center"/>
              <w:rPr>
                <w:rFonts w:ascii="Times New Roman" w:hAnsi="Times New Roman" w:cs="Times New Roman"/>
              </w:rPr>
            </w:pPr>
            <w:r w:rsidRPr="008819AF">
              <w:rPr>
                <w:rFonts w:ascii="Times New Roman" w:hAnsi="Times New Roman" w:cs="Times New Roman"/>
              </w:rPr>
              <w:t>Pb)2</w:t>
            </w:r>
          </w:p>
        </w:tc>
        <w:tc>
          <w:tcPr>
            <w:tcW w:w="5664" w:type="dxa"/>
            <w:gridSpan w:val="5"/>
            <w:tcBorders>
              <w:top w:val="single" w:sz="4" w:space="0" w:color="000000"/>
              <w:left w:val="single" w:sz="6" w:space="0" w:color="000000"/>
              <w:bottom w:val="single" w:sz="6" w:space="0" w:color="000000"/>
              <w:right w:val="single" w:sz="6" w:space="0" w:color="000000"/>
            </w:tcBorders>
          </w:tcPr>
          <w:p w14:paraId="15132AA2" w14:textId="77777777" w:rsidR="000C6209" w:rsidRPr="008819AF" w:rsidRDefault="00111E05" w:rsidP="0021052F">
            <w:pPr>
              <w:pStyle w:val="Odsekzoznamu"/>
              <w:ind w:left="0"/>
              <w:rPr>
                <w:rFonts w:eastAsia="Arial"/>
                <w:sz w:val="20"/>
                <w:szCs w:val="20"/>
              </w:rPr>
            </w:pPr>
            <w:r w:rsidRPr="008819AF">
              <w:rPr>
                <w:rFonts w:eastAsia="Arial"/>
                <w:sz w:val="20"/>
                <w:szCs w:val="20"/>
              </w:rPr>
              <w:t>2. emisie prchavých organických zlúčenín zo zariadení používajúcich organické rozpúšťadlá podľa § 4 ods. 1 písm. d), ktoré sa dostávajú do ovzdušia inak ako v emisiách odpadových plynov, zahŕňajú sa sem emisie cez okná, dvere, svetlíky alebo odsávané vzduchotechnikou, ako aj emisie do pôdy, vody a emisie zo zvyškov organických rozpúšťadiel vo výrobkoch, ak v prílohe č. 6 štvrtej časti nie je ustanovené inak,</w:t>
            </w:r>
          </w:p>
        </w:tc>
        <w:tc>
          <w:tcPr>
            <w:tcW w:w="429" w:type="dxa"/>
            <w:tcBorders>
              <w:top w:val="single" w:sz="4" w:space="0" w:color="000000"/>
              <w:left w:val="single" w:sz="6" w:space="0" w:color="000000"/>
              <w:bottom w:val="single" w:sz="6" w:space="0" w:color="000000"/>
              <w:right w:val="single" w:sz="6" w:space="0" w:color="000000"/>
            </w:tcBorders>
          </w:tcPr>
          <w:p w14:paraId="15132AA3" w14:textId="77777777" w:rsidR="000C6209" w:rsidRPr="008819AF" w:rsidRDefault="000C6209" w:rsidP="0021052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AA4" w14:textId="77777777" w:rsidR="000C6209" w:rsidRPr="008819AF" w:rsidRDefault="000C6209" w:rsidP="0021052F">
            <w:pPr>
              <w:ind w:left="215" w:hanging="215"/>
              <w:rPr>
                <w:rFonts w:eastAsia="Arial"/>
              </w:rPr>
            </w:pPr>
          </w:p>
        </w:tc>
      </w:tr>
      <w:tr w:rsidR="000C6209" w:rsidRPr="008819AF" w14:paraId="15132AB0" w14:textId="77777777" w:rsidTr="003E351D">
        <w:trPr>
          <w:trHeight w:val="622"/>
          <w:jc w:val="center"/>
        </w:trPr>
        <w:tc>
          <w:tcPr>
            <w:tcW w:w="483" w:type="dxa"/>
            <w:vMerge/>
            <w:tcBorders>
              <w:top w:val="single" w:sz="6" w:space="0" w:color="000000"/>
              <w:left w:val="single" w:sz="6" w:space="0" w:color="000000"/>
              <w:bottom w:val="single" w:sz="6" w:space="0" w:color="000000"/>
              <w:right w:val="single" w:sz="6" w:space="0" w:color="000000"/>
            </w:tcBorders>
          </w:tcPr>
          <w:p w14:paraId="15132AA6" w14:textId="77777777" w:rsidR="000C6209" w:rsidRPr="008819AF" w:rsidRDefault="000C620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AA7" w14:textId="77777777" w:rsidR="000C6209" w:rsidRPr="008819AF" w:rsidRDefault="000C6209" w:rsidP="009C63CF">
            <w:pPr>
              <w:numPr>
                <w:ilvl w:val="0"/>
                <w:numId w:val="38"/>
              </w:numPr>
              <w:ind w:left="215" w:hanging="215"/>
              <w:rPr>
                <w:rFonts w:eastAsia="Arial"/>
              </w:rPr>
            </w:pPr>
            <w:r w:rsidRPr="008819AF">
              <w:rPr>
                <w:rFonts w:eastAsia="Arial"/>
              </w:rPr>
              <w:t>celkové emisie“ sú súčtom fugitívnych emisií a emisií v odpadových plynoch;</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A8" w14:textId="77777777" w:rsidR="000C6209" w:rsidRPr="008819AF" w:rsidRDefault="000C6209" w:rsidP="0021052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AA9" w14:textId="77777777" w:rsidR="000C6209" w:rsidRPr="008819AF" w:rsidRDefault="000C6209" w:rsidP="0021052F">
            <w:pPr>
              <w:jc w:val="center"/>
              <w:rPr>
                <w:rFonts w:eastAsia="Arial"/>
                <w:lang w:bidi="cs-CZ"/>
              </w:rPr>
            </w:pPr>
            <w:r w:rsidRPr="008819AF">
              <w:rPr>
                <w:rFonts w:eastAsia="Arial"/>
                <w:lang w:bidi="cs-CZ"/>
              </w:rPr>
              <w:t>NV2</w:t>
            </w:r>
          </w:p>
          <w:p w14:paraId="15132AAA" w14:textId="77777777" w:rsidR="000C6209" w:rsidRPr="008819AF" w:rsidRDefault="000C6209"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AAB" w14:textId="77777777" w:rsidR="00111E05" w:rsidRPr="008819AF" w:rsidRDefault="00111E05" w:rsidP="00111E05">
            <w:pPr>
              <w:pStyle w:val="BodyText21"/>
              <w:spacing w:before="0"/>
              <w:jc w:val="center"/>
              <w:rPr>
                <w:rFonts w:ascii="Times New Roman" w:hAnsi="Times New Roman" w:cs="Times New Roman"/>
              </w:rPr>
            </w:pPr>
            <w:r w:rsidRPr="008819AF">
              <w:rPr>
                <w:rFonts w:ascii="Times New Roman" w:hAnsi="Times New Roman" w:cs="Times New Roman"/>
              </w:rPr>
              <w:t>§ 2</w:t>
            </w:r>
          </w:p>
          <w:p w14:paraId="15132AAC" w14:textId="77777777" w:rsidR="00111E05" w:rsidRPr="008819AF" w:rsidRDefault="00111E05" w:rsidP="00111E05">
            <w:pPr>
              <w:pStyle w:val="BodyText21"/>
              <w:spacing w:before="0"/>
              <w:jc w:val="center"/>
              <w:rPr>
                <w:rFonts w:ascii="Times New Roman" w:hAnsi="Times New Roman" w:cs="Times New Roman"/>
              </w:rPr>
            </w:pPr>
            <w:r w:rsidRPr="008819AF">
              <w:rPr>
                <w:rFonts w:ascii="Times New Roman" w:hAnsi="Times New Roman" w:cs="Times New Roman"/>
              </w:rPr>
              <w:t>Pc</w:t>
            </w:r>
          </w:p>
        </w:tc>
        <w:tc>
          <w:tcPr>
            <w:tcW w:w="5664" w:type="dxa"/>
            <w:gridSpan w:val="5"/>
            <w:tcBorders>
              <w:top w:val="single" w:sz="4" w:space="0" w:color="000000"/>
              <w:left w:val="single" w:sz="6" w:space="0" w:color="000000"/>
              <w:bottom w:val="single" w:sz="6" w:space="0" w:color="000000"/>
              <w:right w:val="single" w:sz="6" w:space="0" w:color="000000"/>
            </w:tcBorders>
          </w:tcPr>
          <w:p w14:paraId="15132AAD" w14:textId="77777777" w:rsidR="00111E05" w:rsidRPr="008819AF" w:rsidRDefault="00111E05" w:rsidP="00111E05">
            <w:pPr>
              <w:pStyle w:val="Hlavika"/>
              <w:ind w:left="72" w:hanging="1"/>
              <w:rPr>
                <w:rFonts w:ascii="Times New Roman" w:hAnsi="Times New Roman" w:cs="Times New Roman"/>
                <w:lang w:bidi="cs-CZ"/>
              </w:rPr>
            </w:pPr>
            <w:r w:rsidRPr="008819AF">
              <w:rPr>
                <w:rFonts w:ascii="Times New Roman" w:hAnsi="Times New Roman" w:cs="Times New Roman"/>
                <w:lang w:bidi="cs-CZ"/>
              </w:rPr>
              <w:t>c)</w:t>
            </w:r>
            <w:r w:rsidRPr="008819AF">
              <w:rPr>
                <w:rFonts w:ascii="Times New Roman" w:hAnsi="Times New Roman" w:cs="Times New Roman"/>
                <w:lang w:bidi="cs-CZ"/>
              </w:rPr>
              <w:tab/>
              <w:t>celkovými emisiami znečisťujúcej látky súčet emisií odpadových plynov a fugitívnych emisií znečisťujúcej látky,</w:t>
            </w:r>
          </w:p>
        </w:tc>
        <w:tc>
          <w:tcPr>
            <w:tcW w:w="429" w:type="dxa"/>
            <w:tcBorders>
              <w:top w:val="single" w:sz="4" w:space="0" w:color="000000"/>
              <w:left w:val="single" w:sz="6" w:space="0" w:color="000000"/>
              <w:bottom w:val="single" w:sz="6" w:space="0" w:color="000000"/>
              <w:right w:val="single" w:sz="6" w:space="0" w:color="000000"/>
            </w:tcBorders>
          </w:tcPr>
          <w:p w14:paraId="15132AAE" w14:textId="77777777" w:rsidR="000C6209" w:rsidRPr="008819AF" w:rsidRDefault="000C6209" w:rsidP="0021052F"/>
        </w:tc>
        <w:tc>
          <w:tcPr>
            <w:tcW w:w="821" w:type="dxa"/>
            <w:gridSpan w:val="3"/>
            <w:tcBorders>
              <w:top w:val="single" w:sz="4" w:space="0" w:color="000000"/>
              <w:left w:val="single" w:sz="6" w:space="0" w:color="000000"/>
              <w:bottom w:val="single" w:sz="6" w:space="0" w:color="000000"/>
              <w:right w:val="single" w:sz="6" w:space="0" w:color="000000"/>
            </w:tcBorders>
          </w:tcPr>
          <w:p w14:paraId="15132AAF" w14:textId="77777777" w:rsidR="000C6209" w:rsidRPr="008819AF" w:rsidRDefault="000C6209" w:rsidP="0021052F">
            <w:pPr>
              <w:ind w:left="215" w:hanging="215"/>
              <w:rPr>
                <w:rFonts w:eastAsia="Arial"/>
              </w:rPr>
            </w:pPr>
          </w:p>
        </w:tc>
      </w:tr>
      <w:tr w:rsidR="000C6209" w:rsidRPr="008819AF" w14:paraId="15132ABD"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AB1" w14:textId="77777777" w:rsidR="000C6209" w:rsidRPr="008819AF" w:rsidRDefault="000C620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AB2" w14:textId="77777777" w:rsidR="000C6209" w:rsidRPr="008819AF" w:rsidRDefault="000C6209" w:rsidP="009C63CF">
            <w:pPr>
              <w:numPr>
                <w:ilvl w:val="0"/>
                <w:numId w:val="38"/>
              </w:numPr>
              <w:ind w:left="215" w:hanging="215"/>
              <w:rPr>
                <w:rFonts w:eastAsia="Arial"/>
              </w:rPr>
            </w:pPr>
            <w:r w:rsidRPr="008819AF">
              <w:rPr>
                <w:rFonts w:eastAsia="Arial"/>
              </w:rPr>
              <w:t>„zmes“ je zmes, ako je vymedzená v článku 3 ods. 2 nariadenia Európskeho parlamentu a Rady (ES) č. 1907/2006z 18. decembra 2006 o registrácii, hodnotení, autorizácii a obmedzovaní chemických látok (REACH) a o zriadení Európskej chemickej agentúry(1) Ú. v. EÚ L 396, 30.12.2006, s. 1.; „zmes“ je zmes, ako je vymedzená v článku 3 ods. 2 nariadenia Európskeho parlamentu a Rady (ES) č. 1907/2006z 18. decembra 2006 o registrácii, hodnotení, autorizácii a obmedzovaní chemických látok (REACH) a o zriadení Európskej chemickej agentúry(1) Ú. v. EÚ L 396, 30.12.2006, s. 1.;</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B3" w14:textId="77777777" w:rsidR="000C6209" w:rsidRPr="008819AF" w:rsidRDefault="000C6209" w:rsidP="0021052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AB4" w14:textId="77777777" w:rsidR="000C6209" w:rsidRPr="008819AF" w:rsidRDefault="000C6209" w:rsidP="0021052F">
            <w:pPr>
              <w:jc w:val="center"/>
              <w:rPr>
                <w:rFonts w:eastAsia="Arial"/>
                <w:lang w:bidi="cs-CZ"/>
              </w:rPr>
            </w:pPr>
            <w:r w:rsidRPr="008819AF">
              <w:rPr>
                <w:rFonts w:eastAsia="Arial"/>
                <w:lang w:bidi="cs-CZ"/>
              </w:rPr>
              <w:t>NV2</w:t>
            </w:r>
          </w:p>
          <w:p w14:paraId="15132AB5" w14:textId="77777777" w:rsidR="000C6209" w:rsidRPr="008819AF" w:rsidRDefault="000C6209"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AB6" w14:textId="77777777" w:rsidR="000C6209" w:rsidRPr="008819AF" w:rsidRDefault="001A1B83" w:rsidP="0021052F">
            <w:pPr>
              <w:pStyle w:val="BodyText21"/>
              <w:spacing w:before="0"/>
              <w:jc w:val="center"/>
              <w:rPr>
                <w:rFonts w:ascii="Times New Roman" w:hAnsi="Times New Roman" w:cs="Times New Roman"/>
              </w:rPr>
            </w:pPr>
            <w:r w:rsidRPr="008819AF">
              <w:rPr>
                <w:rFonts w:ascii="Times New Roman" w:hAnsi="Times New Roman" w:cs="Times New Roman"/>
              </w:rPr>
              <w:t>§ 26</w:t>
            </w:r>
          </w:p>
          <w:p w14:paraId="15132AB7" w14:textId="77777777" w:rsidR="001A1B83" w:rsidRPr="008819AF" w:rsidRDefault="001A1B83" w:rsidP="0021052F">
            <w:pPr>
              <w:pStyle w:val="BodyText21"/>
              <w:spacing w:before="0"/>
              <w:jc w:val="center"/>
              <w:rPr>
                <w:rFonts w:ascii="Times New Roman" w:hAnsi="Times New Roman" w:cs="Times New Roman"/>
              </w:rPr>
            </w:pPr>
            <w:r w:rsidRPr="008819AF">
              <w:rPr>
                <w:rFonts w:ascii="Times New Roman" w:hAnsi="Times New Roman" w:cs="Times New Roman"/>
              </w:rPr>
              <w:t>O2</w:t>
            </w:r>
          </w:p>
          <w:p w14:paraId="15132AB8" w14:textId="77777777" w:rsidR="001A1B83" w:rsidRPr="008819AF" w:rsidRDefault="001A1B83" w:rsidP="0021052F">
            <w:pPr>
              <w:pStyle w:val="BodyText21"/>
              <w:spacing w:before="0"/>
              <w:jc w:val="center"/>
              <w:rPr>
                <w:rFonts w:ascii="Times New Roman" w:hAnsi="Times New Roman" w:cs="Times New Roman"/>
              </w:rPr>
            </w:pPr>
            <w:r w:rsidRPr="008819AF">
              <w:rPr>
                <w:rFonts w:ascii="Times New Roman" w:hAnsi="Times New Roman" w:cs="Times New Roman"/>
              </w:rPr>
              <w:t>Pb</w:t>
            </w:r>
          </w:p>
        </w:tc>
        <w:tc>
          <w:tcPr>
            <w:tcW w:w="5664" w:type="dxa"/>
            <w:gridSpan w:val="5"/>
            <w:tcBorders>
              <w:top w:val="single" w:sz="4" w:space="0" w:color="000000"/>
              <w:left w:val="single" w:sz="6" w:space="0" w:color="000000"/>
              <w:bottom w:val="single" w:sz="6" w:space="0" w:color="000000"/>
              <w:right w:val="single" w:sz="6" w:space="0" w:color="000000"/>
            </w:tcBorders>
          </w:tcPr>
          <w:p w14:paraId="15132AB9" w14:textId="77777777" w:rsidR="001A1B83" w:rsidRPr="008819AF" w:rsidRDefault="001A1B83" w:rsidP="001A1B83">
            <w:pPr>
              <w:pStyle w:val="Hlavika"/>
              <w:ind w:left="72" w:hanging="1"/>
              <w:rPr>
                <w:rFonts w:ascii="Times New Roman" w:hAnsi="Times New Roman" w:cs="Times New Roman"/>
                <w:lang w:bidi="cs-CZ"/>
              </w:rPr>
            </w:pPr>
            <w:r w:rsidRPr="008819AF">
              <w:rPr>
                <w:rFonts w:ascii="Times New Roman" w:hAnsi="Times New Roman" w:cs="Times New Roman"/>
                <w:lang w:bidi="cs-CZ"/>
              </w:rPr>
              <w:t>b)zmesou zmes vymedzená podľa osobitného predpisu,</w:t>
            </w:r>
            <w:r w:rsidRPr="008819AF">
              <w:rPr>
                <w:rFonts w:ascii="Times New Roman" w:hAnsi="Times New Roman" w:cs="Times New Roman"/>
                <w:vertAlign w:val="superscript"/>
                <w:lang w:bidi="cs-CZ"/>
              </w:rPr>
              <w:t>16</w:t>
            </w:r>
            <w:r w:rsidRPr="008819AF">
              <w:rPr>
                <w:rFonts w:ascii="Times New Roman" w:hAnsi="Times New Roman" w:cs="Times New Roman"/>
                <w:lang w:bidi="cs-CZ"/>
              </w:rPr>
              <w:t xml:space="preserve"> )</w:t>
            </w:r>
          </w:p>
          <w:p w14:paraId="15132ABA" w14:textId="77777777" w:rsidR="001A1B83" w:rsidRPr="008819AF" w:rsidRDefault="001A1B83" w:rsidP="001A1B83">
            <w:pPr>
              <w:pStyle w:val="Hlavika"/>
              <w:ind w:left="72" w:hanging="1"/>
              <w:rPr>
                <w:rFonts w:ascii="Times New Roman" w:hAnsi="Times New Roman" w:cs="Times New Roman"/>
                <w:lang w:bidi="cs-CZ"/>
              </w:rPr>
            </w:pPr>
            <w:r w:rsidRPr="008819AF">
              <w:rPr>
                <w:rFonts w:ascii="Times New Roman" w:hAnsi="Times New Roman" w:cs="Times New Roman"/>
                <w:lang w:bidi="cs-CZ"/>
              </w:rPr>
              <w:t xml:space="preserve">  ) Čl. 3 ods. 2 nariadenia Európskeho parlamentu a Rady (ES) č. 1907/2006 z 18.decembra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93/105/ES a 2000/21/ES (Ú.v. EÚ L396, 30. 12. 2006) v platnom znení.</w:t>
            </w:r>
          </w:p>
        </w:tc>
        <w:tc>
          <w:tcPr>
            <w:tcW w:w="429" w:type="dxa"/>
            <w:tcBorders>
              <w:top w:val="single" w:sz="4" w:space="0" w:color="000000"/>
              <w:left w:val="single" w:sz="6" w:space="0" w:color="000000"/>
              <w:bottom w:val="single" w:sz="6" w:space="0" w:color="000000"/>
              <w:right w:val="single" w:sz="6" w:space="0" w:color="000000"/>
            </w:tcBorders>
          </w:tcPr>
          <w:p w14:paraId="15132ABB" w14:textId="77777777" w:rsidR="000C6209" w:rsidRPr="008819AF" w:rsidRDefault="000C6209" w:rsidP="0021052F"/>
        </w:tc>
        <w:tc>
          <w:tcPr>
            <w:tcW w:w="821" w:type="dxa"/>
            <w:gridSpan w:val="3"/>
            <w:tcBorders>
              <w:top w:val="single" w:sz="4" w:space="0" w:color="000000"/>
              <w:left w:val="single" w:sz="6" w:space="0" w:color="000000"/>
              <w:bottom w:val="single" w:sz="6" w:space="0" w:color="000000"/>
              <w:right w:val="single" w:sz="6" w:space="0" w:color="000000"/>
            </w:tcBorders>
          </w:tcPr>
          <w:p w14:paraId="15132ABC" w14:textId="77777777" w:rsidR="000C6209" w:rsidRPr="008819AF" w:rsidRDefault="000C6209" w:rsidP="0021052F">
            <w:pPr>
              <w:ind w:left="215" w:hanging="215"/>
              <w:rPr>
                <w:rFonts w:eastAsia="Arial"/>
              </w:rPr>
            </w:pPr>
          </w:p>
        </w:tc>
      </w:tr>
      <w:tr w:rsidR="000C6209" w:rsidRPr="008819AF" w14:paraId="15132AC9"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ABE" w14:textId="77777777" w:rsidR="000C6209" w:rsidRPr="008819AF" w:rsidRDefault="000C620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ABF" w14:textId="77777777" w:rsidR="000C6209" w:rsidRPr="008819AF" w:rsidRDefault="000C6209" w:rsidP="009C63CF">
            <w:pPr>
              <w:numPr>
                <w:ilvl w:val="0"/>
                <w:numId w:val="38"/>
              </w:numPr>
              <w:spacing w:after="120"/>
              <w:ind w:left="357" w:hanging="357"/>
              <w:rPr>
                <w:rFonts w:eastAsia="Arial"/>
              </w:rPr>
            </w:pPr>
            <w:r w:rsidRPr="008819AF">
              <w:rPr>
                <w:rFonts w:eastAsia="Arial"/>
              </w:rPr>
              <w:t>„lepidlo“ je akákoľvek zmes vrátane všetkých organických rozpúšťadiel alebo zmesí obsahujúcich organické rozpúšťadlá potrebné na jej riadne použitie, ktorá sa používa na zlepenie jednotlivých častí výrobku;</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C0" w14:textId="77777777" w:rsidR="000C6209" w:rsidRPr="008819AF" w:rsidRDefault="000C6209" w:rsidP="0021052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AC1" w14:textId="77777777" w:rsidR="000C6209" w:rsidRPr="008819AF" w:rsidRDefault="000C6209" w:rsidP="0021052F">
            <w:pPr>
              <w:jc w:val="center"/>
              <w:rPr>
                <w:rFonts w:eastAsia="Arial"/>
                <w:lang w:bidi="cs-CZ"/>
              </w:rPr>
            </w:pPr>
            <w:r w:rsidRPr="008819AF">
              <w:rPr>
                <w:rFonts w:eastAsia="Arial"/>
                <w:lang w:bidi="cs-CZ"/>
              </w:rPr>
              <w:t>NV2</w:t>
            </w:r>
          </w:p>
          <w:p w14:paraId="15132AC2" w14:textId="77777777" w:rsidR="000C6209" w:rsidRPr="008819AF" w:rsidRDefault="000C6209"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AC3" w14:textId="77777777" w:rsidR="000C6209" w:rsidRPr="008819AF" w:rsidRDefault="001A1B83" w:rsidP="001A1B83">
            <w:pPr>
              <w:pStyle w:val="BodyText21"/>
              <w:spacing w:before="0"/>
              <w:rPr>
                <w:rFonts w:ascii="Times New Roman" w:hAnsi="Times New Roman" w:cs="Times New Roman"/>
              </w:rPr>
            </w:pPr>
            <w:r w:rsidRPr="008819AF">
              <w:rPr>
                <w:rFonts w:ascii="Times New Roman" w:hAnsi="Times New Roman" w:cs="Times New Roman"/>
              </w:rPr>
              <w:t>§ 26</w:t>
            </w:r>
          </w:p>
          <w:p w14:paraId="15132AC4" w14:textId="77777777" w:rsidR="001A1B83" w:rsidRPr="008819AF" w:rsidRDefault="001A1B83" w:rsidP="001A1B83">
            <w:pPr>
              <w:pStyle w:val="BodyText21"/>
              <w:spacing w:before="0"/>
              <w:rPr>
                <w:rFonts w:ascii="Times New Roman" w:hAnsi="Times New Roman" w:cs="Times New Roman"/>
              </w:rPr>
            </w:pPr>
            <w:r w:rsidRPr="008819AF">
              <w:rPr>
                <w:rFonts w:ascii="Times New Roman" w:hAnsi="Times New Roman" w:cs="Times New Roman"/>
              </w:rPr>
              <w:t>O2</w:t>
            </w:r>
          </w:p>
          <w:p w14:paraId="15132AC5" w14:textId="77777777" w:rsidR="001A1B83" w:rsidRPr="008819AF" w:rsidRDefault="001A1B83" w:rsidP="001A1B83">
            <w:pPr>
              <w:pStyle w:val="BodyText21"/>
              <w:spacing w:before="0"/>
              <w:rPr>
                <w:rFonts w:ascii="Times New Roman" w:hAnsi="Times New Roman" w:cs="Times New Roman"/>
              </w:rPr>
            </w:pPr>
            <w:r w:rsidRPr="008819AF">
              <w:rPr>
                <w:rFonts w:ascii="Times New Roman" w:hAnsi="Times New Roman" w:cs="Times New Roman"/>
              </w:rPr>
              <w:t>Pl</w:t>
            </w:r>
          </w:p>
        </w:tc>
        <w:tc>
          <w:tcPr>
            <w:tcW w:w="5664" w:type="dxa"/>
            <w:gridSpan w:val="5"/>
            <w:tcBorders>
              <w:top w:val="single" w:sz="4" w:space="0" w:color="000000"/>
              <w:left w:val="single" w:sz="6" w:space="0" w:color="000000"/>
              <w:bottom w:val="single" w:sz="6" w:space="0" w:color="000000"/>
              <w:right w:val="single" w:sz="6" w:space="0" w:color="000000"/>
            </w:tcBorders>
          </w:tcPr>
          <w:p w14:paraId="15132AC6" w14:textId="77777777" w:rsidR="001A1B83" w:rsidRPr="008819AF" w:rsidRDefault="001A1B83" w:rsidP="0021052F">
            <w:pPr>
              <w:pStyle w:val="Hlavika"/>
              <w:ind w:left="72" w:hanging="1"/>
              <w:rPr>
                <w:rFonts w:ascii="Times New Roman" w:hAnsi="Times New Roman" w:cs="Times New Roman"/>
                <w:lang w:bidi="cs-CZ"/>
              </w:rPr>
            </w:pPr>
            <w:r w:rsidRPr="008819AF">
              <w:rPr>
                <w:rFonts w:ascii="Times New Roman" w:hAnsi="Times New Roman" w:cs="Times New Roman"/>
                <w:lang w:bidi="cs-CZ"/>
              </w:rPr>
              <w:t>l)lepidlom adhezívna zmes, ktorá sa používa na zlepenie jednotlivých častí výrobku, vrátane všetkých organických rozpúšťadiel a zmesí, ktoré obsahujú organické rozpúšťadlá potrebné na ich riadne použitie,</w:t>
            </w:r>
          </w:p>
        </w:tc>
        <w:tc>
          <w:tcPr>
            <w:tcW w:w="429" w:type="dxa"/>
            <w:tcBorders>
              <w:top w:val="single" w:sz="4" w:space="0" w:color="000000"/>
              <w:left w:val="single" w:sz="6" w:space="0" w:color="000000"/>
              <w:bottom w:val="single" w:sz="6" w:space="0" w:color="000000"/>
              <w:right w:val="single" w:sz="6" w:space="0" w:color="000000"/>
            </w:tcBorders>
          </w:tcPr>
          <w:p w14:paraId="15132AC7" w14:textId="77777777" w:rsidR="000C6209" w:rsidRPr="008819AF" w:rsidRDefault="000C6209" w:rsidP="0021052F"/>
        </w:tc>
        <w:tc>
          <w:tcPr>
            <w:tcW w:w="821" w:type="dxa"/>
            <w:gridSpan w:val="3"/>
            <w:tcBorders>
              <w:top w:val="single" w:sz="4" w:space="0" w:color="000000"/>
              <w:left w:val="single" w:sz="6" w:space="0" w:color="000000"/>
              <w:bottom w:val="single" w:sz="6" w:space="0" w:color="000000"/>
              <w:right w:val="single" w:sz="6" w:space="0" w:color="000000"/>
            </w:tcBorders>
          </w:tcPr>
          <w:p w14:paraId="15132AC8" w14:textId="77777777" w:rsidR="000C6209" w:rsidRPr="008819AF" w:rsidRDefault="000C6209" w:rsidP="0021052F">
            <w:pPr>
              <w:ind w:left="215" w:hanging="215"/>
              <w:rPr>
                <w:rFonts w:eastAsia="Arial"/>
              </w:rPr>
            </w:pPr>
          </w:p>
        </w:tc>
      </w:tr>
      <w:tr w:rsidR="000C6209" w:rsidRPr="008819AF" w14:paraId="15132AD5"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ACA" w14:textId="77777777" w:rsidR="000C6209" w:rsidRPr="008819AF" w:rsidRDefault="000C6209" w:rsidP="003E351D">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ACB" w14:textId="77777777" w:rsidR="000C6209" w:rsidRPr="008819AF" w:rsidRDefault="000C6209" w:rsidP="009C63CF">
            <w:pPr>
              <w:numPr>
                <w:ilvl w:val="0"/>
                <w:numId w:val="38"/>
              </w:numPr>
              <w:spacing w:after="120"/>
              <w:ind w:left="357" w:hanging="357"/>
              <w:rPr>
                <w:rFonts w:eastAsia="Arial"/>
              </w:rPr>
            </w:pPr>
            <w:r w:rsidRPr="008819AF">
              <w:rPr>
                <w:rFonts w:eastAsia="Arial"/>
              </w:rPr>
              <w:t>„tlačiarenská farba“ je akákoľvek zmes vrátane všetkých organických rozpúšťadiel alebo zmesí obsahujúcich organické rozpúšťadlá potrebné na jej riadne použitie, ktorá sa používa pri tlačiarenskej činnosti na vytlačenie textu alebo obrázkov na nejaký povrch;</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CC" w14:textId="77777777" w:rsidR="000C6209" w:rsidRPr="008819AF" w:rsidRDefault="000C6209" w:rsidP="0021052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ACD" w14:textId="77777777" w:rsidR="000C6209" w:rsidRPr="008819AF" w:rsidRDefault="000C6209" w:rsidP="0021052F">
            <w:pPr>
              <w:jc w:val="center"/>
              <w:rPr>
                <w:rFonts w:eastAsia="Arial"/>
                <w:lang w:bidi="cs-CZ"/>
              </w:rPr>
            </w:pPr>
            <w:r w:rsidRPr="008819AF">
              <w:rPr>
                <w:rFonts w:eastAsia="Arial"/>
                <w:lang w:bidi="cs-CZ"/>
              </w:rPr>
              <w:t>NV2</w:t>
            </w:r>
          </w:p>
          <w:p w14:paraId="15132ACE" w14:textId="77777777" w:rsidR="000C6209" w:rsidRPr="008819AF" w:rsidRDefault="000C6209"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ACF" w14:textId="77777777" w:rsidR="000C6209" w:rsidRPr="008819AF" w:rsidRDefault="00D72005" w:rsidP="0021052F">
            <w:pPr>
              <w:pStyle w:val="BodyText21"/>
              <w:spacing w:before="0"/>
              <w:jc w:val="center"/>
              <w:rPr>
                <w:rFonts w:ascii="Times New Roman" w:hAnsi="Times New Roman" w:cs="Times New Roman"/>
              </w:rPr>
            </w:pPr>
            <w:r w:rsidRPr="008819AF">
              <w:rPr>
                <w:rFonts w:ascii="Times New Roman" w:hAnsi="Times New Roman" w:cs="Times New Roman"/>
              </w:rPr>
              <w:t>§ 26</w:t>
            </w:r>
          </w:p>
          <w:p w14:paraId="15132AD0" w14:textId="77777777" w:rsidR="00D72005" w:rsidRPr="008819AF" w:rsidRDefault="00D72005" w:rsidP="0021052F">
            <w:pPr>
              <w:pStyle w:val="BodyText21"/>
              <w:spacing w:before="0"/>
              <w:jc w:val="center"/>
              <w:rPr>
                <w:rFonts w:ascii="Times New Roman" w:hAnsi="Times New Roman" w:cs="Times New Roman"/>
              </w:rPr>
            </w:pPr>
            <w:r w:rsidRPr="008819AF">
              <w:rPr>
                <w:rFonts w:ascii="Times New Roman" w:hAnsi="Times New Roman" w:cs="Times New Roman"/>
              </w:rPr>
              <w:t>O2</w:t>
            </w:r>
          </w:p>
          <w:p w14:paraId="15132AD1" w14:textId="77777777" w:rsidR="00D72005" w:rsidRPr="008819AF" w:rsidRDefault="00D72005" w:rsidP="0021052F">
            <w:pPr>
              <w:pStyle w:val="BodyText21"/>
              <w:spacing w:before="0"/>
              <w:jc w:val="center"/>
              <w:rPr>
                <w:rFonts w:ascii="Times New Roman" w:hAnsi="Times New Roman" w:cs="Times New Roman"/>
              </w:rPr>
            </w:pPr>
            <w:r w:rsidRPr="008819AF">
              <w:rPr>
                <w:rFonts w:ascii="Times New Roman" w:hAnsi="Times New Roman" w:cs="Times New Roman"/>
              </w:rPr>
              <w:t>Pi</w:t>
            </w:r>
          </w:p>
        </w:tc>
        <w:tc>
          <w:tcPr>
            <w:tcW w:w="5664" w:type="dxa"/>
            <w:gridSpan w:val="5"/>
            <w:tcBorders>
              <w:top w:val="single" w:sz="4" w:space="0" w:color="000000"/>
              <w:left w:val="single" w:sz="6" w:space="0" w:color="000000"/>
              <w:bottom w:val="single" w:sz="6" w:space="0" w:color="000000"/>
              <w:right w:val="single" w:sz="6" w:space="0" w:color="000000"/>
            </w:tcBorders>
          </w:tcPr>
          <w:p w14:paraId="15132AD2" w14:textId="77777777" w:rsidR="00D72005" w:rsidRPr="008819AF" w:rsidRDefault="00D72005" w:rsidP="00D72005">
            <w:pPr>
              <w:pStyle w:val="Hlavika"/>
              <w:ind w:left="72" w:hanging="1"/>
              <w:rPr>
                <w:rFonts w:ascii="Times New Roman" w:hAnsi="Times New Roman" w:cs="Times New Roman"/>
                <w:lang w:bidi="cs-CZ"/>
              </w:rPr>
            </w:pPr>
            <w:r w:rsidRPr="008819AF">
              <w:rPr>
                <w:rFonts w:ascii="Times New Roman" w:hAnsi="Times New Roman" w:cs="Times New Roman"/>
                <w:lang w:bidi="cs-CZ"/>
              </w:rPr>
              <w:t>i) tlačiarenskou farbou zmes vrátane všetkých organických rozpúšťadiel a ich zmesí, ktoré obsahujú organické rozpúšťadlá potrebné na ich riadne použitie, ktorá sa používa pri tlačiarenskej činnosti na vytlačenie textu alebo obrázkov na daný povrch</w:t>
            </w:r>
          </w:p>
        </w:tc>
        <w:tc>
          <w:tcPr>
            <w:tcW w:w="429" w:type="dxa"/>
            <w:tcBorders>
              <w:top w:val="single" w:sz="4" w:space="0" w:color="000000"/>
              <w:left w:val="single" w:sz="6" w:space="0" w:color="000000"/>
              <w:bottom w:val="single" w:sz="6" w:space="0" w:color="000000"/>
              <w:right w:val="single" w:sz="6" w:space="0" w:color="000000"/>
            </w:tcBorders>
          </w:tcPr>
          <w:p w14:paraId="15132AD3" w14:textId="77777777" w:rsidR="000C6209" w:rsidRPr="008819AF" w:rsidRDefault="000C6209" w:rsidP="0021052F"/>
        </w:tc>
        <w:tc>
          <w:tcPr>
            <w:tcW w:w="821" w:type="dxa"/>
            <w:gridSpan w:val="3"/>
            <w:tcBorders>
              <w:top w:val="single" w:sz="4" w:space="0" w:color="000000"/>
              <w:left w:val="single" w:sz="6" w:space="0" w:color="000000"/>
              <w:bottom w:val="single" w:sz="6" w:space="0" w:color="000000"/>
              <w:right w:val="single" w:sz="6" w:space="0" w:color="000000"/>
            </w:tcBorders>
          </w:tcPr>
          <w:p w14:paraId="15132AD4" w14:textId="77777777" w:rsidR="000C6209" w:rsidRPr="008819AF" w:rsidRDefault="000C6209" w:rsidP="0021052F">
            <w:pPr>
              <w:ind w:left="215" w:hanging="215"/>
              <w:rPr>
                <w:rFonts w:eastAsia="Arial"/>
              </w:rPr>
            </w:pPr>
          </w:p>
        </w:tc>
      </w:tr>
      <w:tr w:rsidR="00371FB9" w:rsidRPr="008819AF" w14:paraId="15132AE2" w14:textId="77777777" w:rsidTr="003E351D">
        <w:trPr>
          <w:trHeight w:val="393"/>
          <w:jc w:val="center"/>
        </w:trPr>
        <w:tc>
          <w:tcPr>
            <w:tcW w:w="483" w:type="dxa"/>
            <w:vMerge/>
            <w:tcBorders>
              <w:top w:val="single" w:sz="6" w:space="0" w:color="000000"/>
              <w:left w:val="single" w:sz="6" w:space="0" w:color="000000"/>
              <w:bottom w:val="single" w:sz="6" w:space="0" w:color="000000"/>
              <w:right w:val="single" w:sz="6" w:space="0" w:color="000000"/>
            </w:tcBorders>
          </w:tcPr>
          <w:p w14:paraId="15132AD6" w14:textId="77777777" w:rsidR="00371FB9" w:rsidRPr="008819AF" w:rsidRDefault="00371FB9" w:rsidP="00371FB9">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AD7" w14:textId="77777777" w:rsidR="00371FB9" w:rsidRPr="008819AF" w:rsidRDefault="00371FB9" w:rsidP="009C63CF">
            <w:pPr>
              <w:numPr>
                <w:ilvl w:val="0"/>
                <w:numId w:val="38"/>
              </w:numPr>
              <w:spacing w:after="120"/>
              <w:ind w:left="357" w:hanging="357"/>
              <w:rPr>
                <w:rFonts w:eastAsia="Arial"/>
              </w:rPr>
            </w:pPr>
            <w:r w:rsidRPr="008819AF">
              <w:rPr>
                <w:rFonts w:eastAsia="Arial"/>
              </w:rPr>
              <w:t>„lak“ je priesvitný náter;</w:t>
            </w:r>
          </w:p>
          <w:p w14:paraId="15132AD8" w14:textId="77777777" w:rsidR="00371FB9" w:rsidRPr="008819AF" w:rsidRDefault="00371FB9" w:rsidP="00371FB9">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D9" w14:textId="77777777" w:rsidR="00371FB9" w:rsidRPr="008819AF" w:rsidRDefault="00371FB9" w:rsidP="00371FB9">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ADA" w14:textId="77777777" w:rsidR="00371FB9" w:rsidRPr="008819AF" w:rsidRDefault="00371FB9" w:rsidP="00371FB9">
            <w:pPr>
              <w:jc w:val="center"/>
              <w:rPr>
                <w:rFonts w:eastAsia="Arial"/>
                <w:lang w:bidi="cs-CZ"/>
              </w:rPr>
            </w:pPr>
            <w:r w:rsidRPr="008819AF">
              <w:rPr>
                <w:rFonts w:eastAsia="Arial"/>
                <w:lang w:bidi="cs-CZ"/>
              </w:rPr>
              <w:t>NV2</w:t>
            </w:r>
          </w:p>
          <w:p w14:paraId="15132ADB" w14:textId="77777777" w:rsidR="00371FB9" w:rsidRPr="008819AF" w:rsidRDefault="00371FB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ADC" w14:textId="77777777" w:rsidR="00371FB9" w:rsidRPr="008819AF" w:rsidRDefault="00371FB9" w:rsidP="00371FB9">
            <w:pPr>
              <w:pStyle w:val="BodyText21"/>
              <w:spacing w:before="0"/>
              <w:jc w:val="center"/>
              <w:rPr>
                <w:rFonts w:ascii="Times New Roman" w:hAnsi="Times New Roman" w:cs="Times New Roman"/>
              </w:rPr>
            </w:pPr>
            <w:r w:rsidRPr="008819AF">
              <w:rPr>
                <w:rFonts w:ascii="Times New Roman" w:hAnsi="Times New Roman" w:cs="Times New Roman"/>
              </w:rPr>
              <w:t>§ 26</w:t>
            </w:r>
          </w:p>
          <w:p w14:paraId="15132ADD" w14:textId="77777777" w:rsidR="00371FB9" w:rsidRPr="008819AF" w:rsidRDefault="00371FB9" w:rsidP="00371FB9">
            <w:pPr>
              <w:pStyle w:val="BodyText21"/>
              <w:spacing w:before="0"/>
              <w:jc w:val="center"/>
              <w:rPr>
                <w:rFonts w:ascii="Times New Roman" w:hAnsi="Times New Roman" w:cs="Times New Roman"/>
              </w:rPr>
            </w:pPr>
            <w:r w:rsidRPr="008819AF">
              <w:rPr>
                <w:rFonts w:ascii="Times New Roman" w:hAnsi="Times New Roman" w:cs="Times New Roman"/>
              </w:rPr>
              <w:t>O2</w:t>
            </w:r>
          </w:p>
          <w:p w14:paraId="15132ADE" w14:textId="77777777" w:rsidR="00371FB9" w:rsidRPr="008819AF" w:rsidRDefault="00371FB9" w:rsidP="00371FB9">
            <w:pPr>
              <w:pStyle w:val="BodyText21"/>
              <w:spacing w:before="0"/>
              <w:jc w:val="center"/>
              <w:rPr>
                <w:rFonts w:ascii="Times New Roman" w:hAnsi="Times New Roman" w:cs="Times New Roman"/>
              </w:rPr>
            </w:pPr>
            <w:r w:rsidRPr="008819AF">
              <w:rPr>
                <w:rFonts w:ascii="Times New Roman" w:hAnsi="Times New Roman" w:cs="Times New Roman"/>
              </w:rPr>
              <w:t>Pk</w:t>
            </w:r>
          </w:p>
        </w:tc>
        <w:tc>
          <w:tcPr>
            <w:tcW w:w="5664" w:type="dxa"/>
            <w:gridSpan w:val="5"/>
            <w:tcBorders>
              <w:top w:val="single" w:sz="4" w:space="0" w:color="000000"/>
              <w:left w:val="single" w:sz="6" w:space="0" w:color="000000"/>
              <w:bottom w:val="single" w:sz="6" w:space="0" w:color="000000"/>
              <w:right w:val="single" w:sz="6" w:space="0" w:color="000000"/>
            </w:tcBorders>
          </w:tcPr>
          <w:p w14:paraId="15132ADF" w14:textId="77777777" w:rsidR="00371FB9" w:rsidRPr="008819AF" w:rsidRDefault="00371FB9" w:rsidP="00371FB9">
            <w:pPr>
              <w:pStyle w:val="Hlavika"/>
              <w:ind w:left="72" w:hanging="1"/>
              <w:rPr>
                <w:rFonts w:ascii="Times New Roman" w:hAnsi="Times New Roman" w:cs="Times New Roman"/>
                <w:lang w:bidi="cs-CZ"/>
              </w:rPr>
            </w:pPr>
            <w:r w:rsidRPr="008819AF">
              <w:rPr>
                <w:rFonts w:ascii="Times New Roman" w:hAnsi="Times New Roman" w:cs="Times New Roman"/>
                <w:lang w:bidi="cs-CZ"/>
              </w:rPr>
              <w:t>k)lakom priesvitná náterová látka</w:t>
            </w:r>
          </w:p>
        </w:tc>
        <w:tc>
          <w:tcPr>
            <w:tcW w:w="429" w:type="dxa"/>
            <w:tcBorders>
              <w:top w:val="single" w:sz="4" w:space="0" w:color="000000"/>
              <w:left w:val="single" w:sz="6" w:space="0" w:color="000000"/>
              <w:bottom w:val="single" w:sz="6" w:space="0" w:color="000000"/>
              <w:right w:val="single" w:sz="6" w:space="0" w:color="000000"/>
            </w:tcBorders>
          </w:tcPr>
          <w:p w14:paraId="15132AE0" w14:textId="77777777" w:rsidR="00371FB9" w:rsidRPr="008819AF" w:rsidRDefault="00371FB9" w:rsidP="00371FB9"/>
        </w:tc>
        <w:tc>
          <w:tcPr>
            <w:tcW w:w="821" w:type="dxa"/>
            <w:gridSpan w:val="3"/>
            <w:tcBorders>
              <w:top w:val="single" w:sz="4" w:space="0" w:color="000000"/>
              <w:left w:val="single" w:sz="6" w:space="0" w:color="000000"/>
              <w:bottom w:val="single" w:sz="6" w:space="0" w:color="000000"/>
              <w:right w:val="single" w:sz="6" w:space="0" w:color="000000"/>
            </w:tcBorders>
          </w:tcPr>
          <w:p w14:paraId="15132AE1" w14:textId="77777777" w:rsidR="00371FB9" w:rsidRPr="008819AF" w:rsidRDefault="00371FB9" w:rsidP="00371FB9">
            <w:pPr>
              <w:ind w:left="215" w:hanging="215"/>
              <w:rPr>
                <w:rFonts w:eastAsia="Arial"/>
              </w:rPr>
            </w:pPr>
          </w:p>
        </w:tc>
      </w:tr>
      <w:tr w:rsidR="00371FB9" w:rsidRPr="008819AF" w14:paraId="15132AEE" w14:textId="77777777" w:rsidTr="003E351D">
        <w:trPr>
          <w:trHeight w:val="96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AE3" w14:textId="77777777" w:rsidR="00371FB9" w:rsidRPr="008819AF" w:rsidRDefault="00371FB9" w:rsidP="00371FB9">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AE4" w14:textId="77777777" w:rsidR="00371FB9" w:rsidRPr="008819AF" w:rsidRDefault="00371FB9" w:rsidP="009C63CF">
            <w:pPr>
              <w:numPr>
                <w:ilvl w:val="0"/>
                <w:numId w:val="38"/>
              </w:numPr>
              <w:spacing w:after="120"/>
              <w:ind w:left="357" w:hanging="357"/>
              <w:rPr>
                <w:rFonts w:eastAsia="Arial"/>
              </w:rPr>
            </w:pPr>
            <w:r w:rsidRPr="008819AF">
              <w:rPr>
                <w:rFonts w:eastAsia="Arial"/>
              </w:rPr>
              <w:t>„spotreba“ je celkové vstupné množstvo organických rozpúšťadiel do zariadenia za kalendárny rok alebo iné 12-mesačnéobdobie, mínus všetky prchavé organické zlúčeniny, ktoré sú zhodnotené na účely opätovného použitia;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E5" w14:textId="77777777" w:rsidR="00371FB9" w:rsidRPr="008819AF" w:rsidRDefault="00371FB9" w:rsidP="00371FB9">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AE6" w14:textId="77777777" w:rsidR="00371FB9" w:rsidRPr="008819AF" w:rsidRDefault="00371FB9" w:rsidP="00371FB9">
            <w:pPr>
              <w:jc w:val="center"/>
              <w:rPr>
                <w:rFonts w:eastAsia="Arial"/>
                <w:lang w:bidi="cs-CZ"/>
              </w:rPr>
            </w:pPr>
            <w:r w:rsidRPr="008819AF">
              <w:rPr>
                <w:rFonts w:eastAsia="Arial"/>
                <w:lang w:bidi="cs-CZ"/>
              </w:rPr>
              <w:t>NV2</w:t>
            </w:r>
          </w:p>
          <w:p w14:paraId="15132AE7" w14:textId="77777777" w:rsidR="00371FB9" w:rsidRPr="008819AF" w:rsidRDefault="00371FB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AE8" w14:textId="77777777" w:rsidR="00371FB9" w:rsidRPr="008819AF" w:rsidRDefault="00371FB9" w:rsidP="00371FB9">
            <w:pPr>
              <w:pStyle w:val="BodyText21"/>
              <w:spacing w:before="0"/>
              <w:jc w:val="center"/>
              <w:rPr>
                <w:rFonts w:ascii="Times New Roman" w:hAnsi="Times New Roman" w:cs="Times New Roman"/>
              </w:rPr>
            </w:pPr>
            <w:r w:rsidRPr="008819AF">
              <w:rPr>
                <w:rFonts w:ascii="Times New Roman" w:hAnsi="Times New Roman" w:cs="Times New Roman"/>
              </w:rPr>
              <w:t>§ 26</w:t>
            </w:r>
          </w:p>
          <w:p w14:paraId="15132AE9" w14:textId="77777777" w:rsidR="00371FB9" w:rsidRPr="008819AF" w:rsidRDefault="00371FB9" w:rsidP="00371FB9">
            <w:pPr>
              <w:pStyle w:val="BodyText21"/>
              <w:spacing w:before="0"/>
              <w:jc w:val="center"/>
              <w:rPr>
                <w:rFonts w:ascii="Times New Roman" w:hAnsi="Times New Roman" w:cs="Times New Roman"/>
              </w:rPr>
            </w:pPr>
            <w:r w:rsidRPr="008819AF">
              <w:rPr>
                <w:rFonts w:ascii="Times New Roman" w:hAnsi="Times New Roman" w:cs="Times New Roman"/>
              </w:rPr>
              <w:t>O2</w:t>
            </w:r>
          </w:p>
          <w:p w14:paraId="15132AEA" w14:textId="77777777" w:rsidR="00371FB9" w:rsidRPr="008819AF" w:rsidRDefault="00371FB9" w:rsidP="00371FB9">
            <w:pPr>
              <w:pStyle w:val="BodyText21"/>
              <w:spacing w:before="0"/>
              <w:jc w:val="center"/>
              <w:rPr>
                <w:rFonts w:ascii="Times New Roman" w:hAnsi="Times New Roman" w:cs="Times New Roman"/>
              </w:rPr>
            </w:pPr>
            <w:r w:rsidRPr="008819AF">
              <w:rPr>
                <w:rFonts w:ascii="Times New Roman" w:hAnsi="Times New Roman" w:cs="Times New Roman"/>
              </w:rPr>
              <w:t>Pc</w:t>
            </w:r>
          </w:p>
        </w:tc>
        <w:tc>
          <w:tcPr>
            <w:tcW w:w="5664" w:type="dxa"/>
            <w:gridSpan w:val="5"/>
            <w:tcBorders>
              <w:top w:val="single" w:sz="4" w:space="0" w:color="000000"/>
              <w:left w:val="single" w:sz="6" w:space="0" w:color="000000"/>
              <w:bottom w:val="single" w:sz="6" w:space="0" w:color="000000"/>
              <w:right w:val="single" w:sz="6" w:space="0" w:color="000000"/>
            </w:tcBorders>
          </w:tcPr>
          <w:p w14:paraId="15132AEB" w14:textId="77777777" w:rsidR="00371FB9" w:rsidRPr="008819AF" w:rsidRDefault="00371FB9" w:rsidP="00371FB9">
            <w:pPr>
              <w:pStyle w:val="Hlavika"/>
              <w:ind w:left="72" w:hanging="1"/>
              <w:rPr>
                <w:rFonts w:ascii="Times New Roman" w:hAnsi="Times New Roman" w:cs="Times New Roman"/>
                <w:lang w:bidi="cs-CZ"/>
              </w:rPr>
            </w:pPr>
            <w:r w:rsidRPr="008819AF">
              <w:rPr>
                <w:rFonts w:ascii="Times New Roman" w:hAnsi="Times New Roman" w:cs="Times New Roman"/>
                <w:lang w:bidi="cs-CZ"/>
              </w:rPr>
              <w:t>c)</w:t>
            </w:r>
            <w:r w:rsidRPr="008819AF">
              <w:rPr>
                <w:rFonts w:ascii="Times New Roman" w:hAnsi="Times New Roman" w:cs="Times New Roman"/>
                <w:lang w:bidi="cs-CZ"/>
              </w:rPr>
              <w:tab/>
              <w:t>spotrebou organických rozpúšťadiel celkový vstup organických rozpúšťadiel do zariadenia za kalendárny rok alebo za iné dvanásťmesačné obdobie znížený o všetky prchavé organické zlúčeniny, ktoré sú zhodnotené na účely opätovného použitia</w:t>
            </w:r>
          </w:p>
        </w:tc>
        <w:tc>
          <w:tcPr>
            <w:tcW w:w="429" w:type="dxa"/>
            <w:tcBorders>
              <w:top w:val="single" w:sz="4" w:space="0" w:color="000000"/>
              <w:left w:val="single" w:sz="6" w:space="0" w:color="000000"/>
              <w:bottom w:val="single" w:sz="6" w:space="0" w:color="000000"/>
              <w:right w:val="single" w:sz="6" w:space="0" w:color="000000"/>
            </w:tcBorders>
          </w:tcPr>
          <w:p w14:paraId="15132AEC" w14:textId="77777777" w:rsidR="00371FB9" w:rsidRPr="008819AF" w:rsidRDefault="00371FB9" w:rsidP="00371FB9"/>
        </w:tc>
        <w:tc>
          <w:tcPr>
            <w:tcW w:w="821" w:type="dxa"/>
            <w:gridSpan w:val="3"/>
            <w:tcBorders>
              <w:top w:val="single" w:sz="4" w:space="0" w:color="000000"/>
              <w:left w:val="single" w:sz="6" w:space="0" w:color="000000"/>
              <w:bottom w:val="single" w:sz="6" w:space="0" w:color="000000"/>
              <w:right w:val="single" w:sz="6" w:space="0" w:color="000000"/>
            </w:tcBorders>
          </w:tcPr>
          <w:p w14:paraId="15132AED" w14:textId="77777777" w:rsidR="00371FB9" w:rsidRPr="008819AF" w:rsidRDefault="00371FB9" w:rsidP="00371FB9">
            <w:pPr>
              <w:ind w:left="215" w:hanging="215"/>
              <w:rPr>
                <w:rFonts w:eastAsia="Arial"/>
              </w:rPr>
            </w:pPr>
          </w:p>
        </w:tc>
      </w:tr>
      <w:tr w:rsidR="00371FB9" w:rsidRPr="008819AF" w14:paraId="15132AFA"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AEF" w14:textId="77777777" w:rsidR="00371FB9" w:rsidRPr="008819AF" w:rsidRDefault="00371FB9" w:rsidP="00371FB9">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AF0" w14:textId="77777777" w:rsidR="00371FB9" w:rsidRPr="008819AF" w:rsidRDefault="00371FB9" w:rsidP="009C63CF">
            <w:pPr>
              <w:numPr>
                <w:ilvl w:val="0"/>
                <w:numId w:val="38"/>
              </w:numPr>
              <w:spacing w:after="120"/>
              <w:ind w:left="357" w:hanging="357"/>
              <w:rPr>
                <w:rFonts w:eastAsia="Arial"/>
              </w:rPr>
            </w:pPr>
            <w:r w:rsidRPr="008819AF">
              <w:rPr>
                <w:rFonts w:eastAsia="Arial"/>
              </w:rPr>
              <w:t>„vstupné množstvo“ je množstvo organických rozpúšťadiel a  ich množstvo v zmesiach, ktoré sa použijú pri činnosti, vrátane rozpúšťadiel recyklovaných vo vnútri a mimo zariadenia, a ktoré sa počítajú zakaždým, keď sú použité pri vykonávaní činnosti;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F1" w14:textId="77777777" w:rsidR="00371FB9" w:rsidRPr="008819AF" w:rsidRDefault="00371FB9" w:rsidP="00371FB9">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AF2" w14:textId="77777777" w:rsidR="00371FB9" w:rsidRPr="008819AF" w:rsidRDefault="00371FB9" w:rsidP="00371FB9">
            <w:pPr>
              <w:jc w:val="center"/>
              <w:rPr>
                <w:rFonts w:eastAsia="Arial"/>
                <w:lang w:bidi="cs-CZ"/>
              </w:rPr>
            </w:pPr>
            <w:r w:rsidRPr="008819AF">
              <w:rPr>
                <w:rFonts w:eastAsia="Arial"/>
                <w:lang w:bidi="cs-CZ"/>
              </w:rPr>
              <w:t>NV2</w:t>
            </w:r>
          </w:p>
          <w:p w14:paraId="15132AF3" w14:textId="77777777" w:rsidR="00371FB9" w:rsidRPr="008819AF" w:rsidRDefault="00371FB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AF4" w14:textId="77777777" w:rsidR="00371FB9" w:rsidRPr="008819AF" w:rsidRDefault="00371FB9" w:rsidP="00371FB9">
            <w:pPr>
              <w:pStyle w:val="BodyText21"/>
              <w:spacing w:before="0"/>
              <w:jc w:val="center"/>
              <w:rPr>
                <w:rFonts w:ascii="Times New Roman" w:hAnsi="Times New Roman" w:cs="Times New Roman"/>
              </w:rPr>
            </w:pPr>
            <w:r w:rsidRPr="008819AF">
              <w:rPr>
                <w:rFonts w:ascii="Times New Roman" w:hAnsi="Times New Roman" w:cs="Times New Roman"/>
              </w:rPr>
              <w:t>§ 26</w:t>
            </w:r>
          </w:p>
          <w:p w14:paraId="15132AF5" w14:textId="77777777" w:rsidR="00371FB9" w:rsidRPr="008819AF" w:rsidRDefault="00371FB9" w:rsidP="00371FB9">
            <w:pPr>
              <w:pStyle w:val="BodyText21"/>
              <w:spacing w:before="0"/>
              <w:jc w:val="center"/>
              <w:rPr>
                <w:rFonts w:ascii="Times New Roman" w:hAnsi="Times New Roman" w:cs="Times New Roman"/>
              </w:rPr>
            </w:pPr>
            <w:r w:rsidRPr="008819AF">
              <w:rPr>
                <w:rFonts w:ascii="Times New Roman" w:hAnsi="Times New Roman" w:cs="Times New Roman"/>
              </w:rPr>
              <w:t>O2</w:t>
            </w:r>
          </w:p>
          <w:p w14:paraId="15132AF6" w14:textId="77777777" w:rsidR="00371FB9" w:rsidRPr="008819AF" w:rsidRDefault="00371FB9" w:rsidP="00371FB9">
            <w:pPr>
              <w:pStyle w:val="BodyText21"/>
              <w:spacing w:before="0"/>
              <w:jc w:val="center"/>
              <w:rPr>
                <w:rFonts w:ascii="Times New Roman" w:hAnsi="Times New Roman" w:cs="Times New Roman"/>
              </w:rPr>
            </w:pPr>
            <w:r w:rsidRPr="008819AF">
              <w:rPr>
                <w:rFonts w:ascii="Times New Roman" w:hAnsi="Times New Roman" w:cs="Times New Roman"/>
              </w:rPr>
              <w:t>Pd</w:t>
            </w:r>
          </w:p>
        </w:tc>
        <w:tc>
          <w:tcPr>
            <w:tcW w:w="5664" w:type="dxa"/>
            <w:gridSpan w:val="5"/>
            <w:tcBorders>
              <w:top w:val="single" w:sz="4" w:space="0" w:color="000000"/>
              <w:left w:val="single" w:sz="6" w:space="0" w:color="000000"/>
              <w:bottom w:val="single" w:sz="6" w:space="0" w:color="000000"/>
              <w:right w:val="single" w:sz="6" w:space="0" w:color="000000"/>
            </w:tcBorders>
          </w:tcPr>
          <w:p w14:paraId="15132AF7" w14:textId="77777777" w:rsidR="00371FB9" w:rsidRPr="008819AF" w:rsidRDefault="00371FB9" w:rsidP="00371FB9">
            <w:pPr>
              <w:pStyle w:val="Hlavika"/>
              <w:ind w:left="72" w:hanging="1"/>
              <w:rPr>
                <w:rFonts w:ascii="Times New Roman" w:hAnsi="Times New Roman" w:cs="Times New Roman"/>
                <w:lang w:bidi="cs-CZ"/>
              </w:rPr>
            </w:pPr>
            <w:r w:rsidRPr="008819AF">
              <w:rPr>
                <w:rFonts w:ascii="Times New Roman" w:hAnsi="Times New Roman" w:cs="Times New Roman"/>
                <w:lang w:bidi="cs-CZ"/>
              </w:rPr>
              <w:t>d)vstupom celkové množstvo organických rozpúšťadiel a ich množstvo v zmesiach, ktoré sa použijú pri danej činnosti vrátane organických rozpúšťadiel recyklovaných vnútri alebo mimo zariadenia, ktoré sa započítavajú vždy, keď sú použité pri vykonávaní danej činnosti,</w:t>
            </w:r>
          </w:p>
        </w:tc>
        <w:tc>
          <w:tcPr>
            <w:tcW w:w="429" w:type="dxa"/>
            <w:tcBorders>
              <w:top w:val="single" w:sz="4" w:space="0" w:color="000000"/>
              <w:left w:val="single" w:sz="6" w:space="0" w:color="000000"/>
              <w:bottom w:val="single" w:sz="6" w:space="0" w:color="000000"/>
              <w:right w:val="single" w:sz="6" w:space="0" w:color="000000"/>
            </w:tcBorders>
          </w:tcPr>
          <w:p w14:paraId="15132AF8" w14:textId="77777777" w:rsidR="00371FB9" w:rsidRPr="008819AF" w:rsidRDefault="00371FB9" w:rsidP="00371FB9"/>
        </w:tc>
        <w:tc>
          <w:tcPr>
            <w:tcW w:w="821" w:type="dxa"/>
            <w:gridSpan w:val="3"/>
            <w:tcBorders>
              <w:top w:val="single" w:sz="4" w:space="0" w:color="000000"/>
              <w:left w:val="single" w:sz="6" w:space="0" w:color="000000"/>
              <w:bottom w:val="single" w:sz="6" w:space="0" w:color="000000"/>
              <w:right w:val="single" w:sz="6" w:space="0" w:color="000000"/>
            </w:tcBorders>
          </w:tcPr>
          <w:p w14:paraId="15132AF9" w14:textId="77777777" w:rsidR="00371FB9" w:rsidRPr="008819AF" w:rsidRDefault="00371FB9" w:rsidP="00371FB9">
            <w:pPr>
              <w:ind w:left="215" w:hanging="215"/>
              <w:rPr>
                <w:rFonts w:eastAsia="Arial"/>
              </w:rPr>
            </w:pPr>
          </w:p>
        </w:tc>
      </w:tr>
      <w:tr w:rsidR="00371FB9" w:rsidRPr="008819AF" w14:paraId="15132B06" w14:textId="77777777" w:rsidTr="003E351D">
        <w:trPr>
          <w:trHeight w:val="327"/>
          <w:jc w:val="center"/>
        </w:trPr>
        <w:tc>
          <w:tcPr>
            <w:tcW w:w="483" w:type="dxa"/>
            <w:vMerge/>
            <w:tcBorders>
              <w:top w:val="single" w:sz="6" w:space="0" w:color="000000"/>
              <w:left w:val="single" w:sz="6" w:space="0" w:color="000000"/>
              <w:bottom w:val="single" w:sz="6" w:space="0" w:color="000000"/>
              <w:right w:val="single" w:sz="6" w:space="0" w:color="000000"/>
            </w:tcBorders>
          </w:tcPr>
          <w:p w14:paraId="15132AFB" w14:textId="77777777" w:rsidR="00371FB9" w:rsidRPr="008819AF" w:rsidRDefault="00371FB9" w:rsidP="00371FB9">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AFC" w14:textId="77777777" w:rsidR="00371FB9" w:rsidRPr="008819AF" w:rsidRDefault="00371FB9" w:rsidP="009C63CF">
            <w:pPr>
              <w:numPr>
                <w:ilvl w:val="0"/>
                <w:numId w:val="38"/>
              </w:numPr>
              <w:spacing w:after="120"/>
              <w:ind w:left="357" w:hanging="357"/>
              <w:rPr>
                <w:rFonts w:eastAsia="Arial"/>
              </w:rPr>
            </w:pPr>
            <w:r w:rsidRPr="008819AF">
              <w:rPr>
                <w:rFonts w:eastAsia="Arial"/>
              </w:rPr>
              <w:t>„opätovné použitie“ je použitie zhodnotených organických rozpúšťadiel zo zariadenia na akékoľvek technické alebo komerčné účely vrátane ich použitia ako paliva, s výnimkou definitívneho zneškodnenia takýchto zhodnotených organických rozpúšťadiel ako odpadu;</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AFD" w14:textId="77777777" w:rsidR="00371FB9" w:rsidRPr="008819AF" w:rsidRDefault="00371FB9" w:rsidP="00371FB9">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AFE" w14:textId="77777777" w:rsidR="00371FB9" w:rsidRPr="008819AF" w:rsidRDefault="00371FB9" w:rsidP="00371FB9">
            <w:pPr>
              <w:jc w:val="center"/>
              <w:rPr>
                <w:rFonts w:eastAsia="Arial"/>
                <w:lang w:bidi="cs-CZ"/>
              </w:rPr>
            </w:pPr>
            <w:r w:rsidRPr="008819AF">
              <w:rPr>
                <w:rFonts w:eastAsia="Arial"/>
                <w:lang w:bidi="cs-CZ"/>
              </w:rPr>
              <w:t>NV2</w:t>
            </w:r>
          </w:p>
          <w:p w14:paraId="15132AFF" w14:textId="77777777" w:rsidR="00371FB9" w:rsidRPr="008819AF" w:rsidRDefault="00371FB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B00" w14:textId="77777777" w:rsidR="00B44DE0" w:rsidRPr="008819AF" w:rsidRDefault="00B44DE0" w:rsidP="00B44DE0">
            <w:pPr>
              <w:pStyle w:val="BodyText21"/>
              <w:spacing w:before="0"/>
              <w:jc w:val="center"/>
              <w:rPr>
                <w:rFonts w:ascii="Times New Roman" w:hAnsi="Times New Roman" w:cs="Times New Roman"/>
              </w:rPr>
            </w:pPr>
            <w:r w:rsidRPr="008819AF">
              <w:rPr>
                <w:rFonts w:ascii="Times New Roman" w:hAnsi="Times New Roman" w:cs="Times New Roman"/>
              </w:rPr>
              <w:t>§ 26</w:t>
            </w:r>
          </w:p>
          <w:p w14:paraId="15132B01" w14:textId="77777777" w:rsidR="00B44DE0" w:rsidRPr="008819AF" w:rsidRDefault="00B44DE0" w:rsidP="00B44DE0">
            <w:pPr>
              <w:pStyle w:val="BodyText21"/>
              <w:spacing w:before="0"/>
              <w:jc w:val="center"/>
              <w:rPr>
                <w:rFonts w:ascii="Times New Roman" w:hAnsi="Times New Roman" w:cs="Times New Roman"/>
              </w:rPr>
            </w:pPr>
            <w:r w:rsidRPr="008819AF">
              <w:rPr>
                <w:rFonts w:ascii="Times New Roman" w:hAnsi="Times New Roman" w:cs="Times New Roman"/>
              </w:rPr>
              <w:t>O2</w:t>
            </w:r>
          </w:p>
          <w:p w14:paraId="15132B02" w14:textId="77777777" w:rsidR="00371FB9" w:rsidRPr="008819AF" w:rsidRDefault="00B44DE0" w:rsidP="00B44DE0">
            <w:pPr>
              <w:pStyle w:val="BodyText21"/>
              <w:spacing w:before="0"/>
              <w:jc w:val="center"/>
              <w:rPr>
                <w:rFonts w:ascii="Times New Roman" w:hAnsi="Times New Roman" w:cs="Times New Roman"/>
              </w:rPr>
            </w:pPr>
            <w:r w:rsidRPr="008819AF">
              <w:rPr>
                <w:rFonts w:ascii="Times New Roman" w:hAnsi="Times New Roman" w:cs="Times New Roman"/>
              </w:rPr>
              <w:t>Pe</w:t>
            </w:r>
          </w:p>
        </w:tc>
        <w:tc>
          <w:tcPr>
            <w:tcW w:w="5664" w:type="dxa"/>
            <w:gridSpan w:val="5"/>
            <w:tcBorders>
              <w:top w:val="single" w:sz="4" w:space="0" w:color="000000"/>
              <w:left w:val="single" w:sz="6" w:space="0" w:color="000000"/>
              <w:bottom w:val="single" w:sz="6" w:space="0" w:color="000000"/>
              <w:right w:val="single" w:sz="6" w:space="0" w:color="000000"/>
            </w:tcBorders>
          </w:tcPr>
          <w:p w14:paraId="15132B03" w14:textId="77777777" w:rsidR="00B44DE0" w:rsidRPr="008819AF" w:rsidRDefault="00B44DE0" w:rsidP="00371FB9">
            <w:pPr>
              <w:pStyle w:val="Hlavika"/>
              <w:ind w:left="72" w:hanging="1"/>
              <w:rPr>
                <w:rFonts w:ascii="Times New Roman" w:hAnsi="Times New Roman" w:cs="Times New Roman"/>
                <w:lang w:bidi="cs-CZ"/>
              </w:rPr>
            </w:pPr>
            <w:r w:rsidRPr="008819AF">
              <w:rPr>
                <w:rFonts w:ascii="Times New Roman" w:hAnsi="Times New Roman" w:cs="Times New Roman"/>
                <w:lang w:bidi="cs-CZ"/>
              </w:rPr>
              <w:t>e)opätovným použitím organických rozpúšťadiel použitie zhodnotených organických rozpúšťadiel zo zariadenia na akékoľvek technické alebo komerčné použitie vrátane ich použitia ako paliva okrem ich definitívneho zneškodnenia ako odpadu</w:t>
            </w:r>
          </w:p>
        </w:tc>
        <w:tc>
          <w:tcPr>
            <w:tcW w:w="429" w:type="dxa"/>
            <w:tcBorders>
              <w:top w:val="single" w:sz="4" w:space="0" w:color="000000"/>
              <w:left w:val="single" w:sz="6" w:space="0" w:color="000000"/>
              <w:bottom w:val="single" w:sz="6" w:space="0" w:color="000000"/>
              <w:right w:val="single" w:sz="6" w:space="0" w:color="000000"/>
            </w:tcBorders>
          </w:tcPr>
          <w:p w14:paraId="15132B04" w14:textId="77777777" w:rsidR="00371FB9" w:rsidRPr="008819AF" w:rsidRDefault="00371FB9" w:rsidP="00371FB9"/>
        </w:tc>
        <w:tc>
          <w:tcPr>
            <w:tcW w:w="821" w:type="dxa"/>
            <w:gridSpan w:val="3"/>
            <w:tcBorders>
              <w:top w:val="single" w:sz="4" w:space="0" w:color="000000"/>
              <w:left w:val="single" w:sz="6" w:space="0" w:color="000000"/>
              <w:bottom w:val="single" w:sz="6" w:space="0" w:color="000000"/>
              <w:right w:val="single" w:sz="6" w:space="0" w:color="000000"/>
            </w:tcBorders>
          </w:tcPr>
          <w:p w14:paraId="15132B05" w14:textId="77777777" w:rsidR="00371FB9" w:rsidRPr="008819AF" w:rsidRDefault="00371FB9" w:rsidP="00371FB9">
            <w:pPr>
              <w:ind w:left="215" w:hanging="215"/>
              <w:rPr>
                <w:rFonts w:eastAsia="Arial"/>
              </w:rPr>
            </w:pPr>
          </w:p>
        </w:tc>
      </w:tr>
      <w:tr w:rsidR="00371FB9" w:rsidRPr="008819AF" w14:paraId="15132B11"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B07" w14:textId="77777777" w:rsidR="00371FB9" w:rsidRPr="008819AF" w:rsidRDefault="00371FB9" w:rsidP="00371FB9">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B08" w14:textId="77777777" w:rsidR="00371FB9" w:rsidRPr="008819AF" w:rsidRDefault="00371FB9" w:rsidP="009C63CF">
            <w:pPr>
              <w:numPr>
                <w:ilvl w:val="0"/>
                <w:numId w:val="38"/>
              </w:numPr>
              <w:spacing w:after="120"/>
              <w:ind w:left="357" w:hanging="357"/>
              <w:rPr>
                <w:rFonts w:eastAsia="Arial"/>
              </w:rPr>
            </w:pPr>
            <w:r w:rsidRPr="008819AF">
              <w:rPr>
                <w:rFonts w:eastAsia="Arial"/>
              </w:rPr>
              <w:t>„riadené podmienky‘ sú podmienky, za akých sa zariadenie prevádzkuje tak, že prchavé organické zlúčeniny, ktoré sa uvoľňujú pri činnosti, sa zhromažďujú a vypúšťajú riadeným spôsobom buď cez komín alebo cez odlučovacie zariadenie, a preto nie sú úplne fugitívne;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B09" w14:textId="77777777" w:rsidR="00371FB9" w:rsidRPr="008819AF" w:rsidRDefault="00371FB9" w:rsidP="00371FB9">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B0A" w14:textId="77777777" w:rsidR="00371FB9" w:rsidRPr="008819AF" w:rsidRDefault="00371FB9" w:rsidP="00371FB9">
            <w:pPr>
              <w:jc w:val="center"/>
              <w:rPr>
                <w:rFonts w:eastAsia="Arial"/>
                <w:lang w:bidi="cs-CZ"/>
              </w:rPr>
            </w:pPr>
            <w:r w:rsidRPr="008819AF">
              <w:rPr>
                <w:rFonts w:eastAsia="Arial"/>
                <w:lang w:bidi="cs-CZ"/>
              </w:rPr>
              <w:t>NV2</w:t>
            </w:r>
          </w:p>
          <w:p w14:paraId="15132B0B" w14:textId="77777777" w:rsidR="00371FB9" w:rsidRPr="008819AF" w:rsidRDefault="00371FB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B0C" w14:textId="77777777" w:rsidR="004C1DAF" w:rsidRPr="008819AF" w:rsidRDefault="004C1DAF" w:rsidP="004C1DAF">
            <w:pPr>
              <w:pStyle w:val="BodyText21"/>
              <w:spacing w:before="0"/>
              <w:jc w:val="center"/>
              <w:rPr>
                <w:rFonts w:ascii="Times New Roman" w:hAnsi="Times New Roman" w:cs="Times New Roman"/>
              </w:rPr>
            </w:pPr>
            <w:r w:rsidRPr="008819AF">
              <w:rPr>
                <w:rFonts w:ascii="Times New Roman" w:hAnsi="Times New Roman" w:cs="Times New Roman"/>
              </w:rPr>
              <w:t>§ 2</w:t>
            </w:r>
          </w:p>
          <w:p w14:paraId="15132B0D" w14:textId="77777777" w:rsidR="00371FB9" w:rsidRPr="008819AF" w:rsidRDefault="004C1DAF" w:rsidP="004C1DAF">
            <w:pPr>
              <w:pStyle w:val="BodyText21"/>
              <w:spacing w:before="0"/>
              <w:jc w:val="center"/>
              <w:rPr>
                <w:rFonts w:ascii="Times New Roman" w:hAnsi="Times New Roman" w:cs="Times New Roman"/>
              </w:rPr>
            </w:pPr>
            <w:r w:rsidRPr="008819AF">
              <w:rPr>
                <w:rFonts w:ascii="Times New Roman" w:hAnsi="Times New Roman" w:cs="Times New Roman"/>
              </w:rPr>
              <w:t>Pd</w:t>
            </w:r>
          </w:p>
        </w:tc>
        <w:tc>
          <w:tcPr>
            <w:tcW w:w="5664" w:type="dxa"/>
            <w:gridSpan w:val="5"/>
            <w:tcBorders>
              <w:top w:val="single" w:sz="4" w:space="0" w:color="000000"/>
              <w:left w:val="single" w:sz="6" w:space="0" w:color="000000"/>
              <w:bottom w:val="single" w:sz="6" w:space="0" w:color="000000"/>
              <w:right w:val="single" w:sz="6" w:space="0" w:color="000000"/>
            </w:tcBorders>
          </w:tcPr>
          <w:p w14:paraId="15132B0E" w14:textId="77777777" w:rsidR="004C1DAF" w:rsidRPr="008819AF" w:rsidRDefault="004C1DAF" w:rsidP="00371FB9">
            <w:pPr>
              <w:pStyle w:val="Hlavika"/>
              <w:ind w:left="72" w:hanging="1"/>
              <w:rPr>
                <w:rFonts w:ascii="Times New Roman" w:hAnsi="Times New Roman" w:cs="Times New Roman"/>
                <w:lang w:bidi="cs-CZ"/>
              </w:rPr>
            </w:pPr>
            <w:r w:rsidRPr="008819AF">
              <w:rPr>
                <w:rFonts w:ascii="Times New Roman" w:hAnsi="Times New Roman" w:cs="Times New Roman"/>
                <w:lang w:bidi="cs-CZ"/>
              </w:rPr>
              <w:t>d)</w:t>
            </w:r>
            <w:r w:rsidRPr="008819AF">
              <w:rPr>
                <w:rFonts w:ascii="Times New Roman" w:hAnsi="Times New Roman" w:cs="Times New Roman"/>
                <w:lang w:bidi="cs-CZ"/>
              </w:rPr>
              <w:tab/>
              <w:t>riadenými podmienkami prevádzkové podmienky, pri ktorých sú z činnosti uvoľnené znečisťujúce látky zachytávané a odvádzané núteným ťahom do komína, výduchu alebo do zariadenia na obmedzovanie emisií a nie sú vypúšťané len ako fugitívne emisie,</w:t>
            </w:r>
          </w:p>
        </w:tc>
        <w:tc>
          <w:tcPr>
            <w:tcW w:w="429" w:type="dxa"/>
            <w:tcBorders>
              <w:top w:val="single" w:sz="4" w:space="0" w:color="000000"/>
              <w:left w:val="single" w:sz="6" w:space="0" w:color="000000"/>
              <w:bottom w:val="single" w:sz="6" w:space="0" w:color="000000"/>
              <w:right w:val="single" w:sz="6" w:space="0" w:color="000000"/>
            </w:tcBorders>
          </w:tcPr>
          <w:p w14:paraId="15132B0F" w14:textId="77777777" w:rsidR="00371FB9" w:rsidRPr="008819AF" w:rsidRDefault="00371FB9" w:rsidP="00371FB9"/>
        </w:tc>
        <w:tc>
          <w:tcPr>
            <w:tcW w:w="821" w:type="dxa"/>
            <w:gridSpan w:val="3"/>
            <w:tcBorders>
              <w:top w:val="single" w:sz="4" w:space="0" w:color="000000"/>
              <w:left w:val="single" w:sz="6" w:space="0" w:color="000000"/>
              <w:bottom w:val="single" w:sz="6" w:space="0" w:color="000000"/>
              <w:right w:val="single" w:sz="6" w:space="0" w:color="000000"/>
            </w:tcBorders>
          </w:tcPr>
          <w:p w14:paraId="15132B10" w14:textId="77777777" w:rsidR="00371FB9" w:rsidRPr="008819AF" w:rsidRDefault="00371FB9" w:rsidP="00371FB9">
            <w:pPr>
              <w:ind w:left="215" w:hanging="215"/>
              <w:rPr>
                <w:rFonts w:eastAsia="Arial"/>
              </w:rPr>
            </w:pPr>
          </w:p>
        </w:tc>
      </w:tr>
      <w:tr w:rsidR="004C1DAF" w:rsidRPr="008819AF" w14:paraId="15132B1E"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B12" w14:textId="77777777" w:rsidR="004C1DAF" w:rsidRPr="008819AF" w:rsidRDefault="004C1DAF"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B13" w14:textId="77777777" w:rsidR="004C1DAF" w:rsidRPr="008819AF" w:rsidRDefault="004C1DAF" w:rsidP="009C63CF">
            <w:pPr>
              <w:numPr>
                <w:ilvl w:val="0"/>
                <w:numId w:val="38"/>
              </w:numPr>
              <w:spacing w:after="120"/>
              <w:ind w:left="357" w:hanging="357"/>
              <w:rPr>
                <w:rFonts w:eastAsia="Arial"/>
              </w:rPr>
            </w:pPr>
            <w:r w:rsidRPr="008819AF">
              <w:rPr>
                <w:rFonts w:eastAsia="Arial"/>
              </w:rPr>
              <w:t>‚nábeh a odstavovanie‘ sú procesy pri uvádzaní danej činnosti, zariadenia alebo nádrže do alebo z činnosti alebo do chodu naprázdno alebo z chodu naprázdno s výnimkou pravidelne sa opakujúcich fáz činnosti.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B14" w14:textId="77777777" w:rsidR="004C1DAF" w:rsidRPr="008819AF" w:rsidRDefault="004C1DAF"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B15" w14:textId="77777777" w:rsidR="004C1DAF" w:rsidRPr="008819AF" w:rsidRDefault="004C1DAF" w:rsidP="004C1DAF">
            <w:pPr>
              <w:jc w:val="center"/>
              <w:rPr>
                <w:rFonts w:eastAsia="Arial"/>
                <w:lang w:bidi="cs-CZ"/>
              </w:rPr>
            </w:pPr>
            <w:r w:rsidRPr="008819AF">
              <w:rPr>
                <w:rFonts w:eastAsia="Arial"/>
                <w:lang w:bidi="cs-CZ"/>
              </w:rPr>
              <w:t>NV2</w:t>
            </w:r>
          </w:p>
          <w:p w14:paraId="15132B16" w14:textId="77777777" w:rsidR="004C1DAF" w:rsidRPr="008819AF" w:rsidRDefault="004C1DAF"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B17" w14:textId="77777777" w:rsidR="004C1DAF" w:rsidRPr="008819AF" w:rsidRDefault="004C1DAF" w:rsidP="004C1DAF">
            <w:pPr>
              <w:pStyle w:val="BodyText21"/>
              <w:spacing w:before="0"/>
              <w:jc w:val="center"/>
              <w:rPr>
                <w:rFonts w:ascii="Times New Roman" w:hAnsi="Times New Roman" w:cs="Times New Roman"/>
              </w:rPr>
            </w:pPr>
            <w:r w:rsidRPr="008819AF">
              <w:rPr>
                <w:rFonts w:ascii="Times New Roman" w:hAnsi="Times New Roman" w:cs="Times New Roman"/>
              </w:rPr>
              <w:t>§ 2</w:t>
            </w:r>
          </w:p>
          <w:p w14:paraId="15132B18" w14:textId="77777777" w:rsidR="004C1DAF" w:rsidRPr="008819AF" w:rsidRDefault="004C1DAF" w:rsidP="004C1DAF">
            <w:pPr>
              <w:pStyle w:val="BodyText21"/>
              <w:spacing w:before="0"/>
              <w:jc w:val="center"/>
              <w:rPr>
                <w:rFonts w:ascii="Times New Roman" w:hAnsi="Times New Roman" w:cs="Times New Roman"/>
              </w:rPr>
            </w:pPr>
            <w:r w:rsidRPr="008819AF">
              <w:rPr>
                <w:rFonts w:ascii="Times New Roman" w:hAnsi="Times New Roman" w:cs="Times New Roman"/>
              </w:rPr>
              <w:t>Pf</w:t>
            </w:r>
          </w:p>
        </w:tc>
        <w:tc>
          <w:tcPr>
            <w:tcW w:w="5664" w:type="dxa"/>
            <w:gridSpan w:val="5"/>
            <w:tcBorders>
              <w:top w:val="single" w:sz="4" w:space="0" w:color="000000"/>
              <w:left w:val="single" w:sz="6" w:space="0" w:color="000000"/>
              <w:bottom w:val="single" w:sz="6" w:space="0" w:color="000000"/>
              <w:right w:val="single" w:sz="6" w:space="0" w:color="000000"/>
            </w:tcBorders>
          </w:tcPr>
          <w:p w14:paraId="15132B19" w14:textId="77777777" w:rsidR="004C1DAF" w:rsidRPr="008819AF" w:rsidRDefault="004C1DAF" w:rsidP="004C1DAF">
            <w:pPr>
              <w:pStyle w:val="Hlavika"/>
              <w:ind w:left="72" w:hanging="1"/>
              <w:rPr>
                <w:rFonts w:ascii="Times New Roman" w:hAnsi="Times New Roman" w:cs="Times New Roman"/>
                <w:lang w:bidi="cs-CZ"/>
              </w:rPr>
            </w:pPr>
            <w:r w:rsidRPr="008819AF">
              <w:rPr>
                <w:rFonts w:ascii="Times New Roman" w:hAnsi="Times New Roman" w:cs="Times New Roman"/>
                <w:lang w:bidi="cs-CZ"/>
              </w:rPr>
              <w:t>f)nábehom a odstavovaním úkony, ktoré sú pre</w:t>
            </w:r>
          </w:p>
          <w:p w14:paraId="15132B1A" w14:textId="77777777" w:rsidR="004C1DAF" w:rsidRPr="008819AF" w:rsidRDefault="004C1DAF" w:rsidP="004C1DAF">
            <w:pPr>
              <w:pStyle w:val="Hlavika"/>
              <w:ind w:left="72" w:hanging="1"/>
              <w:rPr>
                <w:rFonts w:ascii="Times New Roman" w:hAnsi="Times New Roman" w:cs="Times New Roman"/>
                <w:lang w:bidi="cs-CZ"/>
              </w:rPr>
            </w:pPr>
            <w:r w:rsidRPr="008819AF">
              <w:rPr>
                <w:rFonts w:ascii="Times New Roman" w:hAnsi="Times New Roman" w:cs="Times New Roman"/>
                <w:lang w:bidi="cs-CZ"/>
              </w:rPr>
              <w:t>1.</w:t>
            </w:r>
            <w:r w:rsidRPr="008819AF">
              <w:rPr>
                <w:rFonts w:ascii="Times New Roman" w:hAnsi="Times New Roman" w:cs="Times New Roman"/>
                <w:lang w:bidi="cs-CZ"/>
              </w:rPr>
              <w:tab/>
              <w:t xml:space="preserve">spaľovacie zariadenia podľa § 4 ods. 1 písm. a) ustanovené v § 20 ods. 5 písm. b), a </w:t>
            </w:r>
          </w:p>
          <w:p w14:paraId="15132B1B" w14:textId="77777777" w:rsidR="004C1DAF" w:rsidRPr="008819AF" w:rsidRDefault="004C1DAF" w:rsidP="004C1DAF">
            <w:pPr>
              <w:pStyle w:val="Hlavika"/>
              <w:ind w:left="72" w:hanging="1"/>
              <w:rPr>
                <w:rFonts w:ascii="Times New Roman" w:hAnsi="Times New Roman" w:cs="Times New Roman"/>
                <w:lang w:bidi="cs-CZ"/>
              </w:rPr>
            </w:pPr>
            <w:r w:rsidRPr="008819AF">
              <w:rPr>
                <w:rFonts w:ascii="Times New Roman" w:hAnsi="Times New Roman" w:cs="Times New Roman"/>
                <w:lang w:bidi="cs-CZ"/>
              </w:rPr>
              <w:t>2.ostatné zariadenia úkony, ktorými sa činnosti, zariadenia alebo nádrže uvádzajú do chodu alebo do stavu nečinnosti alebo do chodu naprázdno, alebo z chodu naprázdno; za nábeh a odstavovanie sa nepovažujú pravidelne oscilujúce fázy, predohrev, ohrev, chladenie a ostatné obdobné technologické činnosti, ak ide o diskontinuálnu technológiu s charakterom várky alebo vsádzky,</w:t>
            </w:r>
          </w:p>
        </w:tc>
        <w:tc>
          <w:tcPr>
            <w:tcW w:w="429" w:type="dxa"/>
            <w:tcBorders>
              <w:top w:val="single" w:sz="4" w:space="0" w:color="000000"/>
              <w:left w:val="single" w:sz="6" w:space="0" w:color="000000"/>
              <w:bottom w:val="single" w:sz="6" w:space="0" w:color="000000"/>
              <w:right w:val="single" w:sz="6" w:space="0" w:color="000000"/>
            </w:tcBorders>
          </w:tcPr>
          <w:p w14:paraId="15132B1C" w14:textId="77777777" w:rsidR="004C1DAF" w:rsidRPr="008819AF" w:rsidRDefault="004C1DAF"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15132B1D" w14:textId="77777777" w:rsidR="004C1DAF" w:rsidRPr="008819AF" w:rsidRDefault="004C1DAF" w:rsidP="004C1DAF">
            <w:pPr>
              <w:ind w:left="215" w:hanging="215"/>
              <w:rPr>
                <w:rFonts w:eastAsia="Arial"/>
              </w:rPr>
            </w:pPr>
          </w:p>
        </w:tc>
      </w:tr>
      <w:tr w:rsidR="004C1DAF" w:rsidRPr="008819AF" w14:paraId="15132B2E" w14:textId="77777777" w:rsidTr="003E351D">
        <w:trPr>
          <w:trHeight w:val="392"/>
          <w:jc w:val="center"/>
        </w:trPr>
        <w:tc>
          <w:tcPr>
            <w:tcW w:w="483" w:type="dxa"/>
            <w:tcBorders>
              <w:top w:val="single" w:sz="4" w:space="0" w:color="000000"/>
              <w:left w:val="single" w:sz="6" w:space="0" w:color="000000"/>
              <w:bottom w:val="single" w:sz="6" w:space="0" w:color="000000"/>
              <w:right w:val="single" w:sz="6" w:space="0" w:color="000000"/>
            </w:tcBorders>
          </w:tcPr>
          <w:p w14:paraId="15132B1F" w14:textId="77777777" w:rsidR="004C1DAF" w:rsidRPr="008819AF" w:rsidRDefault="004C1DAF" w:rsidP="004C1DAF">
            <w:pPr>
              <w:ind w:right="-70"/>
              <w:rPr>
                <w:rFonts w:eastAsia="Arial"/>
                <w:lang w:bidi="cs-CZ"/>
              </w:rPr>
            </w:pPr>
            <w:r w:rsidRPr="008819AF">
              <w:rPr>
                <w:rFonts w:eastAsia="Arial"/>
                <w:lang w:bidi="cs-CZ"/>
              </w:rPr>
              <w:t>Č:58</w:t>
            </w:r>
          </w:p>
        </w:tc>
        <w:tc>
          <w:tcPr>
            <w:tcW w:w="6227" w:type="dxa"/>
            <w:gridSpan w:val="2"/>
            <w:tcBorders>
              <w:top w:val="single" w:sz="4" w:space="0" w:color="000000"/>
              <w:left w:val="single" w:sz="6" w:space="0" w:color="000000"/>
              <w:bottom w:val="single" w:sz="6" w:space="0" w:color="000000"/>
              <w:right w:val="single" w:sz="6" w:space="0" w:color="000000"/>
            </w:tcBorders>
          </w:tcPr>
          <w:p w14:paraId="15132B20" w14:textId="77777777" w:rsidR="004C1DAF" w:rsidRPr="008819AF" w:rsidRDefault="004C1DAF" w:rsidP="004C1DAF">
            <w:pPr>
              <w:ind w:left="215" w:hanging="215"/>
              <w:rPr>
                <w:rFonts w:eastAsia="Arial"/>
              </w:rPr>
            </w:pPr>
            <w:r w:rsidRPr="008819AF">
              <w:rPr>
                <w:rFonts w:eastAsia="Arial"/>
              </w:rPr>
              <w:t>Článok 58</w:t>
            </w:r>
          </w:p>
          <w:p w14:paraId="15132B21" w14:textId="77777777" w:rsidR="004C1DAF" w:rsidRPr="008819AF" w:rsidRDefault="004C1DAF" w:rsidP="004C1DAF">
            <w:pPr>
              <w:ind w:left="215" w:hanging="215"/>
              <w:rPr>
                <w:rFonts w:eastAsia="Arial"/>
              </w:rPr>
            </w:pPr>
            <w:r w:rsidRPr="008819AF">
              <w:rPr>
                <w:rFonts w:eastAsia="Arial"/>
              </w:rPr>
              <w:t>Náhrada nebezpečných látok</w:t>
            </w:r>
          </w:p>
          <w:p w14:paraId="15132B22" w14:textId="77777777" w:rsidR="004C1DAF" w:rsidRPr="008819AF" w:rsidRDefault="004C1DAF" w:rsidP="004C1DAF">
            <w:pPr>
              <w:ind w:left="215" w:hanging="1"/>
              <w:rPr>
                <w:rFonts w:eastAsia="Arial"/>
              </w:rPr>
            </w:pPr>
            <w:r w:rsidRPr="008819AF">
              <w:rPr>
                <w:rFonts w:eastAsia="Arial"/>
              </w:rPr>
              <w:t>Látky alebo zmesi, ktorým sú z dôvodu, že ich obsah prchavých organických zlúčenín je podľa nariadenia (ES) č. 1272/2008 klasifikovaný ako karcinogénny, mutagénny alebo toxický pre reprodukciu, priradené výstražné upozornenia H340, H350, H350i,H360D alebo H360F alebo musia byť nimi označené, musia byť podľa možnosti nahradené čo najmenej škodlivými látkami alebo zmesami v čo najkratšom možnom čase.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B23" w14:textId="77777777" w:rsidR="004C1DAF" w:rsidRPr="008819AF" w:rsidRDefault="004C1DAF"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B24" w14:textId="77777777" w:rsidR="004C1DAF" w:rsidRPr="008819AF" w:rsidRDefault="004C1DAF" w:rsidP="004C1DAF">
            <w:pPr>
              <w:jc w:val="center"/>
              <w:rPr>
                <w:rFonts w:eastAsia="Arial"/>
                <w:lang w:bidi="cs-CZ"/>
              </w:rPr>
            </w:pPr>
            <w:r w:rsidRPr="008819AF">
              <w:rPr>
                <w:rFonts w:eastAsia="Arial"/>
                <w:lang w:bidi="cs-CZ"/>
              </w:rPr>
              <w:t>NV2</w:t>
            </w:r>
          </w:p>
          <w:p w14:paraId="15132B25" w14:textId="77777777" w:rsidR="004C1DAF" w:rsidRPr="008819AF" w:rsidRDefault="004C1DAF"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B26" w14:textId="77777777" w:rsidR="004C1DAF" w:rsidRPr="008819AF" w:rsidRDefault="004C1DAF" w:rsidP="004C1DAF">
            <w:pPr>
              <w:pStyle w:val="BodyText21"/>
              <w:spacing w:before="0"/>
              <w:jc w:val="center"/>
              <w:rPr>
                <w:rFonts w:ascii="Times New Roman" w:hAnsi="Times New Roman" w:cs="Times New Roman"/>
              </w:rPr>
            </w:pPr>
            <w:r w:rsidRPr="008819AF">
              <w:rPr>
                <w:rFonts w:ascii="Times New Roman" w:hAnsi="Times New Roman" w:cs="Times New Roman"/>
              </w:rPr>
              <w:t>§ 28</w:t>
            </w:r>
          </w:p>
          <w:p w14:paraId="15132B27" w14:textId="77777777" w:rsidR="004C1DAF" w:rsidRPr="008819AF" w:rsidRDefault="004C1DAF" w:rsidP="004C1DAF">
            <w:pPr>
              <w:pStyle w:val="BodyText21"/>
              <w:spacing w:before="0"/>
              <w:jc w:val="center"/>
              <w:rPr>
                <w:rFonts w:ascii="Times New Roman" w:hAnsi="Times New Roman" w:cs="Times New Roman"/>
              </w:rPr>
            </w:pPr>
            <w:r w:rsidRPr="008819AF">
              <w:rPr>
                <w:rFonts w:ascii="Times New Roman" w:hAnsi="Times New Roman" w:cs="Times New Roman"/>
              </w:rPr>
              <w:t>O1</w:t>
            </w:r>
          </w:p>
          <w:p w14:paraId="15132B28" w14:textId="77777777" w:rsidR="004C1DAF" w:rsidRPr="008819AF" w:rsidRDefault="004C1DAF" w:rsidP="004C1DAF">
            <w:pPr>
              <w:pStyle w:val="BodyText21"/>
              <w:spacing w:before="0"/>
              <w:jc w:val="center"/>
              <w:rPr>
                <w:rFonts w:ascii="Times New Roman" w:hAnsi="Times New Roman" w:cs="Times New Roman"/>
              </w:rPr>
            </w:pPr>
            <w:r w:rsidRPr="008819AF">
              <w:rPr>
                <w:rFonts w:ascii="Times New Roman" w:hAnsi="Times New Roman" w:cs="Times New Roman"/>
              </w:rPr>
              <w:t>Pa,b</w:t>
            </w:r>
          </w:p>
        </w:tc>
        <w:tc>
          <w:tcPr>
            <w:tcW w:w="5664" w:type="dxa"/>
            <w:gridSpan w:val="5"/>
            <w:tcBorders>
              <w:top w:val="single" w:sz="4" w:space="0" w:color="000000"/>
              <w:left w:val="single" w:sz="6" w:space="0" w:color="000000"/>
              <w:bottom w:val="single" w:sz="6" w:space="0" w:color="000000"/>
              <w:right w:val="single" w:sz="6" w:space="0" w:color="000000"/>
            </w:tcBorders>
          </w:tcPr>
          <w:p w14:paraId="15132B29" w14:textId="77777777" w:rsidR="004C1DAF" w:rsidRPr="008819AF" w:rsidRDefault="004C1DAF" w:rsidP="004C1DAF">
            <w:pPr>
              <w:pStyle w:val="Hlavika"/>
              <w:ind w:left="72" w:hanging="1"/>
              <w:rPr>
                <w:rFonts w:ascii="Times New Roman" w:hAnsi="Times New Roman" w:cs="Times New Roman"/>
                <w:lang w:bidi="cs-CZ"/>
              </w:rPr>
            </w:pPr>
            <w:r w:rsidRPr="008819AF">
              <w:rPr>
                <w:rFonts w:ascii="Times New Roman" w:hAnsi="Times New Roman" w:cs="Times New Roman"/>
                <w:lang w:bidi="cs-CZ"/>
              </w:rPr>
              <w:t>Látky alebo zmesi s označením rizika, ak sa používajú v zariadeniach používajúcich organické rozpúšťadlá, sa členia na</w:t>
            </w:r>
          </w:p>
          <w:p w14:paraId="15132B2A" w14:textId="77777777" w:rsidR="004C1DAF" w:rsidRPr="008819AF" w:rsidRDefault="004C1DAF" w:rsidP="004C1DAF">
            <w:pPr>
              <w:pStyle w:val="Hlavika"/>
              <w:ind w:left="72" w:hanging="1"/>
              <w:rPr>
                <w:rFonts w:ascii="Times New Roman" w:hAnsi="Times New Roman" w:cs="Times New Roman"/>
                <w:lang w:bidi="cs-CZ"/>
              </w:rPr>
            </w:pPr>
            <w:r w:rsidRPr="008819AF">
              <w:rPr>
                <w:rFonts w:ascii="Times New Roman" w:hAnsi="Times New Roman" w:cs="Times New Roman"/>
                <w:lang w:bidi="cs-CZ"/>
              </w:rPr>
              <w:t>a)</w:t>
            </w:r>
            <w:r w:rsidRPr="008819AF">
              <w:rPr>
                <w:rFonts w:ascii="Times New Roman" w:hAnsi="Times New Roman" w:cs="Times New Roman"/>
                <w:lang w:bidi="cs-CZ"/>
              </w:rPr>
              <w:tab/>
              <w:t>látky alebo zmesi, ktorých obsah prchavých organických zlúčenín je klasifikovaný ako karcinogénny, mutagénny alebo toxický pre reprodukciu podľa osobitného predpisu,16) a ktorým je priradené alebo ktoré treba označiť výstražným upozornením H340, H350, H350i, H360D alebo H360F,</w:t>
            </w:r>
          </w:p>
          <w:p w14:paraId="15132B2B" w14:textId="77777777" w:rsidR="004C1DAF" w:rsidRPr="008819AF" w:rsidRDefault="004C1DAF" w:rsidP="004C1DAF">
            <w:pPr>
              <w:pStyle w:val="Hlavika"/>
              <w:ind w:left="72" w:hanging="1"/>
              <w:rPr>
                <w:rFonts w:ascii="Times New Roman" w:hAnsi="Times New Roman" w:cs="Times New Roman"/>
                <w:lang w:bidi="cs-CZ"/>
              </w:rPr>
            </w:pPr>
            <w:r w:rsidRPr="008819AF">
              <w:rPr>
                <w:rFonts w:ascii="Times New Roman" w:hAnsi="Times New Roman" w:cs="Times New Roman"/>
                <w:lang w:bidi="cs-CZ"/>
              </w:rPr>
              <w:t>b)</w:t>
            </w:r>
            <w:r w:rsidRPr="008819AF">
              <w:rPr>
                <w:rFonts w:ascii="Times New Roman" w:hAnsi="Times New Roman" w:cs="Times New Roman"/>
                <w:lang w:bidi="cs-CZ"/>
              </w:rPr>
              <w:tab/>
              <w:t xml:space="preserve">halogénované prchavé organické zlúčeniny a ich zmesi, ktorým je priradené alebo ktoré treba označiť podľa osobitného predpisu, ) </w:t>
            </w:r>
            <w:r w:rsidRPr="008819AF">
              <w:rPr>
                <w:rFonts w:ascii="Times New Roman" w:hAnsi="Times New Roman" w:cs="Times New Roman"/>
                <w:lang w:bidi="cs-CZ"/>
              </w:rPr>
              <w:lastRenderedPageBreak/>
              <w:t>výstražným upozornením H341 alebo H351</w:t>
            </w:r>
          </w:p>
        </w:tc>
        <w:tc>
          <w:tcPr>
            <w:tcW w:w="429" w:type="dxa"/>
            <w:tcBorders>
              <w:top w:val="single" w:sz="4" w:space="0" w:color="000000"/>
              <w:left w:val="single" w:sz="6" w:space="0" w:color="000000"/>
              <w:bottom w:val="single" w:sz="6" w:space="0" w:color="000000"/>
              <w:right w:val="single" w:sz="6" w:space="0" w:color="000000"/>
            </w:tcBorders>
          </w:tcPr>
          <w:p w14:paraId="15132B2C" w14:textId="77777777" w:rsidR="004C1DAF" w:rsidRPr="008819AF" w:rsidRDefault="004C1DAF"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15132B2D" w14:textId="77777777" w:rsidR="004C1DAF" w:rsidRPr="008819AF" w:rsidRDefault="004C1DAF" w:rsidP="004C1DAF">
            <w:pPr>
              <w:ind w:left="215" w:hanging="215"/>
              <w:rPr>
                <w:rFonts w:eastAsia="Arial"/>
              </w:rPr>
            </w:pPr>
          </w:p>
        </w:tc>
      </w:tr>
      <w:tr w:rsidR="004C1DAF" w:rsidRPr="008819AF" w14:paraId="15132BB5" w14:textId="77777777" w:rsidTr="003E351D">
        <w:trPr>
          <w:trHeight w:val="251"/>
          <w:jc w:val="center"/>
        </w:trPr>
        <w:tc>
          <w:tcPr>
            <w:tcW w:w="483" w:type="dxa"/>
            <w:vMerge w:val="restart"/>
            <w:tcBorders>
              <w:top w:val="single" w:sz="4" w:space="0" w:color="000000"/>
              <w:left w:val="single" w:sz="6" w:space="0" w:color="000000"/>
              <w:bottom w:val="single" w:sz="6" w:space="0" w:color="000000"/>
              <w:right w:val="single" w:sz="6" w:space="0" w:color="000000"/>
            </w:tcBorders>
          </w:tcPr>
          <w:p w14:paraId="15132B2F" w14:textId="77777777" w:rsidR="004C1DAF" w:rsidRPr="008819AF" w:rsidRDefault="004C1DAF" w:rsidP="004C1DAF">
            <w:pPr>
              <w:ind w:right="-70"/>
              <w:rPr>
                <w:rFonts w:eastAsia="Arial"/>
                <w:lang w:bidi="cs-CZ"/>
              </w:rPr>
            </w:pPr>
            <w:r w:rsidRPr="008819AF">
              <w:rPr>
                <w:rFonts w:eastAsia="Arial"/>
                <w:lang w:bidi="cs-CZ"/>
              </w:rPr>
              <w:t>Č:59</w:t>
            </w:r>
          </w:p>
        </w:tc>
        <w:tc>
          <w:tcPr>
            <w:tcW w:w="6227" w:type="dxa"/>
            <w:gridSpan w:val="2"/>
            <w:tcBorders>
              <w:top w:val="single" w:sz="4" w:space="0" w:color="000000"/>
              <w:left w:val="single" w:sz="6" w:space="0" w:color="000000"/>
              <w:bottom w:val="single" w:sz="6" w:space="0" w:color="000000"/>
              <w:right w:val="single" w:sz="6" w:space="0" w:color="000000"/>
            </w:tcBorders>
          </w:tcPr>
          <w:p w14:paraId="15132B30" w14:textId="77777777" w:rsidR="004C1DAF" w:rsidRPr="008819AF" w:rsidRDefault="004C1DAF" w:rsidP="004C1DAF">
            <w:pPr>
              <w:ind w:left="215" w:hanging="215"/>
              <w:rPr>
                <w:rFonts w:eastAsia="Arial"/>
              </w:rPr>
            </w:pPr>
            <w:r w:rsidRPr="008819AF">
              <w:rPr>
                <w:rFonts w:eastAsia="Arial"/>
              </w:rPr>
              <w:t>Článok 59</w:t>
            </w:r>
          </w:p>
          <w:p w14:paraId="15132B31" w14:textId="77777777" w:rsidR="004C1DAF" w:rsidRPr="008819AF" w:rsidRDefault="004C1DAF" w:rsidP="004C1DAF">
            <w:pPr>
              <w:ind w:left="215" w:hanging="215"/>
              <w:rPr>
                <w:rFonts w:eastAsia="Arial"/>
              </w:rPr>
            </w:pPr>
            <w:r w:rsidRPr="008819AF">
              <w:rPr>
                <w:rFonts w:eastAsia="Arial"/>
              </w:rPr>
              <w:t>Riadenie emisií</w:t>
            </w:r>
          </w:p>
          <w:p w14:paraId="15132B32" w14:textId="77777777" w:rsidR="004C1DAF" w:rsidRPr="008819AF" w:rsidRDefault="004C1DAF" w:rsidP="004C1DAF">
            <w:pPr>
              <w:ind w:left="215" w:hanging="215"/>
              <w:rPr>
                <w:rFonts w:eastAsia="Arial"/>
              </w:rPr>
            </w:pPr>
            <w:r w:rsidRPr="008819AF">
              <w:rPr>
                <w:rFonts w:eastAsia="Arial"/>
              </w:rPr>
              <w:t>1. Členské štáty prijmú potrebné opatrenia na zabezpečenie toho, aby každé zariadenie spĺňalo tieto podmienky:</w:t>
            </w:r>
          </w:p>
          <w:p w14:paraId="15132B33" w14:textId="77777777" w:rsidR="004C1DAF" w:rsidRPr="008819AF" w:rsidRDefault="004C1DAF" w:rsidP="009C63CF">
            <w:pPr>
              <w:numPr>
                <w:ilvl w:val="0"/>
                <w:numId w:val="39"/>
              </w:numPr>
              <w:spacing w:after="120"/>
              <w:ind w:left="497" w:hanging="283"/>
              <w:rPr>
                <w:rFonts w:eastAsia="Arial"/>
              </w:rPr>
            </w:pPr>
            <w:r w:rsidRPr="008819AF">
              <w:rPr>
                <w:rFonts w:eastAsia="Arial"/>
              </w:rPr>
              <w:t>emisie prchavých organických zlúčenín zo zariadení neprekročia emisné limity v odpadových plynoch a sú dodržané limitné hodnoty fugitívnych emisií alebo limitné hodnoty celkových emisií a ďalšie požiadavky ustanovené v prílohe VII časti 2 a 3;</w:t>
            </w:r>
          </w:p>
          <w:p w14:paraId="15132B34" w14:textId="77777777" w:rsidR="004C1DAF" w:rsidRPr="008819AF" w:rsidRDefault="004C1DAF" w:rsidP="009C63CF">
            <w:pPr>
              <w:numPr>
                <w:ilvl w:val="0"/>
                <w:numId w:val="39"/>
              </w:numPr>
              <w:ind w:left="497" w:hanging="283"/>
              <w:rPr>
                <w:rFonts w:eastAsia="Arial"/>
              </w:rPr>
            </w:pPr>
            <w:r w:rsidRPr="008819AF">
              <w:rPr>
                <w:rFonts w:eastAsia="Arial"/>
              </w:rPr>
              <w:t>požiadavky schémy znižovania emisií, ktoré sú stanovené v prílohe VII časť 5, pokiaľ sa dosiahne rovnocenné zníženie emisií v porovnaní s tým, ktoré bolo dosiahnuté v prípade uplatňovania emisných limitov uvedených v písmene a).</w:t>
            </w:r>
          </w:p>
          <w:p w14:paraId="15132B35" w14:textId="77777777" w:rsidR="004C1DAF" w:rsidRPr="008819AF" w:rsidRDefault="004C1DAF" w:rsidP="004C1DAF">
            <w:pPr>
              <w:ind w:left="215" w:firstLine="1700"/>
              <w:rPr>
                <w:rFonts w:eastAsia="Arial"/>
              </w:rPr>
            </w:pPr>
          </w:p>
          <w:p w14:paraId="15132B36" w14:textId="77777777" w:rsidR="004C1DAF" w:rsidRPr="008819AF" w:rsidRDefault="004C1DAF" w:rsidP="004C1DAF">
            <w:pPr>
              <w:ind w:left="215" w:hanging="1"/>
              <w:rPr>
                <w:rFonts w:eastAsia="Arial"/>
              </w:rPr>
            </w:pPr>
            <w:r w:rsidRPr="008819AF">
              <w:rPr>
                <w:rFonts w:eastAsia="Arial"/>
              </w:rPr>
              <w:t>Členské štáty podávajú Komisii v súlade s článkom 72 ods. 1 správy o pokroku pri dosahovaní rovnocenného zníženia emisií uvedeného v písmene b).</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B37" w14:textId="77777777" w:rsidR="004C1DAF" w:rsidRPr="008819AF" w:rsidRDefault="004C1DAF" w:rsidP="004C1DAF">
            <w:pPr>
              <w:ind w:left="215" w:hanging="215"/>
              <w:jc w:val="center"/>
              <w:rPr>
                <w:rFonts w:eastAsia="Arial"/>
                <w:lang w:bidi="cs-CZ"/>
              </w:rPr>
            </w:pPr>
            <w:r w:rsidRPr="008819AF">
              <w:rPr>
                <w:rFonts w:eastAsia="Arial"/>
                <w:lang w:bidi="cs-CZ"/>
              </w:rPr>
              <w:t>N</w:t>
            </w:r>
          </w:p>
          <w:p w14:paraId="15132B38" w14:textId="77777777" w:rsidR="004C1DAF" w:rsidRPr="008819AF" w:rsidRDefault="004C1DAF" w:rsidP="004C1DAF">
            <w:pPr>
              <w:ind w:left="215" w:hanging="215"/>
              <w:jc w:val="center"/>
              <w:rPr>
                <w:rFonts w:eastAsia="Arial"/>
                <w:lang w:bidi="cs-CZ"/>
              </w:rPr>
            </w:pPr>
          </w:p>
          <w:p w14:paraId="15132B39" w14:textId="77777777" w:rsidR="004C1DAF" w:rsidRPr="008819AF" w:rsidRDefault="004C1DAF" w:rsidP="004C1DAF">
            <w:pPr>
              <w:ind w:left="215" w:hanging="215"/>
              <w:jc w:val="center"/>
              <w:rPr>
                <w:rFonts w:eastAsia="Arial"/>
                <w:lang w:bidi="cs-CZ"/>
              </w:rPr>
            </w:pPr>
          </w:p>
          <w:p w14:paraId="15132B3A" w14:textId="77777777" w:rsidR="004C1DAF" w:rsidRPr="008819AF" w:rsidRDefault="004C1DAF" w:rsidP="004C1DAF">
            <w:pPr>
              <w:ind w:left="215" w:hanging="215"/>
              <w:jc w:val="center"/>
              <w:rPr>
                <w:rFonts w:eastAsia="Arial"/>
                <w:lang w:bidi="cs-CZ"/>
              </w:rPr>
            </w:pPr>
          </w:p>
          <w:p w14:paraId="15132B3B" w14:textId="77777777" w:rsidR="004C1DAF" w:rsidRPr="008819AF" w:rsidRDefault="004C1DAF" w:rsidP="004C1DAF">
            <w:pPr>
              <w:ind w:left="215" w:hanging="215"/>
              <w:jc w:val="center"/>
              <w:rPr>
                <w:rFonts w:eastAsia="Arial"/>
                <w:lang w:bidi="cs-CZ"/>
              </w:rPr>
            </w:pPr>
          </w:p>
          <w:p w14:paraId="15132B3C" w14:textId="77777777" w:rsidR="004C1DAF" w:rsidRPr="008819AF" w:rsidRDefault="004C1DAF" w:rsidP="004C1DAF">
            <w:pPr>
              <w:ind w:left="215" w:hanging="215"/>
              <w:jc w:val="center"/>
              <w:rPr>
                <w:rFonts w:eastAsia="Arial"/>
                <w:lang w:bidi="cs-CZ"/>
              </w:rPr>
            </w:pPr>
          </w:p>
          <w:p w14:paraId="15132B3D" w14:textId="77777777" w:rsidR="004C1DAF" w:rsidRPr="008819AF" w:rsidRDefault="004C1DAF" w:rsidP="004C1DAF">
            <w:pPr>
              <w:ind w:left="215" w:hanging="215"/>
              <w:jc w:val="center"/>
              <w:rPr>
                <w:rFonts w:eastAsia="Arial"/>
                <w:lang w:bidi="cs-CZ"/>
              </w:rPr>
            </w:pPr>
          </w:p>
          <w:p w14:paraId="15132B3E" w14:textId="77777777" w:rsidR="004C1DAF" w:rsidRPr="008819AF" w:rsidRDefault="004C1DAF" w:rsidP="004C1DAF">
            <w:pPr>
              <w:ind w:left="215" w:hanging="215"/>
              <w:jc w:val="center"/>
              <w:rPr>
                <w:rFonts w:eastAsia="Arial"/>
                <w:lang w:bidi="cs-CZ"/>
              </w:rPr>
            </w:pPr>
          </w:p>
          <w:p w14:paraId="15132B3F" w14:textId="77777777" w:rsidR="004C1DAF" w:rsidRPr="008819AF" w:rsidRDefault="004C1DAF" w:rsidP="004C1DAF">
            <w:pPr>
              <w:ind w:left="215" w:hanging="215"/>
              <w:jc w:val="center"/>
              <w:rPr>
                <w:rFonts w:eastAsia="Arial"/>
                <w:lang w:bidi="cs-CZ"/>
              </w:rPr>
            </w:pPr>
          </w:p>
          <w:p w14:paraId="15132B40" w14:textId="77777777" w:rsidR="004C1DAF" w:rsidRPr="008819AF" w:rsidRDefault="004C1DAF" w:rsidP="004C1DAF">
            <w:pPr>
              <w:ind w:left="215" w:hanging="215"/>
              <w:jc w:val="center"/>
              <w:rPr>
                <w:rFonts w:eastAsia="Arial"/>
                <w:lang w:bidi="cs-CZ"/>
              </w:rPr>
            </w:pPr>
          </w:p>
          <w:p w14:paraId="15132B41" w14:textId="77777777" w:rsidR="004C1DAF" w:rsidRPr="008819AF" w:rsidRDefault="004C1DAF" w:rsidP="004C1DAF">
            <w:pPr>
              <w:ind w:left="215" w:hanging="215"/>
              <w:jc w:val="center"/>
              <w:rPr>
                <w:rFonts w:eastAsia="Arial"/>
                <w:lang w:bidi="cs-CZ"/>
              </w:rPr>
            </w:pPr>
          </w:p>
          <w:p w14:paraId="15132B42" w14:textId="77777777" w:rsidR="004C1DAF" w:rsidRPr="008819AF" w:rsidRDefault="004C1DAF" w:rsidP="004C1DAF">
            <w:pPr>
              <w:ind w:left="215" w:hanging="215"/>
              <w:jc w:val="center"/>
              <w:rPr>
                <w:rFonts w:eastAsia="Arial"/>
                <w:lang w:bidi="cs-CZ"/>
              </w:rPr>
            </w:pPr>
          </w:p>
          <w:p w14:paraId="15132B43" w14:textId="77777777" w:rsidR="004C1DAF" w:rsidRPr="008819AF" w:rsidRDefault="004C1DAF" w:rsidP="004C1DAF">
            <w:pPr>
              <w:ind w:left="215" w:hanging="215"/>
              <w:jc w:val="center"/>
              <w:rPr>
                <w:rFonts w:eastAsia="Arial"/>
                <w:lang w:bidi="cs-CZ"/>
              </w:rPr>
            </w:pPr>
          </w:p>
          <w:p w14:paraId="15132B44" w14:textId="77777777" w:rsidR="004C1DAF" w:rsidRPr="008819AF" w:rsidRDefault="004C1DAF" w:rsidP="004C1DAF">
            <w:pPr>
              <w:ind w:left="215" w:hanging="215"/>
              <w:jc w:val="center"/>
              <w:rPr>
                <w:rFonts w:eastAsia="Arial"/>
                <w:lang w:bidi="cs-CZ"/>
              </w:rPr>
            </w:pPr>
          </w:p>
          <w:p w14:paraId="15132B45" w14:textId="77777777" w:rsidR="004C1DAF" w:rsidRPr="008819AF" w:rsidRDefault="004C1DAF" w:rsidP="004C1DAF">
            <w:pPr>
              <w:ind w:left="215" w:hanging="215"/>
              <w:jc w:val="center"/>
              <w:rPr>
                <w:rFonts w:eastAsia="Arial"/>
                <w:lang w:bidi="cs-CZ"/>
              </w:rPr>
            </w:pPr>
          </w:p>
          <w:p w14:paraId="15132B46" w14:textId="77777777" w:rsidR="004C1DAF" w:rsidRPr="008819AF" w:rsidRDefault="004C1DAF" w:rsidP="004C1DAF">
            <w:pPr>
              <w:ind w:left="215" w:hanging="215"/>
              <w:jc w:val="center"/>
              <w:rPr>
                <w:rFonts w:eastAsia="Arial"/>
                <w:lang w:bidi="cs-CZ"/>
              </w:rPr>
            </w:pPr>
          </w:p>
          <w:p w14:paraId="15132B47" w14:textId="77777777" w:rsidR="004C1DAF" w:rsidRPr="008819AF" w:rsidRDefault="004C1DAF" w:rsidP="004C1DAF">
            <w:pPr>
              <w:ind w:left="215" w:hanging="215"/>
              <w:jc w:val="center"/>
              <w:rPr>
                <w:rFonts w:eastAsia="Arial"/>
                <w:lang w:bidi="cs-CZ"/>
              </w:rPr>
            </w:pPr>
          </w:p>
          <w:p w14:paraId="15132B48" w14:textId="77777777" w:rsidR="004C1DAF" w:rsidRPr="008819AF" w:rsidRDefault="004C1DAF" w:rsidP="004C1DAF">
            <w:pPr>
              <w:ind w:left="215" w:hanging="215"/>
              <w:jc w:val="center"/>
              <w:rPr>
                <w:rFonts w:eastAsia="Arial"/>
                <w:lang w:bidi="cs-CZ"/>
              </w:rPr>
            </w:pPr>
          </w:p>
          <w:p w14:paraId="15132B49" w14:textId="77777777" w:rsidR="004C1DAF" w:rsidRPr="008819AF" w:rsidRDefault="004C1DAF" w:rsidP="004C1DAF">
            <w:pPr>
              <w:ind w:left="215" w:hanging="215"/>
              <w:jc w:val="center"/>
              <w:rPr>
                <w:rFonts w:eastAsia="Arial"/>
                <w:lang w:bidi="cs-CZ"/>
              </w:rPr>
            </w:pPr>
          </w:p>
          <w:p w14:paraId="15132B4A" w14:textId="77777777" w:rsidR="004C1DAF" w:rsidRPr="008819AF" w:rsidRDefault="004C1DAF" w:rsidP="004C1DAF">
            <w:pPr>
              <w:ind w:left="215" w:hanging="215"/>
              <w:jc w:val="center"/>
              <w:rPr>
                <w:rFonts w:eastAsia="Arial"/>
                <w:lang w:bidi="cs-CZ"/>
              </w:rPr>
            </w:pPr>
          </w:p>
          <w:p w14:paraId="15132B4B" w14:textId="77777777" w:rsidR="004C1DAF" w:rsidRPr="008819AF" w:rsidRDefault="004C1DAF" w:rsidP="004C1DAF">
            <w:pPr>
              <w:ind w:left="215" w:hanging="215"/>
              <w:jc w:val="center"/>
              <w:rPr>
                <w:rFonts w:eastAsia="Arial"/>
                <w:lang w:bidi="cs-CZ"/>
              </w:rPr>
            </w:pPr>
          </w:p>
          <w:p w14:paraId="15132B4C" w14:textId="77777777" w:rsidR="00C4623B" w:rsidRPr="008819AF" w:rsidRDefault="00C4623B" w:rsidP="00C4623B">
            <w:pPr>
              <w:ind w:left="215" w:hanging="215"/>
              <w:jc w:val="center"/>
              <w:rPr>
                <w:rFonts w:eastAsia="Arial"/>
                <w:lang w:bidi="cs-CZ"/>
              </w:rPr>
            </w:pPr>
            <w:r w:rsidRPr="008819AF">
              <w:rPr>
                <w:rFonts w:eastAsia="Arial"/>
                <w:lang w:bidi="cs-CZ"/>
              </w:rPr>
              <w:t>N</w:t>
            </w:r>
          </w:p>
          <w:p w14:paraId="15132B4D" w14:textId="77777777" w:rsidR="00C4623B" w:rsidRPr="008819AF" w:rsidRDefault="00C4623B" w:rsidP="004C1DAF">
            <w:pPr>
              <w:ind w:left="215" w:hanging="215"/>
              <w:jc w:val="center"/>
              <w:rPr>
                <w:rFonts w:eastAsia="Arial"/>
                <w:lang w:bidi="cs-CZ"/>
              </w:rPr>
            </w:pPr>
          </w:p>
          <w:p w14:paraId="15132B4E" w14:textId="77777777" w:rsidR="00C4623B" w:rsidRPr="008819AF" w:rsidRDefault="00C4623B" w:rsidP="004C1DAF">
            <w:pPr>
              <w:ind w:left="215" w:hanging="215"/>
              <w:jc w:val="center"/>
              <w:rPr>
                <w:rFonts w:eastAsia="Arial"/>
                <w:lang w:bidi="cs-CZ"/>
              </w:rPr>
            </w:pPr>
          </w:p>
          <w:p w14:paraId="15132B4F" w14:textId="77777777" w:rsidR="00C4623B" w:rsidRPr="008819AF" w:rsidRDefault="00C4623B" w:rsidP="004C1DAF">
            <w:pPr>
              <w:ind w:left="215" w:hanging="215"/>
              <w:jc w:val="center"/>
              <w:rPr>
                <w:rFonts w:eastAsia="Arial"/>
                <w:lang w:bidi="cs-CZ"/>
              </w:rPr>
            </w:pPr>
          </w:p>
          <w:p w14:paraId="15132B50" w14:textId="77777777" w:rsidR="00C4623B" w:rsidRPr="008819AF" w:rsidRDefault="00C4623B" w:rsidP="004C1DAF">
            <w:pPr>
              <w:ind w:left="215" w:hanging="215"/>
              <w:jc w:val="center"/>
              <w:rPr>
                <w:rFonts w:eastAsia="Arial"/>
                <w:lang w:bidi="cs-CZ"/>
              </w:rPr>
            </w:pPr>
          </w:p>
          <w:p w14:paraId="15132B51" w14:textId="77777777" w:rsidR="00C4623B" w:rsidRPr="008819AF" w:rsidRDefault="00C4623B" w:rsidP="004C1DAF">
            <w:pPr>
              <w:ind w:left="215" w:hanging="215"/>
              <w:jc w:val="center"/>
              <w:rPr>
                <w:rFonts w:eastAsia="Arial"/>
                <w:lang w:bidi="cs-CZ"/>
              </w:rPr>
            </w:pPr>
          </w:p>
          <w:p w14:paraId="15132B52" w14:textId="77777777" w:rsidR="004C1DAF" w:rsidRPr="008819AF" w:rsidRDefault="004C1DAF" w:rsidP="00097278">
            <w:pPr>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2B53" w14:textId="77777777" w:rsidR="004C1DAF" w:rsidRPr="008819AF" w:rsidRDefault="004C1DAF" w:rsidP="004C1DAF">
            <w:pPr>
              <w:jc w:val="center"/>
              <w:rPr>
                <w:rFonts w:eastAsia="Arial"/>
                <w:lang w:bidi="cs-CZ"/>
              </w:rPr>
            </w:pPr>
            <w:r w:rsidRPr="008819AF">
              <w:rPr>
                <w:rFonts w:eastAsia="Arial"/>
                <w:lang w:bidi="cs-CZ"/>
              </w:rPr>
              <w:t>NZ</w:t>
            </w:r>
          </w:p>
          <w:p w14:paraId="15132B54" w14:textId="77777777" w:rsidR="004C1DAF" w:rsidRPr="008819AF" w:rsidRDefault="004C1DAF" w:rsidP="004C1DAF">
            <w:pPr>
              <w:ind w:left="215" w:hanging="215"/>
              <w:jc w:val="center"/>
              <w:rPr>
                <w:rFonts w:eastAsia="Arial"/>
                <w:lang w:bidi="cs-CZ"/>
              </w:rPr>
            </w:pPr>
          </w:p>
          <w:p w14:paraId="15132B55" w14:textId="77777777" w:rsidR="004C1DAF" w:rsidRPr="008819AF" w:rsidRDefault="004C1DAF" w:rsidP="004C1DAF">
            <w:pPr>
              <w:ind w:left="215" w:hanging="215"/>
              <w:jc w:val="center"/>
              <w:rPr>
                <w:rFonts w:eastAsia="Arial"/>
                <w:lang w:bidi="cs-CZ"/>
              </w:rPr>
            </w:pPr>
          </w:p>
          <w:p w14:paraId="15132B56" w14:textId="77777777" w:rsidR="004C1DAF" w:rsidRPr="008819AF" w:rsidRDefault="004C1DAF" w:rsidP="004C1DAF">
            <w:pPr>
              <w:ind w:left="215" w:hanging="215"/>
              <w:jc w:val="center"/>
              <w:rPr>
                <w:rFonts w:eastAsia="Arial"/>
                <w:lang w:bidi="cs-CZ"/>
              </w:rPr>
            </w:pPr>
          </w:p>
          <w:p w14:paraId="15132B57" w14:textId="77777777" w:rsidR="004C1DAF" w:rsidRPr="008819AF" w:rsidRDefault="004C1DAF" w:rsidP="004C1DAF">
            <w:pPr>
              <w:ind w:left="215" w:hanging="215"/>
              <w:jc w:val="center"/>
              <w:rPr>
                <w:rFonts w:eastAsia="Arial"/>
                <w:lang w:bidi="cs-CZ"/>
              </w:rPr>
            </w:pPr>
          </w:p>
          <w:p w14:paraId="15132B58" w14:textId="77777777" w:rsidR="004C1DAF" w:rsidRPr="008819AF" w:rsidRDefault="004C1DAF" w:rsidP="004C1DAF">
            <w:pPr>
              <w:ind w:left="215" w:hanging="215"/>
              <w:jc w:val="center"/>
              <w:rPr>
                <w:rFonts w:eastAsia="Arial"/>
                <w:lang w:bidi="cs-CZ"/>
              </w:rPr>
            </w:pPr>
          </w:p>
          <w:p w14:paraId="15132B59" w14:textId="77777777" w:rsidR="004C1DAF" w:rsidRPr="008819AF" w:rsidRDefault="004C1DAF" w:rsidP="004C1DAF">
            <w:pPr>
              <w:ind w:left="215" w:hanging="215"/>
              <w:jc w:val="center"/>
              <w:rPr>
                <w:rFonts w:eastAsia="Arial"/>
                <w:lang w:bidi="cs-CZ"/>
              </w:rPr>
            </w:pPr>
          </w:p>
          <w:p w14:paraId="15132B5A" w14:textId="77777777" w:rsidR="004C1DAF" w:rsidRPr="008819AF" w:rsidRDefault="004C1DAF" w:rsidP="004C1DAF">
            <w:pPr>
              <w:ind w:left="215" w:hanging="215"/>
              <w:jc w:val="center"/>
              <w:rPr>
                <w:rFonts w:eastAsia="Arial"/>
                <w:lang w:bidi="cs-CZ"/>
              </w:rPr>
            </w:pPr>
          </w:p>
          <w:p w14:paraId="15132B5B" w14:textId="77777777" w:rsidR="004C1DAF" w:rsidRPr="008819AF" w:rsidRDefault="004C1DAF" w:rsidP="004C1DAF">
            <w:pPr>
              <w:ind w:left="215" w:hanging="215"/>
              <w:jc w:val="center"/>
              <w:rPr>
                <w:rFonts w:eastAsia="Arial"/>
                <w:lang w:bidi="cs-CZ"/>
              </w:rPr>
            </w:pPr>
          </w:p>
          <w:p w14:paraId="15132B5C" w14:textId="77777777" w:rsidR="004C1DAF" w:rsidRPr="008819AF" w:rsidRDefault="004C1DAF" w:rsidP="004C1DAF">
            <w:pPr>
              <w:ind w:left="215" w:hanging="215"/>
              <w:jc w:val="center"/>
              <w:rPr>
                <w:rFonts w:eastAsia="Arial"/>
                <w:lang w:bidi="cs-CZ"/>
              </w:rPr>
            </w:pPr>
          </w:p>
          <w:p w14:paraId="15132B5D" w14:textId="77777777" w:rsidR="004C1DAF" w:rsidRPr="008819AF" w:rsidRDefault="004C1DAF" w:rsidP="004C1DAF">
            <w:pPr>
              <w:ind w:left="215" w:hanging="215"/>
              <w:jc w:val="center"/>
              <w:rPr>
                <w:rFonts w:eastAsia="Arial"/>
                <w:lang w:bidi="cs-CZ"/>
              </w:rPr>
            </w:pPr>
          </w:p>
          <w:p w14:paraId="15132B5E" w14:textId="77777777" w:rsidR="004C1DAF" w:rsidRPr="008819AF" w:rsidRDefault="004C1DAF" w:rsidP="004C1DAF">
            <w:pPr>
              <w:jc w:val="center"/>
              <w:rPr>
                <w:rFonts w:eastAsia="Arial"/>
                <w:lang w:bidi="cs-CZ"/>
              </w:rPr>
            </w:pPr>
            <w:r w:rsidRPr="008819AF">
              <w:rPr>
                <w:rFonts w:eastAsia="Arial"/>
                <w:lang w:bidi="cs-CZ"/>
              </w:rPr>
              <w:t>NV2</w:t>
            </w:r>
          </w:p>
          <w:p w14:paraId="15132B5F" w14:textId="77777777" w:rsidR="004C1DAF" w:rsidRPr="008819AF" w:rsidRDefault="004C1DAF" w:rsidP="004C1DAF">
            <w:pPr>
              <w:ind w:left="215" w:hanging="215"/>
              <w:jc w:val="center"/>
              <w:rPr>
                <w:rFonts w:eastAsia="Arial"/>
                <w:lang w:bidi="cs-CZ"/>
              </w:rPr>
            </w:pPr>
          </w:p>
          <w:p w14:paraId="15132B60" w14:textId="77777777" w:rsidR="004C1DAF" w:rsidRPr="008819AF" w:rsidRDefault="004C1DAF" w:rsidP="004C1DAF">
            <w:pPr>
              <w:ind w:left="215" w:hanging="215"/>
              <w:jc w:val="center"/>
              <w:rPr>
                <w:rFonts w:eastAsia="Arial"/>
                <w:lang w:bidi="cs-CZ"/>
              </w:rPr>
            </w:pPr>
          </w:p>
          <w:p w14:paraId="15132B61" w14:textId="77777777" w:rsidR="004C1DAF" w:rsidRPr="008819AF" w:rsidRDefault="004C1DAF" w:rsidP="004C1DAF">
            <w:pPr>
              <w:ind w:left="215" w:hanging="215"/>
              <w:jc w:val="center"/>
              <w:rPr>
                <w:rFonts w:eastAsia="Arial"/>
                <w:lang w:bidi="cs-CZ"/>
              </w:rPr>
            </w:pPr>
          </w:p>
          <w:p w14:paraId="15132B62" w14:textId="77777777" w:rsidR="004C1DAF" w:rsidRPr="008819AF" w:rsidRDefault="004C1DAF" w:rsidP="004C1DAF">
            <w:pPr>
              <w:ind w:left="215" w:hanging="215"/>
              <w:jc w:val="center"/>
              <w:rPr>
                <w:rFonts w:eastAsia="Arial"/>
                <w:lang w:bidi="cs-CZ"/>
              </w:rPr>
            </w:pPr>
          </w:p>
          <w:p w14:paraId="15132B63" w14:textId="77777777" w:rsidR="004C1DAF" w:rsidRPr="008819AF" w:rsidRDefault="004C1DAF" w:rsidP="004C1DAF">
            <w:pPr>
              <w:ind w:left="215" w:hanging="215"/>
              <w:jc w:val="center"/>
              <w:rPr>
                <w:rFonts w:eastAsia="Arial"/>
                <w:lang w:bidi="cs-CZ"/>
              </w:rPr>
            </w:pPr>
          </w:p>
          <w:p w14:paraId="15132B64" w14:textId="77777777" w:rsidR="004C1DAF" w:rsidRPr="008819AF" w:rsidRDefault="004C1DAF" w:rsidP="004C1DAF">
            <w:pPr>
              <w:jc w:val="center"/>
              <w:rPr>
                <w:rFonts w:eastAsia="Arial"/>
                <w:lang w:bidi="cs-CZ"/>
              </w:rPr>
            </w:pPr>
          </w:p>
          <w:p w14:paraId="15132B65" w14:textId="77777777" w:rsidR="004C1DAF" w:rsidRPr="008819AF" w:rsidRDefault="004C1DAF" w:rsidP="004C1DAF">
            <w:pPr>
              <w:jc w:val="center"/>
              <w:rPr>
                <w:rFonts w:eastAsia="Arial"/>
                <w:lang w:bidi="cs-CZ"/>
              </w:rPr>
            </w:pPr>
          </w:p>
          <w:p w14:paraId="15132B66" w14:textId="77777777" w:rsidR="004C1DAF" w:rsidRPr="008819AF" w:rsidRDefault="004C1DAF" w:rsidP="004C1DAF">
            <w:pPr>
              <w:jc w:val="center"/>
              <w:rPr>
                <w:rFonts w:eastAsia="Arial"/>
                <w:lang w:bidi="cs-CZ"/>
              </w:rPr>
            </w:pPr>
          </w:p>
          <w:p w14:paraId="15132B67" w14:textId="77777777" w:rsidR="004C1DAF" w:rsidRPr="008819AF" w:rsidRDefault="004C1DAF" w:rsidP="004C1DAF">
            <w:pPr>
              <w:jc w:val="center"/>
              <w:rPr>
                <w:rFonts w:eastAsia="Arial"/>
                <w:lang w:bidi="cs-CZ"/>
              </w:rPr>
            </w:pPr>
          </w:p>
          <w:p w14:paraId="15132B68" w14:textId="77777777" w:rsidR="00C4623B" w:rsidRPr="008819AF" w:rsidRDefault="00C4623B" w:rsidP="00C4623B">
            <w:pPr>
              <w:jc w:val="center"/>
              <w:rPr>
                <w:rFonts w:eastAsia="Arial"/>
                <w:lang w:bidi="cs-CZ"/>
              </w:rPr>
            </w:pPr>
            <w:r w:rsidRPr="008819AF">
              <w:rPr>
                <w:rFonts w:eastAsia="Arial"/>
                <w:lang w:bidi="cs-CZ"/>
              </w:rPr>
              <w:t>NZ</w:t>
            </w:r>
          </w:p>
          <w:p w14:paraId="15132B69" w14:textId="77777777" w:rsidR="00C4623B" w:rsidRPr="008819AF" w:rsidRDefault="00C4623B" w:rsidP="004C1DAF">
            <w:pPr>
              <w:jc w:val="center"/>
              <w:rPr>
                <w:rFonts w:eastAsia="Arial"/>
                <w:lang w:bidi="cs-CZ"/>
              </w:rPr>
            </w:pPr>
          </w:p>
          <w:p w14:paraId="15132B6A" w14:textId="77777777" w:rsidR="00C4623B" w:rsidRPr="008819AF" w:rsidRDefault="00C4623B" w:rsidP="004C1DAF">
            <w:pPr>
              <w:jc w:val="center"/>
              <w:rPr>
                <w:rFonts w:eastAsia="Arial"/>
                <w:lang w:bidi="cs-CZ"/>
              </w:rPr>
            </w:pPr>
          </w:p>
          <w:p w14:paraId="15132B6B" w14:textId="77777777" w:rsidR="00C4623B" w:rsidRPr="008819AF" w:rsidRDefault="00C4623B" w:rsidP="004C1DAF">
            <w:pPr>
              <w:jc w:val="center"/>
              <w:rPr>
                <w:rFonts w:eastAsia="Arial"/>
                <w:lang w:bidi="cs-CZ"/>
              </w:rPr>
            </w:pPr>
          </w:p>
          <w:p w14:paraId="15132B6C" w14:textId="77777777" w:rsidR="00C4623B" w:rsidRPr="008819AF" w:rsidRDefault="00C4623B" w:rsidP="004C1DAF">
            <w:pPr>
              <w:jc w:val="center"/>
              <w:rPr>
                <w:rFonts w:eastAsia="Arial"/>
                <w:lang w:bidi="cs-CZ"/>
              </w:rPr>
            </w:pPr>
          </w:p>
          <w:p w14:paraId="15132B6D" w14:textId="77777777" w:rsidR="00C4623B" w:rsidRPr="008819AF" w:rsidRDefault="00C4623B" w:rsidP="004C1DAF">
            <w:pPr>
              <w:jc w:val="center"/>
              <w:rPr>
                <w:rFonts w:eastAsia="Arial"/>
                <w:lang w:bidi="cs-CZ"/>
              </w:rPr>
            </w:pPr>
          </w:p>
          <w:p w14:paraId="15132B6E" w14:textId="77777777" w:rsidR="004C1DAF" w:rsidRPr="008819AF" w:rsidRDefault="004C1DAF" w:rsidP="00097278">
            <w:pPr>
              <w:jc w:val="center"/>
              <w:rPr>
                <w:rFonts w:eastAsia="Arial"/>
                <w:lang w:bidi="cs-CZ"/>
              </w:rPr>
            </w:pPr>
            <w:r w:rsidRPr="008819AF">
              <w:rPr>
                <w:rFonts w:eastAsia="Arial"/>
                <w:lang w:bidi="cs-CZ"/>
              </w:rPr>
              <w:t>NZ</w:t>
            </w:r>
          </w:p>
        </w:tc>
        <w:tc>
          <w:tcPr>
            <w:tcW w:w="543" w:type="dxa"/>
            <w:tcBorders>
              <w:top w:val="single" w:sz="4" w:space="0" w:color="000000"/>
              <w:left w:val="single" w:sz="6" w:space="0" w:color="000000"/>
              <w:bottom w:val="single" w:sz="6" w:space="0" w:color="000000"/>
              <w:right w:val="single" w:sz="6" w:space="0" w:color="000000"/>
            </w:tcBorders>
          </w:tcPr>
          <w:p w14:paraId="15132B6F"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 34</w:t>
            </w:r>
          </w:p>
          <w:p w14:paraId="15132B70"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O 1</w:t>
            </w:r>
          </w:p>
          <w:p w14:paraId="15132B71"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P b) a c)</w:t>
            </w:r>
          </w:p>
          <w:p w14:paraId="15132B72" w14:textId="77777777" w:rsidR="004C1DAF" w:rsidRPr="008819AF" w:rsidRDefault="004C1DAF" w:rsidP="004C1DAF">
            <w:pPr>
              <w:pStyle w:val="BodyText21"/>
              <w:spacing w:before="0" w:line="240" w:lineRule="auto"/>
              <w:jc w:val="center"/>
              <w:rPr>
                <w:rFonts w:ascii="Times New Roman" w:hAnsi="Times New Roman" w:cs="Times New Roman"/>
              </w:rPr>
            </w:pPr>
          </w:p>
          <w:p w14:paraId="15132B73" w14:textId="77777777" w:rsidR="004C1DAF" w:rsidRPr="008819AF" w:rsidRDefault="004C1DAF" w:rsidP="004C1DAF">
            <w:pPr>
              <w:pStyle w:val="BodyText21"/>
              <w:spacing w:before="0" w:line="240" w:lineRule="auto"/>
              <w:jc w:val="center"/>
              <w:rPr>
                <w:rFonts w:ascii="Times New Roman" w:hAnsi="Times New Roman" w:cs="Times New Roman"/>
              </w:rPr>
            </w:pPr>
          </w:p>
          <w:p w14:paraId="15132B74" w14:textId="77777777" w:rsidR="004C1DAF" w:rsidRPr="008819AF" w:rsidRDefault="004C1DAF" w:rsidP="004C1DAF">
            <w:pPr>
              <w:pStyle w:val="BodyText21"/>
              <w:spacing w:before="0" w:line="240" w:lineRule="auto"/>
              <w:jc w:val="center"/>
              <w:rPr>
                <w:rFonts w:ascii="Times New Roman" w:hAnsi="Times New Roman" w:cs="Times New Roman"/>
              </w:rPr>
            </w:pPr>
          </w:p>
          <w:p w14:paraId="15132B75" w14:textId="77777777" w:rsidR="004C1DAF" w:rsidRPr="008819AF" w:rsidRDefault="004C1DAF" w:rsidP="004C1DAF">
            <w:pPr>
              <w:pStyle w:val="BodyText21"/>
              <w:spacing w:before="0" w:line="240" w:lineRule="auto"/>
              <w:jc w:val="center"/>
              <w:rPr>
                <w:rFonts w:ascii="Times New Roman" w:hAnsi="Times New Roman" w:cs="Times New Roman"/>
              </w:rPr>
            </w:pPr>
          </w:p>
          <w:p w14:paraId="15132B76" w14:textId="77777777" w:rsidR="004C1DAF" w:rsidRPr="008819AF" w:rsidRDefault="004C1DAF" w:rsidP="004C1DAF">
            <w:pPr>
              <w:pStyle w:val="BodyText21"/>
              <w:spacing w:before="0" w:line="240" w:lineRule="auto"/>
              <w:jc w:val="center"/>
              <w:rPr>
                <w:rFonts w:ascii="Times New Roman" w:hAnsi="Times New Roman" w:cs="Times New Roman"/>
              </w:rPr>
            </w:pPr>
          </w:p>
          <w:p w14:paraId="15132B77" w14:textId="77777777" w:rsidR="004C1DAF" w:rsidRPr="008819AF" w:rsidRDefault="004C1DAF" w:rsidP="004C1DAF">
            <w:pPr>
              <w:pStyle w:val="BodyText21"/>
              <w:spacing w:before="0" w:line="240" w:lineRule="auto"/>
              <w:jc w:val="center"/>
              <w:rPr>
                <w:rFonts w:ascii="Times New Roman" w:hAnsi="Times New Roman" w:cs="Times New Roman"/>
              </w:rPr>
            </w:pPr>
          </w:p>
          <w:p w14:paraId="15132B78" w14:textId="77777777" w:rsidR="004C1DAF" w:rsidRPr="008819AF" w:rsidRDefault="004C1DAF" w:rsidP="004C1DAF">
            <w:pPr>
              <w:pStyle w:val="BodyText21"/>
              <w:spacing w:before="0" w:line="240" w:lineRule="auto"/>
              <w:jc w:val="center"/>
              <w:rPr>
                <w:rFonts w:ascii="Times New Roman" w:hAnsi="Times New Roman" w:cs="Times New Roman"/>
              </w:rPr>
            </w:pPr>
          </w:p>
          <w:p w14:paraId="15132B79" w14:textId="77777777" w:rsidR="004C1DAF" w:rsidRPr="008819AF" w:rsidRDefault="00C4623B"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 27</w:t>
            </w:r>
          </w:p>
          <w:p w14:paraId="15132B7A" w14:textId="77777777" w:rsidR="00C4623B" w:rsidRPr="008819AF" w:rsidRDefault="00C4623B"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O2</w:t>
            </w:r>
          </w:p>
          <w:p w14:paraId="15132B7B" w14:textId="77777777" w:rsidR="00C4623B" w:rsidRPr="008819AF" w:rsidRDefault="00C4623B"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Pa</w:t>
            </w:r>
          </w:p>
          <w:p w14:paraId="15132B7C" w14:textId="77777777" w:rsidR="004C1DAF" w:rsidRPr="008819AF" w:rsidRDefault="004C1DAF" w:rsidP="004C1DAF">
            <w:pPr>
              <w:pStyle w:val="BodyText21"/>
              <w:spacing w:before="0" w:line="240" w:lineRule="auto"/>
              <w:jc w:val="center"/>
              <w:rPr>
                <w:rFonts w:ascii="Times New Roman" w:hAnsi="Times New Roman" w:cs="Times New Roman"/>
              </w:rPr>
            </w:pPr>
          </w:p>
          <w:p w14:paraId="15132B7D" w14:textId="77777777" w:rsidR="004C1DAF" w:rsidRPr="008819AF" w:rsidRDefault="004C1DAF" w:rsidP="004C1DAF">
            <w:pPr>
              <w:pStyle w:val="BodyText21"/>
              <w:spacing w:before="0" w:line="240" w:lineRule="auto"/>
              <w:jc w:val="center"/>
              <w:rPr>
                <w:rFonts w:ascii="Times New Roman" w:hAnsi="Times New Roman" w:cs="Times New Roman"/>
              </w:rPr>
            </w:pPr>
          </w:p>
          <w:p w14:paraId="15132B7E" w14:textId="77777777" w:rsidR="004C1DAF" w:rsidRPr="008819AF" w:rsidRDefault="004C1DAF" w:rsidP="004C1DAF">
            <w:pPr>
              <w:pStyle w:val="BodyText21"/>
              <w:spacing w:before="0" w:line="240" w:lineRule="auto"/>
              <w:jc w:val="center"/>
              <w:rPr>
                <w:rFonts w:ascii="Times New Roman" w:hAnsi="Times New Roman" w:cs="Times New Roman"/>
              </w:rPr>
            </w:pPr>
          </w:p>
          <w:p w14:paraId="15132B7F" w14:textId="77777777" w:rsidR="004C1DAF" w:rsidRPr="008819AF" w:rsidRDefault="004C1DAF" w:rsidP="004C1DAF">
            <w:pPr>
              <w:pStyle w:val="BodyText21"/>
              <w:spacing w:before="0" w:line="240" w:lineRule="auto"/>
              <w:jc w:val="center"/>
              <w:rPr>
                <w:rFonts w:ascii="Times New Roman" w:hAnsi="Times New Roman" w:cs="Times New Roman"/>
              </w:rPr>
            </w:pPr>
          </w:p>
          <w:p w14:paraId="15132B80" w14:textId="77777777" w:rsidR="004C1DAF" w:rsidRPr="008819AF" w:rsidRDefault="004C1DAF" w:rsidP="004C1DAF">
            <w:pPr>
              <w:pStyle w:val="BodyText21"/>
              <w:spacing w:before="0" w:line="240" w:lineRule="auto"/>
              <w:jc w:val="center"/>
              <w:rPr>
                <w:rFonts w:ascii="Times New Roman" w:hAnsi="Times New Roman" w:cs="Times New Roman"/>
              </w:rPr>
            </w:pPr>
          </w:p>
          <w:p w14:paraId="15132B81" w14:textId="77777777" w:rsidR="004C1DAF" w:rsidRPr="008819AF" w:rsidRDefault="004C1DAF" w:rsidP="004C1DAF">
            <w:pPr>
              <w:pStyle w:val="BodyText21"/>
              <w:spacing w:before="0" w:line="240" w:lineRule="auto"/>
              <w:jc w:val="center"/>
              <w:rPr>
                <w:rFonts w:ascii="Times New Roman" w:hAnsi="Times New Roman" w:cs="Times New Roman"/>
              </w:rPr>
            </w:pPr>
          </w:p>
          <w:p w14:paraId="15132B82" w14:textId="77777777" w:rsidR="004C1DAF" w:rsidRPr="008819AF" w:rsidRDefault="004C1DAF" w:rsidP="004C1DAF">
            <w:pPr>
              <w:pStyle w:val="BodyText21"/>
              <w:spacing w:before="0" w:line="240" w:lineRule="auto"/>
              <w:jc w:val="center"/>
              <w:rPr>
                <w:rFonts w:ascii="Times New Roman" w:hAnsi="Times New Roman" w:cs="Times New Roman"/>
              </w:rPr>
            </w:pPr>
          </w:p>
          <w:p w14:paraId="15132B83" w14:textId="77777777" w:rsidR="00C4623B" w:rsidRPr="008819AF" w:rsidRDefault="00C4623B" w:rsidP="00C4623B">
            <w:pPr>
              <w:pStyle w:val="BodyText21"/>
              <w:spacing w:before="0" w:line="240" w:lineRule="auto"/>
              <w:ind w:left="0" w:firstLine="0"/>
              <w:rPr>
                <w:rFonts w:ascii="Times New Roman" w:hAnsi="Times New Roman" w:cs="Times New Roman"/>
              </w:rPr>
            </w:pPr>
            <w:r w:rsidRPr="008819AF">
              <w:rPr>
                <w:rFonts w:ascii="Times New Roman" w:hAnsi="Times New Roman" w:cs="Times New Roman"/>
              </w:rPr>
              <w:t>§ 40</w:t>
            </w:r>
          </w:p>
          <w:p w14:paraId="15132B84" w14:textId="77777777" w:rsidR="00C4623B" w:rsidRPr="008819AF" w:rsidRDefault="00C4623B" w:rsidP="00C4623B">
            <w:pPr>
              <w:pStyle w:val="BodyText21"/>
              <w:spacing w:before="0" w:line="240" w:lineRule="auto"/>
              <w:jc w:val="center"/>
              <w:rPr>
                <w:rFonts w:ascii="Times New Roman" w:hAnsi="Times New Roman" w:cs="Times New Roman"/>
              </w:rPr>
            </w:pPr>
            <w:r w:rsidRPr="008819AF">
              <w:rPr>
                <w:rFonts w:ascii="Times New Roman" w:hAnsi="Times New Roman" w:cs="Times New Roman"/>
              </w:rPr>
              <w:t>P d)</w:t>
            </w:r>
          </w:p>
          <w:p w14:paraId="15132B85" w14:textId="77777777" w:rsidR="00C4623B" w:rsidRPr="008819AF" w:rsidRDefault="00C4623B" w:rsidP="004C1DAF">
            <w:pPr>
              <w:pStyle w:val="BodyText21"/>
              <w:spacing w:before="0" w:line="240" w:lineRule="auto"/>
              <w:jc w:val="center"/>
              <w:rPr>
                <w:rFonts w:ascii="Times New Roman" w:hAnsi="Times New Roman" w:cs="Times New Roman"/>
              </w:rPr>
            </w:pPr>
          </w:p>
          <w:p w14:paraId="15132B86" w14:textId="77777777" w:rsidR="00C4623B" w:rsidRPr="008819AF" w:rsidRDefault="00C4623B" w:rsidP="004C1DAF">
            <w:pPr>
              <w:pStyle w:val="BodyText21"/>
              <w:spacing w:before="0" w:line="240" w:lineRule="auto"/>
              <w:jc w:val="center"/>
              <w:rPr>
                <w:rFonts w:ascii="Times New Roman" w:hAnsi="Times New Roman" w:cs="Times New Roman"/>
              </w:rPr>
            </w:pPr>
          </w:p>
          <w:p w14:paraId="15132B87" w14:textId="77777777" w:rsidR="00C4623B" w:rsidRPr="008819AF" w:rsidRDefault="00C4623B" w:rsidP="004C1DAF">
            <w:pPr>
              <w:pStyle w:val="BodyText21"/>
              <w:spacing w:before="0" w:line="240" w:lineRule="auto"/>
              <w:jc w:val="center"/>
              <w:rPr>
                <w:rFonts w:ascii="Times New Roman" w:hAnsi="Times New Roman" w:cs="Times New Roman"/>
              </w:rPr>
            </w:pPr>
          </w:p>
          <w:p w14:paraId="15132B88" w14:textId="77777777" w:rsidR="00887A90" w:rsidRPr="008819AF" w:rsidRDefault="00887A90" w:rsidP="004C1DAF">
            <w:pPr>
              <w:pStyle w:val="BodyText21"/>
              <w:spacing w:before="0" w:line="240" w:lineRule="auto"/>
              <w:jc w:val="center"/>
              <w:rPr>
                <w:rFonts w:ascii="Times New Roman" w:hAnsi="Times New Roman" w:cs="Times New Roman"/>
              </w:rPr>
            </w:pPr>
          </w:p>
          <w:p w14:paraId="15132B89" w14:textId="77777777" w:rsidR="004C1DAF" w:rsidRPr="008819AF" w:rsidRDefault="004C1DAF" w:rsidP="00C4623B">
            <w:pPr>
              <w:pStyle w:val="BodyText21"/>
              <w:spacing w:before="0" w:line="240" w:lineRule="auto"/>
              <w:ind w:left="0" w:firstLine="0"/>
              <w:rPr>
                <w:rFonts w:ascii="Times New Roman" w:hAnsi="Times New Roman" w:cs="Times New Roman"/>
              </w:rPr>
            </w:pPr>
            <w:r w:rsidRPr="008819AF">
              <w:rPr>
                <w:rFonts w:ascii="Times New Roman" w:hAnsi="Times New Roman" w:cs="Times New Roman"/>
              </w:rPr>
              <w:t>§ 44</w:t>
            </w:r>
          </w:p>
          <w:p w14:paraId="15132B8A"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O 2</w:t>
            </w:r>
          </w:p>
          <w:p w14:paraId="15132B8B"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P c)</w:t>
            </w:r>
          </w:p>
        </w:tc>
        <w:tc>
          <w:tcPr>
            <w:tcW w:w="5664" w:type="dxa"/>
            <w:gridSpan w:val="5"/>
            <w:tcBorders>
              <w:top w:val="single" w:sz="4" w:space="0" w:color="000000"/>
              <w:left w:val="single" w:sz="6" w:space="0" w:color="000000"/>
              <w:bottom w:val="single" w:sz="6" w:space="0" w:color="000000"/>
              <w:right w:val="single" w:sz="6" w:space="0" w:color="000000"/>
            </w:tcBorders>
          </w:tcPr>
          <w:p w14:paraId="15132B8C" w14:textId="77777777" w:rsidR="004C1DAF" w:rsidRPr="008819AF" w:rsidRDefault="004C1DAF" w:rsidP="00E533A3">
            <w:pPr>
              <w:ind w:left="34" w:hanging="34"/>
              <w:rPr>
                <w:lang w:eastAsia="en-US"/>
              </w:rPr>
            </w:pPr>
            <w:r w:rsidRPr="008819AF">
              <w:t xml:space="preserve">Prevádzkovateľ </w:t>
            </w:r>
            <w:r w:rsidRPr="008819AF">
              <w:rPr>
                <w:lang w:eastAsia="en-US"/>
              </w:rPr>
              <w:t>veľkého zdroja a prevádzkovateľ stredného zdroja</w:t>
            </w:r>
            <w:r w:rsidRPr="008819AF">
              <w:t> </w:t>
            </w:r>
            <w:r w:rsidRPr="008819AF">
              <w:rPr>
                <w:lang w:eastAsia="en-US"/>
              </w:rPr>
              <w:t xml:space="preserve">je </w:t>
            </w:r>
            <w:r w:rsidRPr="008819AF">
              <w:t>povinný</w:t>
            </w:r>
            <w:r w:rsidRPr="008819AF">
              <w:rPr>
                <w:lang w:eastAsia="en-US"/>
              </w:rPr>
              <w:t xml:space="preserve"> </w:t>
            </w:r>
          </w:p>
          <w:p w14:paraId="15132B8D" w14:textId="77777777" w:rsidR="004C1DAF" w:rsidRPr="008819AF" w:rsidRDefault="004C1DAF" w:rsidP="006F79BD">
            <w:pPr>
              <w:rPr>
                <w:rFonts w:eastAsia="Arial"/>
                <w:lang w:bidi="cs-CZ"/>
              </w:rPr>
            </w:pPr>
            <w:r w:rsidRPr="008819AF">
              <w:rPr>
                <w:rFonts w:eastAsia="Arial"/>
                <w:lang w:bidi="cs-CZ"/>
              </w:rPr>
              <w:t>b)</w:t>
            </w:r>
            <w:r w:rsidRPr="008819AF">
              <w:t xml:space="preserve"> </w:t>
            </w:r>
            <w:r w:rsidRPr="008819AF">
              <w:rPr>
                <w:rFonts w:eastAsia="Arial"/>
                <w:lang w:bidi="cs-CZ"/>
              </w:rPr>
              <w:t>dodržiavať emisné limity určené v povolení; ak emisné limity nie sú určené, dodržiavať emisné limity ustanovené vykonávacím predpisom podľa § 62 písm. f),</w:t>
            </w:r>
          </w:p>
          <w:p w14:paraId="15132B8E" w14:textId="77777777" w:rsidR="004C1DAF" w:rsidRPr="008819AF" w:rsidRDefault="004C1DAF" w:rsidP="004C1DAF">
            <w:pPr>
              <w:rPr>
                <w:rFonts w:eastAsia="Arial"/>
                <w:lang w:bidi="cs-CZ"/>
              </w:rPr>
            </w:pPr>
            <w:r w:rsidRPr="008819AF">
              <w:rPr>
                <w:rFonts w:eastAsia="Arial"/>
                <w:lang w:bidi="cs-CZ"/>
              </w:rPr>
              <w:t>c) dodržiavať technické požiadavky a podmienky prevádzkovania určené v povolení; ak technické požiadavky a podmienky prevádzkovania nie sú určené, dodržiavať ustanovené technické požiadavky a podmienky prevádzkovania ustanovené vykonávacím predpisom podľa § 62 písm. f),</w:t>
            </w:r>
          </w:p>
          <w:p w14:paraId="15132B8F" w14:textId="77777777" w:rsidR="00097278" w:rsidRPr="008819AF" w:rsidRDefault="00097278" w:rsidP="00C4623B">
            <w:pPr>
              <w:pStyle w:val="Hlavika"/>
              <w:ind w:left="72" w:hanging="1"/>
              <w:rPr>
                <w:rFonts w:ascii="Times New Roman" w:hAnsi="Times New Roman" w:cs="Times New Roman"/>
                <w:lang w:bidi="cs-CZ"/>
              </w:rPr>
            </w:pPr>
          </w:p>
          <w:p w14:paraId="15132B90" w14:textId="77777777" w:rsidR="00C4623B" w:rsidRPr="008819AF" w:rsidRDefault="00097278" w:rsidP="00C4623B">
            <w:pPr>
              <w:pStyle w:val="Hlavika"/>
              <w:ind w:left="72" w:hanging="1"/>
              <w:rPr>
                <w:rFonts w:ascii="Times New Roman" w:hAnsi="Times New Roman" w:cs="Times New Roman"/>
                <w:lang w:bidi="cs-CZ"/>
              </w:rPr>
            </w:pPr>
            <w:r w:rsidRPr="008819AF">
              <w:rPr>
                <w:rFonts w:ascii="Times New Roman" w:hAnsi="Times New Roman" w:cs="Times New Roman"/>
                <w:lang w:bidi="cs-CZ"/>
              </w:rPr>
              <w:t xml:space="preserve"> </w:t>
            </w:r>
            <w:r w:rsidR="00C4623B" w:rsidRPr="008819AF">
              <w:rPr>
                <w:rFonts w:ascii="Times New Roman" w:hAnsi="Times New Roman" w:cs="Times New Roman"/>
                <w:lang w:bidi="cs-CZ"/>
              </w:rPr>
              <w:t>(2)</w:t>
            </w:r>
            <w:r w:rsidR="00C4623B" w:rsidRPr="008819AF">
              <w:rPr>
                <w:rFonts w:ascii="Times New Roman" w:hAnsi="Times New Roman" w:cs="Times New Roman"/>
                <w:lang w:bidi="cs-CZ"/>
              </w:rPr>
              <w:tab/>
              <w:t>Ak menovitá kapacita zariadenia používajúceho organické rozpúšťadlá pre konkrétnu činnosť dosiahne alebo prekročí prahovú spotrebu rozpúšťadiel, ktorá je uvedená v prílohe č. 6 štvrtej časti, a nie je tam ustanovené inak, pre emisie prchavých organických zlúčenín platia</w:t>
            </w:r>
          </w:p>
          <w:p w14:paraId="15132B91" w14:textId="77777777" w:rsidR="00271375" w:rsidRPr="008819AF" w:rsidRDefault="00C4623B" w:rsidP="00C4623B">
            <w:pPr>
              <w:pStyle w:val="Hlavika"/>
              <w:ind w:left="72" w:hanging="1"/>
              <w:rPr>
                <w:rFonts w:ascii="Times New Roman" w:hAnsi="Times New Roman" w:cs="Times New Roman"/>
                <w:lang w:bidi="cs-CZ"/>
              </w:rPr>
            </w:pPr>
            <w:r w:rsidRPr="008819AF">
              <w:rPr>
                <w:rFonts w:ascii="Times New Roman" w:hAnsi="Times New Roman" w:cs="Times New Roman"/>
                <w:lang w:bidi="cs-CZ"/>
              </w:rPr>
              <w:t>a)</w:t>
            </w:r>
            <w:r w:rsidRPr="008819AF">
              <w:rPr>
                <w:rFonts w:ascii="Times New Roman" w:hAnsi="Times New Roman" w:cs="Times New Roman"/>
                <w:lang w:bidi="cs-CZ"/>
              </w:rPr>
              <w:tab/>
              <w:t>emisné limity pre odpadové plyny a emisné limity pre fugitívne emisie alebo emisné limity pre celkové emisie ustanovené v prílohe č. 6 štvrtej časti pre jednotlivé činnosti v závislosti od prahovej spotreby rozpúšťadla alebo</w:t>
            </w:r>
          </w:p>
          <w:p w14:paraId="15132B92" w14:textId="77777777" w:rsidR="004C1DAF" w:rsidRPr="008819AF" w:rsidRDefault="004C1DAF" w:rsidP="004C1DAF">
            <w:pPr>
              <w:pStyle w:val="Nra"/>
              <w:ind w:left="72"/>
              <w:rPr>
                <w:rFonts w:ascii="Times New Roman" w:eastAsia="a*i*l" w:hAnsi="Times New Roman" w:cs="Times New Roman"/>
              </w:rPr>
            </w:pPr>
          </w:p>
          <w:p w14:paraId="15132B93" w14:textId="77777777" w:rsidR="004C1DAF" w:rsidRPr="008819AF" w:rsidRDefault="004C1DAF" w:rsidP="004C1DAF">
            <w:pPr>
              <w:pStyle w:val="Nra"/>
              <w:ind w:left="72"/>
              <w:rPr>
                <w:rFonts w:ascii="Times New Roman" w:eastAsia="a*i*l" w:hAnsi="Times New Roman" w:cs="Times New Roman"/>
              </w:rPr>
            </w:pPr>
            <w:r w:rsidRPr="008819AF">
              <w:rPr>
                <w:rFonts w:ascii="Times New Roman" w:eastAsia="a*i*l" w:hAnsi="Times New Roman" w:cs="Times New Roman"/>
              </w:rPr>
              <w:t>Ministerstvo</w:t>
            </w:r>
          </w:p>
          <w:p w14:paraId="15132B94" w14:textId="77777777" w:rsidR="004C1DAF" w:rsidRPr="008819AF" w:rsidRDefault="004C1DAF" w:rsidP="004C1DAF">
            <w:pPr>
              <w:pStyle w:val="Nra"/>
              <w:ind w:left="72"/>
              <w:rPr>
                <w:rFonts w:ascii="Times New Roman" w:eastAsia="a*i*l" w:hAnsi="Times New Roman" w:cs="Times New Roman"/>
              </w:rPr>
            </w:pPr>
            <w:r w:rsidRPr="008819AF">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15132B95" w14:textId="77777777" w:rsidR="004C1DAF" w:rsidRPr="008819AF" w:rsidRDefault="004C1DAF" w:rsidP="004C1DAF">
            <w:pPr>
              <w:ind w:left="72"/>
              <w:rPr>
                <w:rFonts w:eastAsia="Arial"/>
                <w:lang w:bidi="cs-CZ"/>
              </w:rPr>
            </w:pPr>
          </w:p>
          <w:p w14:paraId="15132B96" w14:textId="77777777" w:rsidR="004C1DAF" w:rsidRPr="008819AF" w:rsidRDefault="004C1DAF" w:rsidP="004C1DAF">
            <w:pPr>
              <w:rPr>
                <w:rFonts w:eastAsia="Arial"/>
                <w:lang w:bidi="cs-CZ"/>
              </w:rPr>
            </w:pPr>
            <w:r w:rsidRPr="008819AF">
              <w:rPr>
                <w:rFonts w:eastAsia="Arial"/>
                <w:lang w:bidi="cs-CZ"/>
              </w:rPr>
              <w:t>Okresný úrad môže v konaní po</w:t>
            </w:r>
            <w:r w:rsidR="00E533A3" w:rsidRPr="008819AF">
              <w:rPr>
                <w:rFonts w:eastAsia="Arial"/>
                <w:lang w:bidi="cs-CZ"/>
              </w:rPr>
              <w:t>dľa odseku 1 písm. a) a d</w:t>
            </w:r>
            <w:r w:rsidRPr="008819AF">
              <w:rPr>
                <w:rFonts w:eastAsia="Arial"/>
                <w:lang w:bidi="cs-CZ"/>
              </w:rPr>
              <w:t>)</w:t>
            </w:r>
          </w:p>
          <w:p w14:paraId="15132B97" w14:textId="77777777" w:rsidR="004C1DAF" w:rsidRPr="008819AF" w:rsidRDefault="004C1DAF" w:rsidP="009C63CF">
            <w:pPr>
              <w:numPr>
                <w:ilvl w:val="0"/>
                <w:numId w:val="39"/>
              </w:numPr>
              <w:rPr>
                <w:rFonts w:eastAsia="Arial"/>
                <w:lang w:bidi="cs-CZ"/>
              </w:rPr>
            </w:pPr>
            <w:r w:rsidRPr="008819AF">
              <w:rPr>
                <w:rFonts w:eastAsia="Arial"/>
                <w:lang w:bidi="cs-CZ"/>
              </w:rPr>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tc>
        <w:tc>
          <w:tcPr>
            <w:tcW w:w="429" w:type="dxa"/>
            <w:tcBorders>
              <w:top w:val="single" w:sz="4" w:space="0" w:color="000000"/>
              <w:left w:val="single" w:sz="6" w:space="0" w:color="000000"/>
              <w:bottom w:val="single" w:sz="6" w:space="0" w:color="000000"/>
              <w:right w:val="single" w:sz="6" w:space="0" w:color="000000"/>
            </w:tcBorders>
          </w:tcPr>
          <w:p w14:paraId="15132B98" w14:textId="77777777" w:rsidR="004C1DAF" w:rsidRPr="008819AF" w:rsidRDefault="004C1DAF" w:rsidP="004C1DAF">
            <w:pPr>
              <w:ind w:left="215" w:hanging="215"/>
              <w:rPr>
                <w:rFonts w:eastAsia="Arial"/>
                <w:lang w:bidi="cs-CZ"/>
              </w:rPr>
            </w:pPr>
            <w:r w:rsidRPr="008819AF">
              <w:rPr>
                <w:rFonts w:eastAsia="Arial"/>
                <w:lang w:bidi="cs-CZ"/>
              </w:rPr>
              <w:t>Ú</w:t>
            </w:r>
          </w:p>
          <w:p w14:paraId="15132B99" w14:textId="77777777" w:rsidR="004C1DAF" w:rsidRPr="008819AF" w:rsidRDefault="004C1DAF" w:rsidP="004C1DAF">
            <w:pPr>
              <w:ind w:left="215" w:hanging="215"/>
              <w:rPr>
                <w:rFonts w:eastAsia="Arial"/>
                <w:lang w:bidi="cs-CZ"/>
              </w:rPr>
            </w:pPr>
          </w:p>
          <w:p w14:paraId="15132B9A" w14:textId="77777777" w:rsidR="004C1DAF" w:rsidRPr="008819AF" w:rsidRDefault="004C1DAF" w:rsidP="004C1DAF">
            <w:pPr>
              <w:ind w:left="215" w:hanging="215"/>
              <w:rPr>
                <w:rFonts w:eastAsia="Arial"/>
                <w:lang w:bidi="cs-CZ"/>
              </w:rPr>
            </w:pPr>
          </w:p>
          <w:p w14:paraId="15132B9B" w14:textId="77777777" w:rsidR="004C1DAF" w:rsidRPr="008819AF" w:rsidRDefault="004C1DAF" w:rsidP="004C1DAF">
            <w:pPr>
              <w:ind w:left="215" w:hanging="215"/>
              <w:rPr>
                <w:rFonts w:eastAsia="Arial"/>
                <w:lang w:bidi="cs-CZ"/>
              </w:rPr>
            </w:pPr>
          </w:p>
          <w:p w14:paraId="15132B9C" w14:textId="77777777" w:rsidR="004C1DAF" w:rsidRPr="008819AF" w:rsidRDefault="004C1DAF" w:rsidP="004C1DAF">
            <w:pPr>
              <w:ind w:left="215" w:hanging="215"/>
              <w:rPr>
                <w:rFonts w:eastAsia="Arial"/>
                <w:lang w:bidi="cs-CZ"/>
              </w:rPr>
            </w:pPr>
          </w:p>
          <w:p w14:paraId="15132B9D" w14:textId="77777777" w:rsidR="004C1DAF" w:rsidRPr="008819AF" w:rsidRDefault="004C1DAF" w:rsidP="004C1DAF">
            <w:pPr>
              <w:ind w:left="215" w:hanging="215"/>
              <w:rPr>
                <w:rFonts w:eastAsia="Arial"/>
                <w:lang w:bidi="cs-CZ"/>
              </w:rPr>
            </w:pPr>
          </w:p>
          <w:p w14:paraId="15132B9E" w14:textId="77777777" w:rsidR="004C1DAF" w:rsidRPr="008819AF" w:rsidRDefault="004C1DAF" w:rsidP="004C1DAF">
            <w:pPr>
              <w:ind w:left="215" w:hanging="215"/>
              <w:rPr>
                <w:rFonts w:eastAsia="Arial"/>
                <w:lang w:bidi="cs-CZ"/>
              </w:rPr>
            </w:pPr>
          </w:p>
          <w:p w14:paraId="15132B9F" w14:textId="77777777" w:rsidR="004C1DAF" w:rsidRPr="008819AF" w:rsidRDefault="004C1DAF" w:rsidP="004C1DAF">
            <w:pPr>
              <w:ind w:left="215" w:hanging="215"/>
              <w:rPr>
                <w:rFonts w:eastAsia="Arial"/>
                <w:lang w:bidi="cs-CZ"/>
              </w:rPr>
            </w:pPr>
          </w:p>
          <w:p w14:paraId="15132BA0" w14:textId="77777777" w:rsidR="004C1DAF" w:rsidRPr="008819AF" w:rsidRDefault="004C1DAF" w:rsidP="004C1DAF">
            <w:pPr>
              <w:ind w:left="215" w:hanging="215"/>
              <w:rPr>
                <w:rFonts w:eastAsia="Arial"/>
                <w:lang w:bidi="cs-CZ"/>
              </w:rPr>
            </w:pPr>
          </w:p>
          <w:p w14:paraId="15132BA1" w14:textId="77777777" w:rsidR="004C1DAF" w:rsidRPr="008819AF" w:rsidRDefault="004C1DAF" w:rsidP="004C1DAF">
            <w:pPr>
              <w:ind w:left="215" w:hanging="215"/>
              <w:rPr>
                <w:rFonts w:eastAsia="Arial"/>
                <w:lang w:bidi="cs-CZ"/>
              </w:rPr>
            </w:pPr>
          </w:p>
          <w:p w14:paraId="15132BA2" w14:textId="77777777" w:rsidR="006F79BD" w:rsidRPr="008819AF" w:rsidRDefault="006F79BD" w:rsidP="004C1DAF">
            <w:pPr>
              <w:ind w:left="215" w:hanging="215"/>
              <w:rPr>
                <w:rFonts w:eastAsia="Arial"/>
                <w:lang w:bidi="cs-CZ"/>
              </w:rPr>
            </w:pPr>
          </w:p>
          <w:p w14:paraId="15132BA3" w14:textId="77777777" w:rsidR="004C1DAF" w:rsidRPr="008819AF" w:rsidRDefault="00C4623B" w:rsidP="004C1DAF">
            <w:pPr>
              <w:ind w:left="215" w:hanging="215"/>
              <w:rPr>
                <w:rFonts w:eastAsia="Arial"/>
                <w:lang w:bidi="cs-CZ"/>
              </w:rPr>
            </w:pPr>
            <w:r w:rsidRPr="008819AF">
              <w:rPr>
                <w:rFonts w:eastAsia="Arial"/>
                <w:lang w:bidi="cs-CZ"/>
              </w:rPr>
              <w:t>Ú</w:t>
            </w:r>
          </w:p>
          <w:p w14:paraId="15132BA4" w14:textId="77777777" w:rsidR="004C1DAF" w:rsidRPr="008819AF" w:rsidRDefault="004C1DAF" w:rsidP="004C1DAF">
            <w:pPr>
              <w:ind w:left="215" w:hanging="215"/>
              <w:rPr>
                <w:rFonts w:eastAsia="Arial"/>
                <w:lang w:bidi="cs-CZ"/>
              </w:rPr>
            </w:pPr>
          </w:p>
          <w:p w14:paraId="15132BA5" w14:textId="77777777" w:rsidR="004C1DAF" w:rsidRPr="008819AF" w:rsidRDefault="004C1DAF" w:rsidP="004C1DAF">
            <w:pPr>
              <w:ind w:left="215" w:hanging="215"/>
              <w:rPr>
                <w:rFonts w:eastAsia="Arial"/>
                <w:lang w:bidi="cs-CZ"/>
              </w:rPr>
            </w:pPr>
          </w:p>
          <w:p w14:paraId="15132BA6" w14:textId="77777777" w:rsidR="004C1DAF" w:rsidRPr="008819AF" w:rsidRDefault="004C1DAF" w:rsidP="004C1DAF">
            <w:pPr>
              <w:ind w:left="215" w:hanging="215"/>
              <w:rPr>
                <w:rFonts w:eastAsia="Arial"/>
                <w:lang w:bidi="cs-CZ"/>
              </w:rPr>
            </w:pPr>
          </w:p>
          <w:p w14:paraId="15132BA7" w14:textId="77777777" w:rsidR="004C1DAF" w:rsidRPr="008819AF" w:rsidRDefault="004C1DAF" w:rsidP="004C1DAF">
            <w:pPr>
              <w:ind w:left="215" w:hanging="215"/>
              <w:rPr>
                <w:rFonts w:eastAsia="Arial"/>
                <w:lang w:bidi="cs-CZ"/>
              </w:rPr>
            </w:pPr>
          </w:p>
          <w:p w14:paraId="15132BA8" w14:textId="77777777" w:rsidR="004C1DAF" w:rsidRPr="008819AF" w:rsidRDefault="004C1DAF" w:rsidP="004C1DAF">
            <w:pPr>
              <w:ind w:left="215" w:hanging="215"/>
              <w:rPr>
                <w:rFonts w:eastAsia="Arial"/>
                <w:lang w:bidi="cs-CZ"/>
              </w:rPr>
            </w:pPr>
          </w:p>
          <w:p w14:paraId="15132BA9" w14:textId="77777777" w:rsidR="00C4623B" w:rsidRPr="008819AF" w:rsidRDefault="00C4623B" w:rsidP="004C1DAF">
            <w:pPr>
              <w:ind w:left="215" w:hanging="215"/>
              <w:rPr>
                <w:rFonts w:eastAsia="Arial"/>
                <w:lang w:bidi="cs-CZ"/>
              </w:rPr>
            </w:pPr>
          </w:p>
          <w:p w14:paraId="15132BAA" w14:textId="77777777" w:rsidR="00C4623B" w:rsidRPr="008819AF" w:rsidRDefault="00C4623B" w:rsidP="004C1DAF">
            <w:pPr>
              <w:ind w:left="215" w:hanging="215"/>
              <w:rPr>
                <w:rFonts w:eastAsia="Arial"/>
                <w:lang w:bidi="cs-CZ"/>
              </w:rPr>
            </w:pPr>
          </w:p>
          <w:p w14:paraId="15132BAB" w14:textId="77777777" w:rsidR="00C4623B" w:rsidRPr="008819AF" w:rsidRDefault="00C4623B" w:rsidP="004C1DAF">
            <w:pPr>
              <w:ind w:left="215" w:hanging="215"/>
              <w:rPr>
                <w:rFonts w:eastAsia="Arial"/>
                <w:lang w:bidi="cs-CZ"/>
              </w:rPr>
            </w:pPr>
          </w:p>
          <w:p w14:paraId="15132BAC" w14:textId="77777777" w:rsidR="00C4623B" w:rsidRPr="008819AF" w:rsidRDefault="00C4623B" w:rsidP="004C1DAF">
            <w:pPr>
              <w:ind w:left="215" w:hanging="215"/>
              <w:rPr>
                <w:rFonts w:eastAsia="Arial"/>
                <w:lang w:bidi="cs-CZ"/>
              </w:rPr>
            </w:pPr>
          </w:p>
          <w:p w14:paraId="15132BAD" w14:textId="77777777" w:rsidR="004C1DAF" w:rsidRPr="008819AF" w:rsidRDefault="004C1DAF" w:rsidP="004C1DAF">
            <w:pPr>
              <w:ind w:left="215" w:hanging="215"/>
              <w:rPr>
                <w:rFonts w:eastAsia="Arial"/>
                <w:lang w:bidi="cs-CZ"/>
              </w:rPr>
            </w:pPr>
            <w:r w:rsidRPr="008819AF">
              <w:rPr>
                <w:rFonts w:eastAsia="Arial"/>
                <w:lang w:bidi="cs-CZ"/>
              </w:rPr>
              <w:t>Ú</w:t>
            </w:r>
          </w:p>
          <w:p w14:paraId="15132BAE" w14:textId="77777777" w:rsidR="004C1DAF" w:rsidRPr="008819AF" w:rsidRDefault="004C1DAF" w:rsidP="004C1DAF">
            <w:pPr>
              <w:ind w:left="215" w:hanging="215"/>
              <w:rPr>
                <w:rFonts w:eastAsia="Arial"/>
                <w:lang w:bidi="cs-CZ"/>
              </w:rPr>
            </w:pPr>
          </w:p>
          <w:p w14:paraId="15132BAF" w14:textId="77777777" w:rsidR="004C1DAF" w:rsidRPr="008819AF" w:rsidRDefault="004C1DAF" w:rsidP="004C1DAF">
            <w:pPr>
              <w:ind w:left="215" w:hanging="215"/>
              <w:rPr>
                <w:rFonts w:eastAsia="Arial"/>
                <w:lang w:bidi="cs-CZ"/>
              </w:rPr>
            </w:pPr>
          </w:p>
          <w:p w14:paraId="15132BB0" w14:textId="77777777" w:rsidR="004C1DAF" w:rsidRPr="008819AF" w:rsidRDefault="004C1DAF" w:rsidP="004C1DAF">
            <w:pPr>
              <w:ind w:left="215" w:hanging="215"/>
              <w:rPr>
                <w:rFonts w:eastAsia="Arial"/>
                <w:lang w:bidi="cs-CZ"/>
              </w:rPr>
            </w:pPr>
          </w:p>
          <w:p w14:paraId="15132BB1" w14:textId="77777777" w:rsidR="004C1DAF" w:rsidRPr="008819AF" w:rsidRDefault="004C1DAF" w:rsidP="004C1DAF">
            <w:pPr>
              <w:ind w:left="215" w:hanging="215"/>
              <w:rPr>
                <w:rFonts w:eastAsia="Arial"/>
                <w:lang w:bidi="cs-CZ"/>
              </w:rPr>
            </w:pPr>
          </w:p>
          <w:p w14:paraId="15132BB2" w14:textId="77777777" w:rsidR="00C4623B" w:rsidRPr="008819AF" w:rsidRDefault="00C4623B" w:rsidP="004C1DAF">
            <w:pPr>
              <w:ind w:left="215" w:hanging="215"/>
              <w:rPr>
                <w:rFonts w:eastAsia="Arial"/>
                <w:lang w:bidi="cs-CZ"/>
              </w:rPr>
            </w:pPr>
          </w:p>
          <w:p w14:paraId="15132BB3" w14:textId="77777777" w:rsidR="004C1DAF" w:rsidRPr="008819AF" w:rsidRDefault="004C1DAF" w:rsidP="004C1DAF">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6" w:space="0" w:color="000000"/>
              <w:right w:val="single" w:sz="6" w:space="0" w:color="000000"/>
            </w:tcBorders>
          </w:tcPr>
          <w:p w14:paraId="15132BB4" w14:textId="77777777" w:rsidR="004C1DAF" w:rsidRPr="008819AF" w:rsidRDefault="004C1DAF" w:rsidP="004C1DAF">
            <w:pPr>
              <w:ind w:left="215" w:hanging="215"/>
              <w:rPr>
                <w:rFonts w:eastAsia="Arial"/>
              </w:rPr>
            </w:pPr>
          </w:p>
        </w:tc>
      </w:tr>
      <w:tr w:rsidR="004C1DAF" w:rsidRPr="008819AF" w14:paraId="15132BC0"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BB6" w14:textId="77777777" w:rsidR="004C1DAF" w:rsidRPr="008819AF" w:rsidRDefault="004C1DAF"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BB7" w14:textId="77777777" w:rsidR="004C1DAF" w:rsidRPr="008819AF" w:rsidRDefault="004C1DAF" w:rsidP="004C1DAF">
            <w:pPr>
              <w:ind w:left="215" w:hanging="215"/>
              <w:rPr>
                <w:rFonts w:eastAsia="Arial"/>
              </w:rPr>
            </w:pPr>
            <w:r w:rsidRPr="008819AF">
              <w:rPr>
                <w:rFonts w:eastAsia="Arial"/>
              </w:rPr>
              <w:t xml:space="preserve">2. Odchylne od odseku 1 písm. a) v prípade, že prevádzkovateľ preukáže príslušnému orgánu, že pre konkrétne zariadenie nie je limitná hodnota fugitívnych emisií dosiahnuteľná z technického a ekonomického hľadiska, môže príslušný orgán povoliť, aby emisie prekročili uvedenú emisný limit za predpokladu, že sa neočakávajú významné riziká pre </w:t>
            </w:r>
            <w:r w:rsidRPr="008819AF">
              <w:rPr>
                <w:rFonts w:eastAsia="Arial"/>
              </w:rPr>
              <w:lastRenderedPageBreak/>
              <w:t>ľudské zdravie alebo životné prostredie a že prevádzkovateľ preukáže príslušnému orgánu, že používa najlepšie dostupné techniky.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BB8" w14:textId="77777777" w:rsidR="004C1DAF" w:rsidRPr="008819AF" w:rsidRDefault="004C1DAF"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BB9" w14:textId="77777777" w:rsidR="004C1DAF" w:rsidRPr="008819AF" w:rsidRDefault="004C1DAF" w:rsidP="004C1DAF">
            <w:pPr>
              <w:jc w:val="center"/>
              <w:rPr>
                <w:rFonts w:eastAsia="Arial"/>
                <w:lang w:bidi="cs-CZ"/>
              </w:rPr>
            </w:pPr>
            <w:r w:rsidRPr="008819AF">
              <w:rPr>
                <w:rFonts w:eastAsia="Arial"/>
                <w:lang w:bidi="cs-CZ"/>
              </w:rPr>
              <w:t>NV2</w:t>
            </w:r>
          </w:p>
          <w:p w14:paraId="15132BBA" w14:textId="77777777" w:rsidR="004C1DAF" w:rsidRPr="008819AF" w:rsidRDefault="004C1DAF"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BBB" w14:textId="77777777" w:rsidR="004C1DAF" w:rsidRPr="008819AF" w:rsidRDefault="004C1764" w:rsidP="004C1DAF">
            <w:pPr>
              <w:pStyle w:val="BodyText21"/>
              <w:spacing w:before="0"/>
              <w:jc w:val="center"/>
              <w:rPr>
                <w:rFonts w:ascii="Times New Roman" w:hAnsi="Times New Roman" w:cs="Times New Roman"/>
              </w:rPr>
            </w:pPr>
            <w:r w:rsidRPr="008819AF">
              <w:rPr>
                <w:rFonts w:ascii="Times New Roman" w:hAnsi="Times New Roman" w:cs="Times New Roman"/>
              </w:rPr>
              <w:t>§ 27</w:t>
            </w:r>
          </w:p>
          <w:p w14:paraId="15132BBC" w14:textId="77777777" w:rsidR="004C1764" w:rsidRPr="008819AF" w:rsidRDefault="004C1764" w:rsidP="004C1DAF">
            <w:pPr>
              <w:pStyle w:val="BodyText21"/>
              <w:spacing w:before="0"/>
              <w:jc w:val="center"/>
              <w:rPr>
                <w:rFonts w:ascii="Times New Roman" w:hAnsi="Times New Roman" w:cs="Times New Roman"/>
              </w:rPr>
            </w:pPr>
            <w:r w:rsidRPr="008819AF">
              <w:rPr>
                <w:rFonts w:ascii="Times New Roman" w:hAnsi="Times New Roman" w:cs="Times New Roman"/>
              </w:rPr>
              <w:t>O6</w:t>
            </w:r>
          </w:p>
        </w:tc>
        <w:tc>
          <w:tcPr>
            <w:tcW w:w="5664" w:type="dxa"/>
            <w:gridSpan w:val="5"/>
            <w:tcBorders>
              <w:top w:val="single" w:sz="4" w:space="0" w:color="000000"/>
              <w:left w:val="single" w:sz="6" w:space="0" w:color="000000"/>
              <w:bottom w:val="single" w:sz="6" w:space="0" w:color="000000"/>
              <w:right w:val="single" w:sz="6" w:space="0" w:color="000000"/>
            </w:tcBorders>
          </w:tcPr>
          <w:p w14:paraId="15132BBD" w14:textId="77777777" w:rsidR="004C1764" w:rsidRPr="008819AF" w:rsidRDefault="00097278" w:rsidP="004C1DAF">
            <w:pPr>
              <w:pStyle w:val="Hlavika"/>
              <w:ind w:left="72" w:hanging="1"/>
              <w:rPr>
                <w:rFonts w:ascii="Times New Roman" w:hAnsi="Times New Roman" w:cs="Times New Roman"/>
                <w:lang w:bidi="cs-CZ"/>
              </w:rPr>
            </w:pPr>
            <w:r w:rsidRPr="008819AF">
              <w:rPr>
                <w:rFonts w:ascii="Times New Roman" w:hAnsi="Times New Roman" w:cs="Times New Roman"/>
                <w:lang w:bidi="cs-CZ"/>
              </w:rPr>
              <w:t xml:space="preserve"> </w:t>
            </w:r>
            <w:r w:rsidR="004C1764" w:rsidRPr="008819AF">
              <w:rPr>
                <w:rFonts w:ascii="Times New Roman" w:hAnsi="Times New Roman" w:cs="Times New Roman"/>
                <w:lang w:bidi="cs-CZ"/>
              </w:rPr>
              <w:t xml:space="preserve">(6)Odchylne od odseku 2 písm. a) možno povoliť výnimku z uplatňovania emisných limitov pre fugitívne emisie, ak ich nemožno dosiahnuť s ohľadom na technické a ekonomické možnosti a preukáže sa, že pri danom zariadení bola použitá najlepšia dostupná technika a nevznikne významné riziko ohrozenia </w:t>
            </w:r>
            <w:r w:rsidR="004C1764" w:rsidRPr="008819AF">
              <w:rPr>
                <w:rFonts w:ascii="Times New Roman" w:hAnsi="Times New Roman" w:cs="Times New Roman"/>
                <w:lang w:bidi="cs-CZ"/>
              </w:rPr>
              <w:lastRenderedPageBreak/>
              <w:t>zdravia ľudí a životného prostredia.</w:t>
            </w:r>
          </w:p>
        </w:tc>
        <w:tc>
          <w:tcPr>
            <w:tcW w:w="429" w:type="dxa"/>
            <w:tcBorders>
              <w:top w:val="single" w:sz="4" w:space="0" w:color="000000"/>
              <w:left w:val="single" w:sz="6" w:space="0" w:color="000000"/>
              <w:bottom w:val="single" w:sz="6" w:space="0" w:color="000000"/>
              <w:right w:val="single" w:sz="6" w:space="0" w:color="000000"/>
            </w:tcBorders>
          </w:tcPr>
          <w:p w14:paraId="15132BBE" w14:textId="77777777" w:rsidR="004C1DAF" w:rsidRPr="008819AF" w:rsidRDefault="004C1DAF"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15132BBF" w14:textId="77777777" w:rsidR="004C1DAF" w:rsidRPr="008819AF" w:rsidRDefault="004C1DAF" w:rsidP="004C1DAF">
            <w:pPr>
              <w:ind w:left="215" w:hanging="215"/>
              <w:rPr>
                <w:rFonts w:eastAsia="Arial"/>
              </w:rPr>
            </w:pPr>
          </w:p>
        </w:tc>
      </w:tr>
      <w:tr w:rsidR="004C1DAF" w:rsidRPr="008819AF" w14:paraId="15132BCB"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BC1" w14:textId="77777777" w:rsidR="004C1DAF" w:rsidRPr="008819AF" w:rsidRDefault="004C1DAF"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BC2" w14:textId="77777777" w:rsidR="004C1DAF" w:rsidRPr="008819AF" w:rsidRDefault="004C1DAF" w:rsidP="004C1DAF">
            <w:pPr>
              <w:rPr>
                <w:rFonts w:eastAsia="Arial"/>
              </w:rPr>
            </w:pPr>
            <w:r w:rsidRPr="008819AF">
              <w:rPr>
                <w:rFonts w:eastAsia="Arial"/>
              </w:rPr>
              <w:t>3.</w:t>
            </w:r>
            <w:r w:rsidRPr="008819AF">
              <w:t xml:space="preserve"> </w:t>
            </w:r>
            <w:r w:rsidRPr="008819AF">
              <w:rPr>
                <w:rFonts w:eastAsia="Arial"/>
              </w:rPr>
              <w:t>Odchylne od odseku 1 v prípade činností povrchovej úpravy uvedených v položke 8 tabuľky v časti 2 prílohy VII, ktoré nemožno vykonávať za riadených podmienok, môže príslušný orgán povoliť, aby emisie zariadenia nedodržiavali požiadavky stanovené v uvedenom odseku, ak prevádzkovateľ preukáže príslušnému orgánu, že takéto dodržanie nie je možné z technického a ekonomického hľadiska a že používa najlepšie dostupné techniky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BC3" w14:textId="77777777" w:rsidR="004C1DAF" w:rsidRPr="008819AF" w:rsidRDefault="004C1DAF"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BC4" w14:textId="77777777" w:rsidR="004C1DAF" w:rsidRPr="008819AF" w:rsidRDefault="004C1DAF" w:rsidP="004C1DAF">
            <w:pPr>
              <w:jc w:val="center"/>
              <w:rPr>
                <w:rFonts w:eastAsia="Arial"/>
                <w:lang w:bidi="cs-CZ"/>
              </w:rPr>
            </w:pPr>
            <w:r w:rsidRPr="008819AF">
              <w:rPr>
                <w:rFonts w:eastAsia="Arial"/>
                <w:lang w:bidi="cs-CZ"/>
              </w:rPr>
              <w:t>NV2</w:t>
            </w:r>
          </w:p>
          <w:p w14:paraId="15132BC5" w14:textId="77777777" w:rsidR="004C1DAF" w:rsidRPr="008819AF" w:rsidRDefault="004C1DAF"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BC6" w14:textId="77777777" w:rsidR="0003036F" w:rsidRPr="008819AF" w:rsidRDefault="0003036F" w:rsidP="0003036F">
            <w:pPr>
              <w:pStyle w:val="BodyText21"/>
              <w:spacing w:before="0"/>
              <w:jc w:val="center"/>
              <w:rPr>
                <w:rFonts w:ascii="Times New Roman" w:hAnsi="Times New Roman" w:cs="Times New Roman"/>
              </w:rPr>
            </w:pPr>
            <w:r w:rsidRPr="008819AF">
              <w:rPr>
                <w:rFonts w:ascii="Times New Roman" w:hAnsi="Times New Roman" w:cs="Times New Roman"/>
              </w:rPr>
              <w:t>§ 27</w:t>
            </w:r>
          </w:p>
          <w:p w14:paraId="15132BC7" w14:textId="77777777" w:rsidR="004C1DAF" w:rsidRPr="008819AF" w:rsidRDefault="0003036F" w:rsidP="0003036F">
            <w:pPr>
              <w:pStyle w:val="BodyText21"/>
              <w:spacing w:before="0"/>
              <w:jc w:val="center"/>
              <w:rPr>
                <w:rFonts w:ascii="Times New Roman" w:hAnsi="Times New Roman" w:cs="Times New Roman"/>
              </w:rPr>
            </w:pPr>
            <w:r w:rsidRPr="008819AF">
              <w:rPr>
                <w:rFonts w:ascii="Times New Roman" w:hAnsi="Times New Roman" w:cs="Times New Roman"/>
              </w:rPr>
              <w:t>O7</w:t>
            </w:r>
          </w:p>
        </w:tc>
        <w:tc>
          <w:tcPr>
            <w:tcW w:w="5664" w:type="dxa"/>
            <w:gridSpan w:val="5"/>
            <w:tcBorders>
              <w:top w:val="single" w:sz="4" w:space="0" w:color="000000"/>
              <w:left w:val="single" w:sz="6" w:space="0" w:color="000000"/>
              <w:bottom w:val="single" w:sz="6" w:space="0" w:color="000000"/>
              <w:right w:val="single" w:sz="6" w:space="0" w:color="000000"/>
            </w:tcBorders>
          </w:tcPr>
          <w:p w14:paraId="15132BC8" w14:textId="77777777" w:rsidR="0003036F" w:rsidRPr="008819AF" w:rsidRDefault="00097278" w:rsidP="004C1DAF">
            <w:pPr>
              <w:pStyle w:val="Hlavika"/>
              <w:ind w:left="72" w:hanging="1"/>
              <w:rPr>
                <w:rFonts w:ascii="Times New Roman" w:hAnsi="Times New Roman" w:cs="Times New Roman"/>
                <w:lang w:bidi="cs-CZ"/>
              </w:rPr>
            </w:pPr>
            <w:r w:rsidRPr="008819AF">
              <w:rPr>
                <w:rFonts w:ascii="Times New Roman" w:hAnsi="Times New Roman" w:cs="Times New Roman"/>
                <w:lang w:bidi="cs-CZ"/>
              </w:rPr>
              <w:t xml:space="preserve"> </w:t>
            </w:r>
            <w:r w:rsidR="0003036F" w:rsidRPr="008819AF">
              <w:rPr>
                <w:rFonts w:ascii="Times New Roman" w:hAnsi="Times New Roman" w:cs="Times New Roman"/>
                <w:lang w:bidi="cs-CZ"/>
              </w:rPr>
              <w:t>(</w:t>
            </w:r>
            <w:r w:rsidRPr="008819AF">
              <w:rPr>
                <w:rFonts w:ascii="Times New Roman" w:hAnsi="Times New Roman" w:cs="Times New Roman"/>
                <w:lang w:bidi="cs-CZ"/>
              </w:rPr>
              <w:t>7)</w:t>
            </w:r>
            <w:r w:rsidR="0003036F" w:rsidRPr="008819AF">
              <w:rPr>
                <w:rFonts w:ascii="Times New Roman" w:hAnsi="Times New Roman" w:cs="Times New Roman"/>
                <w:lang w:bidi="cs-CZ"/>
              </w:rPr>
              <w:t>Pre činnosti, ktoré nemožno vykonávať za riadených podmienok, možno povoliť výnimku z požiadaviek odseku 2 písm. a) a b), ak je takáto možnosť uvedená v prílohe č. 6 štvrtej časti bode 4 s ohľadom na technické a ekonomické možnosti a preukáže sa, že bola použitá najlepšia dostupná technika a požadované zníženie emisií nemožno dosiahnuť ani plnením redukčného plánu.</w:t>
            </w:r>
          </w:p>
        </w:tc>
        <w:tc>
          <w:tcPr>
            <w:tcW w:w="429" w:type="dxa"/>
            <w:tcBorders>
              <w:top w:val="single" w:sz="4" w:space="0" w:color="000000"/>
              <w:left w:val="single" w:sz="6" w:space="0" w:color="000000"/>
              <w:bottom w:val="single" w:sz="6" w:space="0" w:color="000000"/>
              <w:right w:val="single" w:sz="6" w:space="0" w:color="000000"/>
            </w:tcBorders>
          </w:tcPr>
          <w:p w14:paraId="15132BC9" w14:textId="77777777" w:rsidR="004C1DAF" w:rsidRPr="008819AF" w:rsidRDefault="004C1DAF"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15132BCA" w14:textId="77777777" w:rsidR="004C1DAF" w:rsidRPr="008819AF" w:rsidRDefault="004C1DAF" w:rsidP="004C1DAF">
            <w:pPr>
              <w:ind w:left="215" w:hanging="215"/>
              <w:rPr>
                <w:rFonts w:eastAsia="Arial"/>
              </w:rPr>
            </w:pPr>
          </w:p>
        </w:tc>
      </w:tr>
      <w:tr w:rsidR="004C1DAF" w:rsidRPr="008819AF" w14:paraId="15132BDD"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BCC" w14:textId="77777777" w:rsidR="004C1DAF" w:rsidRPr="008819AF" w:rsidRDefault="004C1DAF"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BCD" w14:textId="77777777" w:rsidR="004C1DAF" w:rsidRPr="008819AF" w:rsidRDefault="004C1DAF" w:rsidP="004C1DAF">
            <w:pPr>
              <w:ind w:left="215" w:hanging="215"/>
              <w:rPr>
                <w:rFonts w:eastAsia="Arial"/>
              </w:rPr>
            </w:pPr>
            <w:r w:rsidRPr="008819AF">
              <w:rPr>
                <w:rFonts w:eastAsia="Arial"/>
              </w:rPr>
              <w:t>4. Členské štáty oznámia Komisii výnimky uvedené v odsekoch 2 a 3 tohto článku v súlade s článkom 72 ods. 2</w:t>
            </w:r>
          </w:p>
          <w:p w14:paraId="15132BCE" w14:textId="77777777" w:rsidR="004C1DAF" w:rsidRPr="008819AF" w:rsidRDefault="004C1DAF" w:rsidP="004C1DAF">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BCF" w14:textId="77777777" w:rsidR="004C1DAF" w:rsidRPr="008819AF" w:rsidRDefault="004C1DAF" w:rsidP="004C1DAF">
            <w:pPr>
              <w:ind w:left="215" w:hanging="215"/>
              <w:jc w:val="center"/>
              <w:rPr>
                <w:rFonts w:eastAsia="Arial"/>
                <w:lang w:bidi="cs-CZ"/>
              </w:rPr>
            </w:pPr>
            <w:r w:rsidRPr="008819AF">
              <w:rPr>
                <w:rFonts w:eastAsia="Arial"/>
                <w:lang w:bidi="cs-CZ"/>
              </w:rPr>
              <w:t>N</w:t>
            </w:r>
          </w:p>
          <w:p w14:paraId="15132BD0" w14:textId="77777777" w:rsidR="004C1DAF" w:rsidRPr="008819AF" w:rsidRDefault="004C1DAF" w:rsidP="004C1DAF">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BD1" w14:textId="77777777" w:rsidR="004C1DAF" w:rsidRPr="008819AF" w:rsidRDefault="004C1DAF" w:rsidP="004C1DAF">
            <w:pPr>
              <w:jc w:val="center"/>
              <w:rPr>
                <w:rFonts w:eastAsia="Arial"/>
              </w:rPr>
            </w:pPr>
            <w:r w:rsidRPr="008819AF">
              <w:rPr>
                <w:rFonts w:eastAsia="Arial"/>
                <w:lang w:bidi="cs-CZ"/>
              </w:rPr>
              <w:t>NZ</w:t>
            </w:r>
          </w:p>
          <w:p w14:paraId="15132BD2" w14:textId="77777777" w:rsidR="004C1DAF" w:rsidRPr="008819AF" w:rsidRDefault="004C1DAF"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BD3"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 40</w:t>
            </w:r>
          </w:p>
          <w:p w14:paraId="15132BD4" w14:textId="77777777" w:rsidR="004C1DAF" w:rsidRPr="008819AF" w:rsidRDefault="00191755" w:rsidP="00887A90">
            <w:pPr>
              <w:pStyle w:val="BodyText21"/>
              <w:spacing w:before="0" w:line="240" w:lineRule="auto"/>
              <w:jc w:val="center"/>
              <w:rPr>
                <w:rFonts w:ascii="Times New Roman" w:hAnsi="Times New Roman" w:cs="Times New Roman"/>
              </w:rPr>
            </w:pPr>
            <w:r w:rsidRPr="008819AF">
              <w:rPr>
                <w:rFonts w:ascii="Times New Roman" w:hAnsi="Times New Roman" w:cs="Times New Roman"/>
              </w:rPr>
              <w:t>P d)</w:t>
            </w:r>
          </w:p>
          <w:p w14:paraId="15132BD5" w14:textId="77777777" w:rsidR="004C1DAF" w:rsidRPr="008819AF" w:rsidRDefault="004C1DAF" w:rsidP="004C1DAF">
            <w:pPr>
              <w:pStyle w:val="BodyText21"/>
              <w:spacing w:before="0" w:line="240" w:lineRule="auto"/>
              <w:ind w:left="0" w:right="-7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BD6" w14:textId="77777777" w:rsidR="004C1DAF" w:rsidRPr="008819AF" w:rsidRDefault="004C1DAF" w:rsidP="004C1DAF">
            <w:pPr>
              <w:pStyle w:val="Nra"/>
              <w:ind w:left="72"/>
              <w:rPr>
                <w:rFonts w:ascii="Times New Roman" w:eastAsia="a*i*l" w:hAnsi="Times New Roman" w:cs="Times New Roman"/>
              </w:rPr>
            </w:pPr>
            <w:r w:rsidRPr="008819AF">
              <w:rPr>
                <w:rFonts w:ascii="Times New Roman" w:eastAsia="a*i*l" w:hAnsi="Times New Roman" w:cs="Times New Roman"/>
              </w:rPr>
              <w:t>Ministerstvo</w:t>
            </w:r>
          </w:p>
          <w:p w14:paraId="15132BD7" w14:textId="77777777" w:rsidR="004C1DAF" w:rsidRPr="008819AF" w:rsidRDefault="004C1DAF" w:rsidP="004C1DAF">
            <w:pPr>
              <w:pStyle w:val="Nra"/>
              <w:ind w:left="72"/>
              <w:rPr>
                <w:rFonts w:ascii="Times New Roman" w:eastAsia="a*i*l" w:hAnsi="Times New Roman" w:cs="Times New Roman"/>
              </w:rPr>
            </w:pPr>
            <w:r w:rsidRPr="008819AF">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15132BD8" w14:textId="77777777" w:rsidR="004C1DAF" w:rsidRPr="008819AF" w:rsidRDefault="004C1DAF" w:rsidP="004C1DAF">
            <w:pPr>
              <w:ind w:left="72"/>
              <w:rPr>
                <w:rFonts w:eastAsia="Arial"/>
                <w:lang w:bidi="cs-CZ"/>
              </w:rPr>
            </w:pPr>
          </w:p>
          <w:p w14:paraId="15132BD9" w14:textId="77777777" w:rsidR="004C1DAF" w:rsidRPr="008819AF" w:rsidRDefault="004C1DAF" w:rsidP="004C1DAF">
            <w:pPr>
              <w:pStyle w:val="Nra"/>
              <w:ind w:left="72"/>
              <w:rPr>
                <w:rFonts w:ascii="Times New Roman" w:hAnsi="Times New Roman" w:cs="Times New Roman"/>
              </w:rPr>
            </w:pPr>
          </w:p>
        </w:tc>
        <w:tc>
          <w:tcPr>
            <w:tcW w:w="429" w:type="dxa"/>
            <w:tcBorders>
              <w:top w:val="single" w:sz="4" w:space="0" w:color="000000"/>
              <w:left w:val="single" w:sz="6" w:space="0" w:color="000000"/>
              <w:bottom w:val="single" w:sz="6" w:space="0" w:color="000000"/>
              <w:right w:val="single" w:sz="6" w:space="0" w:color="000000"/>
            </w:tcBorders>
          </w:tcPr>
          <w:p w14:paraId="15132BDA" w14:textId="77777777" w:rsidR="004C1DAF" w:rsidRPr="008819AF" w:rsidRDefault="004C1DAF" w:rsidP="004C1DAF">
            <w:pPr>
              <w:rPr>
                <w:rFonts w:eastAsia="Arial"/>
                <w:lang w:bidi="cs-CZ"/>
              </w:rPr>
            </w:pPr>
            <w:r w:rsidRPr="008819AF">
              <w:rPr>
                <w:rFonts w:eastAsia="Arial"/>
                <w:lang w:bidi="cs-CZ"/>
              </w:rPr>
              <w:t>Ú</w:t>
            </w:r>
          </w:p>
          <w:p w14:paraId="15132BDB" w14:textId="77777777" w:rsidR="004C1DAF" w:rsidRPr="008819AF" w:rsidRDefault="004C1DAF"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BDC" w14:textId="77777777" w:rsidR="004C1DAF" w:rsidRPr="008819AF" w:rsidRDefault="004C1DAF" w:rsidP="004C1DAF">
            <w:pPr>
              <w:ind w:left="215" w:hanging="215"/>
              <w:rPr>
                <w:rFonts w:eastAsia="Arial"/>
              </w:rPr>
            </w:pPr>
          </w:p>
        </w:tc>
      </w:tr>
      <w:tr w:rsidR="004C1DAF" w:rsidRPr="008819AF" w14:paraId="15132BEA"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BDE" w14:textId="77777777" w:rsidR="004C1DAF" w:rsidRPr="008819AF" w:rsidRDefault="004C1DAF"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BDF" w14:textId="77777777" w:rsidR="004C1DAF" w:rsidRPr="008819AF" w:rsidRDefault="004C1DAF" w:rsidP="004C1DAF">
            <w:pPr>
              <w:ind w:left="215" w:hanging="215"/>
              <w:rPr>
                <w:rFonts w:eastAsia="Arial"/>
              </w:rPr>
            </w:pPr>
            <w:r w:rsidRPr="008819AF">
              <w:rPr>
                <w:rFonts w:eastAsia="Arial"/>
              </w:rPr>
              <w:t>5. Emisie buď prchavých organických zlúčenín, ktorým sú priradené výstražné upozornenia H340, H350, H350i, H360D alebo H360F alebo musia byť nimi označené, alebo emisie halogénovaných prchavých organických zlúčenín, ktorým sú priradené výstražné upozornenia H341 alebo H351</w:t>
            </w:r>
            <w:r w:rsidRPr="008819AF">
              <w:t xml:space="preserve"> </w:t>
            </w:r>
            <w:r w:rsidRPr="008819AF">
              <w:rPr>
                <w:rFonts w:eastAsia="Arial"/>
              </w:rPr>
              <w:t>alebo musia byť nimi označené, musia byť obmedzované za riadených podmienok, pokiaľ je z technického a ekonomického hľadiska možné, aby sa zabezpečila ochrana ľudského zdravia a životného prostredia, a nesmú prekročiť príslušné emisné limity stanovené v prílohe VII časť 4.</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BE0" w14:textId="77777777" w:rsidR="004C1DAF" w:rsidRPr="008819AF" w:rsidRDefault="004C1DAF"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BE1" w14:textId="77777777" w:rsidR="004C1DAF" w:rsidRPr="008819AF" w:rsidRDefault="004C1DAF" w:rsidP="004C1DAF">
            <w:pPr>
              <w:jc w:val="center"/>
              <w:rPr>
                <w:rFonts w:eastAsia="Arial"/>
                <w:lang w:bidi="cs-CZ"/>
              </w:rPr>
            </w:pPr>
            <w:r w:rsidRPr="008819AF">
              <w:rPr>
                <w:rFonts w:eastAsia="Arial"/>
                <w:lang w:bidi="cs-CZ"/>
              </w:rPr>
              <w:t>NV2</w:t>
            </w:r>
          </w:p>
          <w:p w14:paraId="15132BE2" w14:textId="77777777" w:rsidR="004C1DAF" w:rsidRPr="008819AF" w:rsidRDefault="004C1DAF"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BE3" w14:textId="77777777" w:rsidR="00191755" w:rsidRPr="008819AF" w:rsidRDefault="00191755" w:rsidP="00191755">
            <w:pPr>
              <w:pStyle w:val="BodyText21"/>
              <w:spacing w:before="0"/>
              <w:jc w:val="center"/>
              <w:rPr>
                <w:rFonts w:ascii="Times New Roman" w:hAnsi="Times New Roman" w:cs="Times New Roman"/>
              </w:rPr>
            </w:pPr>
            <w:r w:rsidRPr="008819AF">
              <w:rPr>
                <w:rFonts w:ascii="Times New Roman" w:hAnsi="Times New Roman" w:cs="Times New Roman"/>
              </w:rPr>
              <w:t>§ 28</w:t>
            </w:r>
          </w:p>
          <w:p w14:paraId="15132BE4" w14:textId="77777777" w:rsidR="00191755" w:rsidRPr="008819AF" w:rsidRDefault="00191755" w:rsidP="00191755">
            <w:pPr>
              <w:pStyle w:val="BodyText21"/>
              <w:spacing w:before="0"/>
              <w:jc w:val="center"/>
              <w:rPr>
                <w:rFonts w:ascii="Times New Roman" w:hAnsi="Times New Roman" w:cs="Times New Roman"/>
              </w:rPr>
            </w:pPr>
            <w:r w:rsidRPr="008819AF">
              <w:rPr>
                <w:rFonts w:ascii="Times New Roman" w:hAnsi="Times New Roman" w:cs="Times New Roman"/>
              </w:rPr>
              <w:t>O1</w:t>
            </w:r>
          </w:p>
          <w:p w14:paraId="15132BE5" w14:textId="77777777" w:rsidR="004C1DAF" w:rsidRPr="008819AF" w:rsidRDefault="00191755" w:rsidP="00191755">
            <w:pPr>
              <w:pStyle w:val="BodyText21"/>
              <w:spacing w:before="0"/>
              <w:jc w:val="center"/>
              <w:rPr>
                <w:rFonts w:ascii="Times New Roman" w:hAnsi="Times New Roman" w:cs="Times New Roman"/>
              </w:rPr>
            </w:pPr>
            <w:r w:rsidRPr="008819AF">
              <w:rPr>
                <w:rFonts w:ascii="Times New Roman" w:hAnsi="Times New Roman" w:cs="Times New Roman"/>
              </w:rPr>
              <w:t>Pa, b</w:t>
            </w:r>
          </w:p>
        </w:tc>
        <w:tc>
          <w:tcPr>
            <w:tcW w:w="5664" w:type="dxa"/>
            <w:gridSpan w:val="5"/>
            <w:tcBorders>
              <w:top w:val="single" w:sz="4" w:space="0" w:color="000000"/>
              <w:left w:val="single" w:sz="6" w:space="0" w:color="000000"/>
              <w:bottom w:val="single" w:sz="6" w:space="0" w:color="000000"/>
              <w:right w:val="single" w:sz="6" w:space="0" w:color="000000"/>
            </w:tcBorders>
          </w:tcPr>
          <w:p w14:paraId="15132BE6" w14:textId="77777777" w:rsidR="00EE36F4" w:rsidRPr="008819AF" w:rsidRDefault="00191755" w:rsidP="004C1DAF">
            <w:pPr>
              <w:pStyle w:val="Hlavika"/>
              <w:ind w:left="72" w:hanging="1"/>
              <w:rPr>
                <w:rFonts w:ascii="Times New Roman" w:hAnsi="Times New Roman" w:cs="Times New Roman"/>
              </w:rPr>
            </w:pPr>
            <w:r w:rsidRPr="008819AF">
              <w:rPr>
                <w:rFonts w:ascii="Times New Roman" w:hAnsi="Times New Roman" w:cs="Times New Roman"/>
              </w:rPr>
              <w:t>a)</w:t>
            </w:r>
            <w:r w:rsidRPr="008819AF">
              <w:rPr>
                <w:rFonts w:ascii="Times New Roman" w:hAnsi="Times New Roman" w:cs="Times New Roman"/>
              </w:rPr>
              <w:tab/>
              <w:t>látky alebo zmesi, ktorých obsah prchavých organických zlúčenín je klasifikovaný ako karcinogénny, mutagénny alebo toxický pre reprodukciu podľa osobitného predpisu,16) a ktorým je priradené alebo ktoré treba označiť výstražným upozornením H340, H350, H350i, H360D alebo H360F,</w:t>
            </w:r>
          </w:p>
          <w:p w14:paraId="15132BE7" w14:textId="77777777" w:rsidR="00191755" w:rsidRPr="008819AF" w:rsidRDefault="00191755" w:rsidP="004C1DAF">
            <w:pPr>
              <w:pStyle w:val="Hlavika"/>
              <w:ind w:left="72" w:hanging="1"/>
              <w:rPr>
                <w:rFonts w:ascii="Times New Roman" w:hAnsi="Times New Roman" w:cs="Times New Roman"/>
                <w:lang w:bidi="cs-CZ"/>
              </w:rPr>
            </w:pPr>
            <w:r w:rsidRPr="008819AF">
              <w:rPr>
                <w:rFonts w:ascii="Times New Roman" w:hAnsi="Times New Roman" w:cs="Times New Roman"/>
                <w:lang w:bidi="cs-CZ"/>
              </w:rPr>
              <w:t>b)</w:t>
            </w:r>
            <w:r w:rsidRPr="008819AF">
              <w:rPr>
                <w:rFonts w:ascii="Times New Roman" w:hAnsi="Times New Roman" w:cs="Times New Roman"/>
                <w:lang w:bidi="cs-CZ"/>
              </w:rPr>
              <w:tab/>
              <w:t>halogénované prchavé organické zlúčeniny a ich zmesi, ktorým je priradené alebo ktoré treba označiť podľa osobitného predpisu, ) výstražným upozornením H341 alebo H351</w:t>
            </w:r>
          </w:p>
        </w:tc>
        <w:tc>
          <w:tcPr>
            <w:tcW w:w="429" w:type="dxa"/>
            <w:tcBorders>
              <w:top w:val="single" w:sz="4" w:space="0" w:color="000000"/>
              <w:left w:val="single" w:sz="6" w:space="0" w:color="000000"/>
              <w:bottom w:val="single" w:sz="6" w:space="0" w:color="000000"/>
              <w:right w:val="single" w:sz="6" w:space="0" w:color="000000"/>
            </w:tcBorders>
          </w:tcPr>
          <w:p w14:paraId="15132BE8" w14:textId="77777777" w:rsidR="004C1DAF" w:rsidRPr="008819AF" w:rsidRDefault="004C1DAF"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15132BE9" w14:textId="77777777" w:rsidR="004C1DAF" w:rsidRPr="008819AF" w:rsidRDefault="004C1DAF" w:rsidP="004C1DAF">
            <w:pPr>
              <w:ind w:left="215" w:hanging="215"/>
              <w:rPr>
                <w:rFonts w:eastAsia="Arial"/>
              </w:rPr>
            </w:pPr>
          </w:p>
        </w:tc>
      </w:tr>
      <w:tr w:rsidR="004C1DAF" w:rsidRPr="008819AF" w14:paraId="15132BFF"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BEB" w14:textId="77777777" w:rsidR="004C1DAF" w:rsidRPr="008819AF" w:rsidRDefault="004C1DAF"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BEC" w14:textId="77777777" w:rsidR="004C1DAF" w:rsidRPr="008819AF" w:rsidRDefault="004C1DAF" w:rsidP="004C1DAF">
            <w:pPr>
              <w:ind w:left="215" w:hanging="215"/>
              <w:rPr>
                <w:rFonts w:eastAsia="Arial"/>
              </w:rPr>
            </w:pPr>
            <w:r w:rsidRPr="008819AF">
              <w:rPr>
                <w:rFonts w:eastAsia="Arial"/>
              </w:rPr>
              <w:t>6. Zariadenia, v ktorých sa vykonávajú dve alebo viaceré činnosti, z ktorých každá prevyšuje prahové hodnoty uvedené v prílohe VII časť 2, musia:</w:t>
            </w:r>
          </w:p>
          <w:p w14:paraId="15132BED" w14:textId="77777777" w:rsidR="004C1DAF" w:rsidRPr="008819AF" w:rsidRDefault="004C1DAF" w:rsidP="009C63CF">
            <w:pPr>
              <w:numPr>
                <w:ilvl w:val="0"/>
                <w:numId w:val="40"/>
              </w:numPr>
              <w:spacing w:after="120"/>
              <w:ind w:left="497" w:hanging="283"/>
              <w:rPr>
                <w:rFonts w:eastAsia="Arial"/>
              </w:rPr>
            </w:pPr>
            <w:r w:rsidRPr="008819AF">
              <w:rPr>
                <w:rFonts w:eastAsia="Arial"/>
              </w:rPr>
              <w:t>čo sa týka látok uvedených v odseku 5, spĺňať požiadavky uvedeného odseku pre každú činnosť samostatne;</w:t>
            </w:r>
          </w:p>
          <w:p w14:paraId="15132BEE" w14:textId="77777777" w:rsidR="004C1DAF" w:rsidRPr="008819AF" w:rsidRDefault="004C1DAF" w:rsidP="009C63CF">
            <w:pPr>
              <w:numPr>
                <w:ilvl w:val="0"/>
                <w:numId w:val="40"/>
              </w:numPr>
              <w:ind w:left="497" w:hanging="283"/>
              <w:rPr>
                <w:rFonts w:eastAsia="Arial"/>
              </w:rPr>
            </w:pPr>
            <w:r w:rsidRPr="008819AF">
              <w:rPr>
                <w:rFonts w:eastAsia="Arial"/>
              </w:rPr>
              <w:t>čo sa týka všetkých ostatných látok, buď:</w:t>
            </w:r>
          </w:p>
          <w:p w14:paraId="15132BEF" w14:textId="77777777" w:rsidR="004C1DAF" w:rsidRPr="008819AF" w:rsidRDefault="004C1DAF" w:rsidP="009C63CF">
            <w:pPr>
              <w:numPr>
                <w:ilvl w:val="1"/>
                <w:numId w:val="40"/>
              </w:numPr>
              <w:ind w:left="781" w:hanging="284"/>
              <w:rPr>
                <w:rFonts w:eastAsia="Arial"/>
              </w:rPr>
            </w:pPr>
            <w:r w:rsidRPr="008819AF">
              <w:rPr>
                <w:rFonts w:eastAsia="Arial"/>
              </w:rPr>
              <w:t>spĺňať požiadavky odseku 1 pre každú činnosť samostatne; alebo</w:t>
            </w:r>
          </w:p>
          <w:p w14:paraId="15132BF0" w14:textId="77777777" w:rsidR="004C1DAF" w:rsidRPr="008819AF" w:rsidRDefault="004C1DAF" w:rsidP="009C63CF">
            <w:pPr>
              <w:numPr>
                <w:ilvl w:val="1"/>
                <w:numId w:val="40"/>
              </w:numPr>
              <w:ind w:left="781" w:hanging="284"/>
              <w:rPr>
                <w:rFonts w:eastAsia="Arial"/>
              </w:rPr>
            </w:pPr>
            <w:r w:rsidRPr="008819AF">
              <w:rPr>
                <w:rFonts w:eastAsia="Arial"/>
              </w:rPr>
              <w:t>mať celkové emisie prchavých organických zlúčenín, ktoré neprevyšujú tie emisie, ktoré by boli výsledkom uplatňovania bodu 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BF1" w14:textId="77777777" w:rsidR="004C1DAF" w:rsidRPr="008819AF" w:rsidRDefault="004C1DAF"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BF2" w14:textId="77777777" w:rsidR="004C1DAF" w:rsidRPr="008819AF" w:rsidRDefault="004C1DAF" w:rsidP="004C1DAF">
            <w:pPr>
              <w:jc w:val="center"/>
              <w:rPr>
                <w:rFonts w:eastAsia="Arial"/>
                <w:lang w:bidi="cs-CZ"/>
              </w:rPr>
            </w:pPr>
            <w:r w:rsidRPr="008819AF">
              <w:rPr>
                <w:rFonts w:eastAsia="Arial"/>
                <w:lang w:bidi="cs-CZ"/>
              </w:rPr>
              <w:t>NV2</w:t>
            </w:r>
          </w:p>
          <w:p w14:paraId="15132BF3" w14:textId="77777777" w:rsidR="004C1DAF" w:rsidRPr="008819AF" w:rsidRDefault="004C1DAF"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BF4" w14:textId="77777777" w:rsidR="00191755" w:rsidRPr="008819AF" w:rsidRDefault="008C7044" w:rsidP="004C1DAF">
            <w:pPr>
              <w:pStyle w:val="BodyText21"/>
              <w:spacing w:before="0"/>
              <w:jc w:val="center"/>
              <w:rPr>
                <w:rFonts w:ascii="Times New Roman" w:hAnsi="Times New Roman" w:cs="Times New Roman"/>
              </w:rPr>
            </w:pPr>
            <w:r w:rsidRPr="008819AF">
              <w:rPr>
                <w:rFonts w:ascii="Times New Roman" w:hAnsi="Times New Roman" w:cs="Times New Roman"/>
              </w:rPr>
              <w:t>§ 31</w:t>
            </w:r>
          </w:p>
          <w:p w14:paraId="15132BF5" w14:textId="77777777" w:rsidR="008C7044" w:rsidRPr="008819AF" w:rsidRDefault="008C7044" w:rsidP="004C1DAF">
            <w:pPr>
              <w:pStyle w:val="BodyText21"/>
              <w:spacing w:before="0"/>
              <w:jc w:val="center"/>
              <w:rPr>
                <w:rFonts w:ascii="Times New Roman" w:hAnsi="Times New Roman" w:cs="Times New Roman"/>
              </w:rPr>
            </w:pPr>
            <w:r w:rsidRPr="008819AF">
              <w:rPr>
                <w:rFonts w:ascii="Times New Roman" w:hAnsi="Times New Roman" w:cs="Times New Roman"/>
              </w:rPr>
              <w:t>O 8</w:t>
            </w:r>
          </w:p>
          <w:p w14:paraId="15132BF6" w14:textId="77777777" w:rsidR="008C7044" w:rsidRPr="008819AF" w:rsidRDefault="008C7044" w:rsidP="004C1DAF">
            <w:pPr>
              <w:pStyle w:val="BodyText21"/>
              <w:spacing w:before="0"/>
              <w:jc w:val="center"/>
              <w:rPr>
                <w:rFonts w:ascii="Times New Roman" w:hAnsi="Times New Roman" w:cs="Times New Roman"/>
              </w:rPr>
            </w:pPr>
            <w:r w:rsidRPr="008819AF">
              <w:rPr>
                <w:rFonts w:ascii="Times New Roman" w:hAnsi="Times New Roman" w:cs="Times New Roman"/>
              </w:rPr>
              <w:t>P a,b</w:t>
            </w:r>
          </w:p>
          <w:p w14:paraId="15132BF7" w14:textId="77777777" w:rsidR="008C7044" w:rsidRPr="008819AF" w:rsidRDefault="008C7044" w:rsidP="004C1DAF">
            <w:pPr>
              <w:pStyle w:val="BodyText21"/>
              <w:spacing w:before="0"/>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BF8" w14:textId="77777777" w:rsidR="008C7044" w:rsidRPr="008819AF" w:rsidRDefault="008C7044" w:rsidP="008C7044">
            <w:pPr>
              <w:pStyle w:val="Hlavika"/>
              <w:ind w:left="72" w:hanging="1"/>
              <w:rPr>
                <w:rFonts w:ascii="Times New Roman" w:hAnsi="Times New Roman" w:cs="Times New Roman"/>
              </w:rPr>
            </w:pPr>
            <w:r w:rsidRPr="008819AF">
              <w:rPr>
                <w:rFonts w:ascii="Times New Roman" w:hAnsi="Times New Roman" w:cs="Times New Roman"/>
              </w:rPr>
              <w:t>(8)</w:t>
            </w:r>
            <w:r w:rsidRPr="008819AF">
              <w:rPr>
                <w:rFonts w:ascii="Times New Roman" w:hAnsi="Times New Roman" w:cs="Times New Roman"/>
              </w:rPr>
              <w:tab/>
              <w:t xml:space="preserve">V zariadení, v ktorom sa vykonávajú dve činnosti a viac činností, z ktorých každá prevyšuje prahové hodnoty uvedené v prílohe č. 6 štvrtej časti, sa dodržanie emisných limitov hodnotí, ak ide o </w:t>
            </w:r>
          </w:p>
          <w:p w14:paraId="15132BF9" w14:textId="77777777" w:rsidR="008C7044" w:rsidRPr="008819AF" w:rsidRDefault="008C7044" w:rsidP="008C7044">
            <w:pPr>
              <w:pStyle w:val="Hlavika"/>
              <w:ind w:left="72" w:hanging="1"/>
              <w:rPr>
                <w:rFonts w:ascii="Times New Roman" w:hAnsi="Times New Roman" w:cs="Times New Roman"/>
              </w:rPr>
            </w:pPr>
            <w:r w:rsidRPr="008819AF">
              <w:rPr>
                <w:rFonts w:ascii="Times New Roman" w:hAnsi="Times New Roman" w:cs="Times New Roman"/>
              </w:rPr>
              <w:t>a)</w:t>
            </w:r>
            <w:r w:rsidRPr="008819AF">
              <w:rPr>
                <w:rFonts w:ascii="Times New Roman" w:hAnsi="Times New Roman" w:cs="Times New Roman"/>
              </w:rPr>
              <w:tab/>
              <w:t>prchavé organické zlúčeniny podľa § 28 ods. 1 písm. a) alebo písm. b) pre jednotlivé činnosti samostatne,</w:t>
            </w:r>
          </w:p>
          <w:p w14:paraId="15132BFA" w14:textId="77777777" w:rsidR="008C7044" w:rsidRPr="008819AF" w:rsidRDefault="008C7044" w:rsidP="008C7044">
            <w:pPr>
              <w:pStyle w:val="Hlavika"/>
              <w:ind w:left="72" w:hanging="1"/>
              <w:rPr>
                <w:rFonts w:ascii="Times New Roman" w:hAnsi="Times New Roman" w:cs="Times New Roman"/>
              </w:rPr>
            </w:pPr>
            <w:r w:rsidRPr="008819AF">
              <w:rPr>
                <w:rFonts w:ascii="Times New Roman" w:hAnsi="Times New Roman" w:cs="Times New Roman"/>
              </w:rPr>
              <w:t>b)</w:t>
            </w:r>
            <w:r w:rsidRPr="008819AF">
              <w:rPr>
                <w:rFonts w:ascii="Times New Roman" w:hAnsi="Times New Roman" w:cs="Times New Roman"/>
              </w:rPr>
              <w:tab/>
              <w:t>ostatné organické zlúčeniny</w:t>
            </w:r>
          </w:p>
          <w:p w14:paraId="15132BFB" w14:textId="77777777" w:rsidR="008C7044" w:rsidRPr="008819AF" w:rsidRDefault="008C7044" w:rsidP="008C7044">
            <w:pPr>
              <w:pStyle w:val="Hlavika"/>
              <w:ind w:left="72" w:hanging="1"/>
              <w:rPr>
                <w:rFonts w:ascii="Times New Roman" w:hAnsi="Times New Roman" w:cs="Times New Roman"/>
              </w:rPr>
            </w:pPr>
            <w:r w:rsidRPr="008819AF">
              <w:rPr>
                <w:rFonts w:ascii="Times New Roman" w:hAnsi="Times New Roman" w:cs="Times New Roman"/>
              </w:rPr>
              <w:t>1.</w:t>
            </w:r>
            <w:r w:rsidRPr="008819AF">
              <w:rPr>
                <w:rFonts w:ascii="Times New Roman" w:hAnsi="Times New Roman" w:cs="Times New Roman"/>
              </w:rPr>
              <w:tab/>
              <w:t>splnenie emisných limitov podľa § 27 ods. 2 písm. a) a b) pre jednotlivé činnosti samostatne, alebo</w:t>
            </w:r>
          </w:p>
          <w:p w14:paraId="15132BFC" w14:textId="77777777" w:rsidR="004C1DAF" w:rsidRPr="008819AF" w:rsidRDefault="008C7044" w:rsidP="008C7044">
            <w:pPr>
              <w:pStyle w:val="Hlavika"/>
              <w:ind w:left="72" w:hanging="1"/>
              <w:rPr>
                <w:rFonts w:ascii="Times New Roman" w:hAnsi="Times New Roman" w:cs="Times New Roman"/>
                <w:lang w:bidi="cs-CZ"/>
              </w:rPr>
            </w:pPr>
            <w:r w:rsidRPr="008819AF">
              <w:rPr>
                <w:rFonts w:ascii="Times New Roman" w:hAnsi="Times New Roman" w:cs="Times New Roman"/>
              </w:rPr>
              <w:t>2.</w:t>
            </w:r>
            <w:r w:rsidRPr="008819AF">
              <w:rPr>
                <w:rFonts w:ascii="Times New Roman" w:hAnsi="Times New Roman" w:cs="Times New Roman"/>
              </w:rPr>
              <w:tab/>
              <w:t>spoločne, aby celkové emisie neprekročili množstvo emisií, ktoré by zodpovedalo podmienke ustanovenej v písmene b) prvom bode.</w:t>
            </w:r>
          </w:p>
        </w:tc>
        <w:tc>
          <w:tcPr>
            <w:tcW w:w="429" w:type="dxa"/>
            <w:tcBorders>
              <w:top w:val="single" w:sz="4" w:space="0" w:color="000000"/>
              <w:left w:val="single" w:sz="6" w:space="0" w:color="000000"/>
              <w:bottom w:val="single" w:sz="6" w:space="0" w:color="000000"/>
              <w:right w:val="single" w:sz="6" w:space="0" w:color="000000"/>
            </w:tcBorders>
          </w:tcPr>
          <w:p w14:paraId="15132BFD" w14:textId="77777777" w:rsidR="004C1DAF" w:rsidRPr="008819AF" w:rsidRDefault="004C1DAF"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15132BFE" w14:textId="77777777" w:rsidR="004C1DAF" w:rsidRPr="008819AF" w:rsidRDefault="004C1DAF" w:rsidP="004C1DAF">
            <w:pPr>
              <w:ind w:left="215" w:hanging="215"/>
              <w:rPr>
                <w:rFonts w:eastAsia="Arial"/>
              </w:rPr>
            </w:pPr>
          </w:p>
        </w:tc>
      </w:tr>
      <w:tr w:rsidR="004C1DAF" w:rsidRPr="008819AF" w14:paraId="15132C0A"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2C00" w14:textId="77777777" w:rsidR="004C1DAF" w:rsidRPr="008819AF" w:rsidRDefault="004C1DAF"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C01" w14:textId="77777777" w:rsidR="004C1DAF" w:rsidRPr="008819AF" w:rsidRDefault="004C1DAF" w:rsidP="004C1DAF">
            <w:pPr>
              <w:ind w:left="215" w:hanging="215"/>
              <w:rPr>
                <w:rFonts w:eastAsia="Arial"/>
              </w:rPr>
            </w:pPr>
            <w:r w:rsidRPr="008819AF">
              <w:rPr>
                <w:rFonts w:eastAsia="Arial"/>
              </w:rPr>
              <w:t>7.. Musia sa prijať všetky potrebné preventívne opatrenia na minimalizáciu emisií prchavých organických zlúčenín pri operáciách nábehu a odstávky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C02" w14:textId="77777777" w:rsidR="004C1DAF" w:rsidRPr="008819AF" w:rsidRDefault="004C1DAF"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C03" w14:textId="77777777" w:rsidR="004C1DAF" w:rsidRPr="008819AF" w:rsidRDefault="004C1DAF" w:rsidP="004C1DAF">
            <w:pPr>
              <w:jc w:val="center"/>
              <w:rPr>
                <w:rFonts w:eastAsia="Arial"/>
                <w:lang w:bidi="cs-CZ"/>
              </w:rPr>
            </w:pPr>
            <w:r w:rsidRPr="008819AF">
              <w:rPr>
                <w:rFonts w:eastAsia="Arial"/>
                <w:lang w:bidi="cs-CZ"/>
              </w:rPr>
              <w:t>NV2</w:t>
            </w:r>
          </w:p>
          <w:p w14:paraId="15132C04" w14:textId="77777777" w:rsidR="004C1DAF" w:rsidRPr="008819AF" w:rsidRDefault="004C1DAF"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C05" w14:textId="77777777" w:rsidR="004C1DAF" w:rsidRPr="008819AF" w:rsidRDefault="008C7044" w:rsidP="004C1DAF">
            <w:pPr>
              <w:pStyle w:val="BodyText21"/>
              <w:spacing w:before="0"/>
              <w:jc w:val="center"/>
              <w:rPr>
                <w:rFonts w:ascii="Times New Roman" w:hAnsi="Times New Roman" w:cs="Times New Roman"/>
              </w:rPr>
            </w:pPr>
            <w:r w:rsidRPr="008819AF">
              <w:rPr>
                <w:rFonts w:ascii="Times New Roman" w:hAnsi="Times New Roman" w:cs="Times New Roman"/>
              </w:rPr>
              <w:t>§ 27</w:t>
            </w:r>
          </w:p>
          <w:p w14:paraId="15132C06" w14:textId="77777777" w:rsidR="008C7044" w:rsidRPr="008819AF" w:rsidRDefault="008C7044" w:rsidP="004C1DAF">
            <w:pPr>
              <w:pStyle w:val="BodyText21"/>
              <w:spacing w:before="0"/>
              <w:jc w:val="center"/>
              <w:rPr>
                <w:rFonts w:ascii="Times New Roman" w:hAnsi="Times New Roman" w:cs="Times New Roman"/>
              </w:rPr>
            </w:pPr>
            <w:r w:rsidRPr="008819AF">
              <w:rPr>
                <w:rFonts w:ascii="Times New Roman" w:hAnsi="Times New Roman" w:cs="Times New Roman"/>
              </w:rPr>
              <w:t>O9</w:t>
            </w:r>
          </w:p>
        </w:tc>
        <w:tc>
          <w:tcPr>
            <w:tcW w:w="5664" w:type="dxa"/>
            <w:gridSpan w:val="5"/>
            <w:tcBorders>
              <w:top w:val="single" w:sz="4" w:space="0" w:color="000000"/>
              <w:left w:val="single" w:sz="6" w:space="0" w:color="000000"/>
              <w:bottom w:val="single" w:sz="6" w:space="0" w:color="000000"/>
              <w:right w:val="single" w:sz="6" w:space="0" w:color="000000"/>
            </w:tcBorders>
          </w:tcPr>
          <w:p w14:paraId="15132C07" w14:textId="77777777" w:rsidR="004C1DAF" w:rsidRPr="008819AF" w:rsidRDefault="008C7044" w:rsidP="004C1DAF">
            <w:pPr>
              <w:pStyle w:val="Hlavika"/>
              <w:ind w:left="72" w:hanging="1"/>
              <w:rPr>
                <w:rFonts w:ascii="Times New Roman" w:hAnsi="Times New Roman" w:cs="Times New Roman"/>
                <w:lang w:bidi="cs-CZ"/>
              </w:rPr>
            </w:pPr>
            <w:r w:rsidRPr="008819AF">
              <w:rPr>
                <w:rFonts w:ascii="Times New Roman" w:hAnsi="Times New Roman" w:cs="Times New Roman"/>
              </w:rPr>
              <w:t>(9)</w:t>
            </w:r>
            <w:r w:rsidRPr="008819AF">
              <w:rPr>
                <w:rFonts w:ascii="Times New Roman" w:hAnsi="Times New Roman" w:cs="Times New Roman"/>
              </w:rPr>
              <w:tab/>
              <w:t>Počas nábehu a odstavovania treba prijať všetky vhodné opatrenia na znižovanie emisií.</w:t>
            </w:r>
          </w:p>
        </w:tc>
        <w:tc>
          <w:tcPr>
            <w:tcW w:w="429" w:type="dxa"/>
            <w:tcBorders>
              <w:top w:val="single" w:sz="4" w:space="0" w:color="000000"/>
              <w:left w:val="single" w:sz="6" w:space="0" w:color="000000"/>
              <w:bottom w:val="single" w:sz="6" w:space="0" w:color="000000"/>
              <w:right w:val="single" w:sz="6" w:space="0" w:color="000000"/>
            </w:tcBorders>
          </w:tcPr>
          <w:p w14:paraId="15132C08" w14:textId="77777777" w:rsidR="004C1DAF" w:rsidRPr="008819AF" w:rsidRDefault="004C1DAF"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15132C09" w14:textId="77777777" w:rsidR="004C1DAF" w:rsidRPr="008819AF" w:rsidRDefault="004C1DAF" w:rsidP="004C1DAF">
            <w:pPr>
              <w:ind w:left="215" w:hanging="215"/>
              <w:rPr>
                <w:rFonts w:eastAsia="Arial"/>
              </w:rPr>
            </w:pPr>
          </w:p>
        </w:tc>
      </w:tr>
      <w:tr w:rsidR="004C1DAF" w:rsidRPr="008819AF" w14:paraId="15132C38"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2C0B" w14:textId="77777777" w:rsidR="004C1DAF" w:rsidRPr="008819AF" w:rsidRDefault="004C1DAF" w:rsidP="004C1DAF">
            <w:pPr>
              <w:ind w:right="-70"/>
              <w:rPr>
                <w:rFonts w:eastAsia="Arial"/>
                <w:lang w:bidi="cs-CZ"/>
              </w:rPr>
            </w:pPr>
            <w:r w:rsidRPr="008819AF">
              <w:rPr>
                <w:rFonts w:eastAsia="Arial"/>
                <w:lang w:bidi="cs-CZ"/>
              </w:rPr>
              <w:t>Č:60</w:t>
            </w:r>
          </w:p>
        </w:tc>
        <w:tc>
          <w:tcPr>
            <w:tcW w:w="6227" w:type="dxa"/>
            <w:gridSpan w:val="2"/>
            <w:tcBorders>
              <w:top w:val="single" w:sz="4" w:space="0" w:color="000000"/>
              <w:left w:val="single" w:sz="6" w:space="0" w:color="000000"/>
              <w:bottom w:val="single" w:sz="6" w:space="0" w:color="000000"/>
              <w:right w:val="single" w:sz="6" w:space="0" w:color="000000"/>
            </w:tcBorders>
          </w:tcPr>
          <w:p w14:paraId="15132C0C" w14:textId="77777777" w:rsidR="004C1DAF" w:rsidRPr="008819AF" w:rsidRDefault="004C1DAF" w:rsidP="004C1DAF">
            <w:pPr>
              <w:ind w:left="215" w:hanging="215"/>
              <w:rPr>
                <w:rFonts w:eastAsia="Arial"/>
              </w:rPr>
            </w:pPr>
            <w:r w:rsidRPr="008819AF">
              <w:rPr>
                <w:rFonts w:eastAsia="Arial"/>
              </w:rPr>
              <w:t>Článok 60</w:t>
            </w:r>
          </w:p>
          <w:p w14:paraId="15132C0D" w14:textId="77777777" w:rsidR="004C1DAF" w:rsidRPr="008819AF" w:rsidRDefault="004C1DAF" w:rsidP="004C1DAF">
            <w:pPr>
              <w:ind w:left="215" w:hanging="215"/>
              <w:rPr>
                <w:rFonts w:eastAsia="Arial"/>
              </w:rPr>
            </w:pPr>
            <w:r w:rsidRPr="008819AF">
              <w:rPr>
                <w:rFonts w:eastAsia="Arial"/>
              </w:rPr>
              <w:t>Monitorovanie emisií</w:t>
            </w:r>
          </w:p>
          <w:p w14:paraId="15132C0E" w14:textId="77777777" w:rsidR="004C1DAF" w:rsidRPr="008819AF" w:rsidRDefault="004C1DAF" w:rsidP="004C1DAF">
            <w:pPr>
              <w:ind w:left="215" w:hanging="215"/>
              <w:rPr>
                <w:rFonts w:eastAsia="Arial"/>
              </w:rPr>
            </w:pPr>
          </w:p>
          <w:p w14:paraId="15132C0F" w14:textId="77777777" w:rsidR="004C1DAF" w:rsidRPr="008819AF" w:rsidRDefault="004C1DAF" w:rsidP="004C1DAF">
            <w:pPr>
              <w:ind w:left="215" w:hanging="1"/>
              <w:rPr>
                <w:rFonts w:eastAsia="Arial"/>
              </w:rPr>
            </w:pPr>
            <w:r w:rsidRPr="008819AF">
              <w:rPr>
                <w:rFonts w:eastAsia="Arial"/>
              </w:rPr>
              <w:t>Členské štáty musia zabezpečovať, že merania emisií sa vykonávajú v súlade s prílohou VII časť 6, a to buď špecifikáciami v podmienkach povolenia alebo všeobecne záväznými pravidlami.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C10" w14:textId="77777777" w:rsidR="004C1DAF" w:rsidRPr="008819AF" w:rsidRDefault="004C1DAF" w:rsidP="004C1DA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2C11" w14:textId="77777777" w:rsidR="004C1DAF" w:rsidRPr="008819AF" w:rsidRDefault="004C1DAF" w:rsidP="004C1DAF">
            <w:pPr>
              <w:jc w:val="center"/>
              <w:rPr>
                <w:rFonts w:eastAsia="Arial"/>
                <w:lang w:bidi="cs-CZ"/>
              </w:rPr>
            </w:pPr>
            <w:r w:rsidRPr="008819AF">
              <w:rPr>
                <w:rFonts w:eastAsia="Arial"/>
                <w:lang w:bidi="cs-CZ"/>
              </w:rPr>
              <w:t>NZ</w:t>
            </w:r>
          </w:p>
          <w:p w14:paraId="15132C12" w14:textId="77777777" w:rsidR="004C1DAF" w:rsidRPr="008819AF" w:rsidRDefault="004C1DAF" w:rsidP="004C1DAF">
            <w:pPr>
              <w:jc w:val="center"/>
              <w:rPr>
                <w:rFonts w:eastAsia="Arial"/>
                <w:lang w:bidi="cs-CZ"/>
              </w:rPr>
            </w:pPr>
          </w:p>
          <w:p w14:paraId="15132C13" w14:textId="77777777" w:rsidR="004C1DAF" w:rsidRPr="008819AF" w:rsidRDefault="004C1DAF" w:rsidP="004C1DAF">
            <w:pPr>
              <w:jc w:val="center"/>
              <w:rPr>
                <w:rFonts w:eastAsia="Arial"/>
                <w:lang w:bidi="cs-CZ"/>
              </w:rPr>
            </w:pPr>
          </w:p>
          <w:p w14:paraId="15132C14" w14:textId="77777777" w:rsidR="004C1DAF" w:rsidRPr="008819AF" w:rsidRDefault="004C1DAF" w:rsidP="004C1DAF">
            <w:pPr>
              <w:jc w:val="center"/>
              <w:rPr>
                <w:rFonts w:eastAsia="Arial"/>
                <w:lang w:bidi="cs-CZ"/>
              </w:rPr>
            </w:pPr>
          </w:p>
          <w:p w14:paraId="15132C15" w14:textId="77777777" w:rsidR="004C1DAF" w:rsidRPr="008819AF" w:rsidRDefault="004C1DAF" w:rsidP="004C1DAF">
            <w:pPr>
              <w:jc w:val="center"/>
              <w:rPr>
                <w:rFonts w:eastAsia="Arial"/>
                <w:lang w:bidi="cs-CZ"/>
              </w:rPr>
            </w:pPr>
          </w:p>
          <w:p w14:paraId="15132C16" w14:textId="77777777" w:rsidR="004C1DAF" w:rsidRPr="008819AF" w:rsidRDefault="004C1DAF" w:rsidP="004C1DAF">
            <w:pPr>
              <w:jc w:val="center"/>
              <w:rPr>
                <w:rFonts w:eastAsia="Arial"/>
                <w:lang w:bidi="cs-CZ"/>
              </w:rPr>
            </w:pPr>
          </w:p>
          <w:p w14:paraId="15132C17" w14:textId="77777777" w:rsidR="004C1DAF" w:rsidRPr="008819AF" w:rsidRDefault="004C1DAF" w:rsidP="004C1DAF">
            <w:pPr>
              <w:jc w:val="center"/>
              <w:rPr>
                <w:rFonts w:eastAsia="Arial"/>
                <w:lang w:bidi="cs-CZ"/>
              </w:rPr>
            </w:pPr>
          </w:p>
          <w:p w14:paraId="15132C18" w14:textId="77777777" w:rsidR="004C1DAF" w:rsidRPr="008819AF" w:rsidRDefault="004C1DAF" w:rsidP="004C1DAF">
            <w:pPr>
              <w:jc w:val="center"/>
              <w:rPr>
                <w:rFonts w:eastAsia="Arial"/>
                <w:lang w:bidi="cs-CZ"/>
              </w:rPr>
            </w:pPr>
          </w:p>
          <w:p w14:paraId="15132C19" w14:textId="77777777" w:rsidR="004C1DAF" w:rsidRPr="008819AF" w:rsidRDefault="004C1DAF" w:rsidP="004C1DAF">
            <w:pPr>
              <w:jc w:val="center"/>
              <w:rPr>
                <w:rFonts w:eastAsia="Arial"/>
                <w:lang w:bidi="cs-CZ"/>
              </w:rPr>
            </w:pPr>
          </w:p>
          <w:p w14:paraId="15132C1A" w14:textId="77777777" w:rsidR="004C1DAF" w:rsidRPr="008819AF" w:rsidRDefault="004C1DAF" w:rsidP="004C1DAF">
            <w:pPr>
              <w:jc w:val="center"/>
              <w:rPr>
                <w:rFonts w:eastAsia="Arial"/>
                <w:lang w:bidi="cs-CZ"/>
              </w:rPr>
            </w:pPr>
            <w:r w:rsidRPr="008819AF">
              <w:rPr>
                <w:rFonts w:eastAsia="Arial"/>
                <w:lang w:bidi="cs-CZ"/>
              </w:rPr>
              <w:t>NZ</w:t>
            </w:r>
          </w:p>
          <w:p w14:paraId="15132C1B" w14:textId="77777777" w:rsidR="004C1DAF" w:rsidRPr="008819AF" w:rsidRDefault="004C1DAF"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C1C" w14:textId="77777777" w:rsidR="004C1DAF" w:rsidRPr="008819AF" w:rsidRDefault="004C1DAF" w:rsidP="004C1DAF">
            <w:pPr>
              <w:ind w:left="215" w:hanging="215"/>
              <w:jc w:val="center"/>
              <w:rPr>
                <w:rFonts w:eastAsia="Arial"/>
                <w:lang w:bidi="cs-CZ"/>
              </w:rPr>
            </w:pPr>
            <w:r w:rsidRPr="008819AF">
              <w:rPr>
                <w:rFonts w:eastAsia="Arial"/>
                <w:lang w:bidi="cs-CZ"/>
              </w:rPr>
              <w:t>§ 34</w:t>
            </w:r>
          </w:p>
          <w:p w14:paraId="15132C1D" w14:textId="77777777" w:rsidR="004C1DAF" w:rsidRPr="008819AF" w:rsidRDefault="004C1DAF" w:rsidP="004C1DAF">
            <w:pPr>
              <w:ind w:left="215" w:hanging="215"/>
              <w:jc w:val="center"/>
              <w:rPr>
                <w:rFonts w:eastAsia="Arial"/>
                <w:lang w:bidi="cs-CZ"/>
              </w:rPr>
            </w:pPr>
            <w:r w:rsidRPr="008819AF">
              <w:rPr>
                <w:rFonts w:eastAsia="Arial"/>
                <w:lang w:bidi="cs-CZ"/>
              </w:rPr>
              <w:t>O 3</w:t>
            </w:r>
          </w:p>
          <w:p w14:paraId="15132C1E" w14:textId="77777777" w:rsidR="004C1DAF" w:rsidRPr="008819AF" w:rsidRDefault="004C1DAF" w:rsidP="004C1DAF">
            <w:pPr>
              <w:ind w:left="215" w:hanging="215"/>
              <w:jc w:val="center"/>
              <w:rPr>
                <w:rFonts w:eastAsia="Arial"/>
                <w:lang w:bidi="cs-CZ"/>
              </w:rPr>
            </w:pPr>
            <w:r w:rsidRPr="008819AF">
              <w:rPr>
                <w:rFonts w:eastAsia="Arial"/>
                <w:lang w:bidi="cs-CZ"/>
              </w:rPr>
              <w:t>P a)</w:t>
            </w:r>
          </w:p>
          <w:p w14:paraId="15132C1F" w14:textId="77777777" w:rsidR="004C1DAF" w:rsidRPr="008819AF" w:rsidRDefault="004C1DAF" w:rsidP="004C1DAF">
            <w:pPr>
              <w:ind w:left="215" w:hanging="215"/>
              <w:jc w:val="center"/>
              <w:rPr>
                <w:rFonts w:eastAsia="Arial"/>
                <w:lang w:bidi="cs-CZ"/>
              </w:rPr>
            </w:pPr>
          </w:p>
          <w:p w14:paraId="15132C20" w14:textId="77777777" w:rsidR="004C1DAF" w:rsidRPr="008819AF" w:rsidRDefault="004C1DAF" w:rsidP="004C1DAF">
            <w:pPr>
              <w:ind w:left="215" w:hanging="215"/>
              <w:jc w:val="center"/>
              <w:rPr>
                <w:rFonts w:eastAsia="Arial"/>
                <w:lang w:bidi="cs-CZ"/>
              </w:rPr>
            </w:pPr>
          </w:p>
          <w:p w14:paraId="15132C21" w14:textId="77777777" w:rsidR="004C1DAF" w:rsidRPr="008819AF" w:rsidRDefault="004C1DAF" w:rsidP="004C1DAF">
            <w:pPr>
              <w:ind w:left="215" w:hanging="215"/>
              <w:jc w:val="center"/>
              <w:rPr>
                <w:rFonts w:eastAsia="Arial"/>
                <w:lang w:bidi="cs-CZ"/>
              </w:rPr>
            </w:pPr>
          </w:p>
          <w:p w14:paraId="15132C22" w14:textId="77777777" w:rsidR="004C1DAF" w:rsidRPr="008819AF" w:rsidRDefault="004C1DAF" w:rsidP="004C1DAF">
            <w:pPr>
              <w:ind w:left="215" w:hanging="215"/>
              <w:jc w:val="center"/>
              <w:rPr>
                <w:rFonts w:eastAsia="Arial"/>
                <w:lang w:bidi="cs-CZ"/>
              </w:rPr>
            </w:pPr>
          </w:p>
          <w:p w14:paraId="15132C23" w14:textId="77777777" w:rsidR="004C1DAF" w:rsidRPr="008819AF" w:rsidRDefault="004C1DAF" w:rsidP="004C1DAF">
            <w:pPr>
              <w:ind w:left="215" w:hanging="215"/>
              <w:jc w:val="center"/>
              <w:rPr>
                <w:rFonts w:eastAsia="Arial"/>
                <w:lang w:bidi="cs-CZ"/>
              </w:rPr>
            </w:pPr>
          </w:p>
          <w:p w14:paraId="15132C24" w14:textId="77777777" w:rsidR="004C1DAF" w:rsidRPr="008819AF" w:rsidRDefault="004C1DAF" w:rsidP="004C1DAF">
            <w:pPr>
              <w:ind w:left="215" w:hanging="215"/>
              <w:jc w:val="center"/>
              <w:rPr>
                <w:rFonts w:eastAsia="Arial"/>
                <w:lang w:bidi="cs-CZ"/>
              </w:rPr>
            </w:pPr>
          </w:p>
          <w:p w14:paraId="15132C25" w14:textId="77777777" w:rsidR="004C1DAF" w:rsidRPr="008819AF" w:rsidRDefault="004C1DAF" w:rsidP="004C1DAF">
            <w:pPr>
              <w:ind w:left="215" w:hanging="215"/>
              <w:jc w:val="center"/>
              <w:rPr>
                <w:rFonts w:eastAsia="Arial"/>
                <w:lang w:bidi="cs-CZ"/>
              </w:rPr>
            </w:pPr>
            <w:r w:rsidRPr="008819AF">
              <w:rPr>
                <w:rFonts w:eastAsia="Arial"/>
                <w:lang w:bidi="cs-CZ"/>
              </w:rPr>
              <w:t>§ 62</w:t>
            </w:r>
          </w:p>
          <w:p w14:paraId="15132C26" w14:textId="77777777" w:rsidR="004C1DAF" w:rsidRPr="008819AF" w:rsidRDefault="004C1DAF" w:rsidP="004C1DAF">
            <w:pPr>
              <w:ind w:left="215" w:hanging="215"/>
              <w:jc w:val="center"/>
              <w:rPr>
                <w:rFonts w:eastAsia="Arial"/>
                <w:lang w:bidi="cs-CZ"/>
              </w:rPr>
            </w:pPr>
            <w:r w:rsidRPr="008819AF">
              <w:rPr>
                <w:rFonts w:eastAsia="Arial"/>
                <w:lang w:bidi="cs-CZ"/>
              </w:rPr>
              <w:t>P g)</w:t>
            </w:r>
          </w:p>
        </w:tc>
        <w:tc>
          <w:tcPr>
            <w:tcW w:w="5664" w:type="dxa"/>
            <w:gridSpan w:val="5"/>
            <w:tcBorders>
              <w:top w:val="single" w:sz="4" w:space="0" w:color="000000"/>
              <w:left w:val="single" w:sz="6" w:space="0" w:color="000000"/>
              <w:bottom w:val="single" w:sz="6" w:space="0" w:color="000000"/>
              <w:right w:val="single" w:sz="6" w:space="0" w:color="000000"/>
            </w:tcBorders>
          </w:tcPr>
          <w:p w14:paraId="15132C27" w14:textId="77777777" w:rsidR="004C1DAF" w:rsidRPr="008819AF" w:rsidRDefault="004C1DAF" w:rsidP="004C1DAF">
            <w:pPr>
              <w:pStyle w:val="odsek"/>
              <w:tabs>
                <w:tab w:val="left" w:pos="-426"/>
              </w:tabs>
              <w:spacing w:before="0"/>
              <w:ind w:left="0" w:firstLine="0"/>
              <w:jc w:val="left"/>
              <w:rPr>
                <w:rFonts w:ascii="Times New Roman" w:hAnsi="Times New Roman" w:cs="Times New Roman"/>
                <w:color w:val="auto"/>
                <w:sz w:val="20"/>
                <w:szCs w:val="20"/>
              </w:rPr>
            </w:pPr>
            <w:r w:rsidRPr="008819AF">
              <w:rPr>
                <w:rFonts w:ascii="Times New Roman" w:hAnsi="Times New Roman" w:cs="Times New Roman"/>
                <w:color w:val="auto"/>
                <w:sz w:val="20"/>
                <w:szCs w:val="20"/>
              </w:rPr>
              <w:t>Prevádzkovateľ veľkého zdroja a prevádzkovateľ stredného zdroja vo veciach monitorovania a preukazovania dodržiavania prípustnej miery znečisťovania ovzdušia je povinný</w:t>
            </w:r>
          </w:p>
          <w:p w14:paraId="15132C28" w14:textId="77777777" w:rsidR="004C1DAF" w:rsidRPr="008819AF" w:rsidRDefault="004C1DAF" w:rsidP="004C1DAF">
            <w:pPr>
              <w:pStyle w:val="odsek"/>
              <w:tabs>
                <w:tab w:val="left" w:pos="-426"/>
              </w:tabs>
              <w:spacing w:before="0"/>
              <w:ind w:left="72" w:firstLine="0"/>
              <w:jc w:val="left"/>
              <w:rPr>
                <w:rFonts w:ascii="Times New Roman" w:hAnsi="Times New Roman" w:cs="Times New Roman"/>
                <w:color w:val="auto"/>
                <w:sz w:val="20"/>
                <w:szCs w:val="20"/>
              </w:rPr>
            </w:pPr>
            <w:r w:rsidRPr="008819AF">
              <w:rPr>
                <w:rFonts w:ascii="Times New Roman" w:hAnsi="Times New Roman" w:cs="Times New Roman"/>
                <w:color w:val="auto"/>
                <w:sz w:val="20"/>
                <w:szCs w:val="20"/>
              </w:rPr>
              <w:t>a)</w:t>
            </w:r>
            <w:r w:rsidRPr="008819AF">
              <w:rPr>
                <w:rFonts w:ascii="Times New Roman" w:hAnsi="Times New Roman" w:cs="Times New Roman"/>
                <w:color w:val="auto"/>
                <w:sz w:val="20"/>
                <w:szCs w:val="20"/>
              </w:rPr>
              <w:tab/>
              <w:t xml:space="preserve">monitorovať </w:t>
            </w:r>
            <w:r w:rsidR="00E533A3" w:rsidRPr="008819AF">
              <w:rPr>
                <w:rFonts w:ascii="Times New Roman" w:hAnsi="Times New Roman" w:cs="Times New Roman"/>
                <w:color w:val="auto"/>
                <w:sz w:val="20"/>
                <w:szCs w:val="20"/>
              </w:rPr>
              <w:t xml:space="preserve">vybrané znečisťujúce látky </w:t>
            </w:r>
            <w:r w:rsidRPr="008819AF">
              <w:rPr>
                <w:rFonts w:ascii="Times New Roman" w:hAnsi="Times New Roman" w:cs="Times New Roman"/>
                <w:color w:val="auto"/>
                <w:sz w:val="20"/>
                <w:szCs w:val="20"/>
              </w:rPr>
              <w:t>a preukazovať dodržiavanie emisných limitov, technických požiadaviek a podmienok prevádzkovania podľa § 22 v súlade s požiadavkami určenými v povolení, spôsobom a v lehotách ustanovených vykonávacím predpisom podľa § 62 písm. g);</w:t>
            </w:r>
          </w:p>
          <w:p w14:paraId="15132C29" w14:textId="77777777" w:rsidR="004C1DAF" w:rsidRPr="008819AF" w:rsidRDefault="004C1DAF" w:rsidP="004C1DAF">
            <w:pPr>
              <w:pStyle w:val="odsek"/>
              <w:tabs>
                <w:tab w:val="left" w:pos="-426"/>
              </w:tabs>
              <w:spacing w:before="0"/>
              <w:ind w:left="72" w:firstLine="0"/>
              <w:jc w:val="left"/>
              <w:rPr>
                <w:rFonts w:ascii="Times New Roman" w:hAnsi="Times New Roman" w:cs="Times New Roman"/>
                <w:color w:val="auto"/>
                <w:sz w:val="20"/>
                <w:szCs w:val="20"/>
              </w:rPr>
            </w:pPr>
          </w:p>
          <w:p w14:paraId="15132C2A" w14:textId="77777777" w:rsidR="004C1DAF" w:rsidRPr="008819AF" w:rsidRDefault="004C1DAF" w:rsidP="004C1DAF">
            <w:pPr>
              <w:pStyle w:val="Textpsmene"/>
              <w:ind w:left="0" w:firstLine="0"/>
              <w:jc w:val="left"/>
              <w:rPr>
                <w:rFonts w:ascii="Times New Roman" w:hAnsi="Times New Roman" w:cs="Times New Roman"/>
                <w:sz w:val="20"/>
                <w:szCs w:val="20"/>
              </w:rPr>
            </w:pPr>
            <w:r w:rsidRPr="008819AF">
              <w:rPr>
                <w:rFonts w:ascii="Times New Roman" w:hAnsi="Times New Roman" w:cs="Times New Roman"/>
                <w:sz w:val="20"/>
                <w:szCs w:val="20"/>
              </w:rPr>
              <w:t>Všeobecne záväzný právny predpis, ktorý vydá ministerstvo, ustanoví</w:t>
            </w:r>
          </w:p>
          <w:p w14:paraId="15132C2B" w14:textId="77777777" w:rsidR="004C1DAF" w:rsidRPr="008819AF" w:rsidRDefault="00E533A3" w:rsidP="004C1DAF">
            <w:pPr>
              <w:pStyle w:val="Textpsmene"/>
              <w:ind w:left="0" w:firstLine="0"/>
              <w:jc w:val="left"/>
              <w:rPr>
                <w:rFonts w:ascii="Times New Roman" w:hAnsi="Times New Roman" w:cs="Times New Roman"/>
                <w:sz w:val="20"/>
                <w:szCs w:val="20"/>
              </w:rPr>
            </w:pPr>
            <w:r w:rsidRPr="008819AF">
              <w:rPr>
                <w:rFonts w:ascii="Times New Roman" w:hAnsi="Times New Roman" w:cs="Times New Roman"/>
                <w:sz w:val="20"/>
                <w:szCs w:val="20"/>
              </w:rPr>
              <w:t>g)</w:t>
            </w:r>
            <w:r w:rsidRPr="008819AF">
              <w:rPr>
                <w:rFonts w:ascii="Times New Roman" w:hAnsi="Times New Roman" w:cs="Times New Roman"/>
                <w:sz w:val="20"/>
                <w:szCs w:val="20"/>
              </w:rPr>
              <w:tab/>
              <w:t>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tc>
        <w:tc>
          <w:tcPr>
            <w:tcW w:w="429" w:type="dxa"/>
            <w:tcBorders>
              <w:top w:val="single" w:sz="4" w:space="0" w:color="000000"/>
              <w:left w:val="single" w:sz="6" w:space="0" w:color="000000"/>
              <w:bottom w:val="single" w:sz="6" w:space="0" w:color="000000"/>
              <w:right w:val="single" w:sz="6" w:space="0" w:color="000000"/>
            </w:tcBorders>
          </w:tcPr>
          <w:p w14:paraId="15132C2C" w14:textId="77777777" w:rsidR="004C1DAF" w:rsidRPr="008819AF" w:rsidRDefault="004C1DAF" w:rsidP="004C1DAF">
            <w:pPr>
              <w:ind w:left="215" w:hanging="215"/>
              <w:rPr>
                <w:rFonts w:eastAsia="Arial"/>
                <w:lang w:bidi="cs-CZ"/>
              </w:rPr>
            </w:pPr>
            <w:r w:rsidRPr="008819AF">
              <w:rPr>
                <w:rFonts w:eastAsia="Arial"/>
                <w:lang w:bidi="cs-CZ"/>
              </w:rPr>
              <w:t>Ú</w:t>
            </w:r>
          </w:p>
          <w:p w14:paraId="15132C2D" w14:textId="77777777" w:rsidR="004C1DAF" w:rsidRPr="008819AF" w:rsidRDefault="004C1DAF" w:rsidP="004C1DAF">
            <w:pPr>
              <w:ind w:left="215" w:hanging="215"/>
              <w:rPr>
                <w:rFonts w:eastAsia="Arial"/>
                <w:lang w:bidi="cs-CZ"/>
              </w:rPr>
            </w:pPr>
          </w:p>
          <w:p w14:paraId="15132C2E" w14:textId="77777777" w:rsidR="004C1DAF" w:rsidRPr="008819AF" w:rsidRDefault="004C1DAF" w:rsidP="004C1DAF">
            <w:pPr>
              <w:ind w:left="215" w:hanging="215"/>
              <w:rPr>
                <w:rFonts w:eastAsia="Arial"/>
                <w:lang w:bidi="cs-CZ"/>
              </w:rPr>
            </w:pPr>
          </w:p>
          <w:p w14:paraId="15132C2F" w14:textId="77777777" w:rsidR="004C1DAF" w:rsidRPr="008819AF" w:rsidRDefault="004C1DAF" w:rsidP="004C1DAF">
            <w:pPr>
              <w:ind w:left="215" w:hanging="215"/>
              <w:rPr>
                <w:rFonts w:eastAsia="Arial"/>
                <w:lang w:bidi="cs-CZ"/>
              </w:rPr>
            </w:pPr>
          </w:p>
          <w:p w14:paraId="15132C30" w14:textId="77777777" w:rsidR="004C1DAF" w:rsidRPr="008819AF" w:rsidRDefault="004C1DAF" w:rsidP="004C1DAF">
            <w:pPr>
              <w:ind w:left="215" w:hanging="215"/>
              <w:rPr>
                <w:rFonts w:eastAsia="Arial"/>
                <w:lang w:bidi="cs-CZ"/>
              </w:rPr>
            </w:pPr>
          </w:p>
          <w:p w14:paraId="15132C31" w14:textId="77777777" w:rsidR="004C1DAF" w:rsidRPr="008819AF" w:rsidRDefault="004C1DAF" w:rsidP="004C1DAF">
            <w:pPr>
              <w:ind w:left="215" w:hanging="215"/>
              <w:rPr>
                <w:rFonts w:eastAsia="Arial"/>
                <w:lang w:bidi="cs-CZ"/>
              </w:rPr>
            </w:pPr>
          </w:p>
          <w:p w14:paraId="15132C32" w14:textId="77777777" w:rsidR="004C1DAF" w:rsidRPr="008819AF" w:rsidRDefault="004C1DAF" w:rsidP="004C1DAF">
            <w:pPr>
              <w:ind w:left="215" w:hanging="215"/>
              <w:rPr>
                <w:rFonts w:eastAsia="Arial"/>
                <w:lang w:bidi="cs-CZ"/>
              </w:rPr>
            </w:pPr>
          </w:p>
          <w:p w14:paraId="15132C33" w14:textId="77777777" w:rsidR="004C1DAF" w:rsidRPr="008819AF" w:rsidRDefault="004C1DAF" w:rsidP="004C1DAF">
            <w:pPr>
              <w:ind w:left="215" w:hanging="215"/>
              <w:rPr>
                <w:rFonts w:eastAsia="Arial"/>
                <w:lang w:bidi="cs-CZ"/>
              </w:rPr>
            </w:pPr>
          </w:p>
          <w:p w14:paraId="15132C34" w14:textId="77777777" w:rsidR="004C1DAF" w:rsidRPr="008819AF" w:rsidRDefault="004C1DAF" w:rsidP="004C1DAF">
            <w:pPr>
              <w:ind w:left="215" w:hanging="215"/>
              <w:rPr>
                <w:rFonts w:eastAsia="Arial"/>
                <w:lang w:bidi="cs-CZ"/>
              </w:rPr>
            </w:pPr>
          </w:p>
          <w:p w14:paraId="15132C35" w14:textId="77777777" w:rsidR="004C1DAF" w:rsidRPr="008819AF" w:rsidRDefault="004C1DAF" w:rsidP="004C1DAF">
            <w:pPr>
              <w:ind w:left="215" w:hanging="215"/>
              <w:rPr>
                <w:rFonts w:eastAsia="Arial"/>
                <w:lang w:bidi="cs-CZ"/>
              </w:rPr>
            </w:pPr>
            <w:r w:rsidRPr="008819AF">
              <w:rPr>
                <w:rFonts w:eastAsia="Arial"/>
                <w:lang w:bidi="cs-CZ"/>
              </w:rPr>
              <w:t>Ú</w:t>
            </w:r>
          </w:p>
          <w:p w14:paraId="15132C36" w14:textId="77777777" w:rsidR="004C1DAF" w:rsidRPr="008819AF" w:rsidRDefault="004C1DAF" w:rsidP="00E533A3">
            <w:pPr>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C37" w14:textId="77777777" w:rsidR="004C1DAF" w:rsidRPr="008819AF" w:rsidRDefault="004C1DAF" w:rsidP="004C1DAF">
            <w:pPr>
              <w:ind w:left="215" w:hanging="215"/>
              <w:rPr>
                <w:rFonts w:eastAsia="Arial"/>
              </w:rPr>
            </w:pPr>
          </w:p>
        </w:tc>
      </w:tr>
      <w:tr w:rsidR="004C1DAF" w:rsidRPr="008819AF" w14:paraId="15132C6B"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2C39" w14:textId="77777777" w:rsidR="004C1DAF" w:rsidRPr="008819AF" w:rsidRDefault="004C1DAF" w:rsidP="004C1DAF">
            <w:pPr>
              <w:ind w:right="-70"/>
              <w:rPr>
                <w:rFonts w:eastAsia="Arial"/>
                <w:lang w:bidi="cs-CZ"/>
              </w:rPr>
            </w:pPr>
            <w:r w:rsidRPr="008819AF">
              <w:rPr>
                <w:rFonts w:eastAsia="Arial"/>
                <w:lang w:bidi="cs-CZ"/>
              </w:rPr>
              <w:t>Č:61</w:t>
            </w:r>
          </w:p>
        </w:tc>
        <w:tc>
          <w:tcPr>
            <w:tcW w:w="6227" w:type="dxa"/>
            <w:gridSpan w:val="2"/>
            <w:tcBorders>
              <w:top w:val="single" w:sz="4" w:space="0" w:color="000000"/>
              <w:left w:val="single" w:sz="6" w:space="0" w:color="000000"/>
              <w:bottom w:val="single" w:sz="6" w:space="0" w:color="000000"/>
              <w:right w:val="single" w:sz="6" w:space="0" w:color="000000"/>
            </w:tcBorders>
          </w:tcPr>
          <w:p w14:paraId="15132C3A" w14:textId="77777777" w:rsidR="004C1DAF" w:rsidRPr="008819AF" w:rsidRDefault="004C1DAF" w:rsidP="004C1DAF">
            <w:pPr>
              <w:ind w:left="215" w:hanging="215"/>
              <w:rPr>
                <w:rFonts w:eastAsia="Arial"/>
              </w:rPr>
            </w:pPr>
            <w:r w:rsidRPr="008819AF">
              <w:rPr>
                <w:rFonts w:eastAsia="Arial"/>
              </w:rPr>
              <w:t>Článok 61</w:t>
            </w:r>
          </w:p>
          <w:p w14:paraId="15132C3B" w14:textId="77777777" w:rsidR="004C1DAF" w:rsidRPr="008819AF" w:rsidRDefault="004C1DAF" w:rsidP="004C1DAF">
            <w:pPr>
              <w:ind w:left="215" w:hanging="215"/>
              <w:rPr>
                <w:rFonts w:eastAsia="Arial"/>
              </w:rPr>
            </w:pPr>
            <w:r w:rsidRPr="008819AF">
              <w:rPr>
                <w:rFonts w:eastAsia="Arial"/>
              </w:rPr>
              <w:t>Dodržiavanie emisných limitov</w:t>
            </w:r>
          </w:p>
          <w:p w14:paraId="15132C3C" w14:textId="77777777" w:rsidR="004C1DAF" w:rsidRPr="008819AF" w:rsidRDefault="004C1DAF" w:rsidP="004C1DAF">
            <w:pPr>
              <w:ind w:left="215" w:hanging="215"/>
              <w:rPr>
                <w:rFonts w:eastAsia="Arial"/>
              </w:rPr>
            </w:pPr>
          </w:p>
          <w:p w14:paraId="15132C3D" w14:textId="77777777" w:rsidR="004C1DAF" w:rsidRPr="008819AF" w:rsidRDefault="004C1DAF" w:rsidP="004C1DAF">
            <w:pPr>
              <w:ind w:left="215" w:hanging="1"/>
              <w:rPr>
                <w:rFonts w:eastAsia="Arial"/>
              </w:rPr>
            </w:pPr>
            <w:r w:rsidRPr="008819AF">
              <w:rPr>
                <w:rFonts w:eastAsia="Arial"/>
              </w:rPr>
              <w:t>Emisné limity pre odpadové plyny sa považujú za dodržané, ak sú splnené podmienky stanovené v prílohe VII časť 8.</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C3E" w14:textId="77777777" w:rsidR="004C1DAF" w:rsidRPr="008819AF" w:rsidRDefault="004C1DAF" w:rsidP="004C1DA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2C3F" w14:textId="77777777" w:rsidR="004C1DAF" w:rsidRPr="008819AF" w:rsidRDefault="004C1DAF" w:rsidP="004C1DAF">
            <w:pPr>
              <w:jc w:val="center"/>
              <w:rPr>
                <w:rFonts w:eastAsia="Arial"/>
                <w:lang w:bidi="cs-CZ"/>
              </w:rPr>
            </w:pPr>
            <w:r w:rsidRPr="008819AF">
              <w:rPr>
                <w:rFonts w:eastAsia="Arial"/>
                <w:lang w:bidi="cs-CZ"/>
              </w:rPr>
              <w:t>NZ</w:t>
            </w:r>
          </w:p>
          <w:p w14:paraId="15132C40" w14:textId="77777777" w:rsidR="004C1DAF" w:rsidRPr="008819AF" w:rsidRDefault="004C1DAF" w:rsidP="004C1DAF">
            <w:pPr>
              <w:ind w:left="215" w:hanging="215"/>
              <w:jc w:val="center"/>
              <w:rPr>
                <w:rFonts w:eastAsia="Arial"/>
                <w:lang w:bidi="cs-CZ"/>
              </w:rPr>
            </w:pPr>
          </w:p>
          <w:p w14:paraId="15132C41" w14:textId="77777777" w:rsidR="004C1DAF" w:rsidRPr="008819AF" w:rsidRDefault="004C1DAF" w:rsidP="004C1DAF">
            <w:pPr>
              <w:ind w:left="215" w:hanging="215"/>
              <w:jc w:val="center"/>
              <w:rPr>
                <w:rFonts w:eastAsia="Arial"/>
                <w:lang w:bidi="cs-CZ"/>
              </w:rPr>
            </w:pPr>
          </w:p>
          <w:p w14:paraId="15132C42" w14:textId="77777777" w:rsidR="004C1DAF" w:rsidRPr="008819AF" w:rsidRDefault="004C1DAF" w:rsidP="004C1DAF">
            <w:pPr>
              <w:ind w:left="215" w:hanging="215"/>
              <w:jc w:val="center"/>
              <w:rPr>
                <w:rFonts w:eastAsia="Arial"/>
                <w:lang w:bidi="cs-CZ"/>
              </w:rPr>
            </w:pPr>
          </w:p>
          <w:p w14:paraId="15132C43" w14:textId="77777777" w:rsidR="004C1DAF" w:rsidRPr="008819AF" w:rsidRDefault="004C1DAF" w:rsidP="004C1DAF">
            <w:pPr>
              <w:ind w:left="215" w:hanging="215"/>
              <w:jc w:val="center"/>
              <w:rPr>
                <w:rFonts w:eastAsia="Arial"/>
                <w:lang w:bidi="cs-CZ"/>
              </w:rPr>
            </w:pPr>
          </w:p>
          <w:p w14:paraId="15132C44" w14:textId="77777777" w:rsidR="004C1DAF" w:rsidRPr="008819AF" w:rsidRDefault="004C1DAF" w:rsidP="004C1DAF">
            <w:pPr>
              <w:ind w:left="215" w:hanging="215"/>
              <w:jc w:val="center"/>
              <w:rPr>
                <w:rFonts w:eastAsia="Arial"/>
                <w:lang w:bidi="cs-CZ"/>
              </w:rPr>
            </w:pPr>
          </w:p>
          <w:p w14:paraId="15132C45" w14:textId="77777777" w:rsidR="004C1DAF" w:rsidRPr="008819AF" w:rsidRDefault="004C1DAF" w:rsidP="004C1DAF">
            <w:pPr>
              <w:ind w:left="215" w:hanging="215"/>
              <w:jc w:val="center"/>
              <w:rPr>
                <w:rFonts w:eastAsia="Arial"/>
                <w:lang w:bidi="cs-CZ"/>
              </w:rPr>
            </w:pPr>
          </w:p>
          <w:p w14:paraId="15132C46" w14:textId="77777777" w:rsidR="004C1DAF" w:rsidRPr="008819AF" w:rsidRDefault="004C1DAF" w:rsidP="004C1DAF">
            <w:pPr>
              <w:ind w:left="215" w:hanging="215"/>
              <w:jc w:val="center"/>
              <w:rPr>
                <w:rFonts w:eastAsia="Arial"/>
                <w:lang w:bidi="cs-CZ"/>
              </w:rPr>
            </w:pPr>
          </w:p>
          <w:p w14:paraId="15132C47" w14:textId="77777777" w:rsidR="004C1DAF" w:rsidRPr="008819AF" w:rsidRDefault="004C1DAF" w:rsidP="004C1DAF">
            <w:pPr>
              <w:ind w:left="215" w:hanging="215"/>
              <w:jc w:val="center"/>
              <w:rPr>
                <w:rFonts w:eastAsia="Arial"/>
                <w:lang w:bidi="cs-CZ"/>
              </w:rPr>
            </w:pPr>
          </w:p>
          <w:p w14:paraId="15132C48" w14:textId="77777777" w:rsidR="004C1DAF" w:rsidRPr="008819AF" w:rsidRDefault="004C1DAF" w:rsidP="004C1DAF">
            <w:pPr>
              <w:ind w:left="215" w:hanging="215"/>
              <w:jc w:val="center"/>
              <w:rPr>
                <w:rFonts w:eastAsia="Arial"/>
                <w:lang w:bidi="cs-CZ"/>
              </w:rPr>
            </w:pPr>
          </w:p>
          <w:p w14:paraId="15132C49" w14:textId="77777777" w:rsidR="004C1DAF" w:rsidRPr="008819AF" w:rsidRDefault="004C1DAF" w:rsidP="004C1DAF">
            <w:pPr>
              <w:ind w:left="215" w:hanging="215"/>
              <w:jc w:val="center"/>
              <w:rPr>
                <w:rFonts w:eastAsia="Arial"/>
                <w:lang w:bidi="cs-CZ"/>
              </w:rPr>
            </w:pPr>
          </w:p>
          <w:p w14:paraId="15132C4A" w14:textId="77777777" w:rsidR="004C1DAF" w:rsidRPr="008819AF" w:rsidRDefault="004C1DAF" w:rsidP="004C1DAF">
            <w:pPr>
              <w:ind w:left="215" w:hanging="215"/>
              <w:jc w:val="center"/>
              <w:rPr>
                <w:rFonts w:eastAsia="Arial"/>
                <w:lang w:bidi="cs-CZ"/>
              </w:rPr>
            </w:pPr>
          </w:p>
          <w:p w14:paraId="15132C4B" w14:textId="77777777" w:rsidR="004C1DAF" w:rsidRPr="008819AF" w:rsidRDefault="004C1DAF" w:rsidP="004C1DAF">
            <w:pPr>
              <w:ind w:left="215" w:hanging="215"/>
              <w:jc w:val="center"/>
              <w:rPr>
                <w:rFonts w:eastAsia="Arial"/>
                <w:lang w:bidi="cs-CZ"/>
              </w:rPr>
            </w:pPr>
          </w:p>
          <w:p w14:paraId="15132C4C" w14:textId="77777777" w:rsidR="004C1DAF" w:rsidRPr="008819AF" w:rsidRDefault="004C1DAF" w:rsidP="004C1DAF">
            <w:pPr>
              <w:ind w:left="215" w:hanging="215"/>
              <w:jc w:val="center"/>
              <w:rPr>
                <w:rFonts w:eastAsia="Arial"/>
                <w:lang w:bidi="cs-CZ"/>
              </w:rPr>
            </w:pPr>
          </w:p>
          <w:p w14:paraId="15132C4D" w14:textId="77777777" w:rsidR="004C1DAF" w:rsidRPr="008819AF" w:rsidRDefault="004C1DAF" w:rsidP="004C1DAF">
            <w:pPr>
              <w:ind w:left="215" w:hanging="215"/>
              <w:jc w:val="center"/>
              <w:rPr>
                <w:rFonts w:eastAsia="Arial"/>
                <w:lang w:bidi="cs-CZ"/>
              </w:rPr>
            </w:pPr>
          </w:p>
          <w:p w14:paraId="15132C4E" w14:textId="77777777" w:rsidR="004C1DAF" w:rsidRPr="008819AF" w:rsidRDefault="004C1DAF" w:rsidP="004C1DAF">
            <w:pPr>
              <w:ind w:left="215" w:hanging="215"/>
              <w:jc w:val="center"/>
              <w:rPr>
                <w:rFonts w:eastAsia="Arial"/>
                <w:lang w:bidi="cs-CZ"/>
              </w:rPr>
            </w:pPr>
          </w:p>
          <w:p w14:paraId="15132C4F" w14:textId="77777777" w:rsidR="004C1DAF" w:rsidRPr="008819AF" w:rsidRDefault="004C1DAF" w:rsidP="004C1DAF">
            <w:pPr>
              <w:ind w:left="215" w:hanging="215"/>
              <w:jc w:val="center"/>
              <w:rPr>
                <w:rFonts w:eastAsia="Arial"/>
                <w:lang w:bidi="cs-CZ"/>
              </w:rPr>
            </w:pPr>
          </w:p>
          <w:p w14:paraId="15132C50" w14:textId="77777777" w:rsidR="004C1DAF" w:rsidRPr="008819AF" w:rsidRDefault="004C1DAF" w:rsidP="004C1DAF">
            <w:pPr>
              <w:jc w:val="center"/>
              <w:rPr>
                <w:rFonts w:eastAsia="Arial"/>
                <w:lang w:bidi="cs-CZ"/>
              </w:rPr>
            </w:pPr>
            <w:r w:rsidRPr="008819AF">
              <w:rPr>
                <w:rFonts w:eastAsia="Arial"/>
                <w:lang w:bidi="cs-CZ"/>
              </w:rPr>
              <w:t>NV2</w:t>
            </w:r>
          </w:p>
          <w:p w14:paraId="15132C51" w14:textId="77777777" w:rsidR="004C1DAF" w:rsidRPr="008819AF" w:rsidRDefault="004C1DAF"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C52" w14:textId="77777777" w:rsidR="004C1DAF" w:rsidRPr="008819AF" w:rsidRDefault="004C1DAF" w:rsidP="004C1DAF">
            <w:pPr>
              <w:ind w:left="215" w:hanging="215"/>
              <w:jc w:val="center"/>
              <w:rPr>
                <w:rFonts w:eastAsia="Arial"/>
                <w:lang w:bidi="cs-CZ"/>
              </w:rPr>
            </w:pPr>
            <w:r w:rsidRPr="008819AF">
              <w:rPr>
                <w:rFonts w:eastAsia="Arial"/>
                <w:lang w:bidi="cs-CZ"/>
              </w:rPr>
              <w:lastRenderedPageBreak/>
              <w:t>§ 62</w:t>
            </w:r>
          </w:p>
          <w:p w14:paraId="15132C53"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P f)</w:t>
            </w:r>
          </w:p>
          <w:p w14:paraId="15132C54"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55"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56"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57"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58"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59"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5A"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5B"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5C"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5D"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5E"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5F"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60"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61"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62"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C63" w14:textId="77777777" w:rsidR="00DB2CAB" w:rsidRPr="008819AF" w:rsidRDefault="00DB2CAB" w:rsidP="004C1DA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 31</w:t>
            </w:r>
          </w:p>
        </w:tc>
        <w:tc>
          <w:tcPr>
            <w:tcW w:w="5664" w:type="dxa"/>
            <w:gridSpan w:val="5"/>
            <w:tcBorders>
              <w:top w:val="single" w:sz="4" w:space="0" w:color="000000"/>
              <w:left w:val="single" w:sz="6" w:space="0" w:color="000000"/>
              <w:bottom w:val="single" w:sz="6" w:space="0" w:color="000000"/>
              <w:right w:val="single" w:sz="6" w:space="0" w:color="000000"/>
            </w:tcBorders>
          </w:tcPr>
          <w:p w14:paraId="15132C64" w14:textId="77777777" w:rsidR="004C1DAF" w:rsidRPr="008819AF" w:rsidRDefault="004C1DAF" w:rsidP="004C1DAF">
            <w:pPr>
              <w:pStyle w:val="Nadpis6"/>
              <w:jc w:val="left"/>
              <w:rPr>
                <w:rFonts w:ascii="Times New Roman" w:hAnsi="Times New Roman" w:cs="Times New Roman"/>
                <w:b w:val="0"/>
                <w:bCs w:val="0"/>
                <w:sz w:val="20"/>
                <w:szCs w:val="20"/>
              </w:rPr>
            </w:pPr>
            <w:r w:rsidRPr="008819AF">
              <w:rPr>
                <w:rFonts w:ascii="Times New Roman" w:hAnsi="Times New Roman" w:cs="Times New Roman"/>
                <w:b w:val="0"/>
                <w:bCs w:val="0"/>
                <w:sz w:val="20"/>
                <w:szCs w:val="20"/>
              </w:rPr>
              <w:lastRenderedPageBreak/>
              <w:t>Všeobecne záväzný právny predpis, ktorý vydá ministerstvo,</w:t>
            </w:r>
          </w:p>
          <w:p w14:paraId="15132C65" w14:textId="77777777" w:rsidR="004C1DAF" w:rsidRPr="008819AF" w:rsidRDefault="004C1DAF" w:rsidP="004C1DAF">
            <w:pPr>
              <w:pStyle w:val="Nadpis6"/>
              <w:jc w:val="left"/>
              <w:rPr>
                <w:rFonts w:ascii="Times New Roman" w:hAnsi="Times New Roman" w:cs="Times New Roman"/>
                <w:b w:val="0"/>
                <w:bCs w:val="0"/>
                <w:sz w:val="20"/>
                <w:szCs w:val="20"/>
              </w:rPr>
            </w:pPr>
            <w:r w:rsidRPr="008819AF">
              <w:rPr>
                <w:rFonts w:ascii="Times New Roman" w:hAnsi="Times New Roman" w:cs="Times New Roman"/>
                <w:b w:val="0"/>
                <w:bCs w:val="0"/>
                <w:sz w:val="20"/>
                <w:szCs w:val="20"/>
              </w:rPr>
              <w:t>ustanoví</w:t>
            </w:r>
          </w:p>
          <w:p w14:paraId="15132C66" w14:textId="77777777" w:rsidR="004C1DAF" w:rsidRPr="008819AF" w:rsidRDefault="00E533A3" w:rsidP="004C1DAF">
            <w:pPr>
              <w:rPr>
                <w:rFonts w:eastAsia="Arial"/>
                <w:lang w:bidi="cs-CZ"/>
              </w:rPr>
            </w:pPr>
            <w:r w:rsidRPr="008819AF">
              <w:rPr>
                <w:rFonts w:eastAsia="Arial"/>
                <w:lang w:bidi="cs-CZ"/>
              </w:rPr>
              <w:t>f)</w:t>
            </w:r>
            <w:r w:rsidRPr="008819AF">
              <w:rPr>
                <w:rFonts w:eastAsia="Arial"/>
                <w:lang w:bidi="cs-CZ"/>
              </w:rPr>
              <w:tab/>
              <w:t xml:space="preserve">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w:t>
            </w:r>
            <w:r w:rsidRPr="008819AF">
              <w:rPr>
                <w:rFonts w:eastAsia="Arial"/>
                <w:lang w:bidi="cs-CZ"/>
              </w:rPr>
              <w:lastRenderedPageBreak/>
              <w:t>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p w14:paraId="15132C67" w14:textId="77777777" w:rsidR="004C1DAF" w:rsidRPr="008819AF" w:rsidRDefault="004C1DAF" w:rsidP="004C1DAF">
            <w:pPr>
              <w:pStyle w:val="Nadpis2"/>
              <w:ind w:left="0" w:firstLine="0"/>
              <w:jc w:val="left"/>
              <w:rPr>
                <w:rFonts w:ascii="Times New Roman" w:eastAsia="Arial" w:hAnsi="Times New Roman" w:cs="Times New Roman"/>
                <w:b w:val="0"/>
                <w:bCs w:val="0"/>
                <w:sz w:val="20"/>
                <w:szCs w:val="20"/>
              </w:rPr>
            </w:pPr>
          </w:p>
          <w:p w14:paraId="15132C68" w14:textId="77777777" w:rsidR="004C1DAF" w:rsidRPr="008819AF" w:rsidRDefault="00DB2CAB" w:rsidP="004C1DAF">
            <w:pPr>
              <w:pStyle w:val="Hlavika"/>
              <w:ind w:left="72" w:hanging="1"/>
              <w:rPr>
                <w:rFonts w:ascii="Times New Roman" w:hAnsi="Times New Roman" w:cs="Times New Roman"/>
                <w:lang w:bidi="cs-CZ"/>
              </w:rPr>
            </w:pPr>
            <w:r w:rsidRPr="008819AF">
              <w:rPr>
                <w:rFonts w:ascii="Times New Roman" w:hAnsi="Times New Roman" w:cs="Times New Roman"/>
              </w:rPr>
              <w:t>Hodnotenie dodržiavania emisných limitov pre zariadenia používajúce organické rozpúšťadlá.</w:t>
            </w:r>
          </w:p>
        </w:tc>
        <w:tc>
          <w:tcPr>
            <w:tcW w:w="429" w:type="dxa"/>
            <w:tcBorders>
              <w:top w:val="single" w:sz="4" w:space="0" w:color="000000"/>
              <w:left w:val="single" w:sz="6" w:space="0" w:color="000000"/>
              <w:bottom w:val="single" w:sz="6" w:space="0" w:color="000000"/>
              <w:right w:val="single" w:sz="6" w:space="0" w:color="000000"/>
            </w:tcBorders>
          </w:tcPr>
          <w:p w14:paraId="15132C69" w14:textId="77777777" w:rsidR="004C1DAF" w:rsidRPr="008819AF" w:rsidRDefault="004C1DAF" w:rsidP="004C1DAF">
            <w:pPr>
              <w:ind w:left="215" w:hanging="215"/>
              <w:rPr>
                <w:rFonts w:eastAsia="Arial"/>
                <w:lang w:bidi="cs-CZ"/>
              </w:rPr>
            </w:pPr>
            <w:r w:rsidRPr="008819AF">
              <w:rPr>
                <w:rFonts w:eastAsia="Arial"/>
                <w:lang w:bidi="cs-CZ"/>
              </w:rPr>
              <w:lastRenderedPageBreak/>
              <w:t>Ú</w:t>
            </w:r>
          </w:p>
        </w:tc>
        <w:tc>
          <w:tcPr>
            <w:tcW w:w="821" w:type="dxa"/>
            <w:gridSpan w:val="3"/>
            <w:tcBorders>
              <w:top w:val="single" w:sz="4" w:space="0" w:color="000000"/>
              <w:left w:val="single" w:sz="6" w:space="0" w:color="000000"/>
              <w:bottom w:val="single" w:sz="6" w:space="0" w:color="000000"/>
              <w:right w:val="single" w:sz="6" w:space="0" w:color="000000"/>
            </w:tcBorders>
          </w:tcPr>
          <w:p w14:paraId="15132C6A" w14:textId="77777777" w:rsidR="004C1DAF" w:rsidRPr="008819AF" w:rsidRDefault="004C1DAF" w:rsidP="004C1DAF">
            <w:pPr>
              <w:ind w:left="215" w:hanging="215"/>
              <w:rPr>
                <w:rFonts w:eastAsia="Arial"/>
              </w:rPr>
            </w:pPr>
          </w:p>
        </w:tc>
      </w:tr>
      <w:tr w:rsidR="004C1DAF" w:rsidRPr="008819AF" w14:paraId="15132CDD" w14:textId="77777777" w:rsidTr="003E351D">
        <w:trPr>
          <w:trHeight w:val="390"/>
          <w:jc w:val="center"/>
        </w:trPr>
        <w:tc>
          <w:tcPr>
            <w:tcW w:w="483" w:type="dxa"/>
            <w:tcBorders>
              <w:top w:val="single" w:sz="4" w:space="0" w:color="000000"/>
              <w:left w:val="single" w:sz="6" w:space="0" w:color="000000"/>
              <w:bottom w:val="single" w:sz="6" w:space="0" w:color="000000"/>
              <w:right w:val="single" w:sz="6" w:space="0" w:color="000000"/>
            </w:tcBorders>
          </w:tcPr>
          <w:p w14:paraId="15132C6C" w14:textId="77777777" w:rsidR="004C1DAF" w:rsidRPr="008819AF" w:rsidRDefault="004C1DAF" w:rsidP="004C1DAF">
            <w:pPr>
              <w:ind w:right="-70"/>
              <w:rPr>
                <w:rFonts w:eastAsia="Arial"/>
                <w:lang w:bidi="cs-CZ"/>
              </w:rPr>
            </w:pPr>
            <w:r w:rsidRPr="008819AF">
              <w:rPr>
                <w:rFonts w:eastAsia="Arial"/>
                <w:lang w:bidi="cs-CZ"/>
              </w:rPr>
              <w:t>Č:62</w:t>
            </w:r>
          </w:p>
        </w:tc>
        <w:tc>
          <w:tcPr>
            <w:tcW w:w="6227" w:type="dxa"/>
            <w:gridSpan w:val="2"/>
            <w:tcBorders>
              <w:top w:val="single" w:sz="4" w:space="0" w:color="000000"/>
              <w:left w:val="single" w:sz="6" w:space="0" w:color="000000"/>
              <w:bottom w:val="single" w:sz="6" w:space="0" w:color="000000"/>
              <w:right w:val="single" w:sz="6" w:space="0" w:color="000000"/>
            </w:tcBorders>
          </w:tcPr>
          <w:p w14:paraId="15132C6D" w14:textId="77777777" w:rsidR="004C1DAF" w:rsidRPr="008819AF" w:rsidRDefault="004C1DAF" w:rsidP="004C1DAF">
            <w:pPr>
              <w:ind w:left="215" w:hanging="215"/>
              <w:rPr>
                <w:rFonts w:eastAsia="Arial"/>
              </w:rPr>
            </w:pPr>
            <w:r w:rsidRPr="008819AF">
              <w:rPr>
                <w:rFonts w:eastAsia="Arial"/>
              </w:rPr>
              <w:t>Článok 62</w:t>
            </w:r>
          </w:p>
          <w:p w14:paraId="15132C6E" w14:textId="77777777" w:rsidR="004C1DAF" w:rsidRPr="008819AF" w:rsidRDefault="004C1DAF" w:rsidP="004C1DAF">
            <w:pPr>
              <w:ind w:left="215" w:hanging="215"/>
              <w:rPr>
                <w:rFonts w:eastAsia="Arial"/>
              </w:rPr>
            </w:pPr>
            <w:r w:rsidRPr="008819AF">
              <w:rPr>
                <w:rFonts w:eastAsia="Arial"/>
              </w:rPr>
              <w:t>Podávanie správ o dodržiavaní podmienok</w:t>
            </w:r>
          </w:p>
          <w:p w14:paraId="15132C6F" w14:textId="77777777" w:rsidR="004C1DAF" w:rsidRPr="008819AF" w:rsidRDefault="004C1DAF" w:rsidP="004C1DAF">
            <w:pPr>
              <w:ind w:hanging="215"/>
              <w:rPr>
                <w:rFonts w:eastAsia="Arial"/>
              </w:rPr>
            </w:pPr>
          </w:p>
          <w:p w14:paraId="15132C70" w14:textId="77777777" w:rsidR="004C1DAF" w:rsidRPr="008819AF" w:rsidRDefault="004C1DAF" w:rsidP="004C1DAF">
            <w:pPr>
              <w:ind w:hanging="1"/>
              <w:rPr>
                <w:rFonts w:eastAsia="Arial"/>
              </w:rPr>
            </w:pPr>
            <w:r w:rsidRPr="008819AF">
              <w:rPr>
                <w:rFonts w:eastAsia="Arial"/>
              </w:rPr>
              <w:t>Prevádzkovateľ poskytne príslušnému orgánu na požiadanie údaje, ktoré umožnia príslušnému orgánu overiť súlad s ktorýmkoľvek z týchto parametrov:</w:t>
            </w:r>
          </w:p>
          <w:p w14:paraId="15132C71" w14:textId="77777777" w:rsidR="004C1DAF" w:rsidRPr="008819AF" w:rsidRDefault="004C1DAF" w:rsidP="009C63CF">
            <w:pPr>
              <w:numPr>
                <w:ilvl w:val="0"/>
                <w:numId w:val="41"/>
              </w:numPr>
              <w:ind w:left="211" w:hanging="211"/>
              <w:rPr>
                <w:rFonts w:eastAsia="Arial"/>
              </w:rPr>
            </w:pPr>
            <w:r w:rsidRPr="008819AF">
              <w:rPr>
                <w:rFonts w:eastAsia="Arial"/>
              </w:rPr>
              <w:t>emisné limity v odpadových plynoch, limitné hodnoty fugitívnych emisií a limitné hodnoty celkových emisií;</w:t>
            </w:r>
          </w:p>
          <w:p w14:paraId="15132C72" w14:textId="77777777" w:rsidR="004C1DAF" w:rsidRPr="008819AF" w:rsidRDefault="004C1DAF" w:rsidP="009C63CF">
            <w:pPr>
              <w:numPr>
                <w:ilvl w:val="0"/>
                <w:numId w:val="41"/>
              </w:numPr>
              <w:ind w:left="211" w:hanging="211"/>
              <w:rPr>
                <w:rFonts w:eastAsia="Arial"/>
              </w:rPr>
            </w:pPr>
            <w:r w:rsidRPr="008819AF">
              <w:rPr>
                <w:rFonts w:eastAsia="Arial"/>
              </w:rPr>
              <w:t>požiadavky schémy znižovania emisií podľa prílohy VII časť 5;</w:t>
            </w:r>
          </w:p>
          <w:p w14:paraId="15132C73" w14:textId="77777777" w:rsidR="004C1DAF" w:rsidRPr="008819AF" w:rsidRDefault="004C1DAF" w:rsidP="009C63CF">
            <w:pPr>
              <w:numPr>
                <w:ilvl w:val="0"/>
                <w:numId w:val="41"/>
              </w:numPr>
              <w:ind w:left="211" w:hanging="211"/>
              <w:rPr>
                <w:rFonts w:eastAsia="Arial"/>
              </w:rPr>
            </w:pPr>
            <w:r w:rsidRPr="008819AF">
              <w:rPr>
                <w:rFonts w:eastAsia="Arial"/>
              </w:rPr>
              <w:t>výnimky udelené v súlade s článkom 59 ods. 2 a 3.</w:t>
            </w:r>
          </w:p>
          <w:p w14:paraId="15132C74" w14:textId="77777777" w:rsidR="004C1DAF" w:rsidRPr="008819AF" w:rsidRDefault="004C1DAF" w:rsidP="004C1DAF">
            <w:pPr>
              <w:ind w:hanging="215"/>
              <w:rPr>
                <w:rFonts w:eastAsia="Arial"/>
              </w:rPr>
            </w:pPr>
          </w:p>
          <w:p w14:paraId="15132C75" w14:textId="77777777" w:rsidR="004C1DAF" w:rsidRPr="008819AF" w:rsidRDefault="004C1DAF" w:rsidP="004C1DAF">
            <w:pPr>
              <w:ind w:hanging="1"/>
              <w:rPr>
                <w:rFonts w:eastAsia="Arial"/>
              </w:rPr>
            </w:pPr>
            <w:r w:rsidRPr="008819AF">
              <w:rPr>
                <w:rFonts w:eastAsia="Arial"/>
              </w:rPr>
              <w:t>Tieto údaje môžu zahŕňať plány hospodárenia s rozpúšťadlami vypracované v súlade s prílohou VII časť 7.</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C76" w14:textId="77777777" w:rsidR="004C1DAF" w:rsidRPr="008819AF" w:rsidRDefault="004C1DAF" w:rsidP="004C1DAF">
            <w:pPr>
              <w:ind w:left="215" w:hanging="215"/>
              <w:jc w:val="center"/>
              <w:rPr>
                <w:rFonts w:eastAsia="Arial"/>
                <w:lang w:bidi="cs-CZ"/>
              </w:rPr>
            </w:pPr>
            <w:r w:rsidRPr="008819AF">
              <w:rPr>
                <w:rFonts w:eastAsia="Arial"/>
                <w:lang w:bidi="cs-CZ"/>
              </w:rPr>
              <w:t>N</w:t>
            </w:r>
          </w:p>
          <w:p w14:paraId="15132C77" w14:textId="77777777" w:rsidR="004C1DAF" w:rsidRPr="008819AF" w:rsidRDefault="004C1DAF" w:rsidP="004C1DAF">
            <w:pPr>
              <w:ind w:left="215" w:hanging="215"/>
              <w:jc w:val="center"/>
              <w:rPr>
                <w:rFonts w:eastAsia="Arial"/>
                <w:lang w:bidi="cs-CZ"/>
              </w:rPr>
            </w:pPr>
          </w:p>
          <w:p w14:paraId="15132C78" w14:textId="77777777" w:rsidR="004C1DAF" w:rsidRPr="008819AF" w:rsidRDefault="004C1DAF" w:rsidP="004C1DAF">
            <w:pPr>
              <w:ind w:left="215" w:hanging="215"/>
              <w:jc w:val="center"/>
              <w:rPr>
                <w:rFonts w:eastAsia="Arial"/>
                <w:lang w:bidi="cs-CZ"/>
              </w:rPr>
            </w:pPr>
          </w:p>
          <w:p w14:paraId="15132C79" w14:textId="77777777" w:rsidR="004C1DAF" w:rsidRPr="008819AF" w:rsidRDefault="004C1DAF" w:rsidP="004C1DAF">
            <w:pPr>
              <w:ind w:left="215" w:hanging="215"/>
              <w:jc w:val="center"/>
              <w:rPr>
                <w:rFonts w:eastAsia="Arial"/>
                <w:lang w:bidi="cs-CZ"/>
              </w:rPr>
            </w:pPr>
          </w:p>
          <w:p w14:paraId="15132C7A" w14:textId="77777777" w:rsidR="004C1DAF" w:rsidRPr="008819AF" w:rsidRDefault="004C1DAF" w:rsidP="004C1DAF">
            <w:pPr>
              <w:ind w:left="215" w:hanging="215"/>
              <w:jc w:val="center"/>
              <w:rPr>
                <w:rFonts w:eastAsia="Arial"/>
                <w:lang w:bidi="cs-CZ"/>
              </w:rPr>
            </w:pPr>
          </w:p>
          <w:p w14:paraId="15132C7B" w14:textId="77777777" w:rsidR="004C1DAF" w:rsidRPr="008819AF" w:rsidRDefault="004C1DAF" w:rsidP="004C1DAF">
            <w:pPr>
              <w:ind w:left="215" w:hanging="215"/>
              <w:jc w:val="center"/>
              <w:rPr>
                <w:rFonts w:eastAsia="Arial"/>
                <w:lang w:bidi="cs-CZ"/>
              </w:rPr>
            </w:pPr>
          </w:p>
          <w:p w14:paraId="15132C7C" w14:textId="77777777" w:rsidR="004C1DAF" w:rsidRPr="008819AF" w:rsidRDefault="004C1DAF" w:rsidP="004C1DA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2C7D" w14:textId="77777777" w:rsidR="004C1DAF" w:rsidRPr="008819AF" w:rsidRDefault="004C1DAF" w:rsidP="004C1DAF">
            <w:pPr>
              <w:ind w:left="215" w:hanging="215"/>
              <w:jc w:val="center"/>
              <w:rPr>
                <w:rFonts w:eastAsia="Arial"/>
                <w:lang w:bidi="cs-CZ"/>
              </w:rPr>
            </w:pPr>
            <w:r w:rsidRPr="008819AF">
              <w:rPr>
                <w:rFonts w:eastAsia="Arial"/>
                <w:lang w:bidi="cs-CZ"/>
              </w:rPr>
              <w:t>NZ</w:t>
            </w:r>
          </w:p>
          <w:p w14:paraId="15132C7E" w14:textId="77777777" w:rsidR="004C1DAF" w:rsidRPr="008819AF" w:rsidRDefault="004C1DAF" w:rsidP="004C1DAF">
            <w:pPr>
              <w:ind w:left="215" w:hanging="215"/>
              <w:jc w:val="center"/>
              <w:rPr>
                <w:rFonts w:eastAsia="Arial"/>
                <w:lang w:bidi="cs-CZ"/>
              </w:rPr>
            </w:pPr>
          </w:p>
          <w:p w14:paraId="15132C7F" w14:textId="77777777" w:rsidR="004C1DAF" w:rsidRPr="008819AF" w:rsidRDefault="004C1DAF" w:rsidP="004C1DAF">
            <w:pPr>
              <w:ind w:left="215" w:hanging="215"/>
              <w:jc w:val="center"/>
              <w:rPr>
                <w:rFonts w:eastAsia="Arial"/>
                <w:lang w:bidi="cs-CZ"/>
              </w:rPr>
            </w:pPr>
          </w:p>
          <w:p w14:paraId="15132C80" w14:textId="77777777" w:rsidR="004C1DAF" w:rsidRPr="008819AF" w:rsidRDefault="004C1DAF" w:rsidP="004C1DAF">
            <w:pPr>
              <w:ind w:left="215" w:hanging="215"/>
              <w:jc w:val="center"/>
              <w:rPr>
                <w:rFonts w:eastAsia="Arial"/>
                <w:lang w:bidi="cs-CZ"/>
              </w:rPr>
            </w:pPr>
          </w:p>
          <w:p w14:paraId="15132C81" w14:textId="77777777" w:rsidR="004C1DAF" w:rsidRPr="008819AF" w:rsidRDefault="004C1DAF" w:rsidP="004C1DAF">
            <w:pPr>
              <w:ind w:left="215" w:hanging="215"/>
              <w:jc w:val="center"/>
              <w:rPr>
                <w:rFonts w:eastAsia="Arial"/>
                <w:lang w:bidi="cs-CZ"/>
              </w:rPr>
            </w:pPr>
          </w:p>
          <w:p w14:paraId="15132C82" w14:textId="77777777" w:rsidR="004C1DAF" w:rsidRPr="008819AF" w:rsidRDefault="004C1DAF" w:rsidP="004C1DAF">
            <w:pPr>
              <w:ind w:left="215" w:hanging="215"/>
              <w:jc w:val="center"/>
              <w:rPr>
                <w:rFonts w:eastAsia="Arial"/>
                <w:lang w:bidi="cs-CZ"/>
              </w:rPr>
            </w:pPr>
          </w:p>
          <w:p w14:paraId="15132C83" w14:textId="77777777" w:rsidR="004C1DAF" w:rsidRPr="008819AF" w:rsidRDefault="004C1DAF" w:rsidP="004C1DAF">
            <w:pPr>
              <w:ind w:left="215" w:hanging="215"/>
              <w:jc w:val="center"/>
              <w:rPr>
                <w:rFonts w:eastAsia="Arial"/>
                <w:lang w:bidi="cs-CZ"/>
              </w:rPr>
            </w:pPr>
            <w:r w:rsidRPr="008819AF">
              <w:rPr>
                <w:rFonts w:eastAsia="Arial"/>
                <w:lang w:bidi="cs-CZ"/>
              </w:rPr>
              <w:t>NZ</w:t>
            </w:r>
          </w:p>
          <w:p w14:paraId="15132C84" w14:textId="77777777" w:rsidR="004C1DAF" w:rsidRPr="008819AF" w:rsidRDefault="004C1DAF" w:rsidP="004C1DAF">
            <w:pPr>
              <w:ind w:left="215" w:hanging="215"/>
              <w:jc w:val="center"/>
              <w:rPr>
                <w:rFonts w:eastAsia="Arial"/>
                <w:lang w:bidi="cs-CZ"/>
              </w:rPr>
            </w:pPr>
          </w:p>
          <w:p w14:paraId="15132C85" w14:textId="77777777" w:rsidR="004C1DAF" w:rsidRPr="008819AF" w:rsidRDefault="004C1DAF" w:rsidP="004C1DAF">
            <w:pPr>
              <w:ind w:left="215" w:hanging="215"/>
              <w:jc w:val="center"/>
              <w:rPr>
                <w:rFonts w:eastAsia="Arial"/>
                <w:lang w:bidi="cs-CZ"/>
              </w:rPr>
            </w:pPr>
          </w:p>
          <w:p w14:paraId="15132C86" w14:textId="77777777" w:rsidR="004C1DAF" w:rsidRPr="008819AF" w:rsidRDefault="004C1DAF" w:rsidP="004C1DAF">
            <w:pPr>
              <w:ind w:left="215" w:hanging="215"/>
              <w:jc w:val="center"/>
              <w:rPr>
                <w:rFonts w:eastAsia="Arial"/>
                <w:lang w:bidi="cs-CZ"/>
              </w:rPr>
            </w:pPr>
          </w:p>
          <w:p w14:paraId="15132C87" w14:textId="77777777" w:rsidR="004C1DAF" w:rsidRPr="008819AF" w:rsidRDefault="004C1DAF" w:rsidP="004C1DAF">
            <w:pPr>
              <w:ind w:left="215" w:hanging="215"/>
              <w:jc w:val="center"/>
              <w:rPr>
                <w:rFonts w:eastAsia="Arial"/>
                <w:lang w:bidi="cs-CZ"/>
              </w:rPr>
            </w:pPr>
          </w:p>
          <w:p w14:paraId="15132C88" w14:textId="77777777" w:rsidR="004C1DAF" w:rsidRPr="008819AF" w:rsidRDefault="004C1DAF" w:rsidP="004C1DAF">
            <w:pPr>
              <w:ind w:left="215" w:hanging="215"/>
              <w:jc w:val="center"/>
              <w:rPr>
                <w:rFonts w:eastAsia="Arial"/>
                <w:lang w:bidi="cs-CZ"/>
              </w:rPr>
            </w:pPr>
          </w:p>
          <w:p w14:paraId="15132C89" w14:textId="77777777" w:rsidR="004C1DAF" w:rsidRPr="008819AF" w:rsidRDefault="004C1DAF" w:rsidP="004C1DAF">
            <w:pPr>
              <w:ind w:left="215" w:hanging="215"/>
              <w:jc w:val="center"/>
              <w:rPr>
                <w:rFonts w:eastAsia="Arial"/>
                <w:lang w:bidi="cs-CZ"/>
              </w:rPr>
            </w:pPr>
          </w:p>
          <w:p w14:paraId="15132C8A" w14:textId="77777777" w:rsidR="004C1DAF" w:rsidRPr="008819AF" w:rsidRDefault="004C1DAF" w:rsidP="004C1DAF">
            <w:pPr>
              <w:ind w:left="215" w:hanging="215"/>
              <w:jc w:val="center"/>
              <w:rPr>
                <w:rFonts w:eastAsia="Arial"/>
                <w:lang w:bidi="cs-CZ"/>
              </w:rPr>
            </w:pPr>
          </w:p>
          <w:p w14:paraId="15132C8B" w14:textId="77777777" w:rsidR="004C1DAF" w:rsidRPr="008819AF" w:rsidRDefault="004C1DAF" w:rsidP="004C1DAF">
            <w:pPr>
              <w:ind w:left="215" w:hanging="215"/>
              <w:jc w:val="center"/>
              <w:rPr>
                <w:rFonts w:eastAsia="Arial"/>
                <w:lang w:bidi="cs-CZ"/>
              </w:rPr>
            </w:pPr>
          </w:p>
          <w:p w14:paraId="15132C8C" w14:textId="77777777" w:rsidR="004C1DAF" w:rsidRPr="008819AF" w:rsidRDefault="004C1DAF" w:rsidP="004C1DAF">
            <w:pPr>
              <w:ind w:left="215" w:hanging="215"/>
              <w:jc w:val="center"/>
              <w:rPr>
                <w:rFonts w:eastAsia="Arial"/>
                <w:lang w:bidi="cs-CZ"/>
              </w:rPr>
            </w:pPr>
          </w:p>
          <w:p w14:paraId="15132C8D" w14:textId="77777777" w:rsidR="004C1DAF" w:rsidRPr="008819AF" w:rsidRDefault="004C1DAF" w:rsidP="004C1DAF">
            <w:pPr>
              <w:ind w:left="215" w:hanging="215"/>
              <w:jc w:val="center"/>
              <w:rPr>
                <w:rFonts w:eastAsia="Arial"/>
                <w:lang w:bidi="cs-CZ"/>
              </w:rPr>
            </w:pPr>
          </w:p>
          <w:p w14:paraId="15132C8E" w14:textId="77777777" w:rsidR="004C1DAF" w:rsidRPr="008819AF" w:rsidRDefault="004C1DAF" w:rsidP="004C1DAF">
            <w:pPr>
              <w:ind w:left="215" w:hanging="215"/>
              <w:jc w:val="center"/>
              <w:rPr>
                <w:rFonts w:eastAsia="Arial"/>
                <w:lang w:bidi="cs-CZ"/>
              </w:rPr>
            </w:pPr>
          </w:p>
          <w:p w14:paraId="15132C8F" w14:textId="77777777" w:rsidR="004C1DAF" w:rsidRPr="008819AF" w:rsidRDefault="004C1DAF" w:rsidP="004C1DAF">
            <w:pPr>
              <w:ind w:left="215" w:hanging="215"/>
              <w:jc w:val="center"/>
              <w:rPr>
                <w:rFonts w:eastAsia="Arial"/>
                <w:lang w:bidi="cs-CZ"/>
              </w:rPr>
            </w:pPr>
          </w:p>
          <w:p w14:paraId="15132C90" w14:textId="77777777" w:rsidR="004C1DAF" w:rsidRPr="008819AF" w:rsidRDefault="004C1DAF" w:rsidP="004C1DAF">
            <w:pPr>
              <w:ind w:left="215" w:hanging="215"/>
              <w:jc w:val="center"/>
              <w:rPr>
                <w:rFonts w:eastAsia="Arial"/>
                <w:lang w:bidi="cs-CZ"/>
              </w:rPr>
            </w:pPr>
          </w:p>
          <w:p w14:paraId="15132C91" w14:textId="77777777" w:rsidR="004C1DAF" w:rsidRPr="008819AF" w:rsidRDefault="004C1DAF" w:rsidP="004C1DAF">
            <w:pPr>
              <w:jc w:val="center"/>
              <w:rPr>
                <w:rFonts w:eastAsia="Arial"/>
                <w:lang w:bidi="cs-CZ"/>
              </w:rPr>
            </w:pPr>
            <w:r w:rsidRPr="008819AF">
              <w:rPr>
                <w:rFonts w:eastAsia="Arial"/>
                <w:lang w:bidi="cs-CZ"/>
              </w:rPr>
              <w:t>NV2</w:t>
            </w:r>
          </w:p>
          <w:p w14:paraId="15132C92" w14:textId="77777777" w:rsidR="004C1DAF" w:rsidRPr="008819AF" w:rsidRDefault="004C1DAF" w:rsidP="004C1DAF">
            <w:pPr>
              <w:jc w:val="center"/>
              <w:rPr>
                <w:rFonts w:eastAsia="Arial"/>
                <w:lang w:bidi="cs-CZ"/>
              </w:rPr>
            </w:pPr>
          </w:p>
          <w:p w14:paraId="15132C93" w14:textId="77777777" w:rsidR="004C1DAF" w:rsidRPr="008819AF" w:rsidRDefault="004C1DAF" w:rsidP="004C1DAF">
            <w:pPr>
              <w:jc w:val="center"/>
              <w:rPr>
                <w:rFonts w:eastAsia="Arial"/>
                <w:lang w:bidi="cs-CZ"/>
              </w:rPr>
            </w:pPr>
          </w:p>
          <w:p w14:paraId="15132C94" w14:textId="77777777" w:rsidR="004C1DAF" w:rsidRPr="008819AF" w:rsidRDefault="004C1DAF" w:rsidP="004C1DAF">
            <w:pPr>
              <w:jc w:val="center"/>
              <w:rPr>
                <w:rFonts w:eastAsia="Arial"/>
                <w:lang w:bidi="cs-CZ"/>
              </w:rPr>
            </w:pPr>
          </w:p>
          <w:p w14:paraId="15132C95" w14:textId="77777777" w:rsidR="004F7A5C" w:rsidRPr="008819AF" w:rsidRDefault="004F7A5C" w:rsidP="004C1DAF">
            <w:pPr>
              <w:pStyle w:val="Odsekzoznamu"/>
              <w:tabs>
                <w:tab w:val="left" w:pos="214"/>
              </w:tabs>
              <w:ind w:left="0"/>
              <w:jc w:val="center"/>
              <w:rPr>
                <w:rFonts w:eastAsia="Arial"/>
                <w:sz w:val="20"/>
                <w:szCs w:val="20"/>
                <w:lang w:bidi="cs-CZ"/>
              </w:rPr>
            </w:pPr>
          </w:p>
          <w:p w14:paraId="15132C96" w14:textId="77777777" w:rsidR="004F7A5C" w:rsidRPr="008819AF" w:rsidRDefault="004F7A5C" w:rsidP="004C1DAF">
            <w:pPr>
              <w:pStyle w:val="Odsekzoznamu"/>
              <w:tabs>
                <w:tab w:val="left" w:pos="214"/>
              </w:tabs>
              <w:ind w:left="0"/>
              <w:jc w:val="center"/>
              <w:rPr>
                <w:rFonts w:eastAsia="Arial"/>
                <w:sz w:val="20"/>
                <w:szCs w:val="20"/>
                <w:lang w:bidi="cs-CZ"/>
              </w:rPr>
            </w:pPr>
          </w:p>
          <w:p w14:paraId="15132C97" w14:textId="77777777" w:rsidR="004F7A5C" w:rsidRPr="008819AF" w:rsidRDefault="004F7A5C" w:rsidP="004C1DAF">
            <w:pPr>
              <w:pStyle w:val="Odsekzoznamu"/>
              <w:tabs>
                <w:tab w:val="left" w:pos="214"/>
              </w:tabs>
              <w:ind w:left="0"/>
              <w:jc w:val="center"/>
              <w:rPr>
                <w:rFonts w:eastAsia="Arial"/>
                <w:sz w:val="20"/>
                <w:szCs w:val="20"/>
                <w:lang w:bidi="cs-CZ"/>
              </w:rPr>
            </w:pPr>
          </w:p>
          <w:p w14:paraId="15132C98" w14:textId="53F65417" w:rsidR="004F7A5C" w:rsidRPr="008819AF" w:rsidRDefault="004F7A5C" w:rsidP="004C1DAF">
            <w:pPr>
              <w:pStyle w:val="Odsekzoznamu"/>
              <w:tabs>
                <w:tab w:val="left" w:pos="214"/>
              </w:tabs>
              <w:ind w:left="0"/>
              <w:jc w:val="center"/>
              <w:rPr>
                <w:rFonts w:eastAsia="Arial"/>
                <w:sz w:val="20"/>
                <w:szCs w:val="20"/>
                <w:lang w:bidi="cs-CZ"/>
              </w:rPr>
            </w:pPr>
          </w:p>
          <w:p w14:paraId="2C04CD80" w14:textId="6D21979E" w:rsidR="00AA25D6" w:rsidRPr="008819AF" w:rsidRDefault="00AA25D6" w:rsidP="004C1DAF">
            <w:pPr>
              <w:pStyle w:val="Odsekzoznamu"/>
              <w:tabs>
                <w:tab w:val="left" w:pos="214"/>
              </w:tabs>
              <w:ind w:left="0"/>
              <w:jc w:val="center"/>
              <w:rPr>
                <w:rFonts w:eastAsia="Arial"/>
                <w:sz w:val="20"/>
                <w:szCs w:val="20"/>
                <w:lang w:bidi="cs-CZ"/>
              </w:rPr>
            </w:pPr>
          </w:p>
          <w:p w14:paraId="3CC28CB9" w14:textId="2E00B1D0" w:rsidR="00AA25D6" w:rsidRPr="008819AF" w:rsidRDefault="00AA25D6" w:rsidP="004C1DAF">
            <w:pPr>
              <w:pStyle w:val="Odsekzoznamu"/>
              <w:tabs>
                <w:tab w:val="left" w:pos="214"/>
              </w:tabs>
              <w:ind w:left="0"/>
              <w:jc w:val="center"/>
              <w:rPr>
                <w:rFonts w:eastAsia="Arial"/>
                <w:sz w:val="20"/>
                <w:szCs w:val="20"/>
                <w:lang w:bidi="cs-CZ"/>
              </w:rPr>
            </w:pPr>
            <w:r w:rsidRPr="008819AF">
              <w:rPr>
                <w:rFonts w:eastAsia="Arial"/>
                <w:sz w:val="20"/>
                <w:szCs w:val="20"/>
                <w:lang w:bidi="cs-CZ"/>
              </w:rPr>
              <w:t>NV2</w:t>
            </w:r>
          </w:p>
          <w:p w14:paraId="376E230B" w14:textId="6E46FCF8" w:rsidR="00AA25D6" w:rsidRPr="008819AF" w:rsidRDefault="00AA25D6" w:rsidP="004C1DAF">
            <w:pPr>
              <w:pStyle w:val="Odsekzoznamu"/>
              <w:tabs>
                <w:tab w:val="left" w:pos="214"/>
              </w:tabs>
              <w:ind w:left="0"/>
              <w:jc w:val="center"/>
              <w:rPr>
                <w:rFonts w:eastAsia="Arial"/>
                <w:sz w:val="20"/>
                <w:szCs w:val="20"/>
                <w:lang w:bidi="cs-CZ"/>
              </w:rPr>
            </w:pPr>
          </w:p>
          <w:p w14:paraId="3463B865" w14:textId="33332C51" w:rsidR="00AA25D6" w:rsidRPr="008819AF" w:rsidRDefault="00AA25D6" w:rsidP="004C1DAF">
            <w:pPr>
              <w:pStyle w:val="Odsekzoznamu"/>
              <w:tabs>
                <w:tab w:val="left" w:pos="214"/>
              </w:tabs>
              <w:ind w:left="0"/>
              <w:jc w:val="center"/>
              <w:rPr>
                <w:rFonts w:eastAsia="Arial"/>
                <w:sz w:val="20"/>
                <w:szCs w:val="20"/>
                <w:lang w:bidi="cs-CZ"/>
              </w:rPr>
            </w:pPr>
          </w:p>
          <w:p w14:paraId="281130CA" w14:textId="2637D821" w:rsidR="00AA25D6" w:rsidRPr="008819AF" w:rsidRDefault="00AA25D6" w:rsidP="004C1DAF">
            <w:pPr>
              <w:pStyle w:val="Odsekzoznamu"/>
              <w:tabs>
                <w:tab w:val="left" w:pos="214"/>
              </w:tabs>
              <w:ind w:left="0"/>
              <w:jc w:val="center"/>
              <w:rPr>
                <w:rFonts w:eastAsia="Arial"/>
                <w:sz w:val="20"/>
                <w:szCs w:val="20"/>
                <w:lang w:bidi="cs-CZ"/>
              </w:rPr>
            </w:pPr>
          </w:p>
          <w:p w14:paraId="476B2F26" w14:textId="77777777" w:rsidR="00AA25D6" w:rsidRPr="008819AF" w:rsidRDefault="00AA25D6" w:rsidP="004C1DAF">
            <w:pPr>
              <w:pStyle w:val="Odsekzoznamu"/>
              <w:tabs>
                <w:tab w:val="left" w:pos="214"/>
              </w:tabs>
              <w:ind w:left="0"/>
              <w:jc w:val="center"/>
              <w:rPr>
                <w:rFonts w:eastAsia="Arial"/>
                <w:sz w:val="20"/>
                <w:szCs w:val="20"/>
                <w:lang w:bidi="cs-CZ"/>
              </w:rPr>
            </w:pPr>
          </w:p>
          <w:p w14:paraId="15132C99" w14:textId="77777777" w:rsidR="004F7A5C" w:rsidRPr="008819AF" w:rsidRDefault="004F7A5C" w:rsidP="004C1DAF">
            <w:pPr>
              <w:pStyle w:val="Odsekzoznamu"/>
              <w:tabs>
                <w:tab w:val="left" w:pos="214"/>
              </w:tabs>
              <w:ind w:left="0"/>
              <w:jc w:val="center"/>
              <w:rPr>
                <w:rFonts w:eastAsia="Arial"/>
                <w:sz w:val="20"/>
                <w:szCs w:val="20"/>
                <w:lang w:bidi="cs-CZ"/>
              </w:rPr>
            </w:pPr>
          </w:p>
          <w:p w14:paraId="15132C9A" w14:textId="77777777" w:rsidR="004C1DAF" w:rsidRPr="008819AF" w:rsidRDefault="004C1DAF" w:rsidP="004C1DAF">
            <w:pPr>
              <w:pStyle w:val="Odsekzoznamu"/>
              <w:tabs>
                <w:tab w:val="left" w:pos="214"/>
              </w:tabs>
              <w:ind w:left="0"/>
              <w:jc w:val="center"/>
              <w:rPr>
                <w:rFonts w:eastAsia="Arial"/>
                <w:sz w:val="20"/>
                <w:szCs w:val="20"/>
                <w:lang w:bidi="cs-CZ"/>
              </w:rPr>
            </w:pPr>
            <w:r w:rsidRPr="008819AF">
              <w:rPr>
                <w:rFonts w:eastAsia="Arial"/>
                <w:sz w:val="20"/>
                <w:szCs w:val="20"/>
                <w:lang w:bidi="cs-CZ"/>
              </w:rPr>
              <w:t>NV3</w:t>
            </w:r>
          </w:p>
        </w:tc>
        <w:tc>
          <w:tcPr>
            <w:tcW w:w="543" w:type="dxa"/>
            <w:tcBorders>
              <w:top w:val="single" w:sz="4" w:space="0" w:color="000000"/>
              <w:left w:val="single" w:sz="6" w:space="0" w:color="000000"/>
              <w:bottom w:val="single" w:sz="6" w:space="0" w:color="000000"/>
              <w:right w:val="single" w:sz="6" w:space="0" w:color="000000"/>
            </w:tcBorders>
          </w:tcPr>
          <w:p w14:paraId="15132C9B"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lastRenderedPageBreak/>
              <w:t>§ 34</w:t>
            </w:r>
          </w:p>
          <w:p w14:paraId="15132C9C"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O 1</w:t>
            </w:r>
          </w:p>
          <w:p w14:paraId="15132C9D"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P g)</w:t>
            </w:r>
          </w:p>
          <w:p w14:paraId="15132C9E" w14:textId="77777777" w:rsidR="004C1DAF" w:rsidRPr="008819AF" w:rsidRDefault="004C1DAF" w:rsidP="004C1DAF">
            <w:pPr>
              <w:pStyle w:val="BodyText21"/>
              <w:spacing w:before="0" w:line="240" w:lineRule="auto"/>
              <w:jc w:val="center"/>
              <w:rPr>
                <w:rFonts w:ascii="Times New Roman" w:hAnsi="Times New Roman" w:cs="Times New Roman"/>
              </w:rPr>
            </w:pPr>
          </w:p>
          <w:p w14:paraId="15132C9F"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0"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1"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 34</w:t>
            </w:r>
          </w:p>
          <w:p w14:paraId="15132CA2"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O 2</w:t>
            </w:r>
          </w:p>
          <w:p w14:paraId="15132CA3"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P d)</w:t>
            </w:r>
          </w:p>
          <w:p w14:paraId="15132CA4"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5"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6"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7"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8"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9"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A"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B"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C"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D"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E" w14:textId="77777777" w:rsidR="004C1DAF" w:rsidRPr="008819AF" w:rsidRDefault="004C1DAF" w:rsidP="004C1DAF">
            <w:pPr>
              <w:pStyle w:val="BodyText21"/>
              <w:spacing w:before="0" w:line="240" w:lineRule="auto"/>
              <w:jc w:val="center"/>
              <w:rPr>
                <w:rFonts w:ascii="Times New Roman" w:hAnsi="Times New Roman" w:cs="Times New Roman"/>
              </w:rPr>
            </w:pPr>
          </w:p>
          <w:p w14:paraId="15132CAF" w14:textId="77777777" w:rsidR="004C1DAF" w:rsidRPr="008819AF" w:rsidRDefault="004F7A5C"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 30</w:t>
            </w:r>
          </w:p>
          <w:p w14:paraId="15132CB0" w14:textId="77777777" w:rsidR="004F7A5C" w:rsidRPr="008819AF" w:rsidRDefault="004F7A5C"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O1,2</w:t>
            </w:r>
          </w:p>
          <w:p w14:paraId="15132CB1" w14:textId="77777777" w:rsidR="004C1DAF" w:rsidRPr="008819AF" w:rsidRDefault="004C1DAF" w:rsidP="004C1DAF">
            <w:pPr>
              <w:pStyle w:val="BodyText21"/>
              <w:spacing w:before="0" w:line="240" w:lineRule="auto"/>
              <w:jc w:val="center"/>
              <w:rPr>
                <w:rFonts w:ascii="Times New Roman" w:hAnsi="Times New Roman" w:cs="Times New Roman"/>
              </w:rPr>
            </w:pPr>
          </w:p>
          <w:p w14:paraId="15132CB2" w14:textId="77777777" w:rsidR="004C1DAF" w:rsidRPr="008819AF" w:rsidRDefault="004C1DAF" w:rsidP="004C1DAF">
            <w:pPr>
              <w:pStyle w:val="BodyText21"/>
              <w:spacing w:before="0" w:line="240" w:lineRule="auto"/>
              <w:jc w:val="center"/>
              <w:rPr>
                <w:rFonts w:ascii="Times New Roman" w:hAnsi="Times New Roman" w:cs="Times New Roman"/>
              </w:rPr>
            </w:pPr>
          </w:p>
          <w:p w14:paraId="15132CB3" w14:textId="77777777" w:rsidR="004F7A5C" w:rsidRPr="008819AF" w:rsidRDefault="004F7A5C" w:rsidP="004C1DAF">
            <w:pPr>
              <w:pStyle w:val="BodyText21"/>
              <w:spacing w:before="0" w:line="240" w:lineRule="auto"/>
              <w:jc w:val="center"/>
              <w:rPr>
                <w:rFonts w:ascii="Times New Roman" w:hAnsi="Times New Roman" w:cs="Times New Roman"/>
              </w:rPr>
            </w:pPr>
          </w:p>
          <w:p w14:paraId="15132CB4" w14:textId="77777777" w:rsidR="004F7A5C" w:rsidRPr="008819AF" w:rsidRDefault="004F7A5C" w:rsidP="004C1DAF">
            <w:pPr>
              <w:pStyle w:val="BodyText21"/>
              <w:spacing w:before="0" w:line="240" w:lineRule="auto"/>
              <w:jc w:val="center"/>
              <w:rPr>
                <w:rFonts w:ascii="Times New Roman" w:hAnsi="Times New Roman" w:cs="Times New Roman"/>
              </w:rPr>
            </w:pPr>
          </w:p>
          <w:p w14:paraId="15132CB5" w14:textId="77777777" w:rsidR="004F7A5C" w:rsidRPr="008819AF" w:rsidRDefault="004F7A5C" w:rsidP="004C1DAF">
            <w:pPr>
              <w:pStyle w:val="BodyText21"/>
              <w:spacing w:before="0" w:line="240" w:lineRule="auto"/>
              <w:jc w:val="center"/>
              <w:rPr>
                <w:rFonts w:ascii="Times New Roman" w:hAnsi="Times New Roman" w:cs="Times New Roman"/>
              </w:rPr>
            </w:pPr>
          </w:p>
          <w:p w14:paraId="15132CB6" w14:textId="77777777" w:rsidR="004F7A5C" w:rsidRPr="008819AF" w:rsidRDefault="004F7A5C" w:rsidP="004C1DAF">
            <w:pPr>
              <w:pStyle w:val="BodyText21"/>
              <w:spacing w:before="0" w:line="240" w:lineRule="auto"/>
              <w:jc w:val="center"/>
              <w:rPr>
                <w:rFonts w:ascii="Times New Roman" w:hAnsi="Times New Roman" w:cs="Times New Roman"/>
              </w:rPr>
            </w:pPr>
          </w:p>
          <w:p w14:paraId="15132CB7" w14:textId="77777777" w:rsidR="00E533A3" w:rsidRPr="008819AF" w:rsidRDefault="00E533A3" w:rsidP="004C1DAF">
            <w:pPr>
              <w:pStyle w:val="BodyText21"/>
              <w:spacing w:before="0" w:line="240" w:lineRule="auto"/>
              <w:jc w:val="center"/>
              <w:rPr>
                <w:rFonts w:ascii="Times New Roman" w:hAnsi="Times New Roman" w:cs="Times New Roman"/>
              </w:rPr>
            </w:pPr>
          </w:p>
          <w:p w14:paraId="15132CB8" w14:textId="77777777" w:rsidR="004F7A5C" w:rsidRPr="008819AF" w:rsidRDefault="004F7A5C"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 31</w:t>
            </w:r>
          </w:p>
          <w:p w14:paraId="15132CB9" w14:textId="2A4805F3" w:rsidR="004F7A5C" w:rsidRPr="008819AF" w:rsidRDefault="004F7A5C"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O</w:t>
            </w:r>
            <w:r w:rsidR="00AA25D6" w:rsidRPr="008819AF">
              <w:rPr>
                <w:rFonts w:ascii="Times New Roman" w:hAnsi="Times New Roman" w:cs="Times New Roman"/>
              </w:rPr>
              <w:t> </w:t>
            </w:r>
            <w:r w:rsidRPr="008819AF">
              <w:rPr>
                <w:rFonts w:ascii="Times New Roman" w:hAnsi="Times New Roman" w:cs="Times New Roman"/>
              </w:rPr>
              <w:t>6</w:t>
            </w:r>
          </w:p>
          <w:p w14:paraId="07084602" w14:textId="13C2BC1C" w:rsidR="00AA25D6" w:rsidRPr="008819AF" w:rsidRDefault="00AA25D6" w:rsidP="004C1DAF">
            <w:pPr>
              <w:pStyle w:val="BodyText21"/>
              <w:spacing w:before="0" w:line="240" w:lineRule="auto"/>
              <w:jc w:val="center"/>
              <w:rPr>
                <w:rFonts w:ascii="Times New Roman" w:hAnsi="Times New Roman" w:cs="Times New Roman"/>
              </w:rPr>
            </w:pPr>
          </w:p>
          <w:p w14:paraId="30B731B9" w14:textId="11276438" w:rsidR="00AA25D6" w:rsidRPr="008819AF" w:rsidRDefault="00AA25D6" w:rsidP="004C1DAF">
            <w:pPr>
              <w:pStyle w:val="BodyText21"/>
              <w:spacing w:before="0" w:line="240" w:lineRule="auto"/>
              <w:jc w:val="center"/>
              <w:rPr>
                <w:rFonts w:ascii="Times New Roman" w:hAnsi="Times New Roman" w:cs="Times New Roman"/>
              </w:rPr>
            </w:pPr>
          </w:p>
          <w:p w14:paraId="2F3C81B3" w14:textId="210FE1CA" w:rsidR="00AA25D6" w:rsidRPr="008819AF" w:rsidRDefault="00AA25D6" w:rsidP="004C1DAF">
            <w:pPr>
              <w:pStyle w:val="BodyText21"/>
              <w:spacing w:before="0" w:line="240" w:lineRule="auto"/>
              <w:jc w:val="center"/>
              <w:rPr>
                <w:rFonts w:ascii="Times New Roman" w:hAnsi="Times New Roman" w:cs="Times New Roman"/>
              </w:rPr>
            </w:pPr>
          </w:p>
          <w:p w14:paraId="7955B388" w14:textId="410394F0" w:rsidR="00AA25D6" w:rsidRPr="008819AF" w:rsidRDefault="00AA25D6" w:rsidP="004C1DAF">
            <w:pPr>
              <w:pStyle w:val="BodyText21"/>
              <w:spacing w:before="0" w:line="240" w:lineRule="auto"/>
              <w:jc w:val="center"/>
              <w:rPr>
                <w:rFonts w:ascii="Times New Roman" w:hAnsi="Times New Roman" w:cs="Times New Roman"/>
              </w:rPr>
            </w:pPr>
          </w:p>
          <w:p w14:paraId="41757FE6" w14:textId="70ECAFAD" w:rsidR="00AA25D6" w:rsidRPr="008819AF" w:rsidRDefault="00AA25D6"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Pr2</w:t>
            </w:r>
          </w:p>
          <w:p w14:paraId="15132CBA" w14:textId="77777777" w:rsidR="004F7A5C" w:rsidRPr="008819AF" w:rsidRDefault="004F7A5C" w:rsidP="004C1DAF">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CBB" w14:textId="77777777" w:rsidR="004C1DAF" w:rsidRPr="008819AF" w:rsidRDefault="004C1DAF" w:rsidP="004C1DAF">
            <w:pPr>
              <w:pStyle w:val="Nadpis6"/>
              <w:ind w:left="72" w:firstLine="0"/>
              <w:jc w:val="left"/>
              <w:rPr>
                <w:rFonts w:ascii="Times New Roman" w:hAnsi="Times New Roman" w:cs="Times New Roman"/>
                <w:b w:val="0"/>
                <w:bCs w:val="0"/>
                <w:sz w:val="20"/>
                <w:szCs w:val="20"/>
              </w:rPr>
            </w:pPr>
            <w:r w:rsidRPr="008819AF">
              <w:rPr>
                <w:rFonts w:ascii="Times New Roman" w:hAnsi="Times New Roman" w:cs="Times New Roman"/>
                <w:b w:val="0"/>
                <w:bCs w:val="0"/>
                <w:sz w:val="20"/>
                <w:szCs w:val="20"/>
              </w:rPr>
              <w:lastRenderedPageBreak/>
              <w:t>Prevádzkovateľ veľkého zdroja a prevádzkovateľ stredného zdroja je povinný</w:t>
            </w:r>
          </w:p>
          <w:p w14:paraId="15132CBC" w14:textId="77777777" w:rsidR="004C1DAF" w:rsidRPr="008819AF" w:rsidRDefault="004C1DAF" w:rsidP="004C1DAF">
            <w:pPr>
              <w:pStyle w:val="Nadpis6"/>
              <w:ind w:left="72" w:firstLine="0"/>
              <w:jc w:val="left"/>
              <w:rPr>
                <w:rFonts w:ascii="Times New Roman" w:hAnsi="Times New Roman" w:cs="Times New Roman"/>
                <w:b w:val="0"/>
                <w:bCs w:val="0"/>
                <w:sz w:val="20"/>
                <w:szCs w:val="20"/>
              </w:rPr>
            </w:pPr>
            <w:r w:rsidRPr="008819AF">
              <w:rPr>
                <w:rFonts w:ascii="Times New Roman" w:hAnsi="Times New Roman" w:cs="Times New Roman"/>
                <w:b w:val="0"/>
                <w:bCs w:val="0"/>
                <w:sz w:val="20"/>
                <w:szCs w:val="20"/>
              </w:rPr>
              <w:t>g)</w:t>
            </w:r>
            <w:r w:rsidRPr="008819AF">
              <w:rPr>
                <w:rFonts w:ascii="Times New Roman" w:hAnsi="Times New Roman" w:cs="Times New Roman"/>
                <w:b w:val="0"/>
                <w:bCs w:val="0"/>
                <w:sz w:val="20"/>
                <w:szCs w:val="20"/>
              </w:rPr>
              <w:tab/>
              <w:t>plniť požiadavky redukčného plánu ustanovené vykonávacím predpisom podľa § 62 písm. f), ak ide o zariadenie používajúce organické rozpúšťadlo, ktoré uplatňuje redukčný plán,</w:t>
            </w:r>
          </w:p>
          <w:p w14:paraId="15132CBD" w14:textId="77777777" w:rsidR="004C1DAF" w:rsidRPr="008819AF" w:rsidRDefault="004C1DAF" w:rsidP="004C1DAF">
            <w:pPr>
              <w:pStyle w:val="Nadpis6"/>
              <w:ind w:left="72" w:firstLine="0"/>
              <w:jc w:val="left"/>
              <w:rPr>
                <w:rFonts w:ascii="Times New Roman" w:hAnsi="Times New Roman" w:cs="Times New Roman"/>
                <w:b w:val="0"/>
                <w:bCs w:val="0"/>
                <w:sz w:val="20"/>
                <w:szCs w:val="20"/>
              </w:rPr>
            </w:pPr>
          </w:p>
          <w:p w14:paraId="15132CBE" w14:textId="77777777" w:rsidR="004C1DAF" w:rsidRPr="008819AF" w:rsidRDefault="004C1DAF" w:rsidP="004C1DAF">
            <w:pPr>
              <w:pStyle w:val="Nadpis6"/>
              <w:ind w:left="0" w:firstLine="0"/>
              <w:jc w:val="left"/>
              <w:rPr>
                <w:rFonts w:ascii="Times New Roman" w:hAnsi="Times New Roman" w:cs="Times New Roman"/>
                <w:b w:val="0"/>
                <w:bCs w:val="0"/>
                <w:sz w:val="20"/>
                <w:szCs w:val="20"/>
              </w:rPr>
            </w:pPr>
            <w:r w:rsidRPr="008819AF">
              <w:rPr>
                <w:rFonts w:ascii="Times New Roman" w:hAnsi="Times New Roman" w:cs="Times New Roman"/>
                <w:b w:val="0"/>
                <w:bCs w:val="0"/>
                <w:sz w:val="20"/>
                <w:szCs w:val="20"/>
              </w:rPr>
              <w:t>Prevádzkovateľ veľkého zdroja a prevádzkovateľ stredného zdroja vo veciach vedenia prevádzkovej evidencie, zisťovania množstva emisií, oznamovania údajov o emisiách a zdroji,  predkladania správ, súboru parametrov a opatrení, a programov na zníženie množstva emisií a informovania verejnosti je povinný</w:t>
            </w:r>
          </w:p>
          <w:p w14:paraId="15132CBF" w14:textId="77777777" w:rsidR="004C1DAF" w:rsidRPr="008819AF" w:rsidRDefault="004C1DAF" w:rsidP="004C1DAF">
            <w:pPr>
              <w:pStyle w:val="Nadpis6"/>
              <w:ind w:left="0" w:firstLine="0"/>
              <w:jc w:val="left"/>
              <w:rPr>
                <w:rFonts w:ascii="Times New Roman" w:hAnsi="Times New Roman" w:cs="Times New Roman"/>
                <w:b w:val="0"/>
                <w:bCs w:val="0"/>
                <w:sz w:val="20"/>
                <w:szCs w:val="20"/>
              </w:rPr>
            </w:pPr>
            <w:r w:rsidRPr="008819AF">
              <w:rPr>
                <w:rFonts w:ascii="Times New Roman" w:hAnsi="Times New Roman" w:cs="Times New Roman"/>
                <w:b w:val="0"/>
                <w:bCs w:val="0"/>
                <w:sz w:val="20"/>
                <w:szCs w:val="20"/>
              </w:rPr>
              <w:t xml:space="preserve">d) každoročne, do </w:t>
            </w:r>
            <w:r w:rsidR="00E533A3" w:rsidRPr="008819AF">
              <w:rPr>
                <w:rFonts w:ascii="Times New Roman" w:hAnsi="Times New Roman" w:cs="Times New Roman"/>
                <w:b w:val="0"/>
                <w:bCs w:val="0"/>
                <w:sz w:val="20"/>
                <w:szCs w:val="20"/>
              </w:rPr>
              <w:t>konca</w:t>
            </w:r>
            <w:r w:rsidRPr="008819AF">
              <w:rPr>
                <w:rFonts w:ascii="Times New Roman" w:hAnsi="Times New Roman" w:cs="Times New Roman"/>
                <w:b w:val="0"/>
                <w:bCs w:val="0"/>
                <w:sz w:val="20"/>
                <w:szCs w:val="20"/>
              </w:rPr>
              <w:t xml:space="preserve">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w:t>
            </w:r>
          </w:p>
          <w:p w14:paraId="15132CC0" w14:textId="77777777" w:rsidR="004C1DAF" w:rsidRPr="008819AF" w:rsidRDefault="004C1DAF" w:rsidP="004C1DAF">
            <w:pPr>
              <w:pStyle w:val="Nadpis6"/>
              <w:ind w:left="72" w:firstLine="0"/>
              <w:jc w:val="left"/>
              <w:rPr>
                <w:rFonts w:ascii="Times New Roman" w:hAnsi="Times New Roman" w:cs="Times New Roman"/>
                <w:b w:val="0"/>
                <w:bCs w:val="0"/>
                <w:sz w:val="20"/>
                <w:szCs w:val="20"/>
              </w:rPr>
            </w:pPr>
          </w:p>
          <w:p w14:paraId="15132CC1" w14:textId="77777777" w:rsidR="00450D69" w:rsidRPr="008819AF" w:rsidRDefault="00450D69" w:rsidP="00450D69">
            <w:pPr>
              <w:pStyle w:val="Hlavika"/>
              <w:ind w:left="72" w:hanging="1"/>
              <w:rPr>
                <w:rFonts w:ascii="Times New Roman" w:hAnsi="Times New Roman" w:cs="Times New Roman"/>
              </w:rPr>
            </w:pPr>
            <w:r w:rsidRPr="008819AF">
              <w:rPr>
                <w:rFonts w:ascii="Times New Roman" w:hAnsi="Times New Roman" w:cs="Times New Roman"/>
              </w:rPr>
              <w:t>Bilancia organických rozpúšťadiel</w:t>
            </w:r>
          </w:p>
          <w:p w14:paraId="15132CC2" w14:textId="77777777" w:rsidR="00DB2CAB" w:rsidRPr="008819AF" w:rsidRDefault="00450D69" w:rsidP="00450D69">
            <w:pPr>
              <w:pStyle w:val="Odsekzoznamu"/>
              <w:tabs>
                <w:tab w:val="left" w:pos="214"/>
              </w:tabs>
              <w:ind w:left="0"/>
              <w:rPr>
                <w:rFonts w:eastAsia="Arial"/>
                <w:sz w:val="20"/>
                <w:szCs w:val="20"/>
                <w:lang w:bidi="cs-CZ"/>
              </w:rPr>
            </w:pPr>
            <w:r w:rsidRPr="008819AF">
              <w:t>(</w:t>
            </w:r>
            <w:r w:rsidRPr="008819AF">
              <w:rPr>
                <w:sz w:val="20"/>
                <w:szCs w:val="20"/>
              </w:rPr>
              <w:t>1)</w:t>
            </w:r>
            <w:r w:rsidRPr="008819AF">
              <w:rPr>
                <w:sz w:val="20"/>
                <w:szCs w:val="20"/>
              </w:rPr>
              <w:tab/>
              <w:t>Množstvo vypustených prchavých organických zlúčenín sa preukazuje ročne na základe bilancie organických rozpúšťadiel za uplynulý rok (ďalej len „ročná bilancia rozpúšťadiel“).</w:t>
            </w:r>
          </w:p>
          <w:p w14:paraId="15132CC3" w14:textId="77777777" w:rsidR="004C1DAF" w:rsidRPr="008819AF" w:rsidRDefault="004C1DAF" w:rsidP="004C1DAF">
            <w:pPr>
              <w:pStyle w:val="Odsekzoznamu"/>
              <w:tabs>
                <w:tab w:val="left" w:pos="214"/>
              </w:tabs>
              <w:ind w:left="0"/>
              <w:rPr>
                <w:rFonts w:eastAsia="Arial"/>
                <w:sz w:val="20"/>
                <w:szCs w:val="20"/>
                <w:lang w:bidi="cs-CZ"/>
              </w:rPr>
            </w:pPr>
            <w:r w:rsidRPr="008819AF">
              <w:rPr>
                <w:rFonts w:eastAsia="Arial"/>
                <w:sz w:val="20"/>
                <w:szCs w:val="20"/>
                <w:lang w:bidi="cs-CZ"/>
              </w:rPr>
              <w:t>Ustanovenie bude transponovať návrh vyhlášky MŽP SR, ktorou sa vykonávajú niektoré ustanovenia zákona o ochrane ovzdušia.</w:t>
            </w:r>
          </w:p>
          <w:p w14:paraId="15132CC4" w14:textId="77777777" w:rsidR="004F7A5C" w:rsidRPr="008819AF" w:rsidRDefault="004F7A5C" w:rsidP="009C63CF">
            <w:pPr>
              <w:pStyle w:val="Odsekzoznamu"/>
              <w:numPr>
                <w:ilvl w:val="0"/>
                <w:numId w:val="86"/>
              </w:numPr>
              <w:tabs>
                <w:tab w:val="left" w:pos="214"/>
              </w:tabs>
              <w:rPr>
                <w:rFonts w:eastAsia="Arial"/>
                <w:sz w:val="20"/>
                <w:szCs w:val="20"/>
                <w:lang w:bidi="cs-CZ"/>
              </w:rPr>
            </w:pPr>
            <w:r w:rsidRPr="008819AF">
              <w:rPr>
                <w:rFonts w:eastAsia="Arial"/>
                <w:sz w:val="20"/>
                <w:szCs w:val="20"/>
                <w:lang w:bidi="cs-CZ"/>
              </w:rPr>
              <w:t>Postup vypracovania ročnej bilancie rozpúšťadiel je uvedený v prílohe č. 6 šiestej časti.</w:t>
            </w:r>
          </w:p>
          <w:p w14:paraId="15132CC5" w14:textId="77777777" w:rsidR="004F7A5C" w:rsidRPr="008819AF" w:rsidRDefault="004F7A5C" w:rsidP="004F7A5C">
            <w:pPr>
              <w:pStyle w:val="Odsekzoznamu"/>
              <w:tabs>
                <w:tab w:val="left" w:pos="214"/>
              </w:tabs>
              <w:ind w:left="0"/>
              <w:rPr>
                <w:rFonts w:eastAsia="Arial"/>
                <w:sz w:val="20"/>
                <w:szCs w:val="20"/>
                <w:lang w:bidi="cs-CZ"/>
              </w:rPr>
            </w:pPr>
          </w:p>
          <w:p w14:paraId="18B5101D" w14:textId="77777777" w:rsidR="004F7A5C" w:rsidRPr="008819AF" w:rsidRDefault="004F7A5C" w:rsidP="004C1DAF">
            <w:pPr>
              <w:pStyle w:val="Odsekzoznamu"/>
              <w:tabs>
                <w:tab w:val="left" w:pos="214"/>
              </w:tabs>
              <w:ind w:left="0"/>
              <w:rPr>
                <w:rFonts w:eastAsia="Arial"/>
                <w:sz w:val="20"/>
                <w:szCs w:val="20"/>
                <w:lang w:bidi="cs-CZ"/>
              </w:rPr>
            </w:pPr>
            <w:r w:rsidRPr="008819AF">
              <w:rPr>
                <w:rFonts w:eastAsia="Arial"/>
                <w:sz w:val="20"/>
                <w:szCs w:val="20"/>
                <w:lang w:bidi="cs-CZ"/>
              </w:rPr>
              <w:t>(6)</w:t>
            </w:r>
            <w:r w:rsidRPr="008819AF">
              <w:rPr>
                <w:rFonts w:eastAsia="Arial"/>
                <w:sz w:val="20"/>
                <w:szCs w:val="20"/>
                <w:lang w:bidi="cs-CZ"/>
              </w:rPr>
              <w:tab/>
              <w:t>Dodržanie emisných limitov pre fugitívne emisie, emisných limitov pre celkové emisie a plnenie redukčného plánu sa preukazuje na základe ročnej bilancie rozpúšťadiel uvedenej v prílohe č. 6 šiestej časti bode 4.</w:t>
            </w:r>
          </w:p>
          <w:p w14:paraId="33D7A22A" w14:textId="2884B5E3" w:rsidR="00AA25D6" w:rsidRPr="008819AF" w:rsidRDefault="00AA25D6" w:rsidP="00AA25D6">
            <w:pPr>
              <w:pStyle w:val="Odsekzoznamu"/>
              <w:tabs>
                <w:tab w:val="left" w:pos="214"/>
              </w:tabs>
              <w:ind w:left="0"/>
              <w:rPr>
                <w:rFonts w:eastAsia="Arial"/>
                <w:sz w:val="20"/>
                <w:szCs w:val="20"/>
                <w:lang w:bidi="cs-CZ"/>
              </w:rPr>
            </w:pPr>
          </w:p>
          <w:p w14:paraId="06428BAD" w14:textId="77777777" w:rsidR="00AA25D6" w:rsidRPr="008819AF" w:rsidRDefault="00AA25D6" w:rsidP="00AA25D6">
            <w:pPr>
              <w:pStyle w:val="Odsekzoznamu"/>
              <w:tabs>
                <w:tab w:val="left" w:pos="214"/>
              </w:tabs>
              <w:ind w:left="0"/>
              <w:rPr>
                <w:rFonts w:eastAsia="Arial"/>
                <w:sz w:val="20"/>
                <w:szCs w:val="20"/>
                <w:lang w:bidi="cs-CZ"/>
              </w:rPr>
            </w:pPr>
          </w:p>
          <w:p w14:paraId="7274E7CB" w14:textId="77777777" w:rsidR="00AA25D6" w:rsidRPr="008819AF" w:rsidRDefault="00AA25D6" w:rsidP="00AA25D6">
            <w:pPr>
              <w:rPr>
                <w:rFonts w:eastAsia="Arial"/>
              </w:rPr>
            </w:pPr>
            <w:r w:rsidRPr="008819AF">
              <w:rPr>
                <w:rFonts w:eastAsia="Arial"/>
              </w:rPr>
              <w:t xml:space="preserve">Register údajov o zariadeniach používajúcich organické rozpúšťadlá </w:t>
            </w:r>
          </w:p>
          <w:p w14:paraId="09ED3BFA" w14:textId="77777777" w:rsidR="00AA25D6" w:rsidRPr="008819AF" w:rsidRDefault="00AA25D6" w:rsidP="00AA25D6">
            <w:pPr>
              <w:rPr>
                <w:rFonts w:eastAsia="Arial"/>
              </w:rPr>
            </w:pPr>
            <w:r w:rsidRPr="008819AF">
              <w:rPr>
                <w:rFonts w:eastAsia="Arial"/>
              </w:rPr>
              <w:t xml:space="preserve">Register údajov o zariadeniach používajúcich organické rozpúšťadlá a vykonávaných činnostiach, ktoré sa týkajú najmä uplatňovania:  </w:t>
            </w:r>
          </w:p>
          <w:p w14:paraId="6D22A894" w14:textId="77777777" w:rsidR="00AA25D6" w:rsidRPr="008819AF" w:rsidRDefault="00AA25D6" w:rsidP="00AA25D6">
            <w:pPr>
              <w:rPr>
                <w:rFonts w:eastAsia="Arial"/>
              </w:rPr>
            </w:pPr>
            <w:r w:rsidRPr="008819AF">
              <w:rPr>
                <w:rFonts w:eastAsia="Arial"/>
              </w:rPr>
              <w:t>1. emisných limitov prchavých organických zlúčenín,</w:t>
            </w:r>
          </w:p>
          <w:p w14:paraId="65AA2FE6" w14:textId="77777777" w:rsidR="00AA25D6" w:rsidRPr="008819AF" w:rsidRDefault="00AA25D6" w:rsidP="00AA25D6">
            <w:pPr>
              <w:rPr>
                <w:rFonts w:eastAsia="Arial"/>
              </w:rPr>
            </w:pPr>
            <w:r w:rsidRPr="008819AF">
              <w:rPr>
                <w:rFonts w:eastAsia="Arial"/>
              </w:rPr>
              <w:t>2. výnimiek z emisných limitov pre fugitívne emisie a pre prípady, v ktorých nemožno vy-púšťať emisie za riadených podmienok, a ich odôvodnenie,</w:t>
            </w:r>
          </w:p>
          <w:p w14:paraId="5CFA9E85" w14:textId="4CFC6764" w:rsidR="00AA25D6" w:rsidRPr="008819AF" w:rsidRDefault="00AA25D6" w:rsidP="00AA25D6">
            <w:pPr>
              <w:pStyle w:val="Odsekzoznamu"/>
              <w:tabs>
                <w:tab w:val="left" w:pos="214"/>
              </w:tabs>
              <w:ind w:left="0"/>
              <w:rPr>
                <w:rFonts w:eastAsia="Arial"/>
                <w:sz w:val="20"/>
                <w:szCs w:val="20"/>
                <w:lang w:bidi="cs-CZ"/>
              </w:rPr>
            </w:pPr>
            <w:r w:rsidRPr="008819AF">
              <w:rPr>
                <w:rFonts w:eastAsia="Arial"/>
                <w:sz w:val="20"/>
                <w:szCs w:val="20"/>
              </w:rPr>
              <w:t>3. uplatňovania redukčného plánu a preukázania rovnocenného zníženia emisií</w:t>
            </w:r>
          </w:p>
          <w:p w14:paraId="15132CC6" w14:textId="51FFCA24" w:rsidR="00AA25D6" w:rsidRPr="008819AF" w:rsidRDefault="00AA25D6" w:rsidP="004C1DAF">
            <w:pPr>
              <w:pStyle w:val="Odsekzoznamu"/>
              <w:tabs>
                <w:tab w:val="left" w:pos="214"/>
              </w:tabs>
              <w:ind w:left="0"/>
              <w:rPr>
                <w:rFonts w:eastAsia="Arial"/>
                <w:sz w:val="20"/>
                <w:szCs w:val="20"/>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2CC7" w14:textId="77777777" w:rsidR="004C1DAF" w:rsidRPr="008819AF" w:rsidRDefault="004C1DAF" w:rsidP="004C1DAF">
            <w:pPr>
              <w:ind w:left="215" w:hanging="215"/>
              <w:rPr>
                <w:rFonts w:eastAsia="Arial"/>
                <w:lang w:bidi="cs-CZ"/>
              </w:rPr>
            </w:pPr>
            <w:r w:rsidRPr="008819AF">
              <w:rPr>
                <w:rFonts w:eastAsia="Arial"/>
                <w:lang w:bidi="cs-CZ"/>
              </w:rPr>
              <w:lastRenderedPageBreak/>
              <w:t>Ú</w:t>
            </w:r>
          </w:p>
          <w:p w14:paraId="15132CC8" w14:textId="77777777" w:rsidR="00E533A3" w:rsidRPr="008819AF" w:rsidRDefault="00E533A3" w:rsidP="004C1DAF">
            <w:pPr>
              <w:ind w:left="215" w:hanging="215"/>
              <w:rPr>
                <w:rFonts w:eastAsia="Arial"/>
                <w:lang w:bidi="cs-CZ"/>
              </w:rPr>
            </w:pPr>
          </w:p>
          <w:p w14:paraId="15132CC9" w14:textId="77777777" w:rsidR="00E533A3" w:rsidRPr="008819AF" w:rsidRDefault="00E533A3" w:rsidP="004C1DAF">
            <w:pPr>
              <w:ind w:left="215" w:hanging="215"/>
              <w:rPr>
                <w:rFonts w:eastAsia="Arial"/>
                <w:lang w:bidi="cs-CZ"/>
              </w:rPr>
            </w:pPr>
          </w:p>
          <w:p w14:paraId="15132CCA" w14:textId="77777777" w:rsidR="00E533A3" w:rsidRPr="008819AF" w:rsidRDefault="00E533A3" w:rsidP="004C1DAF">
            <w:pPr>
              <w:ind w:left="215" w:hanging="215"/>
              <w:rPr>
                <w:rFonts w:eastAsia="Arial"/>
                <w:lang w:bidi="cs-CZ"/>
              </w:rPr>
            </w:pPr>
          </w:p>
          <w:p w14:paraId="15132CCB" w14:textId="77777777" w:rsidR="00E533A3" w:rsidRPr="008819AF" w:rsidRDefault="00E533A3" w:rsidP="004C1DAF">
            <w:pPr>
              <w:ind w:left="215" w:hanging="215"/>
              <w:rPr>
                <w:rFonts w:eastAsia="Arial"/>
                <w:lang w:bidi="cs-CZ"/>
              </w:rPr>
            </w:pPr>
          </w:p>
          <w:p w14:paraId="15132CCC" w14:textId="77777777" w:rsidR="00E533A3" w:rsidRPr="008819AF" w:rsidRDefault="00E533A3" w:rsidP="004C1DAF">
            <w:pPr>
              <w:ind w:left="215" w:hanging="215"/>
              <w:rPr>
                <w:rFonts w:eastAsia="Arial"/>
                <w:lang w:bidi="cs-CZ"/>
              </w:rPr>
            </w:pPr>
          </w:p>
          <w:p w14:paraId="15132CCD" w14:textId="77777777" w:rsidR="00E533A3" w:rsidRPr="008819AF" w:rsidRDefault="00E533A3" w:rsidP="004C1DAF">
            <w:pPr>
              <w:ind w:left="215" w:hanging="215"/>
              <w:rPr>
                <w:rFonts w:eastAsia="Arial"/>
                <w:lang w:bidi="cs-CZ"/>
              </w:rPr>
            </w:pPr>
          </w:p>
          <w:p w14:paraId="15132CCE" w14:textId="77777777" w:rsidR="00E533A3" w:rsidRPr="008819AF" w:rsidRDefault="00E533A3" w:rsidP="004C1DAF">
            <w:pPr>
              <w:ind w:left="215" w:hanging="215"/>
              <w:rPr>
                <w:rFonts w:eastAsia="Arial"/>
                <w:lang w:bidi="cs-CZ"/>
              </w:rPr>
            </w:pPr>
          </w:p>
          <w:p w14:paraId="15132CCF" w14:textId="77777777" w:rsidR="00E533A3" w:rsidRPr="008819AF" w:rsidRDefault="00E533A3" w:rsidP="004C1DAF">
            <w:pPr>
              <w:ind w:left="215" w:hanging="215"/>
              <w:rPr>
                <w:rFonts w:eastAsia="Arial"/>
                <w:lang w:bidi="cs-CZ"/>
              </w:rPr>
            </w:pPr>
          </w:p>
          <w:p w14:paraId="15132CD0" w14:textId="77777777" w:rsidR="00E533A3" w:rsidRPr="008819AF" w:rsidRDefault="00E533A3" w:rsidP="004C1DAF">
            <w:pPr>
              <w:ind w:left="215" w:hanging="215"/>
              <w:rPr>
                <w:rFonts w:eastAsia="Arial"/>
                <w:lang w:bidi="cs-CZ"/>
              </w:rPr>
            </w:pPr>
          </w:p>
          <w:p w14:paraId="15132CD1" w14:textId="77777777" w:rsidR="00E533A3" w:rsidRPr="008819AF" w:rsidRDefault="00E533A3" w:rsidP="004C1DAF">
            <w:pPr>
              <w:ind w:left="215" w:hanging="215"/>
              <w:rPr>
                <w:rFonts w:eastAsia="Arial"/>
                <w:lang w:bidi="cs-CZ"/>
              </w:rPr>
            </w:pPr>
          </w:p>
          <w:p w14:paraId="15132CD2" w14:textId="77777777" w:rsidR="00E533A3" w:rsidRPr="008819AF" w:rsidRDefault="00E533A3" w:rsidP="004C1DAF">
            <w:pPr>
              <w:ind w:left="215" w:hanging="215"/>
              <w:rPr>
                <w:rFonts w:eastAsia="Arial"/>
                <w:lang w:bidi="cs-CZ"/>
              </w:rPr>
            </w:pPr>
          </w:p>
          <w:p w14:paraId="15132CD3" w14:textId="77777777" w:rsidR="00E533A3" w:rsidRPr="008819AF" w:rsidRDefault="00E533A3" w:rsidP="004C1DAF">
            <w:pPr>
              <w:ind w:left="215" w:hanging="215"/>
              <w:rPr>
                <w:rFonts w:eastAsia="Arial"/>
                <w:lang w:bidi="cs-CZ"/>
              </w:rPr>
            </w:pPr>
          </w:p>
          <w:p w14:paraId="15132CD4" w14:textId="77777777" w:rsidR="00E533A3" w:rsidRPr="008819AF" w:rsidRDefault="00E533A3" w:rsidP="004C1DAF">
            <w:pPr>
              <w:ind w:left="215" w:hanging="215"/>
              <w:rPr>
                <w:rFonts w:eastAsia="Arial"/>
                <w:lang w:bidi="cs-CZ"/>
              </w:rPr>
            </w:pPr>
          </w:p>
          <w:p w14:paraId="15132CD5" w14:textId="77777777" w:rsidR="00E533A3" w:rsidRPr="008819AF" w:rsidRDefault="00E533A3" w:rsidP="004C1DAF">
            <w:pPr>
              <w:ind w:left="215" w:hanging="215"/>
              <w:rPr>
                <w:rFonts w:eastAsia="Arial"/>
                <w:lang w:bidi="cs-CZ"/>
              </w:rPr>
            </w:pPr>
          </w:p>
          <w:p w14:paraId="15132CD6" w14:textId="77777777" w:rsidR="00E533A3" w:rsidRPr="008819AF" w:rsidRDefault="00E533A3" w:rsidP="004C1DAF">
            <w:pPr>
              <w:ind w:left="215" w:hanging="215"/>
              <w:rPr>
                <w:rFonts w:eastAsia="Arial"/>
                <w:lang w:bidi="cs-CZ"/>
              </w:rPr>
            </w:pPr>
          </w:p>
          <w:p w14:paraId="15132CD7" w14:textId="77777777" w:rsidR="00E533A3" w:rsidRPr="008819AF" w:rsidRDefault="00E533A3" w:rsidP="004C1DAF">
            <w:pPr>
              <w:ind w:left="215" w:hanging="215"/>
              <w:rPr>
                <w:rFonts w:eastAsia="Arial"/>
                <w:lang w:bidi="cs-CZ"/>
              </w:rPr>
            </w:pPr>
          </w:p>
          <w:p w14:paraId="15132CD8" w14:textId="77777777" w:rsidR="00E533A3" w:rsidRPr="008819AF" w:rsidRDefault="00E533A3" w:rsidP="004C1DAF">
            <w:pPr>
              <w:ind w:left="215" w:hanging="215"/>
              <w:rPr>
                <w:rFonts w:eastAsia="Arial"/>
                <w:lang w:bidi="cs-CZ"/>
              </w:rPr>
            </w:pPr>
          </w:p>
          <w:p w14:paraId="15132CD9" w14:textId="77777777" w:rsidR="00E533A3" w:rsidRPr="008819AF" w:rsidRDefault="00E533A3" w:rsidP="004C1DAF">
            <w:pPr>
              <w:ind w:left="215" w:hanging="215"/>
              <w:rPr>
                <w:rFonts w:eastAsia="Arial"/>
                <w:lang w:bidi="cs-CZ"/>
              </w:rPr>
            </w:pPr>
          </w:p>
          <w:p w14:paraId="15132CDA" w14:textId="77777777" w:rsidR="00E533A3" w:rsidRPr="008819AF" w:rsidRDefault="00E533A3" w:rsidP="004C1DAF">
            <w:pPr>
              <w:ind w:left="215" w:hanging="215"/>
              <w:rPr>
                <w:rFonts w:eastAsia="Arial"/>
                <w:lang w:bidi="cs-CZ"/>
              </w:rPr>
            </w:pPr>
          </w:p>
          <w:p w14:paraId="15132CDB" w14:textId="77777777" w:rsidR="00E533A3" w:rsidRPr="008819AF" w:rsidRDefault="00E533A3" w:rsidP="004C1DAF">
            <w:pPr>
              <w:ind w:left="215" w:hanging="215"/>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6" w:space="0" w:color="000000"/>
              <w:right w:val="single" w:sz="6" w:space="0" w:color="000000"/>
            </w:tcBorders>
          </w:tcPr>
          <w:p w14:paraId="15132CDC" w14:textId="77777777" w:rsidR="004C1DAF" w:rsidRPr="008819AF" w:rsidRDefault="004C1DAF" w:rsidP="004C1DAF">
            <w:pPr>
              <w:ind w:left="215" w:hanging="215"/>
              <w:rPr>
                <w:rFonts w:eastAsia="Arial"/>
              </w:rPr>
            </w:pPr>
          </w:p>
        </w:tc>
      </w:tr>
      <w:tr w:rsidR="004C1DAF" w:rsidRPr="008819AF" w14:paraId="15132CF4"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2CDE" w14:textId="77777777" w:rsidR="004C1DAF" w:rsidRPr="008819AF" w:rsidRDefault="004C1DAF" w:rsidP="004C1DAF">
            <w:pPr>
              <w:ind w:right="-70"/>
              <w:rPr>
                <w:rFonts w:eastAsia="Arial"/>
                <w:lang w:bidi="cs-CZ"/>
              </w:rPr>
            </w:pPr>
            <w:r w:rsidRPr="008819AF">
              <w:rPr>
                <w:rFonts w:eastAsia="Arial"/>
                <w:lang w:bidi="cs-CZ"/>
              </w:rPr>
              <w:t>Č:63</w:t>
            </w:r>
          </w:p>
        </w:tc>
        <w:tc>
          <w:tcPr>
            <w:tcW w:w="6227" w:type="dxa"/>
            <w:gridSpan w:val="2"/>
            <w:tcBorders>
              <w:top w:val="single" w:sz="4" w:space="0" w:color="000000"/>
              <w:left w:val="single" w:sz="6" w:space="0" w:color="000000"/>
              <w:bottom w:val="single" w:sz="6" w:space="0" w:color="000000"/>
              <w:right w:val="single" w:sz="6" w:space="0" w:color="000000"/>
            </w:tcBorders>
          </w:tcPr>
          <w:p w14:paraId="15132CDF" w14:textId="77777777" w:rsidR="004C1DAF" w:rsidRPr="008819AF" w:rsidRDefault="004C1DAF" w:rsidP="004C1DAF">
            <w:pPr>
              <w:ind w:left="215" w:hanging="215"/>
              <w:rPr>
                <w:rFonts w:eastAsia="Arial"/>
              </w:rPr>
            </w:pPr>
            <w:r w:rsidRPr="008819AF">
              <w:rPr>
                <w:rFonts w:eastAsia="Arial"/>
              </w:rPr>
              <w:t>Článok 63</w:t>
            </w:r>
          </w:p>
          <w:p w14:paraId="15132CE0" w14:textId="77777777" w:rsidR="004C1DAF" w:rsidRPr="008819AF" w:rsidRDefault="004C1DAF" w:rsidP="004C1DAF">
            <w:pPr>
              <w:ind w:left="215" w:hanging="215"/>
              <w:rPr>
                <w:rFonts w:eastAsia="Arial"/>
              </w:rPr>
            </w:pPr>
            <w:r w:rsidRPr="008819AF">
              <w:rPr>
                <w:rFonts w:eastAsia="Arial"/>
              </w:rPr>
              <w:t>Podstatná zmena existujúcich zariadení</w:t>
            </w:r>
          </w:p>
          <w:p w14:paraId="15132CE1" w14:textId="77777777" w:rsidR="004C1DAF" w:rsidRPr="008819AF" w:rsidRDefault="004C1DAF" w:rsidP="004C1DAF">
            <w:pPr>
              <w:ind w:left="215" w:hanging="215"/>
              <w:rPr>
                <w:rFonts w:eastAsia="Arial"/>
              </w:rPr>
            </w:pPr>
            <w:r w:rsidRPr="008819AF">
              <w:rPr>
                <w:rFonts w:eastAsia="Arial"/>
              </w:rPr>
              <w:t>1.</w:t>
            </w:r>
            <w:r w:rsidRPr="008819AF">
              <w:t xml:space="preserve"> </w:t>
            </w:r>
            <w:r w:rsidRPr="008819AF">
              <w:rPr>
                <w:rFonts w:eastAsia="Arial"/>
              </w:rPr>
              <w:t>Zmena maximálnej hmotnosti vstupného množstva organických rozpúšťadiel do existujúceho zariadenia vyjadreného ako denný priemer, ak je zariadenie prevádzkované pri plánovanom výstupe, za iných podmienok, ako je nábeh, odstavovanie a údržba vybavenia, sa považuje za podstatnú v prípade, že má za následok zvýšenie emisií prchavých organických zlúčenín o viac než:</w:t>
            </w:r>
          </w:p>
          <w:p w14:paraId="15132CE2" w14:textId="77777777" w:rsidR="004C1DAF" w:rsidRPr="008819AF" w:rsidRDefault="004C1DAF" w:rsidP="009C63CF">
            <w:pPr>
              <w:numPr>
                <w:ilvl w:val="0"/>
                <w:numId w:val="42"/>
              </w:numPr>
              <w:ind w:left="497" w:hanging="283"/>
              <w:rPr>
                <w:rFonts w:eastAsia="Arial"/>
              </w:rPr>
            </w:pPr>
            <w:r w:rsidRPr="008819AF">
              <w:rPr>
                <w:rFonts w:eastAsia="Arial"/>
              </w:rPr>
              <w:t>25 % v prípade zariadenia, ktoré buď vykonáva činnosti, ktoré patria do pásma nižších prahových hodnôt bodov 1, 3, 4, 5, 8, 10, 13, 16 alebo 17 tabuľky v časti 2 prílohy VII, alebo činnosti, ktoré patria do jedného z ďalších bodov uvedených v časti 2 prílohy VII, a má spotrebu rozpúšťadiel nižšiu ako 10 ton za rok;</w:t>
            </w:r>
          </w:p>
          <w:p w14:paraId="15132CE3" w14:textId="77777777" w:rsidR="004C1DAF" w:rsidRPr="008819AF" w:rsidRDefault="004C1DAF" w:rsidP="009C63CF">
            <w:pPr>
              <w:numPr>
                <w:ilvl w:val="0"/>
                <w:numId w:val="42"/>
              </w:numPr>
              <w:ind w:left="497" w:hanging="283"/>
              <w:rPr>
                <w:rFonts w:eastAsia="Arial"/>
              </w:rPr>
            </w:pPr>
            <w:r w:rsidRPr="008819AF">
              <w:rPr>
                <w:rFonts w:eastAsia="Arial"/>
              </w:rPr>
              <w:t>10 % v prípade všetkých ostatných zariadení.</w:t>
            </w:r>
          </w:p>
          <w:p w14:paraId="15132CE4" w14:textId="77777777" w:rsidR="004C1DAF" w:rsidRPr="008819AF" w:rsidRDefault="004C1DAF" w:rsidP="004C1DAF">
            <w:pPr>
              <w:ind w:left="215" w:hanging="215"/>
              <w:rPr>
                <w:rFonts w:eastAsia="Arial"/>
              </w:rPr>
            </w:pPr>
            <w:r w:rsidRPr="008819AF">
              <w:rPr>
                <w:rFonts w:eastAsia="Arial"/>
              </w:rPr>
              <w:t>2. Ak existujúce zariadenie prechádza podstatnou zmenou alebo spadá do rozsahu pôsobnosti tejto smernice po prvýkrát po podstatnej zmene, tá časť zariadenia, na ktorej bola vykonaná podstatná zmena, sa považuje buď za nové zariadenie alebo za existujúce zariadenie za predpokladu, že celkové emisie celého zariadenia neprevyšujú tie, ktoré by boli výsledkom toho, ak by bola podstatne zmenená časť považovaná za nové zariadenie.</w:t>
            </w:r>
          </w:p>
          <w:p w14:paraId="15132CE5" w14:textId="77777777" w:rsidR="004C1DAF" w:rsidRPr="008819AF" w:rsidRDefault="004C1DAF" w:rsidP="004C1DAF">
            <w:pPr>
              <w:ind w:left="215" w:hanging="215"/>
              <w:rPr>
                <w:rFonts w:eastAsia="Arial"/>
              </w:rPr>
            </w:pPr>
            <w:r w:rsidRPr="008819AF">
              <w:rPr>
                <w:rFonts w:eastAsia="Arial"/>
              </w:rPr>
              <w:t>3. V prípade podstatnej zmeny musí príslušný orgán overiť, či zariadenie dodržiava požiadavky tejto smernice.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CE6" w14:textId="77777777" w:rsidR="004C1DAF" w:rsidRPr="008819AF" w:rsidRDefault="004C1DAF" w:rsidP="004C1DAF">
            <w:pPr>
              <w:jc w:val="center"/>
              <w:rPr>
                <w:rFonts w:eastAsia="Arial"/>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CE7" w14:textId="77777777" w:rsidR="004C1DAF" w:rsidRPr="008819AF" w:rsidRDefault="004C1DAF" w:rsidP="004C1DAF">
            <w:pPr>
              <w:jc w:val="center"/>
              <w:rPr>
                <w:rFonts w:eastAsia="Arial"/>
                <w:lang w:bidi="cs-CZ"/>
              </w:rPr>
            </w:pPr>
            <w:r w:rsidRPr="008819AF">
              <w:rPr>
                <w:rFonts w:eastAsia="Arial"/>
                <w:lang w:bidi="cs-CZ"/>
              </w:rPr>
              <w:t>NV2</w:t>
            </w:r>
          </w:p>
          <w:p w14:paraId="15132CE8" w14:textId="77777777" w:rsidR="004C1DAF" w:rsidRPr="008819AF" w:rsidRDefault="004C1DAF"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CE9" w14:textId="77777777" w:rsidR="004C1DAF" w:rsidRPr="008819AF" w:rsidRDefault="0012497B" w:rsidP="004C1DAF">
            <w:pPr>
              <w:pStyle w:val="BodyText21"/>
              <w:spacing w:before="0"/>
              <w:jc w:val="center"/>
              <w:rPr>
                <w:rFonts w:ascii="Times New Roman" w:hAnsi="Times New Roman" w:cs="Times New Roman"/>
              </w:rPr>
            </w:pPr>
            <w:r w:rsidRPr="008819AF">
              <w:rPr>
                <w:rFonts w:ascii="Times New Roman" w:hAnsi="Times New Roman" w:cs="Times New Roman"/>
              </w:rPr>
              <w:t>§ 29</w:t>
            </w:r>
          </w:p>
        </w:tc>
        <w:tc>
          <w:tcPr>
            <w:tcW w:w="5664" w:type="dxa"/>
            <w:gridSpan w:val="5"/>
            <w:tcBorders>
              <w:top w:val="single" w:sz="4" w:space="0" w:color="000000"/>
              <w:left w:val="single" w:sz="6" w:space="0" w:color="000000"/>
              <w:bottom w:val="single" w:sz="6" w:space="0" w:color="000000"/>
              <w:right w:val="single" w:sz="6" w:space="0" w:color="000000"/>
            </w:tcBorders>
          </w:tcPr>
          <w:p w14:paraId="15132CEA" w14:textId="77777777" w:rsidR="0012497B" w:rsidRPr="008819AF" w:rsidRDefault="0012497B" w:rsidP="0012497B">
            <w:pPr>
              <w:pStyle w:val="Hlavika"/>
              <w:ind w:left="72" w:hanging="1"/>
              <w:rPr>
                <w:rFonts w:ascii="Times New Roman" w:hAnsi="Times New Roman" w:cs="Times New Roman"/>
              </w:rPr>
            </w:pPr>
            <w:r w:rsidRPr="008819AF">
              <w:rPr>
                <w:rFonts w:ascii="Times New Roman" w:hAnsi="Times New Roman" w:cs="Times New Roman"/>
              </w:rPr>
              <w:t>Podstatná zmena zariadení používajúcich organické rozpúšťadlá</w:t>
            </w:r>
          </w:p>
          <w:p w14:paraId="15132CEB" w14:textId="77777777" w:rsidR="0012497B" w:rsidRPr="008819AF" w:rsidRDefault="0012497B" w:rsidP="0012497B">
            <w:pPr>
              <w:pStyle w:val="Hlavika"/>
              <w:ind w:left="72" w:hanging="1"/>
              <w:rPr>
                <w:rFonts w:ascii="Times New Roman" w:hAnsi="Times New Roman" w:cs="Times New Roman"/>
              </w:rPr>
            </w:pPr>
            <w:r w:rsidRPr="008819AF">
              <w:rPr>
                <w:rFonts w:ascii="Times New Roman" w:hAnsi="Times New Roman" w:cs="Times New Roman"/>
              </w:rPr>
              <w:t xml:space="preserve">(1) Podstatnou zmenou sa rozumie zvýšenie priemernej dennej hmotnosti vstupu organických rozpúšťadiel v zariadení, ak sa emisie prchavých organických zlúčenín zo zariadenia používajúceho organické rozpúšťadlá počas prevádzky pri plánovanej kapacite, okrem nábehu, odstavovania a údržby zariadenia, zvýšia viac ako o </w:t>
            </w:r>
          </w:p>
          <w:p w14:paraId="15132CEC" w14:textId="77777777" w:rsidR="0012497B" w:rsidRPr="008819AF" w:rsidRDefault="0012497B" w:rsidP="0012497B">
            <w:pPr>
              <w:pStyle w:val="Hlavika"/>
              <w:ind w:left="72" w:hanging="1"/>
              <w:rPr>
                <w:rFonts w:ascii="Times New Roman" w:hAnsi="Times New Roman" w:cs="Times New Roman"/>
              </w:rPr>
            </w:pPr>
            <w:r w:rsidRPr="008819AF">
              <w:rPr>
                <w:rFonts w:ascii="Times New Roman" w:hAnsi="Times New Roman" w:cs="Times New Roman"/>
              </w:rPr>
              <w:t>25 %, ak ide o zariadenie, v ktorom sa vykonáva</w:t>
            </w:r>
          </w:p>
          <w:p w14:paraId="15132CED" w14:textId="77777777" w:rsidR="0012497B" w:rsidRPr="008819AF" w:rsidRDefault="0012497B" w:rsidP="0012497B">
            <w:pPr>
              <w:pStyle w:val="Hlavika"/>
              <w:ind w:left="72" w:hanging="1"/>
              <w:rPr>
                <w:rFonts w:ascii="Times New Roman" w:hAnsi="Times New Roman" w:cs="Times New Roman"/>
              </w:rPr>
            </w:pPr>
            <w:r w:rsidRPr="008819AF">
              <w:rPr>
                <w:rFonts w:ascii="Times New Roman" w:hAnsi="Times New Roman" w:cs="Times New Roman"/>
              </w:rPr>
              <w:t>činnosť Ia, Ic, Id, Ie, If, Ig, IIa, IIb, IVa, IVb, IVc, VIII, X uvedená v prílohe č. 6 prvej časti, ktorá zodpovedá prahovej spotrebe rozpúšťadla označenej písmenom „Z“ v prílohe č. 6 štvrtej časti alebo</w:t>
            </w:r>
          </w:p>
          <w:p w14:paraId="15132CEE" w14:textId="77777777" w:rsidR="0012497B" w:rsidRPr="008819AF" w:rsidRDefault="0012497B" w:rsidP="0012497B">
            <w:pPr>
              <w:pStyle w:val="Hlavika"/>
              <w:ind w:left="72" w:hanging="1"/>
              <w:rPr>
                <w:rFonts w:ascii="Times New Roman" w:hAnsi="Times New Roman" w:cs="Times New Roman"/>
              </w:rPr>
            </w:pPr>
            <w:r w:rsidRPr="008819AF">
              <w:rPr>
                <w:rFonts w:ascii="Times New Roman" w:hAnsi="Times New Roman" w:cs="Times New Roman"/>
              </w:rPr>
              <w:t>iná činnosť s prahovou spotrebou rozpúšťadla menšou ako 10 t/rok,</w:t>
            </w:r>
          </w:p>
          <w:p w14:paraId="15132CEF" w14:textId="77777777" w:rsidR="0012497B" w:rsidRPr="008819AF" w:rsidRDefault="0012497B" w:rsidP="0012497B">
            <w:pPr>
              <w:pStyle w:val="Hlavika"/>
              <w:ind w:left="72" w:hanging="1"/>
              <w:rPr>
                <w:rFonts w:ascii="Times New Roman" w:hAnsi="Times New Roman" w:cs="Times New Roman"/>
              </w:rPr>
            </w:pPr>
            <w:r w:rsidRPr="008819AF">
              <w:rPr>
                <w:rFonts w:ascii="Times New Roman" w:hAnsi="Times New Roman" w:cs="Times New Roman"/>
              </w:rPr>
              <w:t>10 % pre všetky ostatné zariadenia.</w:t>
            </w:r>
          </w:p>
          <w:p w14:paraId="15132CF0" w14:textId="77777777" w:rsidR="0012497B" w:rsidRPr="008819AF" w:rsidRDefault="0012497B" w:rsidP="0012497B">
            <w:pPr>
              <w:pStyle w:val="Hlavika"/>
              <w:ind w:left="72" w:hanging="1"/>
              <w:rPr>
                <w:rFonts w:ascii="Times New Roman" w:hAnsi="Times New Roman" w:cs="Times New Roman"/>
              </w:rPr>
            </w:pPr>
            <w:r w:rsidRPr="008819AF">
              <w:rPr>
                <w:rFonts w:ascii="Times New Roman" w:hAnsi="Times New Roman" w:cs="Times New Roman"/>
              </w:rPr>
              <w:t>Ak sa na jestvujúcom zariadení alebo jeho časti vykoná podstatná zmena alebo zariadenie používajúce organické rozpúšťadlá prvýkrát po vykonaní podstatnej zmeny dosiahne alebo prekročí prahovú kapacitu pre uplatnenie špecifických emisných limitov, časť zariadenia, ktorá prešla podstatnou zmenou, sa považuje za nové zariadenie alebo za jestvujúce zariadenie podľa toho, či celkové emisie celého zariadenia neprevyšujú tie, ktoré by platili, ak by sa táto časť zariadenia považovala za nové zariadenie.</w:t>
            </w:r>
          </w:p>
          <w:p w14:paraId="15132CF1" w14:textId="77777777" w:rsidR="004C1DAF" w:rsidRPr="008819AF" w:rsidRDefault="004C1DAF" w:rsidP="004C1DAF">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2CF2" w14:textId="77777777" w:rsidR="004C1DAF" w:rsidRPr="008819AF" w:rsidRDefault="004C1DAF" w:rsidP="004C1DAF"/>
        </w:tc>
        <w:tc>
          <w:tcPr>
            <w:tcW w:w="821" w:type="dxa"/>
            <w:gridSpan w:val="3"/>
            <w:tcBorders>
              <w:top w:val="single" w:sz="4" w:space="0" w:color="000000"/>
              <w:left w:val="single" w:sz="6" w:space="0" w:color="000000"/>
              <w:bottom w:val="single" w:sz="6" w:space="0" w:color="000000"/>
              <w:right w:val="single" w:sz="6" w:space="0" w:color="000000"/>
            </w:tcBorders>
          </w:tcPr>
          <w:p w14:paraId="15132CF3" w14:textId="77777777" w:rsidR="004C1DAF" w:rsidRPr="008819AF" w:rsidRDefault="004C1DAF" w:rsidP="004C1DAF">
            <w:pPr>
              <w:ind w:left="215" w:hanging="215"/>
              <w:rPr>
                <w:rFonts w:eastAsia="Arial"/>
              </w:rPr>
            </w:pPr>
          </w:p>
        </w:tc>
      </w:tr>
      <w:tr w:rsidR="004C1DAF" w:rsidRPr="008819AF" w14:paraId="15132D16"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2CF5" w14:textId="77777777" w:rsidR="004C1DAF" w:rsidRPr="008819AF" w:rsidRDefault="004C1DAF" w:rsidP="004C1DAF">
            <w:pPr>
              <w:ind w:right="-70"/>
              <w:rPr>
                <w:rFonts w:eastAsia="Arial"/>
                <w:lang w:bidi="cs-CZ"/>
              </w:rPr>
            </w:pPr>
            <w:r w:rsidRPr="008819AF">
              <w:rPr>
                <w:rFonts w:eastAsia="Arial"/>
                <w:lang w:bidi="cs-CZ"/>
              </w:rPr>
              <w:lastRenderedPageBreak/>
              <w:t>Č:64</w:t>
            </w:r>
          </w:p>
        </w:tc>
        <w:tc>
          <w:tcPr>
            <w:tcW w:w="6227" w:type="dxa"/>
            <w:gridSpan w:val="2"/>
            <w:tcBorders>
              <w:top w:val="single" w:sz="4" w:space="0" w:color="000000"/>
              <w:left w:val="single" w:sz="6" w:space="0" w:color="000000"/>
              <w:bottom w:val="single" w:sz="6" w:space="0" w:color="000000"/>
              <w:right w:val="single" w:sz="6" w:space="0" w:color="000000"/>
            </w:tcBorders>
          </w:tcPr>
          <w:p w14:paraId="15132CF6" w14:textId="77777777" w:rsidR="004C1DAF" w:rsidRPr="008819AF" w:rsidRDefault="004C1DAF" w:rsidP="004C1DAF">
            <w:pPr>
              <w:ind w:left="215" w:hanging="215"/>
              <w:rPr>
                <w:rFonts w:eastAsia="Arial"/>
              </w:rPr>
            </w:pPr>
            <w:r w:rsidRPr="008819AF">
              <w:rPr>
                <w:rFonts w:eastAsia="Arial"/>
              </w:rPr>
              <w:t>Článok 64</w:t>
            </w:r>
          </w:p>
          <w:p w14:paraId="15132CF7" w14:textId="77777777" w:rsidR="004C1DAF" w:rsidRPr="008819AF" w:rsidRDefault="004C1DAF" w:rsidP="004C1DAF">
            <w:pPr>
              <w:ind w:left="215" w:hanging="215"/>
              <w:rPr>
                <w:rFonts w:eastAsia="Arial"/>
              </w:rPr>
            </w:pPr>
            <w:r w:rsidRPr="008819AF">
              <w:rPr>
                <w:rFonts w:eastAsia="Arial"/>
              </w:rPr>
              <w:t>Výmena informácií o náhrade organických rozpúšťadiel</w:t>
            </w:r>
          </w:p>
          <w:p w14:paraId="15132CF8" w14:textId="77777777" w:rsidR="004C1DAF" w:rsidRPr="008819AF" w:rsidRDefault="004C1DAF" w:rsidP="004C1DAF">
            <w:pPr>
              <w:ind w:left="215" w:hanging="1"/>
              <w:rPr>
                <w:rFonts w:eastAsia="Arial"/>
              </w:rPr>
            </w:pPr>
            <w:r w:rsidRPr="008819AF">
              <w:rPr>
                <w:rFonts w:eastAsia="Arial"/>
              </w:rPr>
              <w:t>Komisia zorganizuje výmenu informácií s členskými štátmi, príslušnými priemyselnými odvetviami a mimovládnymi organizáciami, ktoré presadzujú ochranu životného prostredia, o používaní organických rozpúšťadiel a ich potenciálnych náhrad a techník, ktoré majú najmenšie potenciálne vplyvy na ovzdušie, vodu, pôdu, ekosystémy a ľudské zdravie.</w:t>
            </w:r>
          </w:p>
          <w:p w14:paraId="15132CF9" w14:textId="77777777" w:rsidR="004C1DAF" w:rsidRPr="008819AF" w:rsidRDefault="004C1DAF" w:rsidP="004C1DAF">
            <w:pPr>
              <w:ind w:left="215" w:hanging="1"/>
              <w:rPr>
                <w:rFonts w:eastAsia="Arial"/>
              </w:rPr>
            </w:pPr>
          </w:p>
          <w:p w14:paraId="15132CFA" w14:textId="77777777" w:rsidR="004C1DAF" w:rsidRPr="008819AF" w:rsidRDefault="004C1DAF" w:rsidP="004C1DAF">
            <w:pPr>
              <w:ind w:left="215" w:hanging="1"/>
              <w:rPr>
                <w:rFonts w:eastAsia="Arial"/>
              </w:rPr>
            </w:pPr>
            <w:r w:rsidRPr="008819AF">
              <w:rPr>
                <w:rFonts w:eastAsia="Arial"/>
              </w:rPr>
              <w:t>Výmena informácií sa zorganizuje o všetkých týchto témach:</w:t>
            </w:r>
          </w:p>
          <w:p w14:paraId="15132CFB" w14:textId="77777777" w:rsidR="004C1DAF" w:rsidRPr="008819AF" w:rsidRDefault="004C1DAF" w:rsidP="009C63CF">
            <w:pPr>
              <w:numPr>
                <w:ilvl w:val="0"/>
                <w:numId w:val="43"/>
              </w:numPr>
              <w:spacing w:after="120"/>
              <w:ind w:left="497" w:hanging="283"/>
              <w:rPr>
                <w:rFonts w:eastAsia="Arial"/>
              </w:rPr>
            </w:pPr>
            <w:r w:rsidRPr="008819AF">
              <w:rPr>
                <w:rFonts w:eastAsia="Arial"/>
              </w:rPr>
              <w:t>vhodnosť na použitie;</w:t>
            </w:r>
          </w:p>
          <w:p w14:paraId="15132CFC" w14:textId="77777777" w:rsidR="004C1DAF" w:rsidRPr="008819AF" w:rsidRDefault="004C1DAF" w:rsidP="009C63CF">
            <w:pPr>
              <w:numPr>
                <w:ilvl w:val="0"/>
                <w:numId w:val="43"/>
              </w:numPr>
              <w:spacing w:after="120"/>
              <w:ind w:left="497" w:hanging="283"/>
              <w:rPr>
                <w:rFonts w:eastAsia="Arial"/>
              </w:rPr>
            </w:pPr>
            <w:r w:rsidRPr="008819AF">
              <w:rPr>
                <w:rFonts w:eastAsia="Arial"/>
              </w:rPr>
              <w:t>potenciálne vplyvy na ľudské zdravie, a najmä vystavenie účinkom pri práci;</w:t>
            </w:r>
          </w:p>
          <w:p w14:paraId="15132CFD" w14:textId="77777777" w:rsidR="004C1DAF" w:rsidRPr="008819AF" w:rsidRDefault="004C1DAF" w:rsidP="009C63CF">
            <w:pPr>
              <w:numPr>
                <w:ilvl w:val="0"/>
                <w:numId w:val="43"/>
              </w:numPr>
              <w:spacing w:after="120"/>
              <w:ind w:left="497" w:hanging="283"/>
              <w:rPr>
                <w:rFonts w:eastAsia="Arial"/>
              </w:rPr>
            </w:pPr>
            <w:r w:rsidRPr="008819AF">
              <w:rPr>
                <w:rFonts w:eastAsia="Arial"/>
              </w:rPr>
              <w:t>potenciálne vplyvy na životné prostredie;</w:t>
            </w:r>
          </w:p>
          <w:p w14:paraId="15132CFE" w14:textId="77777777" w:rsidR="004C1DAF" w:rsidRPr="008819AF" w:rsidRDefault="004C1DAF" w:rsidP="009C63CF">
            <w:pPr>
              <w:numPr>
                <w:ilvl w:val="0"/>
                <w:numId w:val="43"/>
              </w:numPr>
              <w:ind w:left="497" w:hanging="283"/>
              <w:rPr>
                <w:rFonts w:eastAsia="Arial"/>
              </w:rPr>
            </w:pPr>
            <w:r w:rsidRPr="008819AF">
              <w:rPr>
                <w:rFonts w:eastAsia="Arial"/>
              </w:rPr>
              <w:t>ekonomické dôsledky, najmä náklady a prínosy jednotlivých dostupných alternatív.</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CFF" w14:textId="77777777" w:rsidR="004C1DAF" w:rsidRPr="008819AF" w:rsidRDefault="004C1DAF" w:rsidP="004C1DAF">
            <w:pPr>
              <w:ind w:left="215" w:hanging="215"/>
              <w:jc w:val="center"/>
              <w:rPr>
                <w:rFonts w:eastAsia="Arial"/>
                <w:lang w:bidi="cs-CZ"/>
              </w:rPr>
            </w:pPr>
            <w:r w:rsidRPr="008819AF">
              <w:rPr>
                <w:rFonts w:eastAsia="Arial"/>
                <w:lang w:bidi="cs-CZ"/>
              </w:rPr>
              <w:t>n.a.</w:t>
            </w:r>
          </w:p>
          <w:p w14:paraId="15132D00" w14:textId="77777777" w:rsidR="004C1DAF" w:rsidRPr="008819AF" w:rsidRDefault="004C1DAF" w:rsidP="004C1DAF">
            <w:pPr>
              <w:ind w:left="215" w:hanging="215"/>
              <w:jc w:val="center"/>
              <w:rPr>
                <w:rFonts w:eastAsia="Arial"/>
                <w:lang w:bidi="cs-CZ"/>
              </w:rPr>
            </w:pPr>
          </w:p>
          <w:p w14:paraId="15132D01" w14:textId="77777777" w:rsidR="004C1DAF" w:rsidRPr="008819AF" w:rsidRDefault="004C1DAF" w:rsidP="004C1DAF">
            <w:pPr>
              <w:ind w:left="215" w:hanging="215"/>
              <w:jc w:val="center"/>
              <w:rPr>
                <w:rFonts w:eastAsia="Arial"/>
                <w:lang w:bidi="cs-CZ"/>
              </w:rPr>
            </w:pPr>
          </w:p>
          <w:p w14:paraId="15132D02" w14:textId="77777777" w:rsidR="004C1DAF" w:rsidRPr="008819AF" w:rsidRDefault="004C1DAF" w:rsidP="004C1DAF">
            <w:pPr>
              <w:ind w:left="215" w:hanging="215"/>
              <w:jc w:val="center"/>
              <w:rPr>
                <w:rFonts w:eastAsia="Arial"/>
                <w:lang w:bidi="cs-CZ"/>
              </w:rPr>
            </w:pPr>
          </w:p>
          <w:p w14:paraId="15132D03" w14:textId="77777777" w:rsidR="004C1DAF" w:rsidRPr="008819AF" w:rsidRDefault="004C1DAF" w:rsidP="004C1DAF">
            <w:pPr>
              <w:ind w:left="215" w:hanging="215"/>
              <w:jc w:val="center"/>
              <w:rPr>
                <w:rFonts w:eastAsia="Arial"/>
                <w:lang w:bidi="cs-CZ"/>
              </w:rPr>
            </w:pPr>
          </w:p>
          <w:p w14:paraId="15132D04" w14:textId="77777777" w:rsidR="004C1DAF" w:rsidRPr="008819AF" w:rsidRDefault="004C1DAF" w:rsidP="004C1DAF">
            <w:pPr>
              <w:ind w:left="215" w:hanging="215"/>
              <w:jc w:val="center"/>
              <w:rPr>
                <w:rFonts w:eastAsia="Arial"/>
                <w:lang w:bidi="cs-CZ"/>
              </w:rPr>
            </w:pPr>
          </w:p>
          <w:p w14:paraId="15132D05" w14:textId="77777777" w:rsidR="004C1DAF" w:rsidRPr="008819AF" w:rsidRDefault="004C1DAF" w:rsidP="004C1DAF">
            <w:pPr>
              <w:ind w:left="215" w:hanging="215"/>
              <w:jc w:val="center"/>
              <w:rPr>
                <w:rFonts w:eastAsia="Arial"/>
                <w:lang w:bidi="cs-CZ"/>
              </w:rPr>
            </w:pPr>
          </w:p>
          <w:p w14:paraId="15132D06" w14:textId="77777777" w:rsidR="004C1DAF" w:rsidRPr="008819AF" w:rsidRDefault="004C1DAF" w:rsidP="004C1DAF">
            <w:pPr>
              <w:ind w:left="215" w:hanging="215"/>
              <w:jc w:val="center"/>
              <w:rPr>
                <w:rFonts w:eastAsia="Arial"/>
                <w:lang w:bidi="cs-CZ"/>
              </w:rPr>
            </w:pPr>
          </w:p>
          <w:p w14:paraId="15132D07" w14:textId="77777777" w:rsidR="004C1DAF" w:rsidRPr="008819AF" w:rsidRDefault="004C1DAF" w:rsidP="004C1DAF">
            <w:pPr>
              <w:ind w:left="215" w:hanging="215"/>
              <w:jc w:val="center"/>
              <w:rPr>
                <w:rFonts w:eastAsia="Arial"/>
                <w:lang w:bidi="cs-CZ"/>
              </w:rPr>
            </w:pPr>
          </w:p>
          <w:p w14:paraId="15132D08" w14:textId="77777777" w:rsidR="004C1DAF" w:rsidRPr="008819AF" w:rsidRDefault="004C1DAF" w:rsidP="004C1DAF">
            <w:pPr>
              <w:ind w:left="215" w:hanging="215"/>
              <w:jc w:val="center"/>
              <w:rPr>
                <w:rFonts w:eastAsia="Arial"/>
                <w:lang w:bidi="cs-CZ"/>
              </w:rPr>
            </w:pPr>
          </w:p>
          <w:p w14:paraId="15132D09" w14:textId="77777777" w:rsidR="004C1DAF" w:rsidRPr="008819AF" w:rsidRDefault="004C1DAF" w:rsidP="004C1DAF">
            <w:pPr>
              <w:ind w:left="215" w:hanging="215"/>
              <w:jc w:val="center"/>
              <w:rPr>
                <w:rFonts w:eastAsia="Arial"/>
                <w:lang w:bidi="cs-CZ"/>
              </w:rPr>
            </w:pPr>
          </w:p>
          <w:p w14:paraId="15132D0A" w14:textId="77777777" w:rsidR="004C1DAF" w:rsidRPr="008819AF" w:rsidRDefault="004C1DAF" w:rsidP="004C1DAF">
            <w:pPr>
              <w:ind w:left="215" w:hanging="215"/>
              <w:jc w:val="center"/>
              <w:rPr>
                <w:rFonts w:eastAsia="Arial"/>
                <w:lang w:bidi="cs-CZ"/>
              </w:rPr>
            </w:pPr>
          </w:p>
          <w:p w14:paraId="15132D0B" w14:textId="77777777" w:rsidR="004C1DAF" w:rsidRPr="008819AF" w:rsidRDefault="004C1DAF" w:rsidP="004C1DAF">
            <w:pPr>
              <w:ind w:left="215" w:hanging="215"/>
              <w:jc w:val="center"/>
              <w:rPr>
                <w:rFonts w:eastAsia="Arial"/>
                <w:lang w:bidi="cs-CZ"/>
              </w:rPr>
            </w:pPr>
          </w:p>
          <w:p w14:paraId="15132D0C" w14:textId="77777777" w:rsidR="004C1DAF" w:rsidRPr="008819AF" w:rsidRDefault="004C1DAF" w:rsidP="004C1DAF">
            <w:pPr>
              <w:ind w:left="215" w:hanging="215"/>
              <w:jc w:val="center"/>
              <w:rPr>
                <w:rFonts w:eastAsia="Arial"/>
                <w:lang w:bidi="cs-CZ"/>
              </w:rPr>
            </w:pPr>
          </w:p>
          <w:p w14:paraId="15132D0D" w14:textId="77777777" w:rsidR="004C1DAF" w:rsidRPr="008819AF" w:rsidRDefault="004C1DAF" w:rsidP="004C1DAF">
            <w:pPr>
              <w:ind w:left="215" w:hanging="215"/>
              <w:jc w:val="center"/>
              <w:rPr>
                <w:rFonts w:eastAsia="Arial"/>
                <w:lang w:bidi="cs-CZ"/>
              </w:rPr>
            </w:pPr>
          </w:p>
          <w:p w14:paraId="15132D0E" w14:textId="77777777" w:rsidR="004C1DAF" w:rsidRPr="008819AF" w:rsidRDefault="004C1DAF" w:rsidP="004C1DAF">
            <w:pPr>
              <w:ind w:left="215" w:hanging="215"/>
              <w:jc w:val="center"/>
              <w:rPr>
                <w:rFonts w:eastAsia="Arial"/>
                <w:lang w:bidi="cs-CZ"/>
              </w:rPr>
            </w:pPr>
          </w:p>
          <w:p w14:paraId="15132D0F" w14:textId="77777777" w:rsidR="004C1DAF" w:rsidRPr="008819AF" w:rsidRDefault="004C1DAF" w:rsidP="004C1DAF">
            <w:pPr>
              <w:ind w:left="215" w:hanging="215"/>
              <w:jc w:val="center"/>
              <w:rPr>
                <w:rFonts w:eastAsia="Arial"/>
                <w:lang w:bidi="cs-CZ"/>
              </w:rPr>
            </w:pPr>
          </w:p>
          <w:p w14:paraId="15132D10" w14:textId="77777777" w:rsidR="004C1DAF" w:rsidRPr="008819AF" w:rsidRDefault="004C1DAF" w:rsidP="004C1DAF">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D11" w14:textId="77777777" w:rsidR="004C1DAF" w:rsidRPr="008819AF" w:rsidRDefault="004C1DAF"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D12" w14:textId="77777777" w:rsidR="004C1DAF" w:rsidRPr="008819AF" w:rsidRDefault="004C1DAF" w:rsidP="004C1DAF">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D13" w14:textId="77777777" w:rsidR="004C1DAF" w:rsidRPr="008819AF" w:rsidRDefault="004C1DAF" w:rsidP="004C1DAF">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2D14" w14:textId="77777777" w:rsidR="004C1DAF" w:rsidRPr="008819AF" w:rsidRDefault="004C1DAF"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D15" w14:textId="77777777" w:rsidR="004C1DAF" w:rsidRPr="008819AF" w:rsidRDefault="004C1DAF" w:rsidP="004C1DAF">
            <w:pPr>
              <w:ind w:left="215" w:hanging="215"/>
              <w:rPr>
                <w:rFonts w:eastAsia="Arial"/>
              </w:rPr>
            </w:pPr>
          </w:p>
        </w:tc>
      </w:tr>
      <w:tr w:rsidR="004C1DAF" w:rsidRPr="008819AF" w14:paraId="15132D2E"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2D17" w14:textId="77777777" w:rsidR="004C1DAF" w:rsidRPr="008819AF" w:rsidRDefault="004C1DAF" w:rsidP="004C1DAF">
            <w:pPr>
              <w:ind w:right="-70"/>
              <w:rPr>
                <w:rFonts w:eastAsia="Arial"/>
                <w:lang w:bidi="cs-CZ"/>
              </w:rPr>
            </w:pPr>
            <w:r w:rsidRPr="008819AF">
              <w:rPr>
                <w:rFonts w:eastAsia="Arial"/>
                <w:lang w:bidi="cs-CZ"/>
              </w:rPr>
              <w:t>Č:65</w:t>
            </w:r>
          </w:p>
        </w:tc>
        <w:tc>
          <w:tcPr>
            <w:tcW w:w="6227" w:type="dxa"/>
            <w:gridSpan w:val="2"/>
            <w:tcBorders>
              <w:top w:val="single" w:sz="4" w:space="0" w:color="000000"/>
              <w:left w:val="single" w:sz="6" w:space="0" w:color="000000"/>
              <w:bottom w:val="single" w:sz="6" w:space="0" w:color="000000"/>
              <w:right w:val="single" w:sz="6" w:space="0" w:color="000000"/>
            </w:tcBorders>
          </w:tcPr>
          <w:p w14:paraId="15132D18" w14:textId="77777777" w:rsidR="004C1DAF" w:rsidRPr="008819AF" w:rsidRDefault="004C1DAF" w:rsidP="004C1DAF">
            <w:pPr>
              <w:ind w:left="215" w:hanging="215"/>
              <w:rPr>
                <w:rFonts w:eastAsia="Arial"/>
              </w:rPr>
            </w:pPr>
            <w:r w:rsidRPr="008819AF">
              <w:rPr>
                <w:rFonts w:eastAsia="Arial"/>
              </w:rPr>
              <w:t>Článok 65</w:t>
            </w:r>
          </w:p>
          <w:p w14:paraId="15132D19" w14:textId="77777777" w:rsidR="004C1DAF" w:rsidRPr="008819AF" w:rsidRDefault="004C1DAF" w:rsidP="004C1DAF">
            <w:pPr>
              <w:ind w:left="215" w:hanging="215"/>
              <w:rPr>
                <w:rFonts w:eastAsia="Arial"/>
              </w:rPr>
            </w:pPr>
            <w:r w:rsidRPr="008819AF">
              <w:rPr>
                <w:rFonts w:eastAsia="Arial"/>
              </w:rPr>
              <w:t>Prístup k informáciám</w:t>
            </w:r>
          </w:p>
          <w:p w14:paraId="15132D1A" w14:textId="77777777" w:rsidR="004C1DAF" w:rsidRPr="008819AF" w:rsidRDefault="004C1DAF" w:rsidP="004C1DAF">
            <w:pPr>
              <w:ind w:left="215" w:hanging="215"/>
              <w:rPr>
                <w:rFonts w:eastAsia="Arial"/>
              </w:rPr>
            </w:pPr>
            <w:r w:rsidRPr="008819AF">
              <w:rPr>
                <w:rFonts w:eastAsia="Arial"/>
              </w:rPr>
              <w:t>1. Verejnosti sa sprístupní rozhodnutie príslušného orgánu, vrátane aspoň kópie povolenia a všetkých jeho následných aktualizácií.</w:t>
            </w:r>
          </w:p>
          <w:p w14:paraId="15132D1B" w14:textId="77777777" w:rsidR="004C1DAF" w:rsidRPr="008819AF" w:rsidRDefault="004C1DAF" w:rsidP="004C1DAF">
            <w:pPr>
              <w:ind w:left="215" w:hanging="1"/>
              <w:rPr>
                <w:rFonts w:eastAsia="Arial"/>
              </w:rPr>
            </w:pPr>
            <w:r w:rsidRPr="008819AF">
              <w:rPr>
                <w:rFonts w:eastAsia="Arial"/>
              </w:rPr>
              <w:t>Verejnosti sa sprístupnia všeobecne záväzné predpisy platné pre zariadenia a zoznam zariadení, na ktoré sa vzťahuje povinnosť mať povolenie a registráciu.</w:t>
            </w:r>
          </w:p>
          <w:p w14:paraId="15132D1C" w14:textId="77777777" w:rsidR="004C1DAF" w:rsidRPr="008819AF" w:rsidRDefault="004C1DAF" w:rsidP="004C1DAF">
            <w:pPr>
              <w:ind w:left="215" w:hanging="215"/>
              <w:rPr>
                <w:rFonts w:eastAsia="Arial"/>
              </w:rPr>
            </w:pPr>
            <w:r w:rsidRPr="008819AF">
              <w:rPr>
                <w:rFonts w:eastAsia="Arial"/>
              </w:rPr>
              <w:t>2. Verejnosti sa sprístupnia výsledky monitorovania emisií, ktoré sú požadované podľa článku 60 a ktoré má k dispozícii príslušný orgán.</w:t>
            </w:r>
          </w:p>
          <w:p w14:paraId="15132D1D" w14:textId="77777777" w:rsidR="004C1DAF" w:rsidRPr="008819AF" w:rsidRDefault="004C1DAF" w:rsidP="004C1DAF">
            <w:pPr>
              <w:ind w:left="215" w:hanging="215"/>
              <w:rPr>
                <w:rFonts w:eastAsia="Arial"/>
              </w:rPr>
            </w:pPr>
            <w:r w:rsidRPr="008819AF">
              <w:rPr>
                <w:rFonts w:eastAsia="Arial"/>
              </w:rPr>
              <w:t>3. Odseky 1 a 2 tohto článku sa uplatňujú s výnimkou obmedzení, ktoré sú stanovené v článku 4 ods. 1 a 2 smernice 2003/4/ES.</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D1E" w14:textId="77777777" w:rsidR="004C1DAF" w:rsidRPr="008819AF" w:rsidRDefault="004C1DAF" w:rsidP="004C1DAF">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2D1F" w14:textId="77777777" w:rsidR="004C1DAF" w:rsidRPr="008819AF" w:rsidRDefault="004C1DAF" w:rsidP="004C1DAF">
            <w:pPr>
              <w:jc w:val="center"/>
              <w:rPr>
                <w:rFonts w:eastAsia="Arial"/>
                <w:lang w:bidi="cs-CZ"/>
              </w:rPr>
            </w:pPr>
            <w:r w:rsidRPr="008819AF">
              <w:rPr>
                <w:rFonts w:eastAsia="Arial"/>
                <w:lang w:bidi="cs-CZ"/>
              </w:rPr>
              <w:t>NZ</w:t>
            </w:r>
          </w:p>
          <w:p w14:paraId="15132D20" w14:textId="77777777" w:rsidR="004C1DAF" w:rsidRPr="008819AF" w:rsidRDefault="004C1DAF"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D21" w14:textId="77777777" w:rsidR="004C1DAF" w:rsidRPr="008819AF" w:rsidRDefault="004C1DAF" w:rsidP="004C1DAF">
            <w:pPr>
              <w:ind w:left="215" w:hanging="215"/>
              <w:jc w:val="center"/>
              <w:rPr>
                <w:rFonts w:eastAsia="Arial"/>
                <w:lang w:bidi="cs-CZ"/>
              </w:rPr>
            </w:pPr>
            <w:r w:rsidRPr="008819AF">
              <w:rPr>
                <w:rFonts w:eastAsia="Arial"/>
                <w:lang w:bidi="cs-CZ"/>
              </w:rPr>
              <w:t>§ 44</w:t>
            </w:r>
          </w:p>
          <w:p w14:paraId="15132D22" w14:textId="77777777" w:rsidR="004C1DAF" w:rsidRPr="008819AF" w:rsidRDefault="004C1DAF" w:rsidP="004C1DAF">
            <w:pPr>
              <w:ind w:left="215" w:hanging="215"/>
              <w:jc w:val="center"/>
              <w:rPr>
                <w:rFonts w:eastAsia="Arial"/>
                <w:lang w:bidi="cs-CZ"/>
              </w:rPr>
            </w:pPr>
            <w:r w:rsidRPr="008819AF">
              <w:rPr>
                <w:rFonts w:eastAsia="Arial"/>
                <w:lang w:bidi="cs-CZ"/>
              </w:rPr>
              <w:t>O 4</w:t>
            </w:r>
          </w:p>
          <w:p w14:paraId="15132D23" w14:textId="77777777" w:rsidR="004C1DAF" w:rsidRPr="008819AF" w:rsidRDefault="004C1DAF" w:rsidP="004C1DAF">
            <w:pPr>
              <w:jc w:val="center"/>
              <w:rPr>
                <w:rFonts w:eastAsia="Arial"/>
                <w:lang w:bidi="cs-CZ"/>
              </w:rPr>
            </w:pPr>
            <w:r w:rsidRPr="008819AF">
              <w:rPr>
                <w:rFonts w:eastAsia="Arial"/>
                <w:lang w:bidi="cs-CZ"/>
              </w:rPr>
              <w:t>P a) až d)</w:t>
            </w:r>
          </w:p>
          <w:p w14:paraId="15132D24" w14:textId="77777777" w:rsidR="004C1DAF" w:rsidRPr="008819AF" w:rsidRDefault="004C1DAF" w:rsidP="004C1DAF">
            <w:pPr>
              <w:ind w:left="215" w:hanging="215"/>
              <w:jc w:val="center"/>
              <w:rPr>
                <w:rFonts w:eastAsia="Arial"/>
                <w:lang w:bidi="cs-CZ"/>
              </w:rPr>
            </w:pPr>
          </w:p>
          <w:p w14:paraId="15132D25" w14:textId="77777777" w:rsidR="004C1DAF" w:rsidRPr="008819AF" w:rsidRDefault="004C1DAF" w:rsidP="004C1DAF">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D26" w14:textId="77777777" w:rsidR="004C1DAF" w:rsidRPr="008819AF" w:rsidRDefault="004C1DAF" w:rsidP="004C1DAF">
            <w:pPr>
              <w:rPr>
                <w:rFonts w:eastAsia="Arial"/>
                <w:lang w:bidi="cs-CZ"/>
              </w:rPr>
            </w:pPr>
            <w:r w:rsidRPr="008819AF">
              <w:rPr>
                <w:rFonts w:eastAsia="Arial"/>
                <w:lang w:bidi="cs-CZ"/>
              </w:rPr>
              <w:t>Okresný úrad vo vzťahu k verejnosti</w:t>
            </w:r>
          </w:p>
          <w:p w14:paraId="15132D27" w14:textId="77777777" w:rsidR="004C1DAF" w:rsidRPr="008819AF" w:rsidRDefault="00C800E4" w:rsidP="009C63CF">
            <w:pPr>
              <w:numPr>
                <w:ilvl w:val="0"/>
                <w:numId w:val="44"/>
              </w:numPr>
              <w:ind w:left="175" w:hanging="142"/>
              <w:rPr>
                <w:rFonts w:eastAsia="Arial"/>
                <w:lang w:bidi="cs-CZ"/>
              </w:rPr>
            </w:pPr>
            <w:r w:rsidRPr="008819AF">
              <w:rPr>
                <w:rFonts w:eastAsia="Arial"/>
                <w:lang w:bidi="cs-CZ"/>
              </w:rPr>
              <w:t>sprístupňuje žiadosti o povolenie zdroja, vydané súhlasy, povolenia zdrojov a ich aktualizácie, ak ide o spaľovňu odpadov alebo zariadenie na spoluspaľovanie odpadov</w:t>
            </w:r>
            <w:r w:rsidR="004C1DAF" w:rsidRPr="008819AF">
              <w:rPr>
                <w:rFonts w:eastAsia="Arial"/>
                <w:lang w:bidi="cs-CZ"/>
              </w:rPr>
              <w:t>,</w:t>
            </w:r>
          </w:p>
          <w:p w14:paraId="15132D28" w14:textId="77777777" w:rsidR="004C1DAF" w:rsidRPr="008819AF" w:rsidRDefault="004C1DAF" w:rsidP="009C63CF">
            <w:pPr>
              <w:numPr>
                <w:ilvl w:val="0"/>
                <w:numId w:val="44"/>
              </w:numPr>
              <w:ind w:left="175" w:hanging="142"/>
              <w:rPr>
                <w:rFonts w:eastAsia="Arial"/>
                <w:lang w:bidi="cs-CZ"/>
              </w:rPr>
            </w:pPr>
            <w:r w:rsidRPr="008819AF">
              <w:rPr>
                <w:rFonts w:eastAsia="Arial"/>
                <w:lang w:bidi="cs-CZ"/>
              </w:rPr>
              <w:t>vykonáva verejné pripomienkovanie a verejné prerokovanie žiadostí v konaní o vydanie povolenia pre spaľovňu odpadov alebo zariadenie na spoluspaľovanie odpadov,</w:t>
            </w:r>
          </w:p>
          <w:p w14:paraId="15132D29" w14:textId="77777777" w:rsidR="004C1DAF" w:rsidRPr="008819AF" w:rsidRDefault="004C1DAF" w:rsidP="009C63CF">
            <w:pPr>
              <w:numPr>
                <w:ilvl w:val="0"/>
                <w:numId w:val="44"/>
              </w:numPr>
              <w:ind w:left="175" w:hanging="142"/>
              <w:rPr>
                <w:rFonts w:eastAsia="Arial"/>
                <w:lang w:bidi="cs-CZ"/>
              </w:rPr>
            </w:pPr>
            <w:r w:rsidRPr="008819AF">
              <w:rPr>
                <w:rFonts w:eastAsia="Arial"/>
                <w:lang w:bidi="cs-CZ"/>
              </w:rPr>
              <w:t>zverejňuje do 31. mája vybrané údaje o spaľovniach odpadov a zariadeniach na spoluspaľovanie odpadov, vrátane ročných správ o prevádzkach spaľovní odpadov alebo zariadení na spoluspaľovanie odpadov s kapacitou dvoch a viac ton spaľovaného odpadu za hodinu, na webovom portáli o životnom prostredí,</w:t>
            </w:r>
          </w:p>
          <w:p w14:paraId="15132D2A" w14:textId="77777777" w:rsidR="004C1DAF" w:rsidRPr="008819AF" w:rsidRDefault="004C1DAF" w:rsidP="009C63CF">
            <w:pPr>
              <w:numPr>
                <w:ilvl w:val="0"/>
                <w:numId w:val="44"/>
              </w:numPr>
              <w:ind w:left="175" w:hanging="142"/>
              <w:rPr>
                <w:rFonts w:eastAsia="Arial"/>
                <w:lang w:bidi="cs-CZ"/>
              </w:rPr>
            </w:pPr>
            <w:r w:rsidRPr="008819AF">
              <w:rPr>
                <w:rFonts w:eastAsia="Arial"/>
                <w:lang w:bidi="cs-CZ"/>
              </w:rPr>
              <w:t>sprístupňuje vydané súhlasy, povolenia zdrojov a ich aktualizácie, a ak ide o zariadenia používajúce organické rozpúšťadla.</w:t>
            </w:r>
          </w:p>
        </w:tc>
        <w:tc>
          <w:tcPr>
            <w:tcW w:w="429" w:type="dxa"/>
            <w:tcBorders>
              <w:top w:val="single" w:sz="4" w:space="0" w:color="000000"/>
              <w:left w:val="single" w:sz="6" w:space="0" w:color="000000"/>
              <w:bottom w:val="single" w:sz="6" w:space="0" w:color="000000"/>
              <w:right w:val="single" w:sz="6" w:space="0" w:color="000000"/>
            </w:tcBorders>
          </w:tcPr>
          <w:p w14:paraId="15132D2B" w14:textId="77777777" w:rsidR="004C1DAF" w:rsidRPr="008819AF" w:rsidRDefault="004C1DAF" w:rsidP="004C1DAF">
            <w:pPr>
              <w:ind w:left="215" w:hanging="215"/>
              <w:rPr>
                <w:rFonts w:eastAsia="Arial"/>
                <w:lang w:bidi="cs-CZ"/>
              </w:rPr>
            </w:pPr>
            <w:r w:rsidRPr="008819AF">
              <w:rPr>
                <w:rFonts w:eastAsia="Arial"/>
                <w:lang w:bidi="cs-CZ"/>
              </w:rPr>
              <w:t>Ú</w:t>
            </w:r>
          </w:p>
          <w:p w14:paraId="15132D2C" w14:textId="77777777" w:rsidR="004C1DAF" w:rsidRPr="008819AF" w:rsidRDefault="004C1DAF"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D2D" w14:textId="77777777" w:rsidR="004C1DAF" w:rsidRPr="008819AF" w:rsidRDefault="004C1DAF" w:rsidP="004C1DAF">
            <w:pPr>
              <w:ind w:left="215" w:hanging="215"/>
              <w:rPr>
                <w:rFonts w:eastAsia="Arial"/>
              </w:rPr>
            </w:pPr>
          </w:p>
        </w:tc>
      </w:tr>
      <w:tr w:rsidR="004C1DAF" w:rsidRPr="008819AF" w14:paraId="15132D3F" w14:textId="77777777" w:rsidTr="003E351D">
        <w:trPr>
          <w:trHeight w:val="480"/>
          <w:jc w:val="center"/>
        </w:trPr>
        <w:tc>
          <w:tcPr>
            <w:tcW w:w="483" w:type="dxa"/>
            <w:tcBorders>
              <w:top w:val="single" w:sz="4" w:space="0" w:color="000000"/>
              <w:left w:val="single" w:sz="6" w:space="0" w:color="000000"/>
              <w:bottom w:val="single" w:sz="6" w:space="0" w:color="000000"/>
              <w:right w:val="single" w:sz="6" w:space="0" w:color="000000"/>
            </w:tcBorders>
          </w:tcPr>
          <w:p w14:paraId="15132D2F" w14:textId="77777777" w:rsidR="004C1DAF" w:rsidRPr="008819AF" w:rsidRDefault="004C1DAF" w:rsidP="004C1DAF">
            <w:pPr>
              <w:ind w:right="-70"/>
              <w:rPr>
                <w:rFonts w:eastAsia="Arial"/>
                <w:lang w:bidi="cs-CZ"/>
              </w:rPr>
            </w:pPr>
          </w:p>
          <w:p w14:paraId="15132D30" w14:textId="77777777" w:rsidR="004C1DAF" w:rsidRPr="008819AF" w:rsidRDefault="004C1DAF" w:rsidP="004C1DAF">
            <w:pPr>
              <w:ind w:right="-70"/>
              <w:rPr>
                <w:rFonts w:eastAsia="Arial"/>
                <w:lang w:bidi="cs-CZ"/>
              </w:rPr>
            </w:pPr>
          </w:p>
          <w:p w14:paraId="15132D31" w14:textId="77777777" w:rsidR="004C1DAF" w:rsidRPr="008819AF" w:rsidRDefault="004C1DAF" w:rsidP="004C1DAF">
            <w:pPr>
              <w:ind w:right="-70"/>
              <w:rPr>
                <w:rFonts w:eastAsia="Arial"/>
                <w:lang w:bidi="cs-CZ"/>
              </w:rPr>
            </w:pPr>
          </w:p>
          <w:p w14:paraId="15132D32" w14:textId="77777777" w:rsidR="004C1DAF" w:rsidRPr="008819AF" w:rsidRDefault="004C1DAF" w:rsidP="004C1DAF">
            <w:pPr>
              <w:ind w:right="-70"/>
              <w:rPr>
                <w:rFonts w:eastAsia="Arial"/>
                <w:lang w:bidi="cs-CZ"/>
              </w:rPr>
            </w:pPr>
          </w:p>
          <w:p w14:paraId="15132D33" w14:textId="77777777" w:rsidR="004C1DAF" w:rsidRPr="008819AF" w:rsidRDefault="004C1DAF" w:rsidP="004C1DAF">
            <w:pPr>
              <w:ind w:right="-70"/>
              <w:rPr>
                <w:rFonts w:eastAsia="Arial"/>
                <w:lang w:bidi="cs-CZ"/>
              </w:rPr>
            </w:pPr>
            <w:r w:rsidRPr="008819AF">
              <w:rPr>
                <w:rFonts w:eastAsia="Arial"/>
                <w:lang w:bidi="cs-CZ"/>
              </w:rPr>
              <w:t>Č:66</w:t>
            </w:r>
          </w:p>
        </w:tc>
        <w:tc>
          <w:tcPr>
            <w:tcW w:w="6227" w:type="dxa"/>
            <w:gridSpan w:val="2"/>
            <w:tcBorders>
              <w:top w:val="single" w:sz="4" w:space="0" w:color="000000"/>
              <w:left w:val="single" w:sz="6" w:space="0" w:color="000000"/>
              <w:bottom w:val="single" w:sz="6" w:space="0" w:color="000000"/>
              <w:right w:val="single" w:sz="6" w:space="0" w:color="000000"/>
            </w:tcBorders>
          </w:tcPr>
          <w:p w14:paraId="15132D34" w14:textId="77777777" w:rsidR="004C1DAF" w:rsidRPr="008819AF" w:rsidRDefault="004C1DAF" w:rsidP="004C1DAF">
            <w:pPr>
              <w:ind w:left="215" w:hanging="215"/>
              <w:rPr>
                <w:rFonts w:eastAsia="Arial"/>
              </w:rPr>
            </w:pPr>
            <w:r w:rsidRPr="008819AF">
              <w:rPr>
                <w:rFonts w:eastAsia="Arial"/>
              </w:rPr>
              <w:t>KAPITOLA VI</w:t>
            </w:r>
          </w:p>
          <w:p w14:paraId="15132D35" w14:textId="77777777" w:rsidR="004C1DAF" w:rsidRPr="008819AF" w:rsidRDefault="004C1DAF" w:rsidP="004C1DAF">
            <w:pPr>
              <w:ind w:left="215" w:hanging="215"/>
              <w:rPr>
                <w:rFonts w:eastAsia="Arial"/>
              </w:rPr>
            </w:pPr>
            <w:r w:rsidRPr="008819AF">
              <w:rPr>
                <w:rFonts w:eastAsia="Arial"/>
              </w:rPr>
              <w:t>OSOBITNÉ USTANOVENIA PRE ZARIADENIA, KTORÉ VYRÁBAJÚ OXID TITANIČITÝ</w:t>
            </w:r>
          </w:p>
          <w:p w14:paraId="15132D36" w14:textId="77777777" w:rsidR="004C1DAF" w:rsidRPr="008819AF" w:rsidRDefault="004C1DAF" w:rsidP="004C1DAF">
            <w:pPr>
              <w:ind w:left="215" w:hanging="215"/>
              <w:rPr>
                <w:rFonts w:eastAsia="Arial"/>
              </w:rPr>
            </w:pPr>
            <w:r w:rsidRPr="008819AF">
              <w:rPr>
                <w:rFonts w:eastAsia="Arial"/>
              </w:rPr>
              <w:t>Článok 66</w:t>
            </w:r>
          </w:p>
          <w:p w14:paraId="15132D37" w14:textId="77777777" w:rsidR="004C1DAF" w:rsidRPr="008819AF" w:rsidRDefault="004C1DAF" w:rsidP="004C1DAF">
            <w:pPr>
              <w:ind w:left="215" w:hanging="215"/>
              <w:rPr>
                <w:rFonts w:eastAsia="Arial"/>
              </w:rPr>
            </w:pPr>
            <w:r w:rsidRPr="008819AF">
              <w:rPr>
                <w:rFonts w:eastAsia="Arial"/>
              </w:rPr>
              <w:t>Rozsah pôsobnosti</w:t>
            </w:r>
          </w:p>
          <w:p w14:paraId="15132D38" w14:textId="77777777" w:rsidR="004C1DAF" w:rsidRPr="008819AF" w:rsidRDefault="004C1DAF" w:rsidP="004C1DAF">
            <w:pPr>
              <w:ind w:left="215" w:hanging="215"/>
              <w:rPr>
                <w:rFonts w:eastAsia="Arial"/>
              </w:rPr>
            </w:pPr>
            <w:r w:rsidRPr="008819AF">
              <w:rPr>
                <w:rFonts w:eastAsia="Arial"/>
              </w:rPr>
              <w:t>Táto kapitola sa uplatňuje na zariadenia, ktoré vyrábajú oxid titaničitý.</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D39" w14:textId="77777777" w:rsidR="004C1DAF" w:rsidRPr="008819AF" w:rsidRDefault="004C1DAF" w:rsidP="004C1DAF">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D3A" w14:textId="77777777" w:rsidR="004C1DAF" w:rsidRPr="008819AF" w:rsidRDefault="004C1DAF"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D3B" w14:textId="77777777" w:rsidR="004C1DAF" w:rsidRPr="008819AF" w:rsidRDefault="004C1DAF" w:rsidP="004C1DAF">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D3C" w14:textId="77777777" w:rsidR="004C1DAF" w:rsidRPr="008819AF" w:rsidRDefault="004C1DAF" w:rsidP="004C1DAF">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2D3D" w14:textId="77777777" w:rsidR="004C1DAF" w:rsidRPr="008819AF" w:rsidRDefault="004C1DAF"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D3E" w14:textId="77777777" w:rsidR="004C1DAF" w:rsidRPr="008819AF" w:rsidRDefault="004C1DAF" w:rsidP="004C1DAF">
            <w:pPr>
              <w:ind w:left="215" w:hanging="215"/>
              <w:rPr>
                <w:rFonts w:eastAsia="Arial"/>
              </w:rPr>
            </w:pPr>
          </w:p>
        </w:tc>
      </w:tr>
      <w:tr w:rsidR="004C1DAF" w:rsidRPr="008819AF" w14:paraId="15132D4E"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2D40" w14:textId="77777777" w:rsidR="004C1DAF" w:rsidRPr="008819AF" w:rsidRDefault="004C1DAF" w:rsidP="004C1DAF">
            <w:pPr>
              <w:ind w:right="-70"/>
              <w:rPr>
                <w:rFonts w:eastAsia="Arial"/>
                <w:lang w:bidi="cs-CZ"/>
              </w:rPr>
            </w:pPr>
            <w:r w:rsidRPr="008819AF">
              <w:rPr>
                <w:rFonts w:eastAsia="Arial"/>
                <w:lang w:bidi="cs-CZ"/>
              </w:rPr>
              <w:lastRenderedPageBreak/>
              <w:t>Č:67</w:t>
            </w:r>
          </w:p>
        </w:tc>
        <w:tc>
          <w:tcPr>
            <w:tcW w:w="6227" w:type="dxa"/>
            <w:gridSpan w:val="2"/>
            <w:tcBorders>
              <w:top w:val="single" w:sz="4" w:space="0" w:color="000000"/>
              <w:left w:val="single" w:sz="6" w:space="0" w:color="000000"/>
              <w:bottom w:val="single" w:sz="6" w:space="0" w:color="000000"/>
              <w:right w:val="single" w:sz="6" w:space="0" w:color="000000"/>
            </w:tcBorders>
          </w:tcPr>
          <w:p w14:paraId="15132D41" w14:textId="77777777" w:rsidR="004C1DAF" w:rsidRPr="008819AF" w:rsidRDefault="004C1DAF" w:rsidP="004C1DAF">
            <w:pPr>
              <w:ind w:left="215" w:hanging="215"/>
              <w:rPr>
                <w:rFonts w:eastAsia="Arial"/>
              </w:rPr>
            </w:pPr>
            <w:r w:rsidRPr="008819AF">
              <w:rPr>
                <w:rFonts w:eastAsia="Arial"/>
              </w:rPr>
              <w:t>Článok 67</w:t>
            </w:r>
          </w:p>
          <w:p w14:paraId="15132D42" w14:textId="77777777" w:rsidR="004C1DAF" w:rsidRPr="008819AF" w:rsidRDefault="004C1DAF" w:rsidP="004C1DAF">
            <w:pPr>
              <w:ind w:left="215" w:hanging="215"/>
              <w:rPr>
                <w:rFonts w:eastAsia="Arial"/>
              </w:rPr>
            </w:pPr>
            <w:r w:rsidRPr="008819AF">
              <w:rPr>
                <w:rFonts w:eastAsia="Arial"/>
              </w:rPr>
              <w:t>Zákaz vypúšťania odpadov</w:t>
            </w:r>
          </w:p>
          <w:p w14:paraId="15132D43" w14:textId="77777777" w:rsidR="004C1DAF" w:rsidRPr="008819AF" w:rsidRDefault="004C1DAF" w:rsidP="004C1DAF">
            <w:pPr>
              <w:ind w:left="215" w:hanging="1"/>
              <w:rPr>
                <w:rFonts w:eastAsia="Arial"/>
              </w:rPr>
            </w:pPr>
            <w:r w:rsidRPr="008819AF">
              <w:rPr>
                <w:rFonts w:eastAsia="Arial"/>
              </w:rPr>
              <w:t>Členské štáty zakážu vypúšťať do akéhokoľvek vodného útvaru, mora alebo oceánu tieto odpady:</w:t>
            </w:r>
          </w:p>
          <w:p w14:paraId="15132D44" w14:textId="77777777" w:rsidR="004C1DAF" w:rsidRPr="008819AF" w:rsidRDefault="004C1DAF" w:rsidP="009C63CF">
            <w:pPr>
              <w:numPr>
                <w:ilvl w:val="0"/>
                <w:numId w:val="45"/>
              </w:numPr>
              <w:tabs>
                <w:tab w:val="left" w:pos="227"/>
              </w:tabs>
              <w:spacing w:after="120"/>
              <w:rPr>
                <w:rFonts w:eastAsia="Arial"/>
              </w:rPr>
            </w:pPr>
            <w:r w:rsidRPr="008819AF">
              <w:rPr>
                <w:rFonts w:eastAsia="Arial"/>
              </w:rPr>
              <w:t>pevný odpad;</w:t>
            </w:r>
          </w:p>
          <w:p w14:paraId="15132D45" w14:textId="77777777" w:rsidR="004C1DAF" w:rsidRPr="008819AF" w:rsidRDefault="004C1DAF" w:rsidP="009C63CF">
            <w:pPr>
              <w:numPr>
                <w:ilvl w:val="0"/>
                <w:numId w:val="45"/>
              </w:numPr>
              <w:tabs>
                <w:tab w:val="left" w:pos="227"/>
              </w:tabs>
              <w:spacing w:after="120"/>
              <w:rPr>
                <w:rFonts w:eastAsia="Arial"/>
              </w:rPr>
            </w:pPr>
            <w:r w:rsidRPr="008819AF">
              <w:rPr>
                <w:rFonts w:eastAsia="Arial"/>
              </w:rPr>
              <w:t>matečné lúhy, ktoré vznikajú vo fáze filtrácie po hydrolýze roztoku TiOSO4 zo zariadení, ktoré používajú sulfátový proces; vrátane kyslých odpadov spojených s takýmito lúhmi, ktoré obsahujú celkovo viac ako 0,5 % voľnej kyseliny sírovej a rôznych ťažkých kovov, a vrátane takých matečných lúhov, ktoré sa riedia, až kým neobsahujú 0,5 % alebo menej voľnej kyseliny sírovej;</w:t>
            </w:r>
          </w:p>
          <w:p w14:paraId="15132D46" w14:textId="77777777" w:rsidR="004C1DAF" w:rsidRPr="008819AF" w:rsidRDefault="004C1DAF" w:rsidP="009C63CF">
            <w:pPr>
              <w:numPr>
                <w:ilvl w:val="0"/>
                <w:numId w:val="45"/>
              </w:numPr>
              <w:tabs>
                <w:tab w:val="left" w:pos="227"/>
              </w:tabs>
              <w:spacing w:after="120"/>
              <w:rPr>
                <w:rFonts w:eastAsia="Arial"/>
              </w:rPr>
            </w:pPr>
            <w:r w:rsidRPr="008819AF">
              <w:rPr>
                <w:rFonts w:eastAsia="Arial"/>
              </w:rPr>
              <w:t>odpady zo zariadení, ktoré používajú chloridový proces, ktoré obsahujú viac ako 0,5 % voľnej kyseliny chlorovodíkovej a rôznych ťažkých kovov, vrátane takých odpadov, ktoré sa riedia, až kým neobsahujú 0,5 % alebo menej voľnej kyseliny chlorovodíkovej;</w:t>
            </w:r>
          </w:p>
          <w:p w14:paraId="15132D47" w14:textId="77777777" w:rsidR="004C1DAF" w:rsidRPr="008819AF" w:rsidRDefault="004C1DAF" w:rsidP="009C63CF">
            <w:pPr>
              <w:numPr>
                <w:ilvl w:val="0"/>
                <w:numId w:val="45"/>
              </w:numPr>
              <w:tabs>
                <w:tab w:val="left" w:pos="227"/>
              </w:tabs>
              <w:rPr>
                <w:rFonts w:eastAsia="Arial"/>
              </w:rPr>
            </w:pPr>
            <w:r w:rsidRPr="008819AF">
              <w:rPr>
                <w:rFonts w:eastAsia="Arial"/>
              </w:rPr>
              <w:t>filtračné soli, kaly a kvapalný odpad, ktoré vznikajú pri úprave (zahusťovaní alebo neutralizácii) odpadu uvedeného v písmenách b) a c) a obsahujú rôzne ťažké kovy, avšak nezahŕňajú neutralizovaný a prefiltrovaný či dekantovaný odpad, ktorý obsahuje len stopy ťažkých kovov a má pred akýmkoľvek zriedením hodnotu pH vyššiu ako 5,5.</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D48" w14:textId="77777777" w:rsidR="004C1DAF" w:rsidRPr="008819AF" w:rsidRDefault="004C1DAF" w:rsidP="004C1DAF">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D49" w14:textId="77777777" w:rsidR="004C1DAF" w:rsidRPr="008819AF" w:rsidRDefault="004C1DAF"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D4A" w14:textId="77777777" w:rsidR="004C1DAF" w:rsidRPr="008819AF" w:rsidRDefault="004C1DAF" w:rsidP="004C1DAF">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D4B" w14:textId="77777777" w:rsidR="004C1DAF" w:rsidRPr="008819AF" w:rsidRDefault="004C1DAF" w:rsidP="004C1DAF">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2D4C" w14:textId="77777777" w:rsidR="004C1DAF" w:rsidRPr="008819AF" w:rsidRDefault="004C1DAF"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D4D" w14:textId="77777777" w:rsidR="004C1DAF" w:rsidRPr="008819AF" w:rsidRDefault="004C1DAF" w:rsidP="004C1DAF">
            <w:pPr>
              <w:ind w:left="215" w:hanging="215"/>
              <w:rPr>
                <w:rFonts w:eastAsia="Arial"/>
              </w:rPr>
            </w:pPr>
          </w:p>
        </w:tc>
      </w:tr>
      <w:tr w:rsidR="004C1DAF" w:rsidRPr="008819AF" w14:paraId="15132D59" w14:textId="77777777" w:rsidTr="00C572C2">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2D4F" w14:textId="77777777" w:rsidR="004C1DAF" w:rsidRPr="008819AF" w:rsidRDefault="004C1DAF" w:rsidP="004C1DAF">
            <w:pPr>
              <w:ind w:right="-70"/>
              <w:rPr>
                <w:rFonts w:eastAsia="Arial"/>
                <w:lang w:bidi="cs-CZ"/>
              </w:rPr>
            </w:pPr>
            <w:r w:rsidRPr="008819AF">
              <w:rPr>
                <w:rFonts w:eastAsia="Arial"/>
                <w:lang w:bidi="cs-CZ"/>
              </w:rPr>
              <w:t>Č:68</w:t>
            </w:r>
          </w:p>
        </w:tc>
        <w:tc>
          <w:tcPr>
            <w:tcW w:w="6227" w:type="dxa"/>
            <w:gridSpan w:val="2"/>
            <w:tcBorders>
              <w:top w:val="single" w:sz="4" w:space="0" w:color="000000"/>
              <w:left w:val="single" w:sz="6" w:space="0" w:color="000000"/>
              <w:bottom w:val="single" w:sz="4" w:space="0" w:color="auto"/>
              <w:right w:val="single" w:sz="6" w:space="0" w:color="000000"/>
            </w:tcBorders>
          </w:tcPr>
          <w:p w14:paraId="15132D50" w14:textId="77777777" w:rsidR="004C1DAF" w:rsidRPr="008819AF" w:rsidRDefault="004C1DAF" w:rsidP="004C1DAF">
            <w:pPr>
              <w:ind w:left="215" w:hanging="215"/>
              <w:rPr>
                <w:rFonts w:eastAsia="Arial"/>
              </w:rPr>
            </w:pPr>
            <w:r w:rsidRPr="008819AF">
              <w:rPr>
                <w:rFonts w:eastAsia="Arial"/>
              </w:rPr>
              <w:t>Článok 68</w:t>
            </w:r>
          </w:p>
          <w:p w14:paraId="15132D51" w14:textId="77777777" w:rsidR="004C1DAF" w:rsidRPr="008819AF" w:rsidRDefault="004C1DAF" w:rsidP="004C1DAF">
            <w:pPr>
              <w:ind w:left="215" w:hanging="215"/>
              <w:rPr>
                <w:rFonts w:eastAsia="Arial"/>
              </w:rPr>
            </w:pPr>
            <w:r w:rsidRPr="008819AF">
              <w:rPr>
                <w:rFonts w:eastAsia="Arial"/>
              </w:rPr>
              <w:t>Kontrola emisií do vody</w:t>
            </w:r>
          </w:p>
          <w:p w14:paraId="15132D52" w14:textId="77777777" w:rsidR="004C1DAF" w:rsidRPr="008819AF" w:rsidRDefault="004C1DAF" w:rsidP="004C1DAF">
            <w:pPr>
              <w:ind w:left="215" w:hanging="1"/>
              <w:rPr>
                <w:rFonts w:eastAsia="Arial"/>
              </w:rPr>
            </w:pPr>
            <w:r w:rsidRPr="008819AF">
              <w:rPr>
                <w:rFonts w:eastAsia="Arial"/>
              </w:rPr>
              <w:t>Emisie zo zariadení do vody nesmú prekročiť emisné limity stanovené v prílohe VIII časť 1.</w:t>
            </w:r>
          </w:p>
        </w:tc>
        <w:tc>
          <w:tcPr>
            <w:tcW w:w="542" w:type="dxa"/>
            <w:gridSpan w:val="2"/>
            <w:tcBorders>
              <w:top w:val="single" w:sz="4" w:space="0" w:color="000000"/>
              <w:left w:val="single" w:sz="6" w:space="0" w:color="000000"/>
              <w:bottom w:val="single" w:sz="4" w:space="0" w:color="auto"/>
              <w:right w:val="single" w:sz="6" w:space="0" w:color="000000"/>
            </w:tcBorders>
            <w:noWrap/>
          </w:tcPr>
          <w:p w14:paraId="15132D53" w14:textId="77777777" w:rsidR="004C1DAF" w:rsidRPr="008819AF" w:rsidRDefault="004C1DAF" w:rsidP="004C1DAF">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D54" w14:textId="77777777" w:rsidR="004C1DAF" w:rsidRPr="008819AF" w:rsidRDefault="004C1DAF"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D55" w14:textId="77777777" w:rsidR="004C1DAF" w:rsidRPr="008819AF" w:rsidRDefault="004C1DAF" w:rsidP="004C1DAF">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D56" w14:textId="77777777" w:rsidR="004C1DAF" w:rsidRPr="008819AF" w:rsidRDefault="004C1DAF" w:rsidP="004C1DAF">
            <w:pPr>
              <w:rPr>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2D57" w14:textId="77777777" w:rsidR="004C1DAF" w:rsidRPr="008819AF" w:rsidRDefault="004C1DAF"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D58" w14:textId="77777777" w:rsidR="004C1DAF" w:rsidRPr="008819AF" w:rsidRDefault="004C1DAF" w:rsidP="004C1DAF">
            <w:pPr>
              <w:ind w:left="215" w:hanging="215"/>
              <w:rPr>
                <w:rFonts w:eastAsia="Arial"/>
              </w:rPr>
            </w:pPr>
          </w:p>
        </w:tc>
      </w:tr>
      <w:tr w:rsidR="004C1DAF" w:rsidRPr="008819AF" w14:paraId="15132DE9" w14:textId="77777777" w:rsidTr="00C572C2">
        <w:trPr>
          <w:trHeight w:val="850"/>
          <w:jc w:val="center"/>
        </w:trPr>
        <w:tc>
          <w:tcPr>
            <w:tcW w:w="483" w:type="dxa"/>
            <w:tcBorders>
              <w:top w:val="single" w:sz="4" w:space="0" w:color="000000"/>
              <w:left w:val="single" w:sz="6" w:space="0" w:color="000000"/>
              <w:bottom w:val="single" w:sz="4" w:space="0" w:color="auto"/>
              <w:right w:val="single" w:sz="4" w:space="0" w:color="auto"/>
            </w:tcBorders>
          </w:tcPr>
          <w:p w14:paraId="15132D5A" w14:textId="77777777" w:rsidR="004C1DAF" w:rsidRPr="008819AF" w:rsidRDefault="004C1DAF" w:rsidP="004C1DAF">
            <w:pPr>
              <w:ind w:right="-70"/>
              <w:rPr>
                <w:rFonts w:eastAsia="Arial"/>
                <w:lang w:bidi="cs-CZ"/>
              </w:rPr>
            </w:pPr>
            <w:r w:rsidRPr="008819AF">
              <w:rPr>
                <w:rFonts w:eastAsia="Arial"/>
                <w:lang w:bidi="cs-CZ"/>
              </w:rPr>
              <w:t>Č:69</w:t>
            </w:r>
          </w:p>
        </w:tc>
        <w:tc>
          <w:tcPr>
            <w:tcW w:w="6227" w:type="dxa"/>
            <w:gridSpan w:val="2"/>
            <w:tcBorders>
              <w:top w:val="single" w:sz="4" w:space="0" w:color="auto"/>
              <w:left w:val="single" w:sz="4" w:space="0" w:color="auto"/>
              <w:bottom w:val="single" w:sz="4" w:space="0" w:color="auto"/>
              <w:right w:val="single" w:sz="4" w:space="0" w:color="auto"/>
            </w:tcBorders>
          </w:tcPr>
          <w:p w14:paraId="15132D5B" w14:textId="77777777" w:rsidR="004C1DAF" w:rsidRPr="008819AF" w:rsidRDefault="004C1DAF" w:rsidP="004C1DAF">
            <w:pPr>
              <w:ind w:left="215" w:hanging="215"/>
              <w:rPr>
                <w:rFonts w:eastAsia="Arial"/>
              </w:rPr>
            </w:pPr>
            <w:r w:rsidRPr="008819AF">
              <w:rPr>
                <w:rFonts w:eastAsia="Arial"/>
              </w:rPr>
              <w:t>Článok 69</w:t>
            </w:r>
          </w:p>
          <w:p w14:paraId="15132D5C" w14:textId="77777777" w:rsidR="004C1DAF" w:rsidRPr="008819AF" w:rsidRDefault="004C1DAF" w:rsidP="004C1DAF">
            <w:pPr>
              <w:ind w:left="215" w:hanging="215"/>
              <w:rPr>
                <w:rFonts w:eastAsia="Arial"/>
              </w:rPr>
            </w:pPr>
            <w:r w:rsidRPr="008819AF">
              <w:rPr>
                <w:rFonts w:eastAsia="Arial"/>
              </w:rPr>
              <w:t>Prevencia a riadenie emisií do ovzdušia1.</w:t>
            </w:r>
          </w:p>
          <w:p w14:paraId="15132D5D" w14:textId="77777777" w:rsidR="004C1DAF" w:rsidRPr="008819AF" w:rsidRDefault="004C1DAF" w:rsidP="004C1DAF">
            <w:pPr>
              <w:ind w:left="215" w:hanging="1"/>
              <w:rPr>
                <w:rFonts w:eastAsia="Arial"/>
              </w:rPr>
            </w:pPr>
          </w:p>
          <w:p w14:paraId="15132D5E" w14:textId="77777777" w:rsidR="004C1DAF" w:rsidRPr="008819AF" w:rsidRDefault="004C1DAF" w:rsidP="004C1DAF">
            <w:pPr>
              <w:ind w:left="215" w:hanging="1"/>
              <w:rPr>
                <w:rFonts w:eastAsia="Arial"/>
              </w:rPr>
            </w:pPr>
            <w:r w:rsidRPr="008819AF">
              <w:rPr>
                <w:rFonts w:eastAsia="Arial"/>
              </w:rPr>
              <w:t>Musí sa predchádzať emisiám kvapôčok kyseliny zo zariadenia;2.</w:t>
            </w:r>
          </w:p>
          <w:p w14:paraId="15132D5F" w14:textId="77777777" w:rsidR="004C1DAF" w:rsidRPr="008819AF" w:rsidRDefault="004C1DAF" w:rsidP="004C1DAF">
            <w:pPr>
              <w:ind w:left="215" w:hanging="1"/>
              <w:rPr>
                <w:rFonts w:eastAsia="Arial"/>
              </w:rPr>
            </w:pPr>
          </w:p>
          <w:p w14:paraId="15132D60" w14:textId="77777777" w:rsidR="004C1DAF" w:rsidRPr="008819AF" w:rsidRDefault="004C1DAF" w:rsidP="004C1DAF">
            <w:pPr>
              <w:ind w:left="215" w:hanging="1"/>
              <w:rPr>
                <w:rFonts w:eastAsia="Arial"/>
              </w:rPr>
            </w:pPr>
            <w:r w:rsidRPr="008819AF">
              <w:rPr>
                <w:rFonts w:eastAsia="Arial"/>
              </w:rPr>
              <w:t>Emisie zo zariadení do ovzdušia nesmú prekročiť emisné limity stanovené v prílohe VIII časti 2.</w:t>
            </w:r>
          </w:p>
          <w:p w14:paraId="15132D61" w14:textId="77777777" w:rsidR="004C1DAF" w:rsidRPr="008819AF" w:rsidRDefault="004C1DAF" w:rsidP="004C1DAF">
            <w:pPr>
              <w:ind w:left="215" w:hanging="1"/>
              <w:rPr>
                <w:rFonts w:eastAsia="Arial"/>
              </w:rPr>
            </w:pPr>
          </w:p>
          <w:p w14:paraId="15132D62" w14:textId="77777777" w:rsidR="004C1DAF" w:rsidRPr="008819AF" w:rsidRDefault="004C1DAF" w:rsidP="004C1DAF">
            <w:pPr>
              <w:ind w:left="215" w:hanging="1"/>
              <w:rPr>
                <w:rFonts w:eastAsia="Arial"/>
              </w:rPr>
            </w:pPr>
          </w:p>
          <w:p w14:paraId="15132D63" w14:textId="77777777" w:rsidR="004C1DAF" w:rsidRPr="008819AF" w:rsidRDefault="004C1DAF" w:rsidP="004C1DAF">
            <w:pPr>
              <w:ind w:left="215" w:hanging="1"/>
              <w:rPr>
                <w:rFonts w:eastAsia="Arial"/>
              </w:rPr>
            </w:pPr>
          </w:p>
          <w:p w14:paraId="15132D64" w14:textId="77777777" w:rsidR="004C1DAF" w:rsidRPr="008819AF" w:rsidRDefault="004C1DAF" w:rsidP="004C1DAF">
            <w:pPr>
              <w:ind w:left="215" w:hanging="1"/>
              <w:rPr>
                <w:rFonts w:eastAsia="Arial"/>
              </w:rPr>
            </w:pPr>
          </w:p>
          <w:p w14:paraId="15132D65" w14:textId="77777777" w:rsidR="004C1DAF" w:rsidRPr="008819AF" w:rsidRDefault="004C1DAF" w:rsidP="004C1DAF">
            <w:pPr>
              <w:ind w:left="215" w:hanging="1"/>
              <w:rPr>
                <w:rFonts w:eastAsia="Arial"/>
              </w:rPr>
            </w:pPr>
          </w:p>
          <w:p w14:paraId="15132D66" w14:textId="77777777" w:rsidR="004C1DAF" w:rsidRPr="008819AF" w:rsidRDefault="004C1DAF" w:rsidP="004C1DAF">
            <w:pPr>
              <w:ind w:left="215" w:hanging="1"/>
              <w:rPr>
                <w:rFonts w:eastAsia="Arial"/>
              </w:rPr>
            </w:pPr>
          </w:p>
          <w:p w14:paraId="15132D67" w14:textId="77777777" w:rsidR="004C1DAF" w:rsidRPr="008819AF" w:rsidRDefault="004C1DAF" w:rsidP="004C1DAF">
            <w:pPr>
              <w:ind w:left="215" w:hanging="1"/>
              <w:rPr>
                <w:rFonts w:eastAsia="Arial"/>
              </w:rPr>
            </w:pPr>
          </w:p>
          <w:p w14:paraId="15132D68" w14:textId="77777777" w:rsidR="004C1DAF" w:rsidRPr="008819AF" w:rsidRDefault="004C1DAF" w:rsidP="004C1DAF">
            <w:pPr>
              <w:ind w:left="215" w:hanging="1"/>
              <w:rPr>
                <w:rFonts w:eastAsia="Arial"/>
              </w:rPr>
            </w:pPr>
          </w:p>
          <w:p w14:paraId="15132D69" w14:textId="77777777" w:rsidR="004C1DAF" w:rsidRPr="008819AF" w:rsidRDefault="004C1DAF" w:rsidP="004C1DAF">
            <w:pPr>
              <w:ind w:left="215" w:hanging="1"/>
              <w:rPr>
                <w:rFonts w:eastAsia="Arial"/>
              </w:rPr>
            </w:pPr>
          </w:p>
          <w:p w14:paraId="15132D6A" w14:textId="77777777" w:rsidR="004C1DAF" w:rsidRPr="008819AF" w:rsidRDefault="004C1DAF" w:rsidP="004C1DAF">
            <w:pPr>
              <w:ind w:left="215" w:hanging="1"/>
              <w:rPr>
                <w:rFonts w:eastAsia="Arial"/>
              </w:rPr>
            </w:pPr>
          </w:p>
          <w:p w14:paraId="15132D6B" w14:textId="77777777" w:rsidR="004C1DAF" w:rsidRPr="008819AF" w:rsidRDefault="004C1DAF" w:rsidP="004C1DAF">
            <w:pPr>
              <w:ind w:left="215" w:hanging="1"/>
              <w:rPr>
                <w:rFonts w:eastAsia="Arial"/>
              </w:rPr>
            </w:pPr>
          </w:p>
          <w:p w14:paraId="15132D6C" w14:textId="77777777" w:rsidR="004C1DAF" w:rsidRPr="008819AF" w:rsidRDefault="004C1DAF" w:rsidP="004C1DAF">
            <w:pPr>
              <w:ind w:left="215" w:hanging="1"/>
              <w:rPr>
                <w:rFonts w:eastAsia="Arial"/>
              </w:rPr>
            </w:pPr>
          </w:p>
          <w:p w14:paraId="15132D6D" w14:textId="77777777" w:rsidR="004C1DAF" w:rsidRPr="008819AF" w:rsidRDefault="004C1DAF" w:rsidP="004C1DAF">
            <w:pPr>
              <w:ind w:left="215" w:hanging="1"/>
              <w:rPr>
                <w:rFonts w:eastAsia="Arial"/>
              </w:rPr>
            </w:pPr>
          </w:p>
          <w:p w14:paraId="15132D6E" w14:textId="77777777" w:rsidR="004C1DAF" w:rsidRPr="008819AF" w:rsidRDefault="004C1DAF" w:rsidP="004C1DAF">
            <w:pPr>
              <w:ind w:left="215" w:hanging="1"/>
              <w:rPr>
                <w:rFonts w:eastAsia="Arial"/>
              </w:rPr>
            </w:pPr>
          </w:p>
          <w:p w14:paraId="15132D6F" w14:textId="77777777" w:rsidR="004C1DAF" w:rsidRPr="008819AF" w:rsidRDefault="004C1DAF" w:rsidP="004C1DAF">
            <w:pPr>
              <w:ind w:left="215" w:hanging="1"/>
              <w:rPr>
                <w:rFonts w:eastAsia="Arial"/>
              </w:rPr>
            </w:pPr>
          </w:p>
          <w:p w14:paraId="15132D70" w14:textId="77777777" w:rsidR="004C1DAF" w:rsidRPr="008819AF" w:rsidRDefault="004C1DAF" w:rsidP="004C1DAF">
            <w:pPr>
              <w:ind w:left="215" w:hanging="1"/>
              <w:rPr>
                <w:rFonts w:eastAsia="Arial"/>
              </w:rPr>
            </w:pPr>
          </w:p>
          <w:p w14:paraId="15132D71" w14:textId="77777777" w:rsidR="004C1DAF" w:rsidRPr="008819AF" w:rsidRDefault="004C1DAF" w:rsidP="004C1DAF">
            <w:pPr>
              <w:ind w:left="215" w:hanging="1"/>
              <w:rPr>
                <w:rFonts w:eastAsia="Arial"/>
              </w:rPr>
            </w:pPr>
          </w:p>
          <w:p w14:paraId="15132D72" w14:textId="77777777" w:rsidR="004C1DAF" w:rsidRPr="008819AF" w:rsidRDefault="004C1DAF" w:rsidP="004C1DAF">
            <w:pPr>
              <w:ind w:left="215" w:hanging="1"/>
              <w:rPr>
                <w:rFonts w:eastAsia="Arial"/>
              </w:rPr>
            </w:pPr>
            <w:r w:rsidRPr="008819AF">
              <w:rPr>
                <w:rFonts w:eastAsia="Arial"/>
              </w:rPr>
              <w:t>Musí sa predchádzať emisiám kvapôčok kyseliny zo zariadenia;2.</w:t>
            </w:r>
          </w:p>
          <w:p w14:paraId="15132D73" w14:textId="77777777" w:rsidR="004C1DAF" w:rsidRPr="008819AF" w:rsidRDefault="004C1DAF" w:rsidP="004C1DAF">
            <w:pPr>
              <w:ind w:left="215" w:hanging="1"/>
              <w:rPr>
                <w:rFonts w:eastAsia="Arial"/>
              </w:rPr>
            </w:pPr>
          </w:p>
          <w:p w14:paraId="15132D74" w14:textId="77777777" w:rsidR="004C1DAF" w:rsidRPr="008819AF" w:rsidRDefault="004C1DAF" w:rsidP="004C1DAF">
            <w:pPr>
              <w:ind w:left="215" w:hanging="1"/>
              <w:rPr>
                <w:rFonts w:eastAsia="Arial"/>
              </w:rPr>
            </w:pPr>
          </w:p>
          <w:p w14:paraId="15132D75" w14:textId="77777777" w:rsidR="004C1DAF" w:rsidRPr="008819AF" w:rsidRDefault="004C1DAF" w:rsidP="004C1DAF">
            <w:pPr>
              <w:ind w:left="215" w:hanging="1"/>
              <w:rPr>
                <w:rFonts w:eastAsia="Arial"/>
              </w:rPr>
            </w:pPr>
          </w:p>
          <w:p w14:paraId="15132D76" w14:textId="77777777" w:rsidR="004C1DAF" w:rsidRPr="008819AF" w:rsidRDefault="004C1DAF" w:rsidP="004C1DAF">
            <w:pPr>
              <w:ind w:left="215" w:hanging="1"/>
              <w:rPr>
                <w:rFonts w:eastAsia="Arial"/>
              </w:rPr>
            </w:pPr>
          </w:p>
          <w:p w14:paraId="15132D77" w14:textId="77777777" w:rsidR="004C1DAF" w:rsidRPr="008819AF" w:rsidRDefault="004C1DAF" w:rsidP="004C1DAF">
            <w:pPr>
              <w:ind w:left="215" w:hanging="1"/>
              <w:rPr>
                <w:rFonts w:eastAsia="Arial"/>
              </w:rPr>
            </w:pPr>
          </w:p>
          <w:p w14:paraId="15132D78" w14:textId="77777777" w:rsidR="004C1DAF" w:rsidRPr="008819AF" w:rsidRDefault="004C1DAF" w:rsidP="004C1DAF">
            <w:pPr>
              <w:ind w:left="215" w:hanging="1"/>
              <w:rPr>
                <w:rFonts w:eastAsia="Arial"/>
              </w:rPr>
            </w:pPr>
          </w:p>
          <w:p w14:paraId="15132D79" w14:textId="77777777" w:rsidR="004C1DAF" w:rsidRPr="008819AF" w:rsidRDefault="004C1DAF" w:rsidP="004C1DAF">
            <w:pPr>
              <w:ind w:left="215" w:hanging="1"/>
              <w:rPr>
                <w:rFonts w:eastAsia="Arial"/>
              </w:rPr>
            </w:pPr>
          </w:p>
          <w:p w14:paraId="15132D7A" w14:textId="77777777" w:rsidR="004C1DAF" w:rsidRPr="008819AF" w:rsidRDefault="004C1DAF" w:rsidP="004C1DAF">
            <w:pPr>
              <w:ind w:left="215" w:hanging="1"/>
              <w:rPr>
                <w:rFonts w:eastAsia="Arial"/>
              </w:rPr>
            </w:pPr>
          </w:p>
          <w:p w14:paraId="15132D7B" w14:textId="77777777" w:rsidR="004C1DAF" w:rsidRPr="008819AF" w:rsidRDefault="004C1DAF" w:rsidP="004C1DAF">
            <w:pPr>
              <w:ind w:left="215" w:hanging="1"/>
              <w:rPr>
                <w:rFonts w:eastAsia="Arial"/>
              </w:rPr>
            </w:pPr>
          </w:p>
          <w:p w14:paraId="15132D7C" w14:textId="77777777" w:rsidR="004C1DAF" w:rsidRPr="008819AF" w:rsidRDefault="004C1DAF" w:rsidP="004C1DAF">
            <w:pPr>
              <w:ind w:left="215" w:hanging="1"/>
              <w:rPr>
                <w:rFonts w:eastAsia="Arial"/>
              </w:rPr>
            </w:pPr>
            <w:r w:rsidRPr="008819AF">
              <w:rPr>
                <w:rFonts w:eastAsia="Arial"/>
              </w:rPr>
              <w:t>Emisie zo zariadení do ovzdušia nesmú prekročiť emisné limity stanovené v prílohe VIII časti 2.</w:t>
            </w:r>
          </w:p>
        </w:tc>
        <w:tc>
          <w:tcPr>
            <w:tcW w:w="542" w:type="dxa"/>
            <w:gridSpan w:val="2"/>
            <w:tcBorders>
              <w:top w:val="single" w:sz="4" w:space="0" w:color="auto"/>
              <w:left w:val="single" w:sz="4" w:space="0" w:color="auto"/>
              <w:bottom w:val="single" w:sz="4" w:space="0" w:color="auto"/>
              <w:right w:val="single" w:sz="4" w:space="0" w:color="auto"/>
            </w:tcBorders>
            <w:noWrap/>
          </w:tcPr>
          <w:p w14:paraId="15132D7D" w14:textId="77777777" w:rsidR="004C1DAF" w:rsidRPr="008819AF" w:rsidRDefault="004C1DAF" w:rsidP="00C800E4">
            <w:pPr>
              <w:ind w:left="215" w:hanging="215"/>
              <w:jc w:val="center"/>
              <w:rPr>
                <w:rFonts w:eastAsia="Arial"/>
                <w:lang w:bidi="cs-CZ"/>
              </w:rPr>
            </w:pPr>
            <w:r w:rsidRPr="008819AF">
              <w:rPr>
                <w:rFonts w:eastAsia="Arial"/>
                <w:lang w:bidi="cs-CZ"/>
              </w:rPr>
              <w:lastRenderedPageBreak/>
              <w:t>N</w:t>
            </w:r>
          </w:p>
          <w:p w14:paraId="15132D7E" w14:textId="77777777" w:rsidR="004C1DAF" w:rsidRPr="008819AF" w:rsidRDefault="004C1DAF" w:rsidP="00C800E4">
            <w:pPr>
              <w:ind w:left="215" w:hanging="215"/>
              <w:jc w:val="center"/>
              <w:rPr>
                <w:rFonts w:eastAsia="Arial"/>
                <w:lang w:bidi="cs-CZ"/>
              </w:rPr>
            </w:pPr>
          </w:p>
          <w:p w14:paraId="15132D7F" w14:textId="77777777" w:rsidR="004C1DAF" w:rsidRPr="008819AF" w:rsidRDefault="004C1DAF" w:rsidP="00C800E4">
            <w:pPr>
              <w:ind w:left="215" w:hanging="215"/>
              <w:jc w:val="center"/>
              <w:rPr>
                <w:rFonts w:eastAsia="Arial"/>
                <w:lang w:bidi="cs-CZ"/>
              </w:rPr>
            </w:pPr>
          </w:p>
          <w:p w14:paraId="15132D80" w14:textId="77777777" w:rsidR="004C1DAF" w:rsidRPr="008819AF" w:rsidRDefault="004C1DAF" w:rsidP="00C800E4">
            <w:pPr>
              <w:ind w:left="215" w:hanging="215"/>
              <w:jc w:val="center"/>
              <w:rPr>
                <w:rFonts w:eastAsia="Arial"/>
                <w:lang w:bidi="cs-CZ"/>
              </w:rPr>
            </w:pPr>
          </w:p>
          <w:p w14:paraId="15132D81" w14:textId="77777777" w:rsidR="004C1DAF" w:rsidRPr="008819AF" w:rsidRDefault="004C1DAF" w:rsidP="00C800E4">
            <w:pPr>
              <w:ind w:left="215" w:hanging="215"/>
              <w:jc w:val="center"/>
              <w:rPr>
                <w:rFonts w:eastAsia="Arial"/>
                <w:lang w:bidi="cs-CZ"/>
              </w:rPr>
            </w:pPr>
          </w:p>
          <w:p w14:paraId="15132D82" w14:textId="77777777" w:rsidR="004C1DAF" w:rsidRPr="008819AF" w:rsidRDefault="004C1DAF" w:rsidP="00C800E4">
            <w:pPr>
              <w:ind w:left="215" w:hanging="215"/>
              <w:jc w:val="center"/>
              <w:rPr>
                <w:rFonts w:eastAsia="Arial"/>
                <w:lang w:bidi="cs-CZ"/>
              </w:rPr>
            </w:pPr>
          </w:p>
          <w:p w14:paraId="15132D83" w14:textId="77777777" w:rsidR="004C1DAF" w:rsidRPr="008819AF" w:rsidRDefault="004C1DAF" w:rsidP="00C800E4">
            <w:pPr>
              <w:ind w:left="215" w:hanging="215"/>
              <w:jc w:val="center"/>
              <w:rPr>
                <w:rFonts w:eastAsia="Arial"/>
                <w:lang w:bidi="cs-CZ"/>
              </w:rPr>
            </w:pPr>
          </w:p>
          <w:p w14:paraId="15132D84" w14:textId="77777777" w:rsidR="004C1DAF" w:rsidRPr="008819AF" w:rsidRDefault="004C1DAF" w:rsidP="00C800E4">
            <w:pPr>
              <w:ind w:left="215" w:hanging="215"/>
              <w:jc w:val="center"/>
              <w:rPr>
                <w:rFonts w:eastAsia="Arial"/>
                <w:lang w:bidi="cs-CZ"/>
              </w:rPr>
            </w:pPr>
          </w:p>
          <w:p w14:paraId="15132D85" w14:textId="77777777" w:rsidR="004C1DAF" w:rsidRPr="008819AF" w:rsidRDefault="004C1DAF" w:rsidP="00C800E4">
            <w:pPr>
              <w:ind w:left="215" w:hanging="215"/>
              <w:jc w:val="center"/>
              <w:rPr>
                <w:rFonts w:eastAsia="Arial"/>
                <w:lang w:bidi="cs-CZ"/>
              </w:rPr>
            </w:pPr>
          </w:p>
          <w:p w14:paraId="15132D86" w14:textId="77777777" w:rsidR="004C1DAF" w:rsidRPr="008819AF" w:rsidRDefault="004C1DAF" w:rsidP="00C800E4">
            <w:pPr>
              <w:ind w:left="215" w:hanging="215"/>
              <w:jc w:val="center"/>
              <w:rPr>
                <w:rFonts w:eastAsia="Arial"/>
                <w:lang w:bidi="cs-CZ"/>
              </w:rPr>
            </w:pPr>
          </w:p>
          <w:p w14:paraId="15132D87" w14:textId="77777777" w:rsidR="004C1DAF" w:rsidRPr="008819AF" w:rsidRDefault="004C1DAF" w:rsidP="00C800E4">
            <w:pPr>
              <w:ind w:left="215" w:hanging="215"/>
              <w:jc w:val="center"/>
              <w:rPr>
                <w:rFonts w:eastAsia="Arial"/>
                <w:lang w:bidi="cs-CZ"/>
              </w:rPr>
            </w:pPr>
          </w:p>
          <w:p w14:paraId="15132D88" w14:textId="77777777" w:rsidR="004C1DAF" w:rsidRPr="008819AF" w:rsidRDefault="004C1DAF" w:rsidP="00C800E4">
            <w:pPr>
              <w:ind w:left="215" w:hanging="215"/>
              <w:jc w:val="center"/>
              <w:rPr>
                <w:rFonts w:eastAsia="Arial"/>
                <w:lang w:bidi="cs-CZ"/>
              </w:rPr>
            </w:pPr>
          </w:p>
          <w:p w14:paraId="15132D89" w14:textId="77777777" w:rsidR="004C1DAF" w:rsidRPr="008819AF" w:rsidRDefault="004C1DAF" w:rsidP="00C800E4">
            <w:pPr>
              <w:ind w:left="215" w:hanging="215"/>
              <w:jc w:val="center"/>
              <w:rPr>
                <w:rFonts w:eastAsia="Arial"/>
                <w:lang w:bidi="cs-CZ"/>
              </w:rPr>
            </w:pPr>
          </w:p>
          <w:p w14:paraId="15132D8A" w14:textId="77777777" w:rsidR="004C1DAF" w:rsidRPr="008819AF" w:rsidRDefault="004C1DAF" w:rsidP="00C800E4">
            <w:pPr>
              <w:ind w:left="215" w:hanging="215"/>
              <w:jc w:val="center"/>
              <w:rPr>
                <w:rFonts w:eastAsia="Arial"/>
                <w:lang w:bidi="cs-CZ"/>
              </w:rPr>
            </w:pPr>
          </w:p>
          <w:p w14:paraId="15132D8B" w14:textId="77777777" w:rsidR="004C1DAF" w:rsidRPr="008819AF" w:rsidRDefault="004C1DAF" w:rsidP="00C800E4">
            <w:pPr>
              <w:ind w:left="215" w:hanging="215"/>
              <w:jc w:val="center"/>
              <w:rPr>
                <w:rFonts w:eastAsia="Arial"/>
                <w:lang w:bidi="cs-CZ"/>
              </w:rPr>
            </w:pPr>
          </w:p>
          <w:p w14:paraId="15132D8C" w14:textId="77777777" w:rsidR="004C1DAF" w:rsidRPr="008819AF" w:rsidRDefault="004C1DAF" w:rsidP="00C800E4">
            <w:pPr>
              <w:ind w:left="215" w:hanging="215"/>
              <w:jc w:val="center"/>
              <w:rPr>
                <w:rFonts w:eastAsia="Arial"/>
                <w:lang w:bidi="cs-CZ"/>
              </w:rPr>
            </w:pPr>
          </w:p>
          <w:p w14:paraId="15132D8D" w14:textId="77777777" w:rsidR="004C1DAF" w:rsidRPr="008819AF" w:rsidRDefault="004C1DAF" w:rsidP="00C800E4">
            <w:pPr>
              <w:ind w:left="215" w:hanging="215"/>
              <w:jc w:val="center"/>
              <w:rPr>
                <w:rFonts w:eastAsia="Arial"/>
                <w:lang w:bidi="cs-CZ"/>
              </w:rPr>
            </w:pPr>
          </w:p>
          <w:p w14:paraId="15132D8E" w14:textId="77777777" w:rsidR="004C1DAF" w:rsidRPr="008819AF" w:rsidRDefault="004C1DAF" w:rsidP="00C800E4">
            <w:pPr>
              <w:ind w:left="215" w:hanging="215"/>
              <w:jc w:val="center"/>
              <w:rPr>
                <w:rFonts w:eastAsia="Arial"/>
                <w:lang w:bidi="cs-CZ"/>
              </w:rPr>
            </w:pPr>
          </w:p>
          <w:p w14:paraId="15132D8F" w14:textId="77777777" w:rsidR="004C1DAF" w:rsidRPr="008819AF" w:rsidRDefault="004C1DAF" w:rsidP="00C800E4">
            <w:pPr>
              <w:ind w:left="215" w:hanging="215"/>
              <w:jc w:val="center"/>
              <w:rPr>
                <w:rFonts w:eastAsia="Arial"/>
                <w:lang w:bidi="cs-CZ"/>
              </w:rPr>
            </w:pPr>
          </w:p>
          <w:p w14:paraId="15132D90" w14:textId="77777777" w:rsidR="004C1DAF" w:rsidRPr="008819AF" w:rsidRDefault="004C1DAF" w:rsidP="00C800E4">
            <w:pPr>
              <w:ind w:left="215" w:hanging="215"/>
              <w:jc w:val="center"/>
              <w:rPr>
                <w:rFonts w:eastAsia="Arial"/>
                <w:lang w:bidi="cs-CZ"/>
              </w:rPr>
            </w:pPr>
          </w:p>
          <w:p w14:paraId="15132D91" w14:textId="77777777" w:rsidR="004C1DAF" w:rsidRPr="008819AF" w:rsidRDefault="004C1DAF" w:rsidP="00C800E4">
            <w:pPr>
              <w:ind w:left="215" w:hanging="215"/>
              <w:jc w:val="center"/>
              <w:rPr>
                <w:rFonts w:eastAsia="Arial"/>
                <w:lang w:bidi="cs-CZ"/>
              </w:rPr>
            </w:pPr>
          </w:p>
          <w:p w14:paraId="15132D92" w14:textId="77777777" w:rsidR="004C1DAF" w:rsidRPr="008819AF" w:rsidRDefault="004C1DAF" w:rsidP="00C800E4">
            <w:pPr>
              <w:ind w:left="215" w:hanging="215"/>
              <w:jc w:val="center"/>
              <w:rPr>
                <w:rFonts w:eastAsia="Arial"/>
                <w:lang w:bidi="cs-CZ"/>
              </w:rPr>
            </w:pPr>
          </w:p>
          <w:p w14:paraId="15132D93" w14:textId="77777777" w:rsidR="00C800E4" w:rsidRPr="008819AF" w:rsidRDefault="00C800E4" w:rsidP="00C800E4">
            <w:pPr>
              <w:ind w:left="215" w:hanging="215"/>
              <w:jc w:val="center"/>
              <w:rPr>
                <w:rFonts w:eastAsia="Arial"/>
                <w:lang w:bidi="cs-CZ"/>
              </w:rPr>
            </w:pPr>
          </w:p>
          <w:p w14:paraId="15132D94" w14:textId="77777777" w:rsidR="004C1DAF" w:rsidRPr="008819AF" w:rsidRDefault="004C1DAF" w:rsidP="00C800E4">
            <w:pPr>
              <w:ind w:left="215" w:hanging="215"/>
              <w:jc w:val="center"/>
              <w:rPr>
                <w:rFonts w:eastAsia="Arial"/>
                <w:lang w:bidi="cs-CZ"/>
              </w:rPr>
            </w:pPr>
          </w:p>
          <w:p w14:paraId="15132D95" w14:textId="77777777" w:rsidR="004C1DAF" w:rsidRPr="008819AF" w:rsidRDefault="004C1DAF" w:rsidP="00C800E4">
            <w:pPr>
              <w:ind w:left="215" w:hanging="215"/>
              <w:jc w:val="center"/>
              <w:rPr>
                <w:rFonts w:eastAsia="Arial"/>
                <w:lang w:bidi="cs-CZ"/>
              </w:rPr>
            </w:pPr>
            <w:r w:rsidRPr="008819AF">
              <w:rPr>
                <w:rFonts w:eastAsia="Arial"/>
                <w:lang w:bidi="cs-CZ"/>
              </w:rPr>
              <w:t>N</w:t>
            </w:r>
          </w:p>
          <w:p w14:paraId="15132D96" w14:textId="77777777" w:rsidR="004C1DAF" w:rsidRPr="008819AF" w:rsidRDefault="004C1DAF" w:rsidP="00C800E4">
            <w:pPr>
              <w:ind w:left="215" w:hanging="215"/>
              <w:jc w:val="center"/>
              <w:rPr>
                <w:rFonts w:eastAsia="Arial"/>
                <w:lang w:bidi="cs-CZ"/>
              </w:rPr>
            </w:pPr>
          </w:p>
        </w:tc>
        <w:tc>
          <w:tcPr>
            <w:tcW w:w="543" w:type="dxa"/>
            <w:gridSpan w:val="2"/>
            <w:tcBorders>
              <w:top w:val="single" w:sz="4" w:space="0" w:color="000000"/>
              <w:left w:val="single" w:sz="4" w:space="0" w:color="auto"/>
              <w:bottom w:val="single" w:sz="4" w:space="0" w:color="auto"/>
              <w:right w:val="single" w:sz="6" w:space="0" w:color="000000"/>
            </w:tcBorders>
          </w:tcPr>
          <w:p w14:paraId="15132D97" w14:textId="77777777" w:rsidR="004C1DAF" w:rsidRPr="008819AF" w:rsidRDefault="004C1DAF" w:rsidP="00C800E4">
            <w:pPr>
              <w:jc w:val="center"/>
              <w:rPr>
                <w:rFonts w:eastAsia="Arial"/>
                <w:lang w:bidi="cs-CZ"/>
              </w:rPr>
            </w:pPr>
            <w:r w:rsidRPr="008819AF">
              <w:rPr>
                <w:rFonts w:eastAsia="Arial"/>
                <w:lang w:bidi="cs-CZ"/>
              </w:rPr>
              <w:lastRenderedPageBreak/>
              <w:t>NZ</w:t>
            </w:r>
          </w:p>
          <w:p w14:paraId="15132D98" w14:textId="77777777" w:rsidR="004C1DAF" w:rsidRPr="008819AF" w:rsidRDefault="004C1DAF" w:rsidP="00C800E4">
            <w:pPr>
              <w:ind w:left="215" w:hanging="215"/>
              <w:jc w:val="center"/>
              <w:rPr>
                <w:rFonts w:eastAsia="Arial"/>
                <w:lang w:bidi="cs-CZ"/>
              </w:rPr>
            </w:pPr>
          </w:p>
          <w:p w14:paraId="15132D99" w14:textId="77777777" w:rsidR="004C1DAF" w:rsidRPr="008819AF" w:rsidRDefault="004C1DAF" w:rsidP="00C800E4">
            <w:pPr>
              <w:ind w:left="215" w:hanging="215"/>
              <w:jc w:val="center"/>
              <w:rPr>
                <w:rFonts w:eastAsia="Arial"/>
                <w:lang w:bidi="cs-CZ"/>
              </w:rPr>
            </w:pPr>
          </w:p>
          <w:p w14:paraId="15132D9A" w14:textId="77777777" w:rsidR="004C1DAF" w:rsidRPr="008819AF" w:rsidRDefault="004C1DAF" w:rsidP="00C800E4">
            <w:pPr>
              <w:ind w:left="215" w:hanging="215"/>
              <w:jc w:val="center"/>
              <w:rPr>
                <w:rFonts w:eastAsia="Arial"/>
                <w:lang w:bidi="cs-CZ"/>
              </w:rPr>
            </w:pPr>
          </w:p>
          <w:p w14:paraId="15132D9B" w14:textId="77777777" w:rsidR="004C1DAF" w:rsidRPr="008819AF" w:rsidRDefault="004C1DAF" w:rsidP="00C800E4">
            <w:pPr>
              <w:ind w:left="215" w:hanging="215"/>
              <w:jc w:val="center"/>
              <w:rPr>
                <w:rFonts w:eastAsia="Arial"/>
                <w:lang w:bidi="cs-CZ"/>
              </w:rPr>
            </w:pPr>
          </w:p>
          <w:p w14:paraId="15132D9C" w14:textId="77777777" w:rsidR="004C1DAF" w:rsidRPr="008819AF" w:rsidRDefault="004C1DAF" w:rsidP="00C800E4">
            <w:pPr>
              <w:ind w:left="215" w:hanging="215"/>
              <w:jc w:val="center"/>
              <w:rPr>
                <w:rFonts w:eastAsia="Arial"/>
                <w:lang w:bidi="cs-CZ"/>
              </w:rPr>
            </w:pPr>
          </w:p>
          <w:p w14:paraId="15132D9D" w14:textId="77777777" w:rsidR="004C1DAF" w:rsidRPr="008819AF" w:rsidRDefault="004C1DAF" w:rsidP="00C800E4">
            <w:pPr>
              <w:jc w:val="center"/>
              <w:rPr>
                <w:rFonts w:eastAsia="Arial"/>
                <w:lang w:bidi="cs-CZ"/>
              </w:rPr>
            </w:pPr>
            <w:r w:rsidRPr="008819AF">
              <w:rPr>
                <w:rFonts w:eastAsia="Arial"/>
                <w:lang w:bidi="cs-CZ"/>
              </w:rPr>
              <w:t>NZ</w:t>
            </w:r>
          </w:p>
          <w:p w14:paraId="15132D9E" w14:textId="77777777" w:rsidR="00C800E4" w:rsidRPr="008819AF" w:rsidRDefault="00C800E4" w:rsidP="00C800E4">
            <w:pPr>
              <w:jc w:val="center"/>
              <w:rPr>
                <w:rFonts w:eastAsia="Arial"/>
                <w:lang w:bidi="cs-CZ"/>
              </w:rPr>
            </w:pPr>
          </w:p>
          <w:p w14:paraId="15132D9F" w14:textId="77777777" w:rsidR="004C1DAF" w:rsidRPr="008819AF" w:rsidRDefault="004C1DAF" w:rsidP="00C800E4">
            <w:pPr>
              <w:jc w:val="center"/>
              <w:rPr>
                <w:rFonts w:eastAsia="Arial"/>
                <w:lang w:bidi="cs-CZ"/>
              </w:rPr>
            </w:pPr>
          </w:p>
          <w:p w14:paraId="15132DA0" w14:textId="77777777" w:rsidR="004C1DAF" w:rsidRPr="008819AF" w:rsidRDefault="004C1DAF" w:rsidP="00C800E4">
            <w:pPr>
              <w:jc w:val="center"/>
              <w:rPr>
                <w:rFonts w:eastAsia="Arial"/>
                <w:lang w:bidi="cs-CZ"/>
              </w:rPr>
            </w:pPr>
          </w:p>
          <w:p w14:paraId="15132DA1" w14:textId="77777777" w:rsidR="004C1DAF" w:rsidRPr="008819AF" w:rsidRDefault="004C1DAF" w:rsidP="00C800E4">
            <w:pPr>
              <w:jc w:val="center"/>
              <w:rPr>
                <w:rFonts w:eastAsia="Arial"/>
                <w:lang w:bidi="cs-CZ"/>
              </w:rPr>
            </w:pPr>
          </w:p>
          <w:p w14:paraId="15132DA2" w14:textId="77777777" w:rsidR="004C1DAF" w:rsidRPr="008819AF" w:rsidRDefault="004C1DAF" w:rsidP="00C800E4">
            <w:pPr>
              <w:jc w:val="center"/>
              <w:rPr>
                <w:rFonts w:eastAsia="Arial"/>
                <w:lang w:bidi="cs-CZ"/>
              </w:rPr>
            </w:pPr>
          </w:p>
          <w:p w14:paraId="15132DA3" w14:textId="77777777" w:rsidR="004C1DAF" w:rsidRPr="008819AF" w:rsidRDefault="004C1DAF" w:rsidP="00C800E4">
            <w:pPr>
              <w:jc w:val="center"/>
              <w:rPr>
                <w:rFonts w:eastAsia="Arial"/>
                <w:lang w:bidi="cs-CZ"/>
              </w:rPr>
            </w:pPr>
          </w:p>
          <w:p w14:paraId="15132DA4" w14:textId="77777777" w:rsidR="004C1DAF" w:rsidRPr="008819AF" w:rsidRDefault="004C1DAF" w:rsidP="00C800E4">
            <w:pPr>
              <w:jc w:val="center"/>
              <w:rPr>
                <w:rFonts w:eastAsia="Arial"/>
                <w:lang w:bidi="cs-CZ"/>
              </w:rPr>
            </w:pPr>
          </w:p>
          <w:p w14:paraId="15132DA5" w14:textId="77777777" w:rsidR="004C1DAF" w:rsidRPr="008819AF" w:rsidRDefault="004C1DAF" w:rsidP="00C800E4">
            <w:pPr>
              <w:jc w:val="center"/>
              <w:rPr>
                <w:rFonts w:eastAsia="Arial"/>
                <w:lang w:bidi="cs-CZ"/>
              </w:rPr>
            </w:pPr>
          </w:p>
          <w:p w14:paraId="15132DA6" w14:textId="77777777" w:rsidR="004C1DAF" w:rsidRPr="008819AF" w:rsidRDefault="004C1DAF" w:rsidP="00C800E4">
            <w:pPr>
              <w:jc w:val="center"/>
              <w:rPr>
                <w:rFonts w:eastAsia="Arial"/>
                <w:lang w:bidi="cs-CZ"/>
              </w:rPr>
            </w:pPr>
          </w:p>
          <w:p w14:paraId="15132DA7" w14:textId="77777777" w:rsidR="004C1DAF" w:rsidRPr="008819AF" w:rsidRDefault="004C1DAF" w:rsidP="00C800E4">
            <w:pPr>
              <w:jc w:val="center"/>
              <w:rPr>
                <w:rFonts w:eastAsia="Arial"/>
                <w:lang w:bidi="cs-CZ"/>
              </w:rPr>
            </w:pPr>
          </w:p>
          <w:p w14:paraId="15132DA8" w14:textId="77777777" w:rsidR="004C1DAF" w:rsidRPr="008819AF" w:rsidRDefault="004C1DAF" w:rsidP="00C800E4">
            <w:pPr>
              <w:jc w:val="center"/>
              <w:rPr>
                <w:rFonts w:eastAsia="Arial"/>
                <w:lang w:bidi="cs-CZ"/>
              </w:rPr>
            </w:pPr>
          </w:p>
          <w:p w14:paraId="15132DA9" w14:textId="77777777" w:rsidR="004C1DAF" w:rsidRPr="008819AF" w:rsidRDefault="004C1DAF" w:rsidP="00C800E4">
            <w:pPr>
              <w:jc w:val="center"/>
              <w:rPr>
                <w:rFonts w:eastAsia="Arial"/>
                <w:lang w:bidi="cs-CZ"/>
              </w:rPr>
            </w:pPr>
          </w:p>
          <w:p w14:paraId="15132DAA" w14:textId="77777777" w:rsidR="004C1DAF" w:rsidRPr="008819AF" w:rsidRDefault="004C1DAF" w:rsidP="00C800E4">
            <w:pPr>
              <w:jc w:val="center"/>
              <w:rPr>
                <w:rFonts w:eastAsia="Arial"/>
                <w:lang w:bidi="cs-CZ"/>
              </w:rPr>
            </w:pPr>
          </w:p>
          <w:p w14:paraId="15132DAB" w14:textId="77777777" w:rsidR="004C1DAF" w:rsidRPr="008819AF" w:rsidRDefault="004C1DAF" w:rsidP="00C800E4">
            <w:pPr>
              <w:jc w:val="center"/>
              <w:rPr>
                <w:rFonts w:eastAsia="Arial"/>
                <w:lang w:bidi="cs-CZ"/>
              </w:rPr>
            </w:pPr>
          </w:p>
          <w:p w14:paraId="15132DAC" w14:textId="77777777" w:rsidR="00C800E4" w:rsidRPr="008819AF" w:rsidRDefault="00C800E4" w:rsidP="00C800E4">
            <w:pPr>
              <w:jc w:val="center"/>
              <w:rPr>
                <w:rFonts w:eastAsia="Arial"/>
                <w:lang w:bidi="cs-CZ"/>
              </w:rPr>
            </w:pPr>
          </w:p>
          <w:p w14:paraId="15132DAD" w14:textId="77777777" w:rsidR="004C1DAF" w:rsidRPr="008819AF" w:rsidRDefault="004C1DAF" w:rsidP="00C800E4">
            <w:pPr>
              <w:jc w:val="center"/>
              <w:rPr>
                <w:rFonts w:eastAsia="Arial"/>
                <w:lang w:bidi="cs-CZ"/>
              </w:rPr>
            </w:pPr>
          </w:p>
          <w:p w14:paraId="15132DAE" w14:textId="77777777" w:rsidR="004C1DAF" w:rsidRPr="008819AF" w:rsidRDefault="004C1DAF" w:rsidP="00C800E4">
            <w:pPr>
              <w:jc w:val="center"/>
              <w:rPr>
                <w:rFonts w:eastAsia="Arial"/>
                <w:lang w:bidi="cs-CZ"/>
              </w:rPr>
            </w:pPr>
          </w:p>
          <w:p w14:paraId="15132DAF" w14:textId="77777777" w:rsidR="004C1DAF" w:rsidRPr="008819AF" w:rsidRDefault="004C1DAF" w:rsidP="00C800E4">
            <w:pPr>
              <w:jc w:val="center"/>
              <w:rPr>
                <w:rFonts w:eastAsia="Arial"/>
                <w:lang w:bidi="cs-CZ"/>
              </w:rPr>
            </w:pPr>
            <w:r w:rsidRPr="008819AF">
              <w:rPr>
                <w:rFonts w:eastAsia="Arial"/>
                <w:lang w:bidi="cs-CZ"/>
              </w:rPr>
              <w:t>ZoO</w:t>
            </w:r>
          </w:p>
          <w:p w14:paraId="15132DB0" w14:textId="77777777" w:rsidR="004C1DAF" w:rsidRPr="008819AF" w:rsidRDefault="004C1DAF" w:rsidP="00C800E4">
            <w:pPr>
              <w:jc w:val="center"/>
              <w:rPr>
                <w:rFonts w:eastAsia="Arial"/>
                <w:lang w:bidi="cs-CZ"/>
              </w:rPr>
            </w:pPr>
          </w:p>
          <w:p w14:paraId="15132DB1" w14:textId="77777777" w:rsidR="004C1DAF" w:rsidRPr="008819AF" w:rsidRDefault="004C1DAF" w:rsidP="00C800E4">
            <w:pPr>
              <w:ind w:left="215" w:hanging="215"/>
              <w:jc w:val="center"/>
              <w:rPr>
                <w:rFonts w:eastAsia="Arial"/>
                <w:lang w:bidi="cs-CZ"/>
              </w:rPr>
            </w:pPr>
          </w:p>
        </w:tc>
        <w:tc>
          <w:tcPr>
            <w:tcW w:w="543" w:type="dxa"/>
            <w:tcBorders>
              <w:top w:val="single" w:sz="4" w:space="0" w:color="000000"/>
              <w:left w:val="single" w:sz="6" w:space="0" w:color="000000"/>
              <w:bottom w:val="single" w:sz="4" w:space="0" w:color="auto"/>
              <w:right w:val="single" w:sz="6" w:space="0" w:color="000000"/>
            </w:tcBorders>
          </w:tcPr>
          <w:p w14:paraId="15132DB2" w14:textId="77777777" w:rsidR="004C1DAF" w:rsidRPr="008819AF" w:rsidRDefault="004C1DAF" w:rsidP="00C800E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lastRenderedPageBreak/>
              <w:t>§ 34</w:t>
            </w:r>
          </w:p>
          <w:p w14:paraId="15132DB3" w14:textId="77777777" w:rsidR="004C1DAF" w:rsidRPr="008819AF" w:rsidRDefault="004C1DAF" w:rsidP="00C800E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O 1</w:t>
            </w:r>
          </w:p>
          <w:p w14:paraId="15132DB4" w14:textId="77777777" w:rsidR="004C1DAF" w:rsidRPr="008819AF" w:rsidRDefault="004C1DAF" w:rsidP="00C800E4">
            <w:pPr>
              <w:pStyle w:val="BodyText21"/>
              <w:spacing w:before="0" w:line="240" w:lineRule="auto"/>
              <w:jc w:val="center"/>
              <w:rPr>
                <w:rFonts w:ascii="Times New Roman" w:hAnsi="Times New Roman" w:cs="Times New Roman"/>
              </w:rPr>
            </w:pPr>
            <w:r w:rsidRPr="008819AF">
              <w:rPr>
                <w:rFonts w:ascii="Times New Roman" w:hAnsi="Times New Roman" w:cs="Times New Roman"/>
              </w:rPr>
              <w:t>P b)</w:t>
            </w:r>
          </w:p>
          <w:p w14:paraId="15132DB5" w14:textId="77777777" w:rsidR="004C1DAF" w:rsidRPr="008819AF" w:rsidRDefault="004C1DAF" w:rsidP="00C800E4">
            <w:pPr>
              <w:pStyle w:val="BodyText21"/>
              <w:spacing w:before="0" w:line="240" w:lineRule="auto"/>
              <w:jc w:val="center"/>
              <w:rPr>
                <w:rFonts w:ascii="Times New Roman" w:hAnsi="Times New Roman" w:cs="Times New Roman"/>
              </w:rPr>
            </w:pPr>
          </w:p>
          <w:p w14:paraId="15132DB6" w14:textId="77777777" w:rsidR="004C1DAF" w:rsidRPr="008819AF" w:rsidRDefault="004C1DAF" w:rsidP="00C800E4">
            <w:pPr>
              <w:pStyle w:val="BodyText21"/>
              <w:spacing w:before="0" w:line="240" w:lineRule="auto"/>
              <w:jc w:val="center"/>
              <w:rPr>
                <w:rFonts w:ascii="Times New Roman" w:hAnsi="Times New Roman" w:cs="Times New Roman"/>
              </w:rPr>
            </w:pPr>
          </w:p>
          <w:p w14:paraId="15132DB7" w14:textId="77777777" w:rsidR="00C800E4" w:rsidRPr="008819AF" w:rsidRDefault="00C800E4" w:rsidP="00C800E4">
            <w:pPr>
              <w:pStyle w:val="BodyText21"/>
              <w:spacing w:before="0" w:line="240" w:lineRule="auto"/>
              <w:ind w:left="0" w:firstLine="0"/>
              <w:rPr>
                <w:rFonts w:ascii="Times New Roman" w:hAnsi="Times New Roman" w:cs="Times New Roman"/>
              </w:rPr>
            </w:pPr>
          </w:p>
          <w:p w14:paraId="15132DB8" w14:textId="77777777" w:rsidR="004C1DAF" w:rsidRPr="008819AF" w:rsidRDefault="004C1DAF" w:rsidP="00C800E4">
            <w:pPr>
              <w:pStyle w:val="BodyText21"/>
              <w:spacing w:before="0" w:line="240" w:lineRule="auto"/>
              <w:ind w:left="0" w:firstLine="0"/>
              <w:rPr>
                <w:rFonts w:ascii="Times New Roman" w:hAnsi="Times New Roman" w:cs="Times New Roman"/>
              </w:rPr>
            </w:pPr>
            <w:r w:rsidRPr="008819AF">
              <w:rPr>
                <w:rFonts w:ascii="Times New Roman" w:hAnsi="Times New Roman" w:cs="Times New Roman"/>
              </w:rPr>
              <w:t>§ 62</w:t>
            </w:r>
          </w:p>
          <w:p w14:paraId="15132DB9" w14:textId="77777777" w:rsidR="004C1DAF" w:rsidRPr="008819AF" w:rsidRDefault="004C1DAF" w:rsidP="00C800E4">
            <w:pPr>
              <w:pStyle w:val="BodyText21"/>
              <w:spacing w:before="0" w:line="240" w:lineRule="auto"/>
              <w:jc w:val="center"/>
              <w:rPr>
                <w:rFonts w:ascii="Times New Roman" w:hAnsi="Times New Roman" w:cs="Times New Roman"/>
              </w:rPr>
            </w:pPr>
            <w:r w:rsidRPr="008819AF">
              <w:rPr>
                <w:rFonts w:ascii="Times New Roman" w:hAnsi="Times New Roman" w:cs="Times New Roman"/>
              </w:rPr>
              <w:t>P f)</w:t>
            </w:r>
          </w:p>
          <w:p w14:paraId="15132DBA" w14:textId="77777777" w:rsidR="004C1DAF" w:rsidRPr="008819AF" w:rsidRDefault="004C1DAF" w:rsidP="00C800E4">
            <w:pPr>
              <w:pStyle w:val="BodyText21"/>
              <w:spacing w:before="0" w:line="240" w:lineRule="auto"/>
              <w:jc w:val="center"/>
              <w:rPr>
                <w:rFonts w:ascii="Times New Roman" w:hAnsi="Times New Roman" w:cs="Times New Roman"/>
              </w:rPr>
            </w:pPr>
          </w:p>
          <w:p w14:paraId="15132DBB" w14:textId="77777777" w:rsidR="004C1DAF" w:rsidRPr="008819AF" w:rsidRDefault="004C1DAF" w:rsidP="00C800E4">
            <w:pPr>
              <w:pStyle w:val="BodyText21"/>
              <w:spacing w:before="0" w:line="240" w:lineRule="auto"/>
              <w:jc w:val="center"/>
              <w:rPr>
                <w:rFonts w:ascii="Times New Roman" w:hAnsi="Times New Roman" w:cs="Times New Roman"/>
              </w:rPr>
            </w:pPr>
          </w:p>
          <w:p w14:paraId="15132DBC" w14:textId="77777777" w:rsidR="004C1DAF" w:rsidRPr="008819AF" w:rsidRDefault="004C1DAF" w:rsidP="00C800E4">
            <w:pPr>
              <w:pStyle w:val="BodyText21"/>
              <w:spacing w:before="0" w:line="240" w:lineRule="auto"/>
              <w:jc w:val="center"/>
              <w:rPr>
                <w:rFonts w:ascii="Times New Roman" w:hAnsi="Times New Roman" w:cs="Times New Roman"/>
              </w:rPr>
            </w:pPr>
          </w:p>
          <w:p w14:paraId="15132DBD" w14:textId="77777777" w:rsidR="004C1DAF" w:rsidRPr="008819AF" w:rsidRDefault="004C1DAF" w:rsidP="00C800E4">
            <w:pPr>
              <w:pStyle w:val="BodyText21"/>
              <w:spacing w:before="0" w:line="240" w:lineRule="auto"/>
              <w:jc w:val="center"/>
              <w:rPr>
                <w:rFonts w:ascii="Times New Roman" w:hAnsi="Times New Roman" w:cs="Times New Roman"/>
              </w:rPr>
            </w:pPr>
          </w:p>
          <w:p w14:paraId="15132DBE" w14:textId="77777777" w:rsidR="004C1DAF" w:rsidRPr="008819AF" w:rsidRDefault="004C1DAF" w:rsidP="00C800E4">
            <w:pPr>
              <w:pStyle w:val="BodyText21"/>
              <w:spacing w:before="0" w:line="240" w:lineRule="auto"/>
              <w:jc w:val="center"/>
              <w:rPr>
                <w:rFonts w:ascii="Times New Roman" w:hAnsi="Times New Roman" w:cs="Times New Roman"/>
              </w:rPr>
            </w:pPr>
          </w:p>
          <w:p w14:paraId="15132DBF" w14:textId="77777777" w:rsidR="004C1DAF" w:rsidRPr="008819AF" w:rsidRDefault="004C1DAF" w:rsidP="00C800E4">
            <w:pPr>
              <w:pStyle w:val="BodyText21"/>
              <w:spacing w:before="0" w:line="240" w:lineRule="auto"/>
              <w:jc w:val="center"/>
              <w:rPr>
                <w:rFonts w:ascii="Times New Roman" w:hAnsi="Times New Roman" w:cs="Times New Roman"/>
              </w:rPr>
            </w:pPr>
          </w:p>
          <w:p w14:paraId="15132DC0" w14:textId="77777777" w:rsidR="004C1DAF" w:rsidRPr="008819AF" w:rsidRDefault="004C1DAF" w:rsidP="00C800E4">
            <w:pPr>
              <w:pStyle w:val="BodyText21"/>
              <w:spacing w:before="0" w:line="240" w:lineRule="auto"/>
              <w:jc w:val="center"/>
              <w:rPr>
                <w:rFonts w:ascii="Times New Roman" w:hAnsi="Times New Roman" w:cs="Times New Roman"/>
              </w:rPr>
            </w:pPr>
          </w:p>
          <w:p w14:paraId="15132DC1" w14:textId="77777777" w:rsidR="004C1DAF" w:rsidRPr="008819AF" w:rsidRDefault="004C1DAF" w:rsidP="00C800E4">
            <w:pPr>
              <w:pStyle w:val="BodyText21"/>
              <w:spacing w:before="0" w:line="240" w:lineRule="auto"/>
              <w:jc w:val="center"/>
              <w:rPr>
                <w:rFonts w:ascii="Times New Roman" w:hAnsi="Times New Roman" w:cs="Times New Roman"/>
              </w:rPr>
            </w:pPr>
          </w:p>
          <w:p w14:paraId="15132DC2" w14:textId="77777777" w:rsidR="004C1DAF" w:rsidRPr="008819AF" w:rsidRDefault="004C1DAF" w:rsidP="00C800E4">
            <w:pPr>
              <w:pStyle w:val="BodyText21"/>
              <w:spacing w:before="0" w:line="240" w:lineRule="auto"/>
              <w:jc w:val="center"/>
              <w:rPr>
                <w:rFonts w:ascii="Times New Roman" w:hAnsi="Times New Roman" w:cs="Times New Roman"/>
              </w:rPr>
            </w:pPr>
          </w:p>
          <w:p w14:paraId="15132DC3" w14:textId="77777777" w:rsidR="004C1DAF" w:rsidRPr="008819AF" w:rsidRDefault="004C1DAF" w:rsidP="00C800E4">
            <w:pPr>
              <w:pStyle w:val="BodyText21"/>
              <w:spacing w:before="0" w:line="240" w:lineRule="auto"/>
              <w:jc w:val="center"/>
              <w:rPr>
                <w:rFonts w:ascii="Times New Roman" w:hAnsi="Times New Roman" w:cs="Times New Roman"/>
              </w:rPr>
            </w:pPr>
          </w:p>
          <w:p w14:paraId="15132DC4" w14:textId="77777777" w:rsidR="004C1DAF" w:rsidRPr="008819AF" w:rsidRDefault="004C1DAF" w:rsidP="00C800E4">
            <w:pPr>
              <w:pStyle w:val="BodyText21"/>
              <w:spacing w:before="0" w:line="240" w:lineRule="auto"/>
              <w:jc w:val="center"/>
              <w:rPr>
                <w:rFonts w:ascii="Times New Roman" w:hAnsi="Times New Roman" w:cs="Times New Roman"/>
              </w:rPr>
            </w:pPr>
          </w:p>
          <w:p w14:paraId="15132DC5" w14:textId="77777777" w:rsidR="004C1DAF" w:rsidRPr="008819AF" w:rsidRDefault="004C1DAF" w:rsidP="00C800E4">
            <w:pPr>
              <w:pStyle w:val="BodyText21"/>
              <w:spacing w:before="0" w:line="240" w:lineRule="auto"/>
              <w:jc w:val="center"/>
              <w:rPr>
                <w:rFonts w:ascii="Times New Roman" w:hAnsi="Times New Roman" w:cs="Times New Roman"/>
              </w:rPr>
            </w:pPr>
          </w:p>
          <w:p w14:paraId="15132DC6" w14:textId="77777777" w:rsidR="004C1DAF" w:rsidRPr="008819AF" w:rsidRDefault="004C1DAF" w:rsidP="00C800E4">
            <w:pPr>
              <w:pStyle w:val="BodyText21"/>
              <w:spacing w:before="0" w:line="240" w:lineRule="auto"/>
              <w:jc w:val="center"/>
              <w:rPr>
                <w:rFonts w:ascii="Times New Roman" w:hAnsi="Times New Roman" w:cs="Times New Roman"/>
              </w:rPr>
            </w:pPr>
          </w:p>
          <w:p w14:paraId="15132DC7" w14:textId="77777777" w:rsidR="004C1DAF" w:rsidRPr="008819AF" w:rsidRDefault="004C1DAF" w:rsidP="00C800E4">
            <w:pPr>
              <w:pStyle w:val="BodyText21"/>
              <w:spacing w:before="0" w:line="240" w:lineRule="auto"/>
              <w:jc w:val="center"/>
              <w:rPr>
                <w:rFonts w:ascii="Times New Roman" w:hAnsi="Times New Roman" w:cs="Times New Roman"/>
              </w:rPr>
            </w:pPr>
          </w:p>
          <w:p w14:paraId="15132DC8" w14:textId="77777777" w:rsidR="00C800E4" w:rsidRPr="008819AF" w:rsidRDefault="00C800E4" w:rsidP="00C800E4">
            <w:pPr>
              <w:pStyle w:val="BodyText21"/>
              <w:spacing w:before="0" w:line="240" w:lineRule="auto"/>
              <w:jc w:val="center"/>
              <w:rPr>
                <w:rFonts w:ascii="Times New Roman" w:hAnsi="Times New Roman" w:cs="Times New Roman"/>
              </w:rPr>
            </w:pPr>
          </w:p>
          <w:p w14:paraId="15132DC9" w14:textId="77777777" w:rsidR="00C800E4" w:rsidRPr="008819AF" w:rsidRDefault="00C800E4" w:rsidP="00C800E4">
            <w:pPr>
              <w:pStyle w:val="BodyText21"/>
              <w:spacing w:before="0" w:line="240" w:lineRule="auto"/>
              <w:jc w:val="center"/>
              <w:rPr>
                <w:rFonts w:ascii="Times New Roman" w:hAnsi="Times New Roman" w:cs="Times New Roman"/>
              </w:rPr>
            </w:pPr>
          </w:p>
          <w:p w14:paraId="15132DCA" w14:textId="77777777" w:rsidR="004C1DAF" w:rsidRPr="008819AF" w:rsidRDefault="004C1DAF" w:rsidP="00C800E4">
            <w:pPr>
              <w:pStyle w:val="BodyText21"/>
              <w:spacing w:before="0" w:line="240" w:lineRule="auto"/>
              <w:ind w:left="0" w:firstLine="0"/>
              <w:jc w:val="center"/>
              <w:rPr>
                <w:rFonts w:ascii="Times New Roman" w:eastAsia="Times New Roman" w:hAnsi="Times New Roman" w:cs="Times New Roman"/>
                <w:lang w:bidi="sk-SK"/>
              </w:rPr>
            </w:pPr>
            <w:r w:rsidRPr="008819AF">
              <w:rPr>
                <w:rFonts w:ascii="Times New Roman" w:eastAsia="Times New Roman" w:hAnsi="Times New Roman" w:cs="Times New Roman"/>
                <w:lang w:bidi="sk-SK"/>
              </w:rPr>
              <w:t>§78 O5</w:t>
            </w:r>
          </w:p>
          <w:p w14:paraId="15132DCB" w14:textId="77777777" w:rsidR="004C1DAF" w:rsidRPr="008819AF" w:rsidRDefault="004C1DAF" w:rsidP="00C800E4">
            <w:pPr>
              <w:pStyle w:val="BodyText21"/>
              <w:spacing w:before="0" w:line="240" w:lineRule="auto"/>
              <w:ind w:left="0" w:firstLine="0"/>
              <w:jc w:val="center"/>
              <w:rPr>
                <w:rFonts w:ascii="Times New Roman" w:eastAsia="Times New Roman" w:hAnsi="Times New Roman" w:cs="Times New Roman"/>
                <w:lang w:bidi="sk-SK"/>
              </w:rPr>
            </w:pPr>
            <w:r w:rsidRPr="008819AF">
              <w:rPr>
                <w:rFonts w:ascii="Times New Roman" w:eastAsia="Times New Roman" w:hAnsi="Times New Roman" w:cs="Times New Roman"/>
                <w:lang w:bidi="sk-SK"/>
              </w:rPr>
              <w:t>P a)</w:t>
            </w:r>
          </w:p>
          <w:p w14:paraId="15132DCC" w14:textId="77777777" w:rsidR="004C1DAF" w:rsidRPr="008819AF" w:rsidRDefault="004C1DAF" w:rsidP="00C800E4">
            <w:pPr>
              <w:pStyle w:val="BodyText21"/>
              <w:spacing w:before="0" w:line="240" w:lineRule="auto"/>
              <w:ind w:left="0" w:firstLine="0"/>
              <w:jc w:val="center"/>
              <w:rPr>
                <w:rFonts w:ascii="Times New Roman" w:eastAsia="Times New Roman" w:hAnsi="Times New Roman" w:cs="Times New Roman"/>
                <w:lang w:bidi="sk-SK"/>
              </w:rPr>
            </w:pPr>
          </w:p>
          <w:p w14:paraId="15132DCD" w14:textId="77777777" w:rsidR="004C1DAF" w:rsidRPr="008819AF" w:rsidRDefault="004C1DAF" w:rsidP="00C800E4">
            <w:pPr>
              <w:pStyle w:val="BodyText21"/>
              <w:spacing w:before="0" w:line="240" w:lineRule="auto"/>
              <w:ind w:left="0" w:firstLine="0"/>
              <w:jc w:val="center"/>
              <w:rPr>
                <w:rFonts w:ascii="Times New Roman" w:eastAsia="Times New Roman" w:hAnsi="Times New Roman" w:cs="Times New Roman"/>
                <w:lang w:bidi="sk-SK"/>
              </w:rPr>
            </w:pPr>
          </w:p>
          <w:p w14:paraId="15132DCE" w14:textId="77777777" w:rsidR="004C1DAF" w:rsidRPr="008819AF" w:rsidRDefault="004C1DAF" w:rsidP="00C800E4">
            <w:pPr>
              <w:pStyle w:val="BodyText21"/>
              <w:spacing w:before="0" w:line="240" w:lineRule="auto"/>
              <w:ind w:left="0" w:firstLine="0"/>
              <w:jc w:val="center"/>
              <w:rPr>
                <w:rFonts w:ascii="Times New Roman" w:eastAsia="Times New Roman" w:hAnsi="Times New Roman" w:cs="Times New Roman"/>
                <w:lang w:bidi="sk-SK"/>
              </w:rPr>
            </w:pPr>
          </w:p>
          <w:p w14:paraId="15132DCF" w14:textId="77777777" w:rsidR="004C1DAF" w:rsidRPr="008819AF" w:rsidRDefault="004C1DAF" w:rsidP="00C800E4">
            <w:pPr>
              <w:pStyle w:val="BodyText21"/>
              <w:spacing w:before="0" w:line="240" w:lineRule="auto"/>
              <w:ind w:left="0" w:firstLine="0"/>
              <w:jc w:val="center"/>
              <w:rPr>
                <w:rFonts w:ascii="Times New Roman" w:eastAsia="Times New Roman" w:hAnsi="Times New Roman" w:cs="Times New Roman"/>
                <w:lang w:bidi="sk-SK"/>
              </w:rPr>
            </w:pPr>
          </w:p>
          <w:p w14:paraId="15132DD0" w14:textId="77777777" w:rsidR="004C1DAF" w:rsidRPr="008819AF" w:rsidRDefault="004C1DAF" w:rsidP="00C800E4">
            <w:pPr>
              <w:pStyle w:val="BodyText21"/>
              <w:spacing w:before="0" w:line="240" w:lineRule="auto"/>
              <w:ind w:left="0" w:firstLine="0"/>
              <w:jc w:val="center"/>
              <w:rPr>
                <w:rFonts w:ascii="Times New Roman" w:eastAsia="Times New Roman" w:hAnsi="Times New Roman" w:cs="Times New Roman"/>
                <w:lang w:bidi="sk-SK"/>
              </w:rPr>
            </w:pPr>
            <w:r w:rsidRPr="008819AF">
              <w:rPr>
                <w:rFonts w:ascii="Times New Roman" w:eastAsia="Times New Roman" w:hAnsi="Times New Roman" w:cs="Times New Roman"/>
                <w:lang w:bidi="sk-SK"/>
              </w:rPr>
              <w:t>§78 O5 Pb)</w:t>
            </w:r>
          </w:p>
          <w:p w14:paraId="15132DD1" w14:textId="77777777" w:rsidR="004C1DAF" w:rsidRPr="008819AF" w:rsidRDefault="004C1DAF" w:rsidP="00C800E4">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4" w:space="0" w:color="auto"/>
              <w:right w:val="single" w:sz="6" w:space="0" w:color="000000"/>
            </w:tcBorders>
          </w:tcPr>
          <w:p w14:paraId="15132DD2" w14:textId="77777777" w:rsidR="004C1DAF" w:rsidRPr="008819AF" w:rsidRDefault="004C1DAF" w:rsidP="004C1DAF">
            <w:pPr>
              <w:rPr>
                <w:rFonts w:eastAsia="Arial"/>
                <w:lang w:bidi="cs-CZ"/>
              </w:rPr>
            </w:pPr>
            <w:r w:rsidRPr="008819AF">
              <w:rPr>
                <w:rFonts w:eastAsia="Arial"/>
                <w:lang w:bidi="cs-CZ"/>
              </w:rPr>
              <w:lastRenderedPageBreak/>
              <w:t>Prevádzkovateľ veľkého zdroja a prevádzkovateľ stredného zdroja je povinný</w:t>
            </w:r>
          </w:p>
          <w:p w14:paraId="15132DD3" w14:textId="77777777" w:rsidR="004C1DAF" w:rsidRPr="008819AF" w:rsidRDefault="004C1DAF" w:rsidP="00C800E4">
            <w:pPr>
              <w:ind w:left="34" w:hanging="40"/>
              <w:rPr>
                <w:rFonts w:eastAsia="Arial"/>
                <w:lang w:bidi="cs-CZ"/>
              </w:rPr>
            </w:pPr>
            <w:r w:rsidRPr="008819AF">
              <w:rPr>
                <w:rFonts w:eastAsia="Arial"/>
                <w:lang w:bidi="cs-CZ"/>
              </w:rPr>
              <w:t>b)</w:t>
            </w:r>
            <w:r w:rsidRPr="008819AF">
              <w:rPr>
                <w:rFonts w:eastAsia="Arial"/>
                <w:lang w:bidi="cs-CZ"/>
              </w:rPr>
              <w:tab/>
              <w:t>dodržiavať emisné limity určené v povolení; ak emisné limity nie sú určené, dodržiavať emisné limity ustanovené vykonávacím predpisom podľa § 62 písm. f),</w:t>
            </w:r>
          </w:p>
          <w:p w14:paraId="15132DD4" w14:textId="77777777" w:rsidR="00C800E4" w:rsidRPr="008819AF" w:rsidRDefault="00C800E4" w:rsidP="004C1DAF">
            <w:pPr>
              <w:keepNext/>
              <w:ind w:left="215" w:hanging="215"/>
              <w:outlineLvl w:val="5"/>
              <w:rPr>
                <w:rFonts w:eastAsia="Arial"/>
                <w:lang w:bidi="cs-CZ"/>
              </w:rPr>
            </w:pPr>
          </w:p>
          <w:p w14:paraId="15132DD5" w14:textId="77777777" w:rsidR="004C1DAF" w:rsidRPr="008819AF" w:rsidRDefault="004C1DAF" w:rsidP="004C1DAF">
            <w:pPr>
              <w:keepNext/>
              <w:ind w:left="215" w:hanging="215"/>
              <w:outlineLvl w:val="5"/>
              <w:rPr>
                <w:rFonts w:eastAsia="Arial"/>
                <w:lang w:bidi="cs-CZ"/>
              </w:rPr>
            </w:pPr>
            <w:r w:rsidRPr="008819AF">
              <w:rPr>
                <w:rFonts w:eastAsia="Arial"/>
                <w:lang w:bidi="cs-CZ"/>
              </w:rPr>
              <w:t>Všeobecne záväzný právny predpis, ktorý vydá ministerstvo,</w:t>
            </w:r>
          </w:p>
          <w:p w14:paraId="15132DD6" w14:textId="77777777" w:rsidR="004C1DAF" w:rsidRPr="008819AF" w:rsidRDefault="004C1DAF" w:rsidP="004C1DAF">
            <w:pPr>
              <w:keepNext/>
              <w:ind w:left="215" w:hanging="215"/>
              <w:outlineLvl w:val="5"/>
              <w:rPr>
                <w:rFonts w:eastAsia="Arial"/>
                <w:lang w:bidi="cs-CZ"/>
              </w:rPr>
            </w:pPr>
            <w:r w:rsidRPr="008819AF">
              <w:rPr>
                <w:rFonts w:eastAsia="Arial"/>
                <w:lang w:bidi="cs-CZ"/>
              </w:rPr>
              <w:t>ustanoví</w:t>
            </w:r>
          </w:p>
          <w:p w14:paraId="15132DD7" w14:textId="77777777" w:rsidR="00C800E4" w:rsidRPr="008819AF" w:rsidRDefault="00C800E4" w:rsidP="00C800E4">
            <w:pPr>
              <w:rPr>
                <w:rFonts w:eastAsia="Arial"/>
                <w:lang w:bidi="cs-CZ"/>
              </w:rPr>
            </w:pPr>
            <w:r w:rsidRPr="008819AF">
              <w:rPr>
                <w:rFonts w:eastAsia="Arial"/>
                <w:lang w:bidi="cs-CZ"/>
              </w:rPr>
              <w:t>f)</w:t>
            </w:r>
            <w:r w:rsidRPr="008819AF">
              <w:rPr>
                <w:rFonts w:eastAsia="Arial"/>
                <w:lang w:bidi="cs-CZ"/>
              </w:rPr>
              <w:tab/>
              <w:t xml:space="preserve">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w:t>
            </w:r>
            <w:r w:rsidRPr="008819AF">
              <w:rPr>
                <w:rFonts w:eastAsia="Arial"/>
                <w:lang w:bidi="cs-CZ"/>
              </w:rPr>
              <w:lastRenderedPageBreak/>
              <w:t>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p w14:paraId="15132DD8" w14:textId="77777777" w:rsidR="00C800E4" w:rsidRPr="008819AF" w:rsidRDefault="00C800E4" w:rsidP="00C800E4">
            <w:pPr>
              <w:rPr>
                <w:rFonts w:eastAsia="Arial"/>
                <w:lang w:bidi="cs-CZ"/>
              </w:rPr>
            </w:pPr>
          </w:p>
          <w:p w14:paraId="15132DD9" w14:textId="77777777" w:rsidR="004C1DAF" w:rsidRPr="008819AF" w:rsidRDefault="004C1DAF" w:rsidP="00C800E4">
            <w:pPr>
              <w:rPr>
                <w:rFonts w:eastAsia="Arial"/>
                <w:lang w:bidi="cs-CZ"/>
              </w:rPr>
            </w:pPr>
            <w:r w:rsidRPr="008819AF">
              <w:t>Prevádzkovateľ zariadenia, v  ktorom  sa  vyrába  oxid  titaničitý,  je  povinný  postupovať v súlade s osobitnými predpismi104) na ochranu ľudského zdravia a životného prostredia tak, aby nedošlo k ohrozeniu zložiek životného prostredia a škodlivému ovplyvneniu výletných miest alebo krajiny a najmä</w:t>
            </w:r>
          </w:p>
          <w:p w14:paraId="15132DDA" w14:textId="77777777" w:rsidR="004C1DAF" w:rsidRPr="008819AF" w:rsidRDefault="004C1DAF" w:rsidP="004C1DAF">
            <w:pPr>
              <w:pStyle w:val="Odsekzoznamu"/>
              <w:ind w:left="0"/>
              <w:rPr>
                <w:sz w:val="20"/>
                <w:szCs w:val="20"/>
              </w:rPr>
            </w:pPr>
            <w:r w:rsidRPr="008819AF">
              <w:rPr>
                <w:sz w:val="20"/>
                <w:szCs w:val="20"/>
              </w:rPr>
              <w:t>a)predchádzať emisiám kvapôčok kyseliny zo zariadenia,</w:t>
            </w:r>
          </w:p>
          <w:p w14:paraId="15132DDB" w14:textId="77777777" w:rsidR="004C1DAF" w:rsidRPr="008819AF" w:rsidRDefault="004C1DAF" w:rsidP="004C1DAF">
            <w:pPr>
              <w:rPr>
                <w:rFonts w:eastAsia="Arial"/>
              </w:rPr>
            </w:pPr>
          </w:p>
          <w:p w14:paraId="15132DDC" w14:textId="77777777" w:rsidR="004C1DAF" w:rsidRPr="008819AF" w:rsidRDefault="004C1DAF" w:rsidP="004C1DAF">
            <w:pPr>
              <w:rPr>
                <w:rFonts w:eastAsia="Arial"/>
              </w:rPr>
            </w:pPr>
            <w:r w:rsidRPr="008819AF">
              <w:rPr>
                <w:rFonts w:eastAsia="Arial"/>
              </w:rPr>
              <w:t>Prevádzkovateľ zariadenia, v  ktorom  sa  vyrába  oxid  titaničitý,  je  povinný  postupovať v súlade s osobitnými predpismi104) na ochranu ľudského zdravia a životného prostredia tak, aby nedošlo k ohrozeniu zložiek životného prostredia a škodlivému ovplyvneniu výletných miest alebo krajiny a najmä</w:t>
            </w:r>
          </w:p>
          <w:p w14:paraId="15132DDD" w14:textId="77777777" w:rsidR="004C1DAF" w:rsidRPr="008819AF" w:rsidRDefault="004C1DAF" w:rsidP="004C1DAF">
            <w:pPr>
              <w:rPr>
                <w:rFonts w:eastAsia="Arial"/>
              </w:rPr>
            </w:pPr>
            <w:r w:rsidRPr="008819AF">
              <w:rPr>
                <w:rFonts w:eastAsia="Arial"/>
              </w:rPr>
              <w:t>b)</w:t>
            </w:r>
            <w:r w:rsidRPr="008819AF">
              <w:rPr>
                <w:rFonts w:eastAsia="Arial"/>
              </w:rPr>
              <w:tab/>
              <w:t>vo vzťahu k emisiám zo zariadenia do ovzdušia a vody v súlade s osobitnými predpismi106) plniť monitorovacie povinnosti a povinnosť dodržiavania emisných limitov,</w:t>
            </w:r>
          </w:p>
          <w:p w14:paraId="15132DDE" w14:textId="77777777" w:rsidR="004C1DAF" w:rsidRPr="008819AF" w:rsidRDefault="004C1DAF" w:rsidP="004C1DAF">
            <w:pPr>
              <w:rPr>
                <w:rFonts w:eastAsia="Arial"/>
              </w:rPr>
            </w:pPr>
          </w:p>
          <w:p w14:paraId="15132DDF" w14:textId="77777777" w:rsidR="004C1DAF" w:rsidRPr="008819AF" w:rsidRDefault="004C1DAF" w:rsidP="004C1DAF">
            <w:pPr>
              <w:rPr>
                <w:rFonts w:eastAsia="Arial"/>
              </w:rPr>
            </w:pPr>
            <w:r w:rsidRPr="008819AF">
              <w:rPr>
                <w:rFonts w:eastAsia="Arial"/>
              </w:rPr>
              <w:t>106) Napríklad zákon č. 364/2004 Z. z., zákon č. 137/2010 Z. z.</w:t>
            </w:r>
          </w:p>
        </w:tc>
        <w:tc>
          <w:tcPr>
            <w:tcW w:w="429" w:type="dxa"/>
            <w:tcBorders>
              <w:top w:val="single" w:sz="4" w:space="0" w:color="000000"/>
              <w:left w:val="single" w:sz="6" w:space="0" w:color="000000"/>
              <w:bottom w:val="single" w:sz="4" w:space="0" w:color="auto"/>
              <w:right w:val="single" w:sz="6" w:space="0" w:color="000000"/>
            </w:tcBorders>
          </w:tcPr>
          <w:p w14:paraId="15132DE0" w14:textId="77777777" w:rsidR="004C1DAF" w:rsidRPr="008819AF" w:rsidRDefault="004C1DAF" w:rsidP="004C1DAF">
            <w:pPr>
              <w:ind w:left="215" w:hanging="215"/>
              <w:rPr>
                <w:rFonts w:eastAsia="Arial"/>
                <w:lang w:bidi="cs-CZ"/>
              </w:rPr>
            </w:pPr>
            <w:r w:rsidRPr="008819AF">
              <w:rPr>
                <w:rFonts w:eastAsia="Arial"/>
                <w:lang w:bidi="cs-CZ"/>
              </w:rPr>
              <w:lastRenderedPageBreak/>
              <w:t>Ú</w:t>
            </w:r>
          </w:p>
          <w:p w14:paraId="15132DE1" w14:textId="77777777" w:rsidR="004C1DAF" w:rsidRPr="008819AF" w:rsidRDefault="004C1DAF" w:rsidP="004C1DAF">
            <w:pPr>
              <w:ind w:left="215" w:hanging="215"/>
              <w:rPr>
                <w:rFonts w:eastAsia="Arial"/>
                <w:lang w:bidi="cs-CZ"/>
              </w:rPr>
            </w:pPr>
          </w:p>
          <w:p w14:paraId="15132DE2" w14:textId="77777777" w:rsidR="004C1DAF" w:rsidRPr="008819AF" w:rsidRDefault="004C1DAF" w:rsidP="004C1DAF">
            <w:pPr>
              <w:ind w:left="215" w:hanging="215"/>
              <w:rPr>
                <w:rFonts w:eastAsia="Arial"/>
                <w:lang w:bidi="cs-CZ"/>
              </w:rPr>
            </w:pPr>
          </w:p>
          <w:p w14:paraId="15132DE3" w14:textId="77777777" w:rsidR="004C1DAF" w:rsidRPr="008819AF" w:rsidRDefault="004C1DAF" w:rsidP="004C1DAF">
            <w:pPr>
              <w:ind w:left="215" w:hanging="215"/>
              <w:rPr>
                <w:rFonts w:eastAsia="Arial"/>
                <w:lang w:bidi="cs-CZ"/>
              </w:rPr>
            </w:pPr>
          </w:p>
          <w:p w14:paraId="15132DE4" w14:textId="77777777" w:rsidR="004C1DAF" w:rsidRPr="008819AF" w:rsidRDefault="004C1DAF" w:rsidP="004C1DAF">
            <w:pPr>
              <w:ind w:left="215" w:hanging="215"/>
              <w:rPr>
                <w:rFonts w:eastAsia="Arial"/>
                <w:lang w:bidi="cs-CZ"/>
              </w:rPr>
            </w:pPr>
          </w:p>
          <w:p w14:paraId="15132DE5" w14:textId="77777777" w:rsidR="004C1DAF" w:rsidRPr="008819AF" w:rsidRDefault="004C1DAF" w:rsidP="004C1DAF">
            <w:pPr>
              <w:ind w:left="215" w:hanging="215"/>
              <w:rPr>
                <w:rFonts w:eastAsia="Arial"/>
                <w:lang w:bidi="cs-CZ"/>
              </w:rPr>
            </w:pPr>
          </w:p>
          <w:p w14:paraId="15132DE6" w14:textId="77777777" w:rsidR="004C1DAF" w:rsidRPr="008819AF" w:rsidRDefault="004C1DAF" w:rsidP="004C1DAF">
            <w:pPr>
              <w:ind w:left="215" w:hanging="215"/>
              <w:rPr>
                <w:rFonts w:eastAsia="Arial"/>
                <w:lang w:bidi="cs-CZ"/>
              </w:rPr>
            </w:pPr>
            <w:r w:rsidRPr="008819AF">
              <w:rPr>
                <w:rFonts w:eastAsia="Arial"/>
                <w:lang w:bidi="cs-CZ"/>
              </w:rPr>
              <w:t>Ú</w:t>
            </w:r>
          </w:p>
          <w:p w14:paraId="15132DE7" w14:textId="77777777" w:rsidR="004C1DAF" w:rsidRPr="008819AF" w:rsidRDefault="004C1DAF" w:rsidP="004C1DAF">
            <w:pPr>
              <w:rPr>
                <w:rFonts w:eastAsia="Arial"/>
                <w:lang w:bidi="cs-CZ"/>
              </w:rPr>
            </w:pPr>
          </w:p>
        </w:tc>
        <w:tc>
          <w:tcPr>
            <w:tcW w:w="821" w:type="dxa"/>
            <w:gridSpan w:val="3"/>
            <w:tcBorders>
              <w:top w:val="single" w:sz="4" w:space="0" w:color="000000"/>
              <w:left w:val="single" w:sz="6" w:space="0" w:color="000000"/>
              <w:bottom w:val="single" w:sz="4" w:space="0" w:color="auto"/>
              <w:right w:val="single" w:sz="6" w:space="0" w:color="000000"/>
            </w:tcBorders>
          </w:tcPr>
          <w:p w14:paraId="15132DE8" w14:textId="77777777" w:rsidR="004C1DAF" w:rsidRPr="008819AF" w:rsidRDefault="004C1DAF" w:rsidP="004C1DAF">
            <w:pPr>
              <w:ind w:left="215" w:hanging="215"/>
              <w:rPr>
                <w:rFonts w:eastAsia="Arial"/>
              </w:rPr>
            </w:pPr>
          </w:p>
        </w:tc>
      </w:tr>
      <w:tr w:rsidR="004C1DAF" w:rsidRPr="008819AF" w14:paraId="15132EAC" w14:textId="77777777" w:rsidTr="00C572C2">
        <w:trPr>
          <w:jc w:val="center"/>
        </w:trPr>
        <w:tc>
          <w:tcPr>
            <w:tcW w:w="483" w:type="dxa"/>
            <w:tcBorders>
              <w:top w:val="single" w:sz="4" w:space="0" w:color="auto"/>
              <w:left w:val="single" w:sz="4" w:space="0" w:color="auto"/>
              <w:bottom w:val="single" w:sz="4" w:space="0" w:color="auto"/>
              <w:right w:val="single" w:sz="4" w:space="0" w:color="auto"/>
            </w:tcBorders>
          </w:tcPr>
          <w:p w14:paraId="15132DEA" w14:textId="77777777" w:rsidR="004C1DAF" w:rsidRPr="008819AF" w:rsidRDefault="004C1DAF" w:rsidP="004C1DAF">
            <w:pPr>
              <w:ind w:right="-70"/>
              <w:rPr>
                <w:rFonts w:eastAsia="Arial"/>
                <w:lang w:bidi="cs-CZ"/>
              </w:rPr>
            </w:pPr>
            <w:r w:rsidRPr="008819AF">
              <w:rPr>
                <w:rFonts w:eastAsia="Arial"/>
                <w:lang w:bidi="cs-CZ"/>
              </w:rPr>
              <w:t>Č:70</w:t>
            </w:r>
          </w:p>
        </w:tc>
        <w:tc>
          <w:tcPr>
            <w:tcW w:w="6227" w:type="dxa"/>
            <w:gridSpan w:val="2"/>
            <w:tcBorders>
              <w:top w:val="single" w:sz="4" w:space="0" w:color="auto"/>
              <w:left w:val="single" w:sz="4" w:space="0" w:color="auto"/>
              <w:bottom w:val="single" w:sz="4" w:space="0" w:color="auto"/>
              <w:right w:val="single" w:sz="4" w:space="0" w:color="auto"/>
            </w:tcBorders>
          </w:tcPr>
          <w:p w14:paraId="15132DEB" w14:textId="77777777" w:rsidR="004C1DAF" w:rsidRPr="008819AF" w:rsidRDefault="004C1DAF" w:rsidP="004C1DAF">
            <w:pPr>
              <w:ind w:left="215" w:hanging="215"/>
              <w:rPr>
                <w:rFonts w:eastAsia="Arial"/>
              </w:rPr>
            </w:pPr>
            <w:r w:rsidRPr="008819AF">
              <w:rPr>
                <w:rFonts w:eastAsia="Arial"/>
              </w:rPr>
              <w:t>Článok 70</w:t>
            </w:r>
          </w:p>
          <w:p w14:paraId="15132DEC" w14:textId="77777777" w:rsidR="004C1DAF" w:rsidRPr="008819AF" w:rsidRDefault="004C1DAF" w:rsidP="004C1DAF">
            <w:pPr>
              <w:ind w:left="215" w:hanging="215"/>
              <w:rPr>
                <w:rFonts w:eastAsia="Arial"/>
              </w:rPr>
            </w:pPr>
            <w:r w:rsidRPr="008819AF">
              <w:rPr>
                <w:rFonts w:eastAsia="Arial"/>
              </w:rPr>
              <w:t>Monitorovanie emisií</w:t>
            </w:r>
          </w:p>
          <w:p w14:paraId="15132DED" w14:textId="77777777" w:rsidR="004C1DAF" w:rsidRPr="008819AF" w:rsidRDefault="004C1DAF" w:rsidP="004C1DAF">
            <w:pPr>
              <w:ind w:left="215" w:hanging="215"/>
              <w:rPr>
                <w:rFonts w:eastAsia="Arial"/>
              </w:rPr>
            </w:pPr>
          </w:p>
          <w:p w14:paraId="15132DEE" w14:textId="77777777" w:rsidR="004C1DAF" w:rsidRPr="008819AF" w:rsidRDefault="004C1DAF" w:rsidP="004C1DAF">
            <w:pPr>
              <w:ind w:left="215" w:hanging="215"/>
              <w:rPr>
                <w:rFonts w:eastAsia="Arial"/>
              </w:rPr>
            </w:pPr>
            <w:r w:rsidRPr="008819AF">
              <w:rPr>
                <w:rFonts w:eastAsia="Arial"/>
              </w:rPr>
              <w:t>1. Členské štáty zabezpečia monitorovanie emisií do vody, aby príslušný orgán mohol kontrolovať dodržiavanie podmienok povolenia a článku 68.</w:t>
            </w:r>
          </w:p>
          <w:p w14:paraId="15132DEF" w14:textId="77777777" w:rsidR="004C1DAF" w:rsidRPr="008819AF" w:rsidRDefault="004C1DAF" w:rsidP="004C1DAF">
            <w:pPr>
              <w:ind w:left="215" w:hanging="215"/>
              <w:rPr>
                <w:rFonts w:eastAsia="Arial"/>
              </w:rPr>
            </w:pPr>
          </w:p>
          <w:p w14:paraId="15132DF0" w14:textId="77777777" w:rsidR="004C1DAF" w:rsidRPr="008819AF" w:rsidRDefault="004C1DAF" w:rsidP="00C572C2">
            <w:pPr>
              <w:ind w:left="215" w:hanging="215"/>
              <w:rPr>
                <w:rFonts w:eastAsia="Arial"/>
              </w:rPr>
            </w:pPr>
            <w:r w:rsidRPr="008819AF">
              <w:rPr>
                <w:rFonts w:eastAsia="Arial"/>
              </w:rPr>
              <w:t>2. Členské štáty zabezpečia monitorovanie emisií do ovzdušia, aby príslušný orgán mohol kontrolovať dodržiavanie podmienok povolenia a článku 69.</w:t>
            </w:r>
            <w:r w:rsidR="00C572C2" w:rsidRPr="008819AF">
              <w:rPr>
                <w:rFonts w:eastAsia="Arial"/>
              </w:rPr>
              <w:t xml:space="preserve"> </w:t>
            </w:r>
            <w:r w:rsidRPr="008819AF">
              <w:rPr>
                <w:rFonts w:eastAsia="Arial"/>
              </w:rPr>
              <w:t>V rámci tohto monitorovania je potrebné vykonávať aspoň monitorovanie emisií podľa prílohy VIII časť 3.</w:t>
            </w:r>
          </w:p>
          <w:p w14:paraId="15132DF1" w14:textId="77777777" w:rsidR="004C1DAF" w:rsidRPr="008819AF" w:rsidRDefault="004C1DAF" w:rsidP="004C1DAF">
            <w:pPr>
              <w:ind w:left="215" w:hanging="215"/>
              <w:rPr>
                <w:rFonts w:eastAsia="Arial"/>
              </w:rPr>
            </w:pPr>
          </w:p>
          <w:p w14:paraId="15132DF2" w14:textId="77777777" w:rsidR="004C1DAF" w:rsidRPr="008819AF" w:rsidRDefault="004C1DAF" w:rsidP="004C1DAF">
            <w:pPr>
              <w:ind w:left="215" w:hanging="215"/>
              <w:rPr>
                <w:rFonts w:eastAsia="Arial"/>
              </w:rPr>
            </w:pPr>
          </w:p>
          <w:p w14:paraId="15132DF3" w14:textId="77777777" w:rsidR="004C1DAF" w:rsidRPr="008819AF" w:rsidRDefault="004C1DAF" w:rsidP="004C1DAF">
            <w:pPr>
              <w:ind w:left="215" w:hanging="215"/>
              <w:rPr>
                <w:rFonts w:eastAsia="Arial"/>
              </w:rPr>
            </w:pPr>
          </w:p>
          <w:p w14:paraId="15132DF4" w14:textId="77777777" w:rsidR="004C1DAF" w:rsidRPr="008819AF" w:rsidRDefault="004C1DAF" w:rsidP="004C1DAF">
            <w:pPr>
              <w:ind w:left="215" w:hanging="215"/>
              <w:rPr>
                <w:rFonts w:eastAsia="Arial"/>
              </w:rPr>
            </w:pPr>
          </w:p>
          <w:p w14:paraId="15132DF5" w14:textId="77777777" w:rsidR="004C1DAF" w:rsidRPr="008819AF" w:rsidRDefault="004C1DAF" w:rsidP="004C1DAF">
            <w:pPr>
              <w:ind w:left="215" w:hanging="215"/>
              <w:rPr>
                <w:rFonts w:eastAsia="Arial"/>
              </w:rPr>
            </w:pPr>
          </w:p>
          <w:p w14:paraId="15132DF6" w14:textId="77777777" w:rsidR="004C1DAF" w:rsidRPr="008819AF" w:rsidRDefault="004C1DAF" w:rsidP="004C1DAF">
            <w:pPr>
              <w:ind w:left="215" w:hanging="215"/>
              <w:rPr>
                <w:rFonts w:eastAsia="Arial"/>
              </w:rPr>
            </w:pPr>
          </w:p>
          <w:p w14:paraId="15132DF7" w14:textId="77777777" w:rsidR="004C1DAF" w:rsidRPr="008819AF" w:rsidRDefault="004C1DAF" w:rsidP="004C1DAF">
            <w:pPr>
              <w:ind w:left="215" w:hanging="215"/>
              <w:rPr>
                <w:rFonts w:eastAsia="Arial"/>
              </w:rPr>
            </w:pPr>
          </w:p>
          <w:p w14:paraId="15132DF8" w14:textId="77777777" w:rsidR="004C1DAF" w:rsidRPr="008819AF" w:rsidRDefault="004C1DAF" w:rsidP="004C1DAF">
            <w:pPr>
              <w:ind w:left="215" w:hanging="215"/>
              <w:rPr>
                <w:rFonts w:eastAsia="Arial"/>
              </w:rPr>
            </w:pPr>
          </w:p>
          <w:p w14:paraId="15132DF9" w14:textId="77777777" w:rsidR="00C572C2" w:rsidRPr="008819AF" w:rsidRDefault="00C572C2" w:rsidP="004C1DAF">
            <w:pPr>
              <w:ind w:left="215" w:hanging="215"/>
              <w:rPr>
                <w:rFonts w:eastAsia="Arial"/>
              </w:rPr>
            </w:pPr>
          </w:p>
          <w:p w14:paraId="15132DFA" w14:textId="77777777" w:rsidR="00C572C2" w:rsidRPr="008819AF" w:rsidRDefault="00C572C2" w:rsidP="004C1DAF">
            <w:pPr>
              <w:ind w:left="215" w:hanging="215"/>
              <w:rPr>
                <w:rFonts w:eastAsia="Arial"/>
              </w:rPr>
            </w:pPr>
          </w:p>
          <w:p w14:paraId="15132DFB" w14:textId="77777777" w:rsidR="00C572C2" w:rsidRPr="008819AF" w:rsidRDefault="00C572C2" w:rsidP="004C1DAF">
            <w:pPr>
              <w:ind w:left="215" w:hanging="215"/>
              <w:rPr>
                <w:rFonts w:eastAsia="Arial"/>
              </w:rPr>
            </w:pPr>
          </w:p>
          <w:p w14:paraId="15132DFC" w14:textId="77777777" w:rsidR="00C572C2" w:rsidRPr="008819AF" w:rsidRDefault="00C572C2" w:rsidP="004C1DAF">
            <w:pPr>
              <w:ind w:left="215" w:hanging="215"/>
              <w:rPr>
                <w:rFonts w:eastAsia="Arial"/>
              </w:rPr>
            </w:pPr>
          </w:p>
          <w:p w14:paraId="15132DFD" w14:textId="77777777" w:rsidR="004C1DAF" w:rsidRPr="008819AF" w:rsidRDefault="004C1DAF" w:rsidP="004C1DAF">
            <w:pPr>
              <w:ind w:left="215" w:hanging="215"/>
              <w:rPr>
                <w:rFonts w:eastAsia="Arial"/>
              </w:rPr>
            </w:pPr>
          </w:p>
          <w:p w14:paraId="15132DFE" w14:textId="77777777" w:rsidR="004C1DAF" w:rsidRPr="008819AF" w:rsidRDefault="004C1DAF" w:rsidP="004C1DAF">
            <w:pPr>
              <w:ind w:left="215" w:hanging="215"/>
              <w:rPr>
                <w:rFonts w:eastAsia="Arial"/>
              </w:rPr>
            </w:pPr>
          </w:p>
          <w:p w14:paraId="15132DFF" w14:textId="77777777" w:rsidR="004C1DAF" w:rsidRPr="008819AF" w:rsidRDefault="004C1DAF" w:rsidP="004C1DAF">
            <w:pPr>
              <w:ind w:left="215" w:hanging="215"/>
              <w:rPr>
                <w:rFonts w:eastAsia="Arial"/>
              </w:rPr>
            </w:pPr>
          </w:p>
          <w:p w14:paraId="15132E00" w14:textId="77777777" w:rsidR="004C1DAF" w:rsidRPr="008819AF" w:rsidRDefault="004C1DAF" w:rsidP="004C1DAF">
            <w:pPr>
              <w:ind w:left="215" w:hanging="215"/>
              <w:rPr>
                <w:rFonts w:eastAsia="Arial"/>
              </w:rPr>
            </w:pPr>
          </w:p>
          <w:p w14:paraId="15132E01" w14:textId="77777777" w:rsidR="004C1DAF" w:rsidRPr="008819AF" w:rsidRDefault="004C1DAF" w:rsidP="004C1DAF">
            <w:pPr>
              <w:ind w:left="215" w:hanging="215"/>
              <w:rPr>
                <w:rFonts w:eastAsia="Arial"/>
              </w:rPr>
            </w:pPr>
          </w:p>
          <w:p w14:paraId="15132E02" w14:textId="77777777" w:rsidR="004C1DAF" w:rsidRPr="008819AF" w:rsidRDefault="004C1DAF" w:rsidP="004C1DAF">
            <w:pPr>
              <w:ind w:left="215" w:hanging="215"/>
              <w:rPr>
                <w:rFonts w:eastAsia="Arial"/>
              </w:rPr>
            </w:pPr>
          </w:p>
          <w:p w14:paraId="15132E03" w14:textId="77777777" w:rsidR="004C1DAF" w:rsidRPr="008819AF" w:rsidRDefault="004C1DAF" w:rsidP="004C1DAF">
            <w:pPr>
              <w:ind w:left="215" w:hanging="215"/>
              <w:rPr>
                <w:rFonts w:eastAsia="Arial"/>
              </w:rPr>
            </w:pPr>
          </w:p>
          <w:p w14:paraId="15132E04" w14:textId="77777777" w:rsidR="004C1DAF" w:rsidRPr="008819AF" w:rsidRDefault="004C1DAF" w:rsidP="004C1DAF">
            <w:pPr>
              <w:ind w:left="215" w:hanging="215"/>
              <w:rPr>
                <w:rFonts w:eastAsia="Arial"/>
              </w:rPr>
            </w:pPr>
          </w:p>
          <w:p w14:paraId="15132E05" w14:textId="77777777" w:rsidR="004C1DAF" w:rsidRPr="008819AF" w:rsidRDefault="004C1DAF" w:rsidP="004C1DAF">
            <w:pPr>
              <w:ind w:left="215" w:hanging="215"/>
              <w:rPr>
                <w:rFonts w:eastAsia="Arial"/>
              </w:rPr>
            </w:pPr>
            <w:r w:rsidRPr="008819AF">
              <w:rPr>
                <w:rFonts w:eastAsia="Arial"/>
              </w:rPr>
              <w:t>3. Monitorovanie sa vykonáva podľa noriem CEN a v prípade, že normy CEN nie sú k dispozícii, podľa noriem ISO, vnútroštátnych alebo iných medzinárodných noriem, ktorými sa zabezpečia údaje rovnakej odbornej kvality.</w:t>
            </w:r>
          </w:p>
          <w:p w14:paraId="15132E06" w14:textId="77777777" w:rsidR="004C1DAF" w:rsidRPr="008819AF" w:rsidRDefault="004C1DAF" w:rsidP="004C1DAF">
            <w:pPr>
              <w:ind w:left="215" w:hanging="215"/>
              <w:rPr>
                <w:rFonts w:eastAsia="Arial"/>
              </w:rPr>
            </w:pPr>
          </w:p>
          <w:p w14:paraId="15132E07" w14:textId="77777777" w:rsidR="004C1DAF" w:rsidRPr="008819AF" w:rsidRDefault="004C1DAF" w:rsidP="004C1DAF">
            <w:pPr>
              <w:ind w:left="215" w:hanging="215"/>
              <w:rPr>
                <w:rFonts w:eastAsia="Arial"/>
              </w:rPr>
            </w:pPr>
          </w:p>
          <w:p w14:paraId="15132E08" w14:textId="77777777" w:rsidR="004C1DAF" w:rsidRPr="008819AF" w:rsidRDefault="004C1DAF" w:rsidP="004C1DAF">
            <w:pPr>
              <w:ind w:left="215" w:hanging="215"/>
              <w:rPr>
                <w:rFonts w:eastAsia="Arial"/>
              </w:rPr>
            </w:pPr>
          </w:p>
          <w:p w14:paraId="15132E09" w14:textId="77777777" w:rsidR="004C1DAF" w:rsidRPr="008819AF" w:rsidRDefault="004C1DAF" w:rsidP="004C1DAF">
            <w:pPr>
              <w:ind w:left="215" w:hanging="215"/>
              <w:rPr>
                <w:rFonts w:eastAsia="Arial"/>
              </w:rPr>
            </w:pPr>
          </w:p>
          <w:p w14:paraId="15132E0A" w14:textId="77777777" w:rsidR="004C1DAF" w:rsidRPr="008819AF" w:rsidRDefault="004C1DAF" w:rsidP="004C1DAF">
            <w:pPr>
              <w:ind w:left="215" w:hanging="215"/>
              <w:rPr>
                <w:rFonts w:eastAsia="Arial"/>
              </w:rPr>
            </w:pPr>
          </w:p>
          <w:p w14:paraId="15132E0B" w14:textId="77777777" w:rsidR="004C1DAF" w:rsidRPr="008819AF" w:rsidRDefault="004C1DAF" w:rsidP="004C1DAF">
            <w:pPr>
              <w:ind w:left="215" w:hanging="215"/>
              <w:rPr>
                <w:rFonts w:eastAsia="Arial"/>
              </w:rPr>
            </w:pPr>
          </w:p>
          <w:p w14:paraId="15132E0C" w14:textId="77777777" w:rsidR="004C1DAF" w:rsidRPr="008819AF" w:rsidRDefault="004C1DAF" w:rsidP="00C572C2">
            <w:pPr>
              <w:ind w:left="215" w:hanging="1"/>
              <w:rPr>
                <w:rFonts w:eastAsia="Arial"/>
              </w:rPr>
            </w:pPr>
          </w:p>
        </w:tc>
        <w:tc>
          <w:tcPr>
            <w:tcW w:w="542" w:type="dxa"/>
            <w:gridSpan w:val="2"/>
            <w:tcBorders>
              <w:top w:val="single" w:sz="4" w:space="0" w:color="auto"/>
              <w:left w:val="single" w:sz="4" w:space="0" w:color="auto"/>
              <w:bottom w:val="single" w:sz="4" w:space="0" w:color="auto"/>
              <w:right w:val="single" w:sz="4" w:space="0" w:color="auto"/>
            </w:tcBorders>
            <w:noWrap/>
          </w:tcPr>
          <w:p w14:paraId="15132E0D" w14:textId="77777777" w:rsidR="004C1DAF" w:rsidRPr="008819AF" w:rsidRDefault="004C1DAF" w:rsidP="00E87844">
            <w:pPr>
              <w:ind w:left="215" w:hanging="215"/>
              <w:jc w:val="center"/>
              <w:rPr>
                <w:rFonts w:eastAsia="Arial"/>
                <w:lang w:bidi="cs-CZ"/>
              </w:rPr>
            </w:pPr>
          </w:p>
          <w:p w14:paraId="15132E0E" w14:textId="77777777" w:rsidR="004C1DAF" w:rsidRPr="008819AF" w:rsidRDefault="004C1DAF" w:rsidP="00E87844">
            <w:pPr>
              <w:jc w:val="center"/>
              <w:rPr>
                <w:rFonts w:eastAsia="Arial"/>
                <w:lang w:bidi="cs-CZ"/>
              </w:rPr>
            </w:pPr>
            <w:r w:rsidRPr="008819AF">
              <w:rPr>
                <w:rFonts w:eastAsia="Arial"/>
                <w:lang w:bidi="cs-CZ"/>
              </w:rPr>
              <w:t>N</w:t>
            </w:r>
          </w:p>
        </w:tc>
        <w:tc>
          <w:tcPr>
            <w:tcW w:w="543" w:type="dxa"/>
            <w:gridSpan w:val="2"/>
            <w:tcBorders>
              <w:top w:val="single" w:sz="4" w:space="0" w:color="auto"/>
              <w:left w:val="single" w:sz="4" w:space="0" w:color="auto"/>
              <w:bottom w:val="single" w:sz="4" w:space="0" w:color="auto"/>
              <w:right w:val="single" w:sz="4" w:space="0" w:color="auto"/>
            </w:tcBorders>
          </w:tcPr>
          <w:p w14:paraId="15132E0F" w14:textId="77777777" w:rsidR="004C1DAF" w:rsidRPr="008819AF" w:rsidRDefault="004C1DAF" w:rsidP="00E87844">
            <w:pPr>
              <w:jc w:val="center"/>
              <w:rPr>
                <w:rFonts w:eastAsia="Arial"/>
                <w:lang w:bidi="cs-CZ"/>
              </w:rPr>
            </w:pPr>
          </w:p>
          <w:p w14:paraId="15132E10" w14:textId="77777777" w:rsidR="004C1DAF" w:rsidRPr="008819AF" w:rsidRDefault="004C1DAF" w:rsidP="00E87844">
            <w:pPr>
              <w:jc w:val="center"/>
              <w:rPr>
                <w:rFonts w:eastAsia="Arial"/>
                <w:lang w:bidi="cs-CZ"/>
              </w:rPr>
            </w:pPr>
            <w:r w:rsidRPr="008819AF">
              <w:rPr>
                <w:rFonts w:eastAsia="Arial"/>
                <w:lang w:bidi="cs-CZ"/>
              </w:rPr>
              <w:t>NZ</w:t>
            </w:r>
          </w:p>
          <w:p w14:paraId="15132E11" w14:textId="77777777" w:rsidR="004C1DAF" w:rsidRPr="008819AF" w:rsidRDefault="004C1DAF" w:rsidP="00E87844">
            <w:pPr>
              <w:jc w:val="center"/>
              <w:rPr>
                <w:rFonts w:eastAsia="Arial"/>
                <w:lang w:bidi="cs-CZ"/>
              </w:rPr>
            </w:pPr>
          </w:p>
          <w:p w14:paraId="15132E12" w14:textId="77777777" w:rsidR="004C1DAF" w:rsidRPr="008819AF" w:rsidRDefault="004C1DAF" w:rsidP="00E87844">
            <w:pPr>
              <w:jc w:val="center"/>
              <w:rPr>
                <w:rFonts w:eastAsia="Arial"/>
                <w:lang w:bidi="cs-CZ"/>
              </w:rPr>
            </w:pPr>
          </w:p>
          <w:p w14:paraId="15132E13" w14:textId="77777777" w:rsidR="004C1DAF" w:rsidRPr="008819AF" w:rsidRDefault="004C1DAF" w:rsidP="00E87844">
            <w:pPr>
              <w:jc w:val="center"/>
              <w:rPr>
                <w:rFonts w:eastAsia="Arial"/>
                <w:lang w:bidi="cs-CZ"/>
              </w:rPr>
            </w:pPr>
          </w:p>
          <w:p w14:paraId="15132E14" w14:textId="77777777" w:rsidR="004C1DAF" w:rsidRPr="008819AF" w:rsidRDefault="004C1DAF" w:rsidP="00E87844">
            <w:pPr>
              <w:jc w:val="center"/>
              <w:rPr>
                <w:rFonts w:eastAsia="Arial"/>
                <w:lang w:bidi="cs-CZ"/>
              </w:rPr>
            </w:pPr>
          </w:p>
          <w:p w14:paraId="15132E15" w14:textId="77777777" w:rsidR="004C1DAF" w:rsidRPr="008819AF" w:rsidRDefault="004C1DAF" w:rsidP="00E87844">
            <w:pPr>
              <w:jc w:val="center"/>
              <w:rPr>
                <w:rFonts w:eastAsia="Arial"/>
                <w:lang w:bidi="cs-CZ"/>
              </w:rPr>
            </w:pPr>
          </w:p>
          <w:p w14:paraId="15132E16" w14:textId="77777777" w:rsidR="004C1DAF" w:rsidRPr="008819AF" w:rsidRDefault="004C1DAF" w:rsidP="00E87844">
            <w:pPr>
              <w:jc w:val="center"/>
              <w:rPr>
                <w:rFonts w:eastAsia="Arial"/>
                <w:lang w:bidi="cs-CZ"/>
              </w:rPr>
            </w:pPr>
          </w:p>
          <w:p w14:paraId="15132E17" w14:textId="77777777" w:rsidR="004C1DAF" w:rsidRPr="008819AF" w:rsidRDefault="004C1DAF" w:rsidP="00E87844">
            <w:pPr>
              <w:jc w:val="center"/>
              <w:rPr>
                <w:rFonts w:eastAsia="Arial"/>
                <w:lang w:bidi="cs-CZ"/>
              </w:rPr>
            </w:pPr>
          </w:p>
          <w:p w14:paraId="15132E18" w14:textId="77777777" w:rsidR="00C800E4" w:rsidRPr="008819AF" w:rsidRDefault="00C800E4" w:rsidP="00E87844">
            <w:pPr>
              <w:jc w:val="center"/>
              <w:rPr>
                <w:rFonts w:eastAsia="Arial"/>
                <w:lang w:bidi="cs-CZ"/>
              </w:rPr>
            </w:pPr>
          </w:p>
          <w:p w14:paraId="15132E19" w14:textId="77777777" w:rsidR="004C1DAF" w:rsidRPr="008819AF" w:rsidRDefault="004C1DAF" w:rsidP="00E87844">
            <w:pPr>
              <w:jc w:val="center"/>
              <w:rPr>
                <w:rFonts w:eastAsia="Arial"/>
                <w:lang w:bidi="cs-CZ"/>
              </w:rPr>
            </w:pPr>
            <w:r w:rsidRPr="008819AF">
              <w:rPr>
                <w:rFonts w:eastAsia="Arial"/>
                <w:lang w:bidi="cs-CZ"/>
              </w:rPr>
              <w:t>NZ</w:t>
            </w:r>
          </w:p>
          <w:p w14:paraId="15132E1A" w14:textId="77777777" w:rsidR="004C1DAF" w:rsidRPr="008819AF" w:rsidRDefault="004C1DAF" w:rsidP="00E87844">
            <w:pPr>
              <w:jc w:val="center"/>
              <w:rPr>
                <w:rFonts w:eastAsia="Arial"/>
                <w:lang w:bidi="cs-CZ"/>
              </w:rPr>
            </w:pPr>
          </w:p>
          <w:p w14:paraId="15132E1B" w14:textId="77777777" w:rsidR="004C1DAF" w:rsidRPr="008819AF" w:rsidRDefault="004C1DAF" w:rsidP="00E87844">
            <w:pPr>
              <w:jc w:val="center"/>
              <w:rPr>
                <w:rFonts w:eastAsia="Arial"/>
                <w:lang w:bidi="cs-CZ"/>
              </w:rPr>
            </w:pPr>
          </w:p>
          <w:p w14:paraId="15132E1C" w14:textId="77777777" w:rsidR="004C1DAF" w:rsidRPr="008819AF" w:rsidRDefault="004C1DAF" w:rsidP="00E87844">
            <w:pPr>
              <w:jc w:val="center"/>
              <w:rPr>
                <w:rFonts w:eastAsia="Arial"/>
                <w:lang w:bidi="cs-CZ"/>
              </w:rPr>
            </w:pPr>
          </w:p>
          <w:p w14:paraId="15132E1D" w14:textId="77777777" w:rsidR="004C1DAF" w:rsidRPr="008819AF" w:rsidRDefault="004C1DAF" w:rsidP="00E87844">
            <w:pPr>
              <w:jc w:val="center"/>
              <w:rPr>
                <w:rFonts w:eastAsia="Arial"/>
                <w:lang w:bidi="cs-CZ"/>
              </w:rPr>
            </w:pPr>
          </w:p>
          <w:p w14:paraId="15132E1E" w14:textId="77777777" w:rsidR="004C1DAF" w:rsidRPr="008819AF" w:rsidRDefault="004C1DAF" w:rsidP="00E87844">
            <w:pPr>
              <w:jc w:val="center"/>
              <w:rPr>
                <w:rFonts w:eastAsia="Arial"/>
                <w:lang w:bidi="cs-CZ"/>
              </w:rPr>
            </w:pPr>
          </w:p>
          <w:p w14:paraId="15132E1F" w14:textId="77777777" w:rsidR="004C1DAF" w:rsidRPr="008819AF" w:rsidRDefault="004C1DAF" w:rsidP="00E87844">
            <w:pPr>
              <w:jc w:val="center"/>
              <w:rPr>
                <w:rFonts w:eastAsia="Arial"/>
                <w:lang w:bidi="cs-CZ"/>
              </w:rPr>
            </w:pPr>
          </w:p>
          <w:p w14:paraId="15132E20" w14:textId="77777777" w:rsidR="004C1DAF" w:rsidRPr="008819AF" w:rsidRDefault="004C1DAF" w:rsidP="00E87844">
            <w:pPr>
              <w:jc w:val="center"/>
              <w:rPr>
                <w:rFonts w:eastAsia="Arial"/>
                <w:lang w:bidi="cs-CZ"/>
              </w:rPr>
            </w:pPr>
          </w:p>
          <w:p w14:paraId="15132E21" w14:textId="77777777" w:rsidR="004C1DAF" w:rsidRPr="008819AF" w:rsidRDefault="004C1DAF" w:rsidP="00E87844">
            <w:pPr>
              <w:jc w:val="center"/>
              <w:rPr>
                <w:rFonts w:eastAsia="Arial"/>
                <w:lang w:bidi="cs-CZ"/>
              </w:rPr>
            </w:pPr>
          </w:p>
          <w:p w14:paraId="15132E22" w14:textId="77777777" w:rsidR="004C1DAF" w:rsidRPr="008819AF" w:rsidRDefault="004C1DAF" w:rsidP="00E87844">
            <w:pPr>
              <w:jc w:val="center"/>
              <w:rPr>
                <w:rFonts w:eastAsia="Arial"/>
                <w:lang w:bidi="cs-CZ"/>
              </w:rPr>
            </w:pPr>
          </w:p>
          <w:p w14:paraId="15132E23" w14:textId="77777777" w:rsidR="004C1DAF" w:rsidRPr="008819AF" w:rsidRDefault="004C1DAF" w:rsidP="00E87844">
            <w:pPr>
              <w:jc w:val="center"/>
              <w:rPr>
                <w:rFonts w:eastAsia="Arial"/>
                <w:lang w:bidi="cs-CZ"/>
              </w:rPr>
            </w:pPr>
          </w:p>
          <w:p w14:paraId="15132E24" w14:textId="77777777" w:rsidR="004C1DAF" w:rsidRPr="008819AF" w:rsidRDefault="004C1DAF" w:rsidP="00E87844">
            <w:pPr>
              <w:jc w:val="center"/>
              <w:rPr>
                <w:rFonts w:eastAsia="Arial"/>
                <w:lang w:bidi="cs-CZ"/>
              </w:rPr>
            </w:pPr>
          </w:p>
          <w:p w14:paraId="15132E25" w14:textId="77777777" w:rsidR="004C1DAF" w:rsidRPr="008819AF" w:rsidRDefault="004C1DAF" w:rsidP="00E87844">
            <w:pPr>
              <w:jc w:val="center"/>
              <w:rPr>
                <w:rFonts w:eastAsia="Arial"/>
                <w:lang w:bidi="cs-CZ"/>
              </w:rPr>
            </w:pPr>
          </w:p>
          <w:p w14:paraId="15132E26" w14:textId="77777777" w:rsidR="004C1DAF" w:rsidRPr="008819AF" w:rsidRDefault="004C1DAF" w:rsidP="00E87844">
            <w:pPr>
              <w:jc w:val="center"/>
              <w:rPr>
                <w:rFonts w:eastAsia="Arial"/>
                <w:lang w:bidi="cs-CZ"/>
              </w:rPr>
            </w:pPr>
          </w:p>
          <w:p w14:paraId="15132E27" w14:textId="77777777" w:rsidR="004C1DAF" w:rsidRPr="008819AF" w:rsidRDefault="004C1DAF" w:rsidP="00E87844">
            <w:pPr>
              <w:jc w:val="center"/>
              <w:rPr>
                <w:rFonts w:eastAsia="Arial"/>
                <w:lang w:bidi="cs-CZ"/>
              </w:rPr>
            </w:pPr>
          </w:p>
          <w:p w14:paraId="15132E28" w14:textId="77777777" w:rsidR="004C1DAF" w:rsidRPr="008819AF" w:rsidRDefault="004C1DAF" w:rsidP="00E87844">
            <w:pPr>
              <w:jc w:val="center"/>
              <w:rPr>
                <w:rFonts w:eastAsia="Arial"/>
                <w:lang w:bidi="cs-CZ"/>
              </w:rPr>
            </w:pPr>
          </w:p>
          <w:p w14:paraId="15132E29" w14:textId="77777777" w:rsidR="004C1DAF" w:rsidRPr="008819AF" w:rsidRDefault="004C1DAF" w:rsidP="00E87844">
            <w:pPr>
              <w:jc w:val="center"/>
              <w:rPr>
                <w:rFonts w:eastAsia="Arial"/>
                <w:lang w:bidi="cs-CZ"/>
              </w:rPr>
            </w:pPr>
          </w:p>
          <w:p w14:paraId="15132E2A" w14:textId="77777777" w:rsidR="004C1DAF" w:rsidRPr="008819AF" w:rsidRDefault="004C1DAF" w:rsidP="00E87844">
            <w:pPr>
              <w:jc w:val="center"/>
              <w:rPr>
                <w:rFonts w:eastAsia="Arial"/>
                <w:lang w:bidi="cs-CZ"/>
              </w:rPr>
            </w:pPr>
          </w:p>
          <w:p w14:paraId="15132E2B" w14:textId="77777777" w:rsidR="004C1DAF" w:rsidRPr="008819AF" w:rsidRDefault="004C1DAF" w:rsidP="00E87844">
            <w:pPr>
              <w:jc w:val="center"/>
              <w:rPr>
                <w:rFonts w:eastAsia="Arial"/>
                <w:lang w:bidi="cs-CZ"/>
              </w:rPr>
            </w:pPr>
          </w:p>
          <w:p w14:paraId="15132E2C" w14:textId="77777777" w:rsidR="00C572C2" w:rsidRPr="008819AF" w:rsidRDefault="00C572C2" w:rsidP="00E87844">
            <w:pPr>
              <w:jc w:val="center"/>
              <w:rPr>
                <w:rFonts w:eastAsia="Arial"/>
                <w:lang w:bidi="cs-CZ"/>
              </w:rPr>
            </w:pPr>
          </w:p>
          <w:p w14:paraId="15132E2D" w14:textId="77777777" w:rsidR="004C1DAF" w:rsidRPr="008819AF" w:rsidRDefault="004C1DAF" w:rsidP="00E87844">
            <w:pPr>
              <w:jc w:val="center"/>
              <w:rPr>
                <w:rFonts w:eastAsia="Arial"/>
                <w:lang w:bidi="cs-CZ"/>
              </w:rPr>
            </w:pPr>
          </w:p>
          <w:p w14:paraId="15132E2E" w14:textId="77777777" w:rsidR="004C1DAF" w:rsidRPr="008819AF" w:rsidRDefault="004C1DAF" w:rsidP="00E87844">
            <w:pPr>
              <w:jc w:val="center"/>
              <w:rPr>
                <w:rFonts w:eastAsia="Arial"/>
                <w:lang w:bidi="cs-CZ"/>
              </w:rPr>
            </w:pPr>
            <w:r w:rsidRPr="008819AF">
              <w:rPr>
                <w:rFonts w:eastAsia="Arial"/>
                <w:lang w:bidi="cs-CZ"/>
              </w:rPr>
              <w:t>NV1</w:t>
            </w:r>
          </w:p>
          <w:p w14:paraId="15132E2F" w14:textId="77777777" w:rsidR="004C1DAF" w:rsidRPr="008819AF" w:rsidRDefault="004C1DAF" w:rsidP="00E87844">
            <w:pPr>
              <w:jc w:val="center"/>
              <w:rPr>
                <w:rFonts w:eastAsia="Arial"/>
                <w:lang w:bidi="cs-CZ"/>
              </w:rPr>
            </w:pPr>
          </w:p>
          <w:p w14:paraId="15132E30" w14:textId="77777777" w:rsidR="004C1DAF" w:rsidRPr="008819AF" w:rsidRDefault="004C1DAF" w:rsidP="00E87844">
            <w:pPr>
              <w:jc w:val="center"/>
              <w:rPr>
                <w:rFonts w:eastAsia="Arial"/>
                <w:lang w:bidi="cs-CZ"/>
              </w:rPr>
            </w:pPr>
          </w:p>
          <w:p w14:paraId="15132E31" w14:textId="77777777" w:rsidR="004C1DAF" w:rsidRPr="008819AF" w:rsidRDefault="004C1DAF" w:rsidP="00E87844">
            <w:pPr>
              <w:jc w:val="center"/>
              <w:rPr>
                <w:rFonts w:eastAsia="Arial"/>
                <w:lang w:bidi="cs-CZ"/>
              </w:rPr>
            </w:pPr>
          </w:p>
          <w:p w14:paraId="15132E32" w14:textId="77777777" w:rsidR="004C1DAF" w:rsidRPr="008819AF" w:rsidRDefault="004C1DAF" w:rsidP="00E87844">
            <w:pPr>
              <w:jc w:val="center"/>
              <w:rPr>
                <w:rFonts w:eastAsia="Arial"/>
                <w:lang w:bidi="cs-CZ"/>
              </w:rPr>
            </w:pPr>
          </w:p>
          <w:p w14:paraId="15132E33" w14:textId="77777777" w:rsidR="004C1DAF" w:rsidRPr="008819AF" w:rsidRDefault="004C1DAF" w:rsidP="00E87844">
            <w:pPr>
              <w:jc w:val="center"/>
              <w:rPr>
                <w:rFonts w:eastAsia="Arial"/>
                <w:lang w:bidi="cs-CZ"/>
              </w:rPr>
            </w:pPr>
          </w:p>
          <w:p w14:paraId="15132E34" w14:textId="77777777" w:rsidR="004C1DAF" w:rsidRPr="008819AF" w:rsidRDefault="004C1DAF" w:rsidP="00E87844">
            <w:pPr>
              <w:jc w:val="center"/>
              <w:rPr>
                <w:rFonts w:eastAsia="Arial"/>
                <w:lang w:bidi="cs-CZ"/>
              </w:rPr>
            </w:pPr>
          </w:p>
          <w:p w14:paraId="15132E35" w14:textId="77777777" w:rsidR="004C1DAF" w:rsidRPr="008819AF" w:rsidRDefault="004C1DAF" w:rsidP="00E87844">
            <w:pPr>
              <w:jc w:val="center"/>
              <w:rPr>
                <w:rFonts w:eastAsia="Arial"/>
                <w:lang w:bidi="cs-CZ"/>
              </w:rPr>
            </w:pPr>
          </w:p>
          <w:p w14:paraId="15132E36" w14:textId="77777777" w:rsidR="004C1DAF" w:rsidRPr="008819AF" w:rsidRDefault="004C1DAF" w:rsidP="00E87844">
            <w:pPr>
              <w:jc w:val="center"/>
              <w:rPr>
                <w:rFonts w:eastAsia="Arial"/>
                <w:lang w:bidi="cs-CZ"/>
              </w:rPr>
            </w:pPr>
          </w:p>
          <w:p w14:paraId="15132E37" w14:textId="77777777" w:rsidR="004C1DAF" w:rsidRPr="008819AF" w:rsidRDefault="004C1DAF" w:rsidP="00E87844">
            <w:pPr>
              <w:jc w:val="center"/>
              <w:rPr>
                <w:rFonts w:eastAsia="Arial"/>
                <w:lang w:bidi="cs-CZ"/>
              </w:rPr>
            </w:pPr>
          </w:p>
          <w:p w14:paraId="15132E38" w14:textId="77777777" w:rsidR="004C1DAF" w:rsidRPr="008819AF" w:rsidRDefault="00C572C2" w:rsidP="00C572C2">
            <w:pPr>
              <w:jc w:val="center"/>
              <w:rPr>
                <w:rFonts w:eastAsia="Arial"/>
                <w:lang w:bidi="cs-CZ"/>
              </w:rPr>
            </w:pPr>
            <w:r w:rsidRPr="008819AF">
              <w:rPr>
                <w:rFonts w:eastAsia="Arial"/>
                <w:lang w:bidi="cs-CZ"/>
              </w:rPr>
              <w:t>NV1</w:t>
            </w:r>
          </w:p>
          <w:p w14:paraId="15132E39" w14:textId="77777777" w:rsidR="004C1DAF" w:rsidRPr="008819AF" w:rsidRDefault="004C1DAF" w:rsidP="00E87844">
            <w:pPr>
              <w:jc w:val="center"/>
              <w:rPr>
                <w:rFonts w:eastAsia="Arial"/>
                <w:lang w:bidi="cs-CZ"/>
              </w:rPr>
            </w:pPr>
          </w:p>
          <w:p w14:paraId="15132E3A" w14:textId="77777777" w:rsidR="004C1DAF" w:rsidRPr="008819AF" w:rsidRDefault="004C1DAF" w:rsidP="00E87844">
            <w:pPr>
              <w:jc w:val="center"/>
              <w:rPr>
                <w:rFonts w:eastAsia="Arial"/>
                <w:lang w:bidi="cs-CZ"/>
              </w:rPr>
            </w:pPr>
          </w:p>
          <w:p w14:paraId="15132E3B" w14:textId="77777777" w:rsidR="004C1DAF" w:rsidRPr="008819AF" w:rsidRDefault="004C1DAF" w:rsidP="00C572C2">
            <w:pPr>
              <w:jc w:val="center"/>
              <w:rPr>
                <w:rFonts w:eastAsia="Arial"/>
                <w:lang w:bidi="cs-CZ"/>
              </w:rPr>
            </w:pPr>
          </w:p>
        </w:tc>
        <w:tc>
          <w:tcPr>
            <w:tcW w:w="543" w:type="dxa"/>
            <w:tcBorders>
              <w:top w:val="single" w:sz="4" w:space="0" w:color="auto"/>
              <w:left w:val="single" w:sz="4" w:space="0" w:color="auto"/>
              <w:bottom w:val="single" w:sz="4" w:space="0" w:color="auto"/>
              <w:right w:val="single" w:sz="4" w:space="0" w:color="auto"/>
            </w:tcBorders>
          </w:tcPr>
          <w:p w14:paraId="15132E3C" w14:textId="77777777" w:rsidR="004C1DAF" w:rsidRPr="008819AF" w:rsidRDefault="004C1DAF" w:rsidP="00E87844">
            <w:pPr>
              <w:pStyle w:val="BodyText21"/>
              <w:spacing w:before="0" w:line="240" w:lineRule="auto"/>
              <w:jc w:val="center"/>
              <w:rPr>
                <w:rFonts w:ascii="Times New Roman" w:hAnsi="Times New Roman" w:cs="Times New Roman"/>
              </w:rPr>
            </w:pPr>
          </w:p>
          <w:p w14:paraId="15132E3D"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 34</w:t>
            </w:r>
          </w:p>
          <w:p w14:paraId="15132E3E"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O 3</w:t>
            </w:r>
          </w:p>
          <w:p w14:paraId="15132E3F"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P a)</w:t>
            </w:r>
          </w:p>
          <w:p w14:paraId="15132E40" w14:textId="77777777" w:rsidR="004C1DAF" w:rsidRPr="008819AF" w:rsidRDefault="004C1DAF" w:rsidP="00E87844">
            <w:pPr>
              <w:pStyle w:val="BodyText21"/>
              <w:spacing w:before="0" w:line="240" w:lineRule="auto"/>
              <w:jc w:val="center"/>
              <w:rPr>
                <w:rFonts w:ascii="Times New Roman" w:hAnsi="Times New Roman" w:cs="Times New Roman"/>
              </w:rPr>
            </w:pPr>
          </w:p>
          <w:p w14:paraId="15132E41" w14:textId="77777777" w:rsidR="004C1DAF" w:rsidRPr="008819AF" w:rsidRDefault="004C1DAF" w:rsidP="00E87844">
            <w:pPr>
              <w:pStyle w:val="BodyText21"/>
              <w:spacing w:before="0" w:line="240" w:lineRule="auto"/>
              <w:jc w:val="center"/>
              <w:rPr>
                <w:rFonts w:ascii="Times New Roman" w:hAnsi="Times New Roman" w:cs="Times New Roman"/>
              </w:rPr>
            </w:pPr>
          </w:p>
          <w:p w14:paraId="15132E42" w14:textId="77777777" w:rsidR="004C1DAF" w:rsidRPr="008819AF" w:rsidRDefault="004C1DAF" w:rsidP="00E87844">
            <w:pPr>
              <w:pStyle w:val="BodyText21"/>
              <w:spacing w:before="0" w:line="240" w:lineRule="auto"/>
              <w:jc w:val="center"/>
              <w:rPr>
                <w:rFonts w:ascii="Times New Roman" w:hAnsi="Times New Roman" w:cs="Times New Roman"/>
              </w:rPr>
            </w:pPr>
          </w:p>
          <w:p w14:paraId="15132E43" w14:textId="77777777" w:rsidR="004C1DAF" w:rsidRPr="008819AF" w:rsidRDefault="004C1DAF" w:rsidP="00E87844">
            <w:pPr>
              <w:pStyle w:val="BodyText21"/>
              <w:spacing w:before="0" w:line="240" w:lineRule="auto"/>
              <w:jc w:val="center"/>
              <w:rPr>
                <w:rFonts w:ascii="Times New Roman" w:hAnsi="Times New Roman" w:cs="Times New Roman"/>
              </w:rPr>
            </w:pPr>
          </w:p>
          <w:p w14:paraId="15132E44" w14:textId="77777777" w:rsidR="00C800E4" w:rsidRPr="008819AF" w:rsidRDefault="00C800E4" w:rsidP="00E87844">
            <w:pPr>
              <w:pStyle w:val="BodyText21"/>
              <w:spacing w:before="0" w:line="240" w:lineRule="auto"/>
              <w:jc w:val="center"/>
              <w:rPr>
                <w:rFonts w:ascii="Times New Roman" w:hAnsi="Times New Roman" w:cs="Times New Roman"/>
              </w:rPr>
            </w:pPr>
          </w:p>
          <w:p w14:paraId="15132E45" w14:textId="77777777" w:rsidR="00C800E4" w:rsidRPr="008819AF" w:rsidRDefault="00C800E4" w:rsidP="00E87844">
            <w:pPr>
              <w:pStyle w:val="BodyText21"/>
              <w:spacing w:before="0" w:line="240" w:lineRule="auto"/>
              <w:jc w:val="center"/>
              <w:rPr>
                <w:rFonts w:ascii="Times New Roman" w:hAnsi="Times New Roman" w:cs="Times New Roman"/>
              </w:rPr>
            </w:pPr>
          </w:p>
          <w:p w14:paraId="15132E46"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 62</w:t>
            </w:r>
          </w:p>
          <w:p w14:paraId="15132E47" w14:textId="77777777" w:rsidR="004C1DAF" w:rsidRPr="008819AF" w:rsidRDefault="004C1DAF" w:rsidP="00E87844">
            <w:pPr>
              <w:pStyle w:val="BodyText21"/>
              <w:spacing w:before="0" w:line="240" w:lineRule="auto"/>
              <w:jc w:val="center"/>
              <w:rPr>
                <w:rFonts w:ascii="Times New Roman" w:hAnsi="Times New Roman" w:cs="Times New Roman"/>
              </w:rPr>
            </w:pPr>
            <w:r w:rsidRPr="008819AF">
              <w:rPr>
                <w:rFonts w:ascii="Times New Roman" w:hAnsi="Times New Roman" w:cs="Times New Roman"/>
              </w:rPr>
              <w:t>P g)</w:t>
            </w:r>
          </w:p>
          <w:p w14:paraId="15132E48" w14:textId="77777777" w:rsidR="004C1DAF" w:rsidRPr="008819AF" w:rsidRDefault="004C1DAF" w:rsidP="00E87844">
            <w:pPr>
              <w:pStyle w:val="BodyText21"/>
              <w:spacing w:before="0" w:line="240" w:lineRule="auto"/>
              <w:jc w:val="center"/>
              <w:rPr>
                <w:rFonts w:ascii="Times New Roman" w:hAnsi="Times New Roman" w:cs="Times New Roman"/>
              </w:rPr>
            </w:pPr>
          </w:p>
          <w:p w14:paraId="15132E49" w14:textId="77777777" w:rsidR="004C1DAF" w:rsidRPr="008819AF" w:rsidRDefault="004C1DAF" w:rsidP="00E87844">
            <w:pPr>
              <w:pStyle w:val="BodyText21"/>
              <w:spacing w:before="0" w:line="240" w:lineRule="auto"/>
              <w:jc w:val="center"/>
              <w:rPr>
                <w:rFonts w:ascii="Times New Roman" w:hAnsi="Times New Roman" w:cs="Times New Roman"/>
              </w:rPr>
            </w:pPr>
          </w:p>
          <w:p w14:paraId="15132E4A" w14:textId="77777777" w:rsidR="004C1DAF" w:rsidRPr="008819AF" w:rsidRDefault="004C1DAF" w:rsidP="00E87844">
            <w:pPr>
              <w:pStyle w:val="BodyText21"/>
              <w:spacing w:before="0" w:line="240" w:lineRule="auto"/>
              <w:jc w:val="center"/>
              <w:rPr>
                <w:rFonts w:ascii="Times New Roman" w:hAnsi="Times New Roman" w:cs="Times New Roman"/>
              </w:rPr>
            </w:pPr>
          </w:p>
          <w:p w14:paraId="15132E4B" w14:textId="77777777" w:rsidR="004C1DAF" w:rsidRPr="008819AF" w:rsidRDefault="004C1DAF" w:rsidP="00E87844">
            <w:pPr>
              <w:pStyle w:val="BodyText21"/>
              <w:spacing w:before="0" w:line="240" w:lineRule="auto"/>
              <w:jc w:val="center"/>
              <w:rPr>
                <w:rFonts w:ascii="Times New Roman" w:hAnsi="Times New Roman" w:cs="Times New Roman"/>
              </w:rPr>
            </w:pPr>
          </w:p>
          <w:p w14:paraId="15132E4C" w14:textId="77777777" w:rsidR="004C1DAF" w:rsidRPr="008819AF" w:rsidRDefault="004C1DAF" w:rsidP="00E87844">
            <w:pPr>
              <w:pStyle w:val="BodyText21"/>
              <w:spacing w:before="0" w:line="240" w:lineRule="auto"/>
              <w:jc w:val="center"/>
              <w:rPr>
                <w:rFonts w:ascii="Times New Roman" w:hAnsi="Times New Roman" w:cs="Times New Roman"/>
              </w:rPr>
            </w:pPr>
          </w:p>
          <w:p w14:paraId="15132E4D" w14:textId="77777777" w:rsidR="004C1DAF" w:rsidRPr="008819AF" w:rsidRDefault="004C1DAF" w:rsidP="00E87844">
            <w:pPr>
              <w:pStyle w:val="BodyText21"/>
              <w:spacing w:before="0" w:line="240" w:lineRule="auto"/>
              <w:jc w:val="center"/>
              <w:rPr>
                <w:rFonts w:ascii="Times New Roman" w:hAnsi="Times New Roman" w:cs="Times New Roman"/>
              </w:rPr>
            </w:pPr>
          </w:p>
          <w:p w14:paraId="15132E4E" w14:textId="77777777" w:rsidR="004C1DAF" w:rsidRPr="008819AF" w:rsidRDefault="004C1DAF" w:rsidP="00E87844">
            <w:pPr>
              <w:pStyle w:val="BodyText21"/>
              <w:spacing w:before="0" w:line="240" w:lineRule="auto"/>
              <w:jc w:val="center"/>
              <w:rPr>
                <w:rFonts w:ascii="Times New Roman" w:hAnsi="Times New Roman" w:cs="Times New Roman"/>
              </w:rPr>
            </w:pPr>
          </w:p>
          <w:p w14:paraId="15132E4F" w14:textId="77777777" w:rsidR="004C1DAF" w:rsidRPr="008819AF" w:rsidRDefault="004C1DAF" w:rsidP="00E87844">
            <w:pPr>
              <w:pStyle w:val="BodyText21"/>
              <w:spacing w:before="0" w:line="240" w:lineRule="auto"/>
              <w:jc w:val="center"/>
              <w:rPr>
                <w:rFonts w:ascii="Times New Roman" w:hAnsi="Times New Roman" w:cs="Times New Roman"/>
              </w:rPr>
            </w:pPr>
          </w:p>
          <w:p w14:paraId="15132E50" w14:textId="77777777" w:rsidR="004C1DAF" w:rsidRPr="008819AF" w:rsidRDefault="004C1DAF" w:rsidP="00E87844">
            <w:pPr>
              <w:pStyle w:val="BodyText21"/>
              <w:spacing w:before="0" w:line="240" w:lineRule="auto"/>
              <w:jc w:val="center"/>
              <w:rPr>
                <w:rFonts w:ascii="Times New Roman" w:hAnsi="Times New Roman" w:cs="Times New Roman"/>
              </w:rPr>
            </w:pPr>
          </w:p>
          <w:p w14:paraId="15132E51"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52"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53"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54"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55" w14:textId="77777777" w:rsidR="00C800E4" w:rsidRPr="008819AF" w:rsidRDefault="00C800E4" w:rsidP="00E87844">
            <w:pPr>
              <w:pStyle w:val="BodyText21"/>
              <w:spacing w:before="0" w:line="240" w:lineRule="auto"/>
              <w:ind w:left="0" w:firstLine="0"/>
              <w:jc w:val="center"/>
              <w:rPr>
                <w:rFonts w:ascii="Times New Roman" w:hAnsi="Times New Roman" w:cs="Times New Roman"/>
              </w:rPr>
            </w:pPr>
          </w:p>
          <w:p w14:paraId="15132E56" w14:textId="77777777" w:rsidR="00C800E4" w:rsidRPr="008819AF" w:rsidRDefault="00C800E4" w:rsidP="00E87844">
            <w:pPr>
              <w:pStyle w:val="BodyText21"/>
              <w:spacing w:before="0" w:line="240" w:lineRule="auto"/>
              <w:ind w:left="0" w:firstLine="0"/>
              <w:jc w:val="center"/>
              <w:rPr>
                <w:rFonts w:ascii="Times New Roman" w:hAnsi="Times New Roman" w:cs="Times New Roman"/>
              </w:rPr>
            </w:pPr>
          </w:p>
          <w:p w14:paraId="15132E57" w14:textId="77777777" w:rsidR="00C800E4" w:rsidRPr="008819AF" w:rsidRDefault="00C800E4" w:rsidP="00E87844">
            <w:pPr>
              <w:pStyle w:val="BodyText21"/>
              <w:spacing w:before="0" w:line="240" w:lineRule="auto"/>
              <w:ind w:left="0" w:firstLine="0"/>
              <w:jc w:val="center"/>
              <w:rPr>
                <w:rFonts w:ascii="Times New Roman" w:hAnsi="Times New Roman" w:cs="Times New Roman"/>
              </w:rPr>
            </w:pPr>
          </w:p>
          <w:p w14:paraId="15132E58" w14:textId="77777777" w:rsidR="00C800E4" w:rsidRPr="008819AF" w:rsidRDefault="00C800E4" w:rsidP="00E87844">
            <w:pPr>
              <w:pStyle w:val="BodyText21"/>
              <w:spacing w:before="0" w:line="240" w:lineRule="auto"/>
              <w:ind w:left="0" w:firstLine="0"/>
              <w:jc w:val="center"/>
              <w:rPr>
                <w:rFonts w:ascii="Times New Roman" w:hAnsi="Times New Roman" w:cs="Times New Roman"/>
              </w:rPr>
            </w:pPr>
          </w:p>
          <w:p w14:paraId="15132E59" w14:textId="77777777" w:rsidR="00FA4AE4" w:rsidRPr="008819AF" w:rsidRDefault="00FA4AE4" w:rsidP="00E87844">
            <w:pPr>
              <w:pStyle w:val="BodyText21"/>
              <w:spacing w:before="0" w:line="240" w:lineRule="auto"/>
              <w:ind w:left="0" w:firstLine="0"/>
              <w:jc w:val="center"/>
              <w:rPr>
                <w:rFonts w:ascii="Times New Roman" w:hAnsi="Times New Roman" w:cs="Times New Roman"/>
              </w:rPr>
            </w:pPr>
          </w:p>
          <w:p w14:paraId="15132E5A" w14:textId="77777777" w:rsidR="00C572C2" w:rsidRPr="008819AF" w:rsidRDefault="00C572C2" w:rsidP="00E87844">
            <w:pPr>
              <w:pStyle w:val="BodyText21"/>
              <w:spacing w:before="0" w:line="240" w:lineRule="auto"/>
              <w:ind w:left="0" w:firstLine="0"/>
              <w:jc w:val="center"/>
              <w:rPr>
                <w:rFonts w:ascii="Times New Roman" w:hAnsi="Times New Roman" w:cs="Times New Roman"/>
              </w:rPr>
            </w:pPr>
          </w:p>
          <w:p w14:paraId="15132E5B"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§11</w:t>
            </w:r>
          </w:p>
          <w:p w14:paraId="15132E5C"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O3</w:t>
            </w:r>
          </w:p>
          <w:p w14:paraId="15132E5D"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5E"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5F"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60"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61"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62"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63"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64" w14:textId="77777777" w:rsidR="00E87844" w:rsidRPr="008819AF" w:rsidRDefault="00E87844" w:rsidP="00E87844">
            <w:pPr>
              <w:pStyle w:val="BodyText21"/>
              <w:spacing w:before="0" w:line="240" w:lineRule="auto"/>
              <w:ind w:left="0" w:firstLine="0"/>
              <w:jc w:val="center"/>
              <w:rPr>
                <w:rFonts w:ascii="Times New Roman" w:hAnsi="Times New Roman" w:cs="Times New Roman"/>
              </w:rPr>
            </w:pPr>
          </w:p>
          <w:p w14:paraId="15132E65" w14:textId="77777777" w:rsidR="00E87844" w:rsidRPr="008819AF" w:rsidRDefault="00C572C2"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§15</w:t>
            </w:r>
          </w:p>
          <w:p w14:paraId="15132E66" w14:textId="77777777" w:rsidR="00C572C2" w:rsidRPr="008819AF" w:rsidRDefault="00C572C2"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O1</w:t>
            </w:r>
          </w:p>
          <w:p w14:paraId="15132E67" w14:textId="77777777" w:rsidR="00C572C2" w:rsidRPr="008819AF" w:rsidRDefault="00C572C2"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O2</w:t>
            </w:r>
          </w:p>
          <w:p w14:paraId="15132E68" w14:textId="77777777" w:rsidR="00C572C2" w:rsidRPr="008819AF" w:rsidRDefault="00C572C2"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O3</w:t>
            </w:r>
          </w:p>
          <w:p w14:paraId="15132E69"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6A"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6B"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6C"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6D"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6E"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2E6F" w14:textId="77777777" w:rsidR="004C1DAF" w:rsidRPr="008819AF" w:rsidRDefault="004C1DAF" w:rsidP="00C572C2">
            <w:pPr>
              <w:pStyle w:val="Normlny0"/>
              <w:jc w:val="center"/>
            </w:pPr>
          </w:p>
        </w:tc>
        <w:tc>
          <w:tcPr>
            <w:tcW w:w="5664" w:type="dxa"/>
            <w:gridSpan w:val="5"/>
            <w:tcBorders>
              <w:top w:val="single" w:sz="4" w:space="0" w:color="auto"/>
              <w:left w:val="single" w:sz="4" w:space="0" w:color="auto"/>
              <w:bottom w:val="single" w:sz="4" w:space="0" w:color="auto"/>
              <w:right w:val="single" w:sz="4" w:space="0" w:color="auto"/>
            </w:tcBorders>
          </w:tcPr>
          <w:p w14:paraId="15132E70" w14:textId="77777777" w:rsidR="004C1DAF" w:rsidRPr="008819AF" w:rsidRDefault="004C1DAF" w:rsidP="004C1DAF">
            <w:pPr>
              <w:ind w:left="215" w:hanging="215"/>
              <w:rPr>
                <w:rFonts w:eastAsia="Arial"/>
                <w:lang w:bidi="cs-CZ"/>
              </w:rPr>
            </w:pPr>
          </w:p>
          <w:p w14:paraId="15132E71" w14:textId="77777777" w:rsidR="004C1DAF" w:rsidRPr="008819AF" w:rsidRDefault="004C1DAF" w:rsidP="004C1DAF">
            <w:pPr>
              <w:pStyle w:val="Txmn"/>
              <w:numPr>
                <w:ilvl w:val="0"/>
                <w:numId w:val="0"/>
              </w:numPr>
              <w:tabs>
                <w:tab w:val="clear" w:pos="360"/>
              </w:tabs>
              <w:jc w:val="left"/>
              <w:rPr>
                <w:rFonts w:ascii="Times New Roman" w:hAnsi="Times New Roman" w:cs="Times New Roman"/>
                <w:sz w:val="20"/>
                <w:szCs w:val="20"/>
              </w:rPr>
            </w:pPr>
            <w:r w:rsidRPr="008819AF">
              <w:rPr>
                <w:rFonts w:ascii="Times New Roman" w:hAnsi="Times New Roman" w:cs="Times New Roman"/>
                <w:sz w:val="20"/>
                <w:szCs w:val="20"/>
              </w:rPr>
              <w:t>Prevádzkovateľ veľkého zdroja a prevádzkovateľ stredného zdroja vo veciach monitorovania a preukazovania dodržiavania prípustnej miery znečisťovania ovzdušia je povinný</w:t>
            </w:r>
          </w:p>
          <w:p w14:paraId="15132E72" w14:textId="77777777" w:rsidR="004C1DAF" w:rsidRPr="008819AF" w:rsidRDefault="00C800E4" w:rsidP="004C1DAF">
            <w:r w:rsidRPr="008819AF">
              <w:t xml:space="preserve">a) </w:t>
            </w:r>
            <w:r w:rsidR="004C1DAF" w:rsidRPr="008819AF">
              <w:t xml:space="preserve">monitorovať </w:t>
            </w:r>
            <w:r w:rsidRPr="008819AF">
              <w:t xml:space="preserve">vybrané znečisťujúce látky </w:t>
            </w:r>
            <w:r w:rsidR="004C1DAF" w:rsidRPr="008819AF">
              <w:t>a preukazovať dodržiavanie emisných limitov, technických požiadaviek a podmienok prevádzkovania podľa § 22 v súlade s požiadavkami určenými v povolení, spôsobom a v lehotách ustanovených vykonávacím predpisom podľa § 62 písm. g);</w:t>
            </w:r>
          </w:p>
          <w:p w14:paraId="15132E73" w14:textId="77777777" w:rsidR="00C800E4" w:rsidRPr="008819AF" w:rsidRDefault="00C800E4" w:rsidP="004C1DAF">
            <w:pPr>
              <w:rPr>
                <w:rFonts w:eastAsia="a*i*l"/>
              </w:rPr>
            </w:pPr>
          </w:p>
          <w:p w14:paraId="15132E74" w14:textId="77777777" w:rsidR="004C1DAF" w:rsidRPr="008819AF" w:rsidRDefault="004C1DAF" w:rsidP="004C1DAF">
            <w:pPr>
              <w:rPr>
                <w:rFonts w:eastAsia="a*i*l"/>
              </w:rPr>
            </w:pPr>
            <w:r w:rsidRPr="008819AF">
              <w:rPr>
                <w:rFonts w:eastAsia="a*i*l"/>
              </w:rPr>
              <w:t>Všeobecne záväzný právny predpis, ktorý vydá ministerstvo, ustanoví</w:t>
            </w:r>
          </w:p>
          <w:p w14:paraId="15132E75" w14:textId="77777777" w:rsidR="004C1DAF" w:rsidRPr="008819AF" w:rsidRDefault="00C800E4" w:rsidP="004C1DAF">
            <w:pPr>
              <w:pStyle w:val="Textpsmene"/>
              <w:ind w:left="0" w:firstLine="0"/>
              <w:jc w:val="left"/>
              <w:rPr>
                <w:rFonts w:ascii="Times New Roman" w:hAnsi="Times New Roman" w:cs="Times New Roman"/>
                <w:sz w:val="20"/>
                <w:szCs w:val="20"/>
              </w:rPr>
            </w:pPr>
            <w:r w:rsidRPr="008819AF">
              <w:rPr>
                <w:rFonts w:ascii="Times New Roman" w:hAnsi="Times New Roman" w:cs="Times New Roman"/>
                <w:sz w:val="20"/>
                <w:szCs w:val="20"/>
              </w:rPr>
              <w:t>g)</w:t>
            </w:r>
            <w:r w:rsidRPr="008819AF">
              <w:rPr>
                <w:rFonts w:ascii="Times New Roman" w:hAnsi="Times New Roman" w:cs="Times New Roman"/>
                <w:sz w:val="20"/>
                <w:szCs w:val="20"/>
              </w:rPr>
              <w:tab/>
              <w:t xml:space="preserve">požiadavky na monitorovanie emisií zo stacionárnych zdrojov a </w:t>
            </w:r>
            <w:r w:rsidRPr="008819AF">
              <w:rPr>
                <w:rFonts w:ascii="Times New Roman" w:hAnsi="Times New Roman" w:cs="Times New Roman"/>
                <w:sz w:val="20"/>
                <w:szCs w:val="20"/>
              </w:rPr>
              <w:lastRenderedPageBreak/>
              <w:t>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p w14:paraId="15132E76" w14:textId="77777777" w:rsidR="004C1DAF" w:rsidRPr="008819AF" w:rsidRDefault="004C1DAF" w:rsidP="004C1DAF">
            <w:pPr>
              <w:pStyle w:val="Textpsmene"/>
              <w:ind w:left="0" w:firstLine="0"/>
              <w:jc w:val="left"/>
              <w:rPr>
                <w:rFonts w:ascii="Times New Roman" w:hAnsi="Times New Roman" w:cs="Times New Roman"/>
                <w:sz w:val="20"/>
                <w:szCs w:val="20"/>
              </w:rPr>
            </w:pPr>
          </w:p>
          <w:p w14:paraId="15132E77" w14:textId="77777777" w:rsidR="004C1DAF" w:rsidRPr="008819AF" w:rsidRDefault="004C1DAF" w:rsidP="004C1DAF">
            <w:pPr>
              <w:pStyle w:val="Textpsmene"/>
              <w:rPr>
                <w:rFonts w:ascii="Times New Roman" w:hAnsi="Times New Roman" w:cs="Times New Roman"/>
                <w:sz w:val="20"/>
                <w:szCs w:val="20"/>
              </w:rPr>
            </w:pPr>
            <w:r w:rsidRPr="008819AF">
              <w:rPr>
                <w:rFonts w:ascii="Times New Roman" w:hAnsi="Times New Roman" w:cs="Times New Roman"/>
                <w:sz w:val="20"/>
                <w:szCs w:val="20"/>
              </w:rPr>
              <w:t>(3)</w:t>
            </w:r>
            <w:r w:rsidRPr="008819AF">
              <w:rPr>
                <w:rFonts w:ascii="Times New Roman" w:hAnsi="Times New Roman" w:cs="Times New Roman"/>
                <w:sz w:val="20"/>
                <w:szCs w:val="20"/>
              </w:rPr>
              <w:tab/>
              <w:t>Ak ide o výrobu oxidu titaničitého, kontinuálnym meraním sa údaje o dodržaní určeného emisného limitu a množstvo emisie zisťujú najmenej vo výduchoch s hmotnostným tokom podľa odseku 1 pre</w:t>
            </w:r>
          </w:p>
          <w:p w14:paraId="15132E78" w14:textId="77777777" w:rsidR="004C1DAF" w:rsidRPr="008819AF" w:rsidRDefault="004C1DAF" w:rsidP="004C1DAF">
            <w:pPr>
              <w:pStyle w:val="Textpsmene"/>
              <w:rPr>
                <w:rFonts w:ascii="Times New Roman" w:hAnsi="Times New Roman" w:cs="Times New Roman"/>
                <w:sz w:val="20"/>
                <w:szCs w:val="20"/>
              </w:rPr>
            </w:pPr>
            <w:r w:rsidRPr="008819AF">
              <w:rPr>
                <w:rFonts w:ascii="Times New Roman" w:hAnsi="Times New Roman" w:cs="Times New Roman"/>
                <w:sz w:val="20"/>
                <w:szCs w:val="20"/>
              </w:rPr>
              <w:t>a)</w:t>
            </w:r>
            <w:r w:rsidRPr="008819AF">
              <w:rPr>
                <w:rFonts w:ascii="Times New Roman" w:hAnsi="Times New Roman" w:cs="Times New Roman"/>
                <w:sz w:val="20"/>
                <w:szCs w:val="20"/>
              </w:rPr>
              <w:tab/>
              <w:t>plynný oxid siričitý a oxid sírový vyjadrené ako oxid siričitý vo výduchoch zo zariadení na rozklad, kalcináciu a zahusťovanie odpadovej kyseliny sírovej pri sulfátovom procese výroby,</w:t>
            </w:r>
          </w:p>
          <w:p w14:paraId="15132E79" w14:textId="77777777" w:rsidR="004C1DAF" w:rsidRPr="008819AF" w:rsidRDefault="004C1DAF" w:rsidP="004C1DAF">
            <w:pPr>
              <w:pStyle w:val="Textpsmene"/>
              <w:rPr>
                <w:rFonts w:ascii="Times New Roman" w:hAnsi="Times New Roman" w:cs="Times New Roman"/>
                <w:sz w:val="20"/>
                <w:szCs w:val="20"/>
              </w:rPr>
            </w:pPr>
            <w:r w:rsidRPr="008819AF">
              <w:rPr>
                <w:rFonts w:ascii="Times New Roman" w:hAnsi="Times New Roman" w:cs="Times New Roman"/>
                <w:sz w:val="20"/>
                <w:szCs w:val="20"/>
              </w:rPr>
              <w:t>b)</w:t>
            </w:r>
            <w:r w:rsidRPr="008819AF">
              <w:rPr>
                <w:rFonts w:ascii="Times New Roman" w:hAnsi="Times New Roman" w:cs="Times New Roman"/>
                <w:sz w:val="20"/>
                <w:szCs w:val="20"/>
              </w:rPr>
              <w:tab/>
              <w:t>chlór pri použití chlórového procesu,</w:t>
            </w:r>
          </w:p>
          <w:p w14:paraId="15132E7A" w14:textId="77777777" w:rsidR="004C1DAF" w:rsidRPr="008819AF" w:rsidRDefault="004C1DAF" w:rsidP="004C1DAF">
            <w:pPr>
              <w:pStyle w:val="Textpsmene"/>
              <w:ind w:left="0" w:firstLine="0"/>
              <w:jc w:val="left"/>
              <w:rPr>
                <w:rFonts w:ascii="Times New Roman" w:hAnsi="Times New Roman" w:cs="Times New Roman"/>
                <w:sz w:val="20"/>
                <w:szCs w:val="20"/>
              </w:rPr>
            </w:pPr>
            <w:r w:rsidRPr="008819AF">
              <w:rPr>
                <w:rFonts w:ascii="Times New Roman" w:hAnsi="Times New Roman" w:cs="Times New Roman"/>
                <w:sz w:val="20"/>
                <w:szCs w:val="20"/>
              </w:rPr>
              <w:t>c)</w:t>
            </w:r>
            <w:r w:rsidRPr="008819AF">
              <w:rPr>
                <w:rFonts w:ascii="Times New Roman" w:hAnsi="Times New Roman" w:cs="Times New Roman"/>
                <w:sz w:val="20"/>
                <w:szCs w:val="20"/>
              </w:rPr>
              <w:tab/>
              <w:t>tuhé znečisťujúce látky.</w:t>
            </w:r>
          </w:p>
          <w:p w14:paraId="15132E7B" w14:textId="77777777" w:rsidR="004C1DAF" w:rsidRPr="008819AF" w:rsidRDefault="004C1DAF" w:rsidP="004C1DAF">
            <w:pPr>
              <w:pStyle w:val="Textpsmene"/>
              <w:ind w:left="0" w:firstLine="0"/>
              <w:jc w:val="left"/>
              <w:rPr>
                <w:rFonts w:ascii="Times New Roman" w:hAnsi="Times New Roman" w:cs="Times New Roman"/>
                <w:sz w:val="20"/>
                <w:szCs w:val="20"/>
              </w:rPr>
            </w:pPr>
          </w:p>
          <w:p w14:paraId="15132E7C" w14:textId="77777777" w:rsidR="004C1DAF" w:rsidRPr="008819AF" w:rsidRDefault="004C1DAF" w:rsidP="004C1DAF">
            <w:pPr>
              <w:keepNext/>
              <w:rPr>
                <w:rFonts w:eastAsia="a*i*l"/>
              </w:rPr>
            </w:pPr>
            <w:r w:rsidRPr="008819AF">
              <w:rPr>
                <w:rFonts w:eastAsia="Arial"/>
              </w:rPr>
              <w:t>(1)</w:t>
            </w:r>
            <w:r w:rsidRPr="008819AF">
              <w:rPr>
                <w:rFonts w:eastAsia="a*i*l"/>
              </w:rPr>
              <w:tab/>
              <w:t xml:space="preserve">Metódy a metodiky monitorovania podľa § 2 až 14 musia umožňovať zistenie spoľahlivých, reprezentatívnych, porovnateľných a vedecky odôvodnených hodnôt v súlade so súčasným stavom vedeckého poznania a techniky. </w:t>
            </w:r>
          </w:p>
          <w:p w14:paraId="15132E7D" w14:textId="77777777" w:rsidR="004C1DAF" w:rsidRPr="008819AF" w:rsidRDefault="004C1DAF" w:rsidP="004C1DAF">
            <w:pPr>
              <w:keepNext/>
              <w:rPr>
                <w:rFonts w:eastAsia="a*i*l"/>
              </w:rPr>
            </w:pPr>
            <w:r w:rsidRPr="008819AF">
              <w:rPr>
                <w:rFonts w:eastAsia="a*i*l"/>
              </w:rPr>
              <w:t>(2)</w:t>
            </w:r>
            <w:r w:rsidRPr="008819AF">
              <w:rPr>
                <w:rFonts w:eastAsia="a*i*l"/>
              </w:rPr>
              <w:tab/>
              <w:t>Predpokladá sa, že požiadavky podľa odseku 1 spĺňajú metódy, ktoré sú v súlade s harmonizovanými technickými normami. )</w:t>
            </w:r>
          </w:p>
          <w:p w14:paraId="15132E7E" w14:textId="77777777" w:rsidR="00E87844" w:rsidRPr="008819AF" w:rsidRDefault="004C1DAF" w:rsidP="00E87844">
            <w:pPr>
              <w:keepNext/>
              <w:rPr>
                <w:rFonts w:eastAsia="a*i*l"/>
              </w:rPr>
            </w:pPr>
            <w:r w:rsidRPr="008819AF">
              <w:rPr>
                <w:rFonts w:eastAsia="a*i*l"/>
              </w:rPr>
              <w:t>(3)</w:t>
            </w:r>
            <w:r w:rsidRPr="008819AF">
              <w:rPr>
                <w:rFonts w:eastAsia="a*i*l"/>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w:t>
            </w:r>
            <w:r w:rsidR="00C572C2" w:rsidRPr="008819AF">
              <w:rPr>
                <w:rFonts w:eastAsia="a*i*l"/>
              </w:rPr>
              <w:t>daje rovnakej odbornej kvality.</w:t>
            </w:r>
          </w:p>
          <w:p w14:paraId="15132E7F" w14:textId="77777777" w:rsidR="004C1DAF" w:rsidRPr="008819AF" w:rsidRDefault="004C1DAF" w:rsidP="004C1DAF">
            <w:pPr>
              <w:pStyle w:val="Textpsmene"/>
              <w:ind w:left="72" w:firstLine="0"/>
              <w:jc w:val="left"/>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tcPr>
          <w:p w14:paraId="15132E80" w14:textId="77777777" w:rsidR="004C1DAF" w:rsidRPr="008819AF" w:rsidRDefault="004C1DAF" w:rsidP="004C1DAF">
            <w:pPr>
              <w:ind w:left="215" w:hanging="215"/>
              <w:rPr>
                <w:rFonts w:eastAsia="Arial"/>
                <w:lang w:bidi="cs-CZ"/>
              </w:rPr>
            </w:pPr>
          </w:p>
          <w:p w14:paraId="15132E81" w14:textId="77777777" w:rsidR="004C1DAF" w:rsidRPr="008819AF" w:rsidRDefault="004C1DAF" w:rsidP="004C1DAF">
            <w:pPr>
              <w:ind w:left="215" w:hanging="215"/>
              <w:rPr>
                <w:rFonts w:eastAsia="Arial"/>
                <w:lang w:bidi="cs-CZ"/>
              </w:rPr>
            </w:pPr>
            <w:r w:rsidRPr="008819AF">
              <w:rPr>
                <w:rFonts w:eastAsia="Arial"/>
                <w:lang w:bidi="cs-CZ"/>
              </w:rPr>
              <w:t>Ú</w:t>
            </w:r>
          </w:p>
          <w:p w14:paraId="15132E82" w14:textId="77777777" w:rsidR="004C1DAF" w:rsidRPr="008819AF" w:rsidRDefault="004C1DAF" w:rsidP="004C1DAF">
            <w:pPr>
              <w:ind w:left="215" w:hanging="215"/>
              <w:rPr>
                <w:rFonts w:eastAsia="Arial"/>
                <w:lang w:bidi="cs-CZ"/>
              </w:rPr>
            </w:pPr>
          </w:p>
          <w:p w14:paraId="15132E83" w14:textId="77777777" w:rsidR="004C1DAF" w:rsidRPr="008819AF" w:rsidRDefault="004C1DAF" w:rsidP="004C1DAF">
            <w:pPr>
              <w:ind w:left="215" w:hanging="215"/>
              <w:rPr>
                <w:rFonts w:eastAsia="Arial"/>
                <w:lang w:bidi="cs-CZ"/>
              </w:rPr>
            </w:pPr>
          </w:p>
          <w:p w14:paraId="15132E84" w14:textId="77777777" w:rsidR="004C1DAF" w:rsidRPr="008819AF" w:rsidRDefault="004C1DAF" w:rsidP="004C1DAF">
            <w:pPr>
              <w:ind w:left="215" w:hanging="215"/>
              <w:rPr>
                <w:rFonts w:eastAsia="Arial"/>
                <w:lang w:bidi="cs-CZ"/>
              </w:rPr>
            </w:pPr>
          </w:p>
          <w:p w14:paraId="15132E85" w14:textId="77777777" w:rsidR="004C1DAF" w:rsidRPr="008819AF" w:rsidRDefault="004C1DAF" w:rsidP="004C1DAF">
            <w:pPr>
              <w:ind w:left="215" w:hanging="215"/>
              <w:rPr>
                <w:rFonts w:eastAsia="Arial"/>
                <w:lang w:bidi="cs-CZ"/>
              </w:rPr>
            </w:pPr>
          </w:p>
          <w:p w14:paraId="15132E86" w14:textId="77777777" w:rsidR="004C1DAF" w:rsidRPr="008819AF" w:rsidRDefault="004C1DAF" w:rsidP="004C1DAF">
            <w:pPr>
              <w:ind w:left="215" w:hanging="215"/>
              <w:rPr>
                <w:rFonts w:eastAsia="Arial"/>
                <w:lang w:bidi="cs-CZ"/>
              </w:rPr>
            </w:pPr>
          </w:p>
          <w:p w14:paraId="15132E87" w14:textId="77777777" w:rsidR="004C1DAF" w:rsidRPr="008819AF" w:rsidRDefault="004C1DAF" w:rsidP="004C1DAF">
            <w:pPr>
              <w:ind w:left="215" w:hanging="215"/>
              <w:rPr>
                <w:rFonts w:eastAsia="Arial"/>
                <w:lang w:bidi="cs-CZ"/>
              </w:rPr>
            </w:pPr>
          </w:p>
          <w:p w14:paraId="15132E88" w14:textId="77777777" w:rsidR="00C800E4" w:rsidRPr="008819AF" w:rsidRDefault="00C800E4" w:rsidP="004C1DAF">
            <w:pPr>
              <w:ind w:left="215" w:hanging="215"/>
              <w:rPr>
                <w:rFonts w:eastAsia="Arial"/>
                <w:lang w:bidi="cs-CZ"/>
              </w:rPr>
            </w:pPr>
          </w:p>
          <w:p w14:paraId="15132E89" w14:textId="77777777" w:rsidR="004C1DAF" w:rsidRPr="008819AF" w:rsidRDefault="004C1DAF" w:rsidP="004C1DAF">
            <w:pPr>
              <w:ind w:left="215" w:hanging="215"/>
              <w:rPr>
                <w:rFonts w:eastAsia="Arial"/>
                <w:lang w:bidi="cs-CZ"/>
              </w:rPr>
            </w:pPr>
          </w:p>
          <w:p w14:paraId="15132E8A" w14:textId="77777777" w:rsidR="004C1DAF" w:rsidRPr="008819AF" w:rsidRDefault="004C1DAF" w:rsidP="004C1DAF">
            <w:pPr>
              <w:ind w:left="215" w:hanging="215"/>
              <w:rPr>
                <w:rFonts w:eastAsia="Arial"/>
                <w:lang w:bidi="cs-CZ"/>
              </w:rPr>
            </w:pPr>
            <w:r w:rsidRPr="008819AF">
              <w:rPr>
                <w:rFonts w:eastAsia="Arial"/>
                <w:lang w:bidi="cs-CZ"/>
              </w:rPr>
              <w:t>Ú</w:t>
            </w:r>
          </w:p>
        </w:tc>
        <w:tc>
          <w:tcPr>
            <w:tcW w:w="821" w:type="dxa"/>
            <w:gridSpan w:val="3"/>
            <w:tcBorders>
              <w:top w:val="single" w:sz="4" w:space="0" w:color="auto"/>
              <w:left w:val="single" w:sz="4" w:space="0" w:color="auto"/>
              <w:bottom w:val="single" w:sz="4" w:space="0" w:color="auto"/>
              <w:right w:val="single" w:sz="4" w:space="0" w:color="auto"/>
            </w:tcBorders>
          </w:tcPr>
          <w:p w14:paraId="15132E8B" w14:textId="77777777" w:rsidR="004C1DAF" w:rsidRPr="008819AF" w:rsidRDefault="004C1DAF" w:rsidP="004C1DAF">
            <w:pPr>
              <w:ind w:left="215" w:hanging="215"/>
              <w:rPr>
                <w:rFonts w:eastAsia="Arial"/>
              </w:rPr>
            </w:pPr>
          </w:p>
          <w:p w14:paraId="15132E8C" w14:textId="77777777" w:rsidR="004C1DAF" w:rsidRPr="008819AF" w:rsidRDefault="004C1DAF" w:rsidP="004C1DAF">
            <w:pPr>
              <w:ind w:left="215" w:hanging="215"/>
              <w:rPr>
                <w:rFonts w:eastAsia="Arial"/>
              </w:rPr>
            </w:pPr>
          </w:p>
          <w:p w14:paraId="15132E8D" w14:textId="77777777" w:rsidR="004C1DAF" w:rsidRPr="008819AF" w:rsidRDefault="004C1DAF" w:rsidP="004C1DAF">
            <w:pPr>
              <w:ind w:left="215" w:hanging="215"/>
              <w:rPr>
                <w:rFonts w:eastAsia="Arial"/>
              </w:rPr>
            </w:pPr>
          </w:p>
          <w:p w14:paraId="15132E8E" w14:textId="77777777" w:rsidR="004C1DAF" w:rsidRPr="008819AF" w:rsidRDefault="004C1DAF" w:rsidP="004C1DAF">
            <w:pPr>
              <w:ind w:left="215" w:hanging="215"/>
              <w:rPr>
                <w:rFonts w:eastAsia="Arial"/>
              </w:rPr>
            </w:pPr>
          </w:p>
          <w:p w14:paraId="15132E8F" w14:textId="77777777" w:rsidR="004C1DAF" w:rsidRPr="008819AF" w:rsidRDefault="004C1DAF" w:rsidP="004C1DAF">
            <w:pPr>
              <w:ind w:left="215" w:hanging="215"/>
              <w:rPr>
                <w:rFonts w:eastAsia="Arial"/>
              </w:rPr>
            </w:pPr>
          </w:p>
          <w:p w14:paraId="15132E90" w14:textId="77777777" w:rsidR="004C1DAF" w:rsidRPr="008819AF" w:rsidRDefault="004C1DAF" w:rsidP="004C1DAF">
            <w:pPr>
              <w:ind w:left="215" w:hanging="215"/>
              <w:rPr>
                <w:rFonts w:eastAsia="Arial"/>
              </w:rPr>
            </w:pPr>
          </w:p>
          <w:p w14:paraId="15132E91" w14:textId="77777777" w:rsidR="004C1DAF" w:rsidRPr="008819AF" w:rsidRDefault="004C1DAF" w:rsidP="004C1DAF">
            <w:pPr>
              <w:ind w:left="215" w:hanging="215"/>
              <w:rPr>
                <w:rFonts w:eastAsia="Arial"/>
              </w:rPr>
            </w:pPr>
          </w:p>
          <w:p w14:paraId="15132E92" w14:textId="77777777" w:rsidR="004C1DAF" w:rsidRPr="008819AF" w:rsidRDefault="004C1DAF" w:rsidP="004C1DAF">
            <w:pPr>
              <w:ind w:left="215" w:hanging="215"/>
              <w:rPr>
                <w:rFonts w:eastAsia="Arial"/>
              </w:rPr>
            </w:pPr>
          </w:p>
          <w:p w14:paraId="15132E93" w14:textId="77777777" w:rsidR="004C1DAF" w:rsidRPr="008819AF" w:rsidRDefault="004C1DAF" w:rsidP="004C1DAF">
            <w:pPr>
              <w:ind w:left="215" w:hanging="215"/>
              <w:rPr>
                <w:rFonts w:eastAsia="Arial"/>
              </w:rPr>
            </w:pPr>
          </w:p>
          <w:p w14:paraId="15132E94" w14:textId="77777777" w:rsidR="004C1DAF" w:rsidRPr="008819AF" w:rsidRDefault="004C1DAF" w:rsidP="004C1DAF">
            <w:pPr>
              <w:ind w:left="215" w:hanging="215"/>
              <w:rPr>
                <w:rFonts w:eastAsia="Arial"/>
              </w:rPr>
            </w:pPr>
          </w:p>
          <w:p w14:paraId="15132E95" w14:textId="77777777" w:rsidR="004C1DAF" w:rsidRPr="008819AF" w:rsidRDefault="004C1DAF" w:rsidP="004C1DAF">
            <w:pPr>
              <w:ind w:left="215" w:hanging="215"/>
              <w:rPr>
                <w:rFonts w:eastAsia="Arial"/>
              </w:rPr>
            </w:pPr>
          </w:p>
          <w:p w14:paraId="15132E96" w14:textId="77777777" w:rsidR="004C1DAF" w:rsidRPr="008819AF" w:rsidRDefault="004C1DAF" w:rsidP="004C1DAF">
            <w:pPr>
              <w:ind w:left="215" w:hanging="215"/>
              <w:rPr>
                <w:rFonts w:eastAsia="Arial"/>
              </w:rPr>
            </w:pPr>
          </w:p>
          <w:p w14:paraId="15132E97" w14:textId="77777777" w:rsidR="004C1DAF" w:rsidRPr="008819AF" w:rsidRDefault="004C1DAF" w:rsidP="004C1DAF">
            <w:pPr>
              <w:ind w:left="215" w:hanging="215"/>
              <w:rPr>
                <w:rFonts w:eastAsia="Arial"/>
              </w:rPr>
            </w:pPr>
          </w:p>
          <w:p w14:paraId="15132E98" w14:textId="77777777" w:rsidR="004C1DAF" w:rsidRPr="008819AF" w:rsidRDefault="004C1DAF" w:rsidP="004C1DAF">
            <w:pPr>
              <w:ind w:left="215" w:hanging="215"/>
              <w:rPr>
                <w:rFonts w:eastAsia="Arial"/>
              </w:rPr>
            </w:pPr>
          </w:p>
          <w:p w14:paraId="15132E99" w14:textId="77777777" w:rsidR="004C1DAF" w:rsidRPr="008819AF" w:rsidRDefault="004C1DAF" w:rsidP="004C1DAF">
            <w:pPr>
              <w:ind w:left="215" w:hanging="215"/>
              <w:rPr>
                <w:rFonts w:eastAsia="Arial"/>
              </w:rPr>
            </w:pPr>
          </w:p>
          <w:p w14:paraId="15132E9A" w14:textId="77777777" w:rsidR="004C1DAF" w:rsidRPr="008819AF" w:rsidRDefault="004C1DAF" w:rsidP="004C1DAF">
            <w:pPr>
              <w:ind w:left="215" w:hanging="215"/>
              <w:rPr>
                <w:rFonts w:eastAsia="Arial"/>
              </w:rPr>
            </w:pPr>
          </w:p>
          <w:p w14:paraId="15132E9B" w14:textId="77777777" w:rsidR="004C1DAF" w:rsidRPr="008819AF" w:rsidRDefault="004C1DAF" w:rsidP="004C1DAF">
            <w:pPr>
              <w:ind w:left="215" w:hanging="215"/>
              <w:rPr>
                <w:rFonts w:eastAsia="Arial"/>
              </w:rPr>
            </w:pPr>
          </w:p>
          <w:p w14:paraId="15132E9C" w14:textId="77777777" w:rsidR="004C1DAF" w:rsidRPr="008819AF" w:rsidRDefault="004C1DAF" w:rsidP="004C1DAF">
            <w:pPr>
              <w:ind w:left="215" w:hanging="215"/>
              <w:rPr>
                <w:rFonts w:eastAsia="Arial"/>
              </w:rPr>
            </w:pPr>
          </w:p>
          <w:p w14:paraId="15132E9D" w14:textId="77777777" w:rsidR="004C1DAF" w:rsidRPr="008819AF" w:rsidRDefault="004C1DAF" w:rsidP="004C1DAF">
            <w:pPr>
              <w:ind w:left="215" w:hanging="215"/>
              <w:rPr>
                <w:rFonts w:eastAsia="Arial"/>
              </w:rPr>
            </w:pPr>
          </w:p>
          <w:p w14:paraId="15132E9E" w14:textId="77777777" w:rsidR="004C1DAF" w:rsidRPr="008819AF" w:rsidRDefault="004C1DAF" w:rsidP="004C1DAF">
            <w:pPr>
              <w:ind w:left="215" w:hanging="215"/>
              <w:rPr>
                <w:rFonts w:eastAsia="Arial"/>
              </w:rPr>
            </w:pPr>
          </w:p>
          <w:p w14:paraId="15132E9F" w14:textId="77777777" w:rsidR="004C1DAF" w:rsidRPr="008819AF" w:rsidRDefault="004C1DAF" w:rsidP="004C1DAF">
            <w:pPr>
              <w:ind w:left="215" w:hanging="215"/>
              <w:rPr>
                <w:rFonts w:eastAsia="Arial"/>
              </w:rPr>
            </w:pPr>
          </w:p>
          <w:p w14:paraId="15132EA0" w14:textId="77777777" w:rsidR="004C1DAF" w:rsidRPr="008819AF" w:rsidRDefault="004C1DAF" w:rsidP="004C1DAF">
            <w:pPr>
              <w:ind w:left="215" w:hanging="215"/>
              <w:rPr>
                <w:rFonts w:eastAsia="Arial"/>
              </w:rPr>
            </w:pPr>
          </w:p>
          <w:p w14:paraId="15132EA1" w14:textId="77777777" w:rsidR="004C1DAF" w:rsidRPr="008819AF" w:rsidRDefault="004C1DAF" w:rsidP="004C1DAF">
            <w:pPr>
              <w:ind w:left="215" w:hanging="215"/>
              <w:rPr>
                <w:rFonts w:eastAsia="Arial"/>
              </w:rPr>
            </w:pPr>
          </w:p>
          <w:p w14:paraId="15132EA2" w14:textId="77777777" w:rsidR="004C1DAF" w:rsidRPr="008819AF" w:rsidRDefault="004C1DAF" w:rsidP="004C1DAF">
            <w:pPr>
              <w:ind w:left="215" w:hanging="215"/>
              <w:rPr>
                <w:rFonts w:eastAsia="Arial"/>
              </w:rPr>
            </w:pPr>
          </w:p>
          <w:p w14:paraId="15132EA3" w14:textId="77777777" w:rsidR="004C1DAF" w:rsidRPr="008819AF" w:rsidRDefault="004C1DAF" w:rsidP="004C1DAF">
            <w:pPr>
              <w:ind w:left="215" w:hanging="215"/>
              <w:rPr>
                <w:rFonts w:eastAsia="Arial"/>
              </w:rPr>
            </w:pPr>
          </w:p>
          <w:p w14:paraId="15132EA4" w14:textId="77777777" w:rsidR="004C1DAF" w:rsidRPr="008819AF" w:rsidRDefault="004C1DAF" w:rsidP="004C1DAF">
            <w:pPr>
              <w:ind w:left="215" w:hanging="215"/>
              <w:rPr>
                <w:rFonts w:eastAsia="Arial"/>
              </w:rPr>
            </w:pPr>
          </w:p>
          <w:p w14:paraId="15132EA5" w14:textId="77777777" w:rsidR="004C1DAF" w:rsidRPr="008819AF" w:rsidRDefault="004C1DAF" w:rsidP="004C1DAF">
            <w:pPr>
              <w:ind w:left="215" w:hanging="215"/>
              <w:rPr>
                <w:rFonts w:eastAsia="Arial"/>
              </w:rPr>
            </w:pPr>
          </w:p>
          <w:p w14:paraId="15132EA6" w14:textId="77777777" w:rsidR="004C1DAF" w:rsidRPr="008819AF" w:rsidRDefault="004C1DAF" w:rsidP="004C1DAF">
            <w:pPr>
              <w:ind w:left="215" w:hanging="215"/>
              <w:rPr>
                <w:rFonts w:eastAsia="Arial"/>
              </w:rPr>
            </w:pPr>
          </w:p>
          <w:p w14:paraId="15132EA7" w14:textId="77777777" w:rsidR="004C1DAF" w:rsidRPr="008819AF" w:rsidRDefault="004C1DAF" w:rsidP="004C1DAF">
            <w:pPr>
              <w:ind w:left="215" w:hanging="215"/>
              <w:rPr>
                <w:rFonts w:eastAsia="Arial"/>
              </w:rPr>
            </w:pPr>
          </w:p>
          <w:p w14:paraId="15132EA8" w14:textId="77777777" w:rsidR="004C1DAF" w:rsidRPr="008819AF" w:rsidRDefault="004C1DAF" w:rsidP="004C1DAF">
            <w:pPr>
              <w:ind w:left="215" w:hanging="215"/>
              <w:rPr>
                <w:rFonts w:eastAsia="Arial"/>
              </w:rPr>
            </w:pPr>
          </w:p>
          <w:p w14:paraId="15132EA9" w14:textId="77777777" w:rsidR="004C1DAF" w:rsidRPr="008819AF" w:rsidRDefault="004C1DAF" w:rsidP="004C1DAF">
            <w:pPr>
              <w:ind w:left="215" w:hanging="215"/>
              <w:rPr>
                <w:rFonts w:eastAsia="Arial"/>
              </w:rPr>
            </w:pPr>
          </w:p>
          <w:p w14:paraId="15132EAA" w14:textId="77777777" w:rsidR="004C1DAF" w:rsidRPr="008819AF" w:rsidRDefault="004C1DAF" w:rsidP="004C1DAF">
            <w:pPr>
              <w:ind w:left="215" w:hanging="215"/>
              <w:rPr>
                <w:rFonts w:eastAsia="Arial"/>
              </w:rPr>
            </w:pPr>
          </w:p>
          <w:p w14:paraId="15132EAB" w14:textId="77777777" w:rsidR="004C1DAF" w:rsidRPr="008819AF" w:rsidRDefault="004C1DAF" w:rsidP="004C1DAF">
            <w:pPr>
              <w:rPr>
                <w:rFonts w:eastAsia="Arial"/>
              </w:rPr>
            </w:pPr>
          </w:p>
        </w:tc>
      </w:tr>
      <w:tr w:rsidR="004C1DAF" w:rsidRPr="008819AF" w14:paraId="15132EBF" w14:textId="77777777" w:rsidTr="00C572C2">
        <w:trPr>
          <w:trHeight w:val="850"/>
          <w:jc w:val="center"/>
        </w:trPr>
        <w:tc>
          <w:tcPr>
            <w:tcW w:w="483" w:type="dxa"/>
            <w:tcBorders>
              <w:top w:val="single" w:sz="4" w:space="0" w:color="auto"/>
              <w:left w:val="single" w:sz="6" w:space="0" w:color="000000"/>
              <w:bottom w:val="single" w:sz="6" w:space="0" w:color="000000"/>
              <w:right w:val="single" w:sz="6" w:space="0" w:color="000000"/>
            </w:tcBorders>
          </w:tcPr>
          <w:p w14:paraId="15132EAD" w14:textId="77777777" w:rsidR="004C1DAF" w:rsidRPr="008819AF" w:rsidRDefault="004C1DAF" w:rsidP="004C1DAF">
            <w:pPr>
              <w:ind w:right="-70"/>
              <w:rPr>
                <w:rFonts w:eastAsia="Arial"/>
                <w:lang w:bidi="cs-CZ"/>
              </w:rPr>
            </w:pPr>
          </w:p>
          <w:p w14:paraId="15132EAE" w14:textId="77777777" w:rsidR="004C1DAF" w:rsidRPr="008819AF" w:rsidRDefault="004C1DAF" w:rsidP="004C1DAF">
            <w:pPr>
              <w:ind w:right="-70"/>
              <w:rPr>
                <w:rFonts w:eastAsia="Arial"/>
                <w:lang w:bidi="cs-CZ"/>
              </w:rPr>
            </w:pPr>
          </w:p>
          <w:p w14:paraId="15132EAF" w14:textId="77777777" w:rsidR="004C1DAF" w:rsidRPr="008819AF" w:rsidRDefault="004C1DAF" w:rsidP="004C1DAF">
            <w:pPr>
              <w:ind w:right="-70"/>
              <w:rPr>
                <w:rFonts w:eastAsia="Arial"/>
                <w:lang w:bidi="cs-CZ"/>
              </w:rPr>
            </w:pPr>
          </w:p>
          <w:p w14:paraId="15132EB0" w14:textId="77777777" w:rsidR="004C1DAF" w:rsidRPr="008819AF" w:rsidRDefault="004C1DAF" w:rsidP="004C1DAF">
            <w:pPr>
              <w:ind w:right="-70"/>
              <w:rPr>
                <w:rFonts w:eastAsia="Arial"/>
                <w:lang w:bidi="cs-CZ"/>
              </w:rPr>
            </w:pPr>
            <w:r w:rsidRPr="008819AF">
              <w:rPr>
                <w:rFonts w:eastAsia="Arial"/>
                <w:lang w:bidi="cs-CZ"/>
              </w:rPr>
              <w:t>Č:71</w:t>
            </w:r>
          </w:p>
        </w:tc>
        <w:tc>
          <w:tcPr>
            <w:tcW w:w="6227" w:type="dxa"/>
            <w:gridSpan w:val="2"/>
            <w:tcBorders>
              <w:top w:val="single" w:sz="4" w:space="0" w:color="auto"/>
              <w:left w:val="single" w:sz="6" w:space="0" w:color="000000"/>
              <w:bottom w:val="single" w:sz="6" w:space="0" w:color="000000"/>
              <w:right w:val="single" w:sz="6" w:space="0" w:color="000000"/>
            </w:tcBorders>
          </w:tcPr>
          <w:p w14:paraId="15132EB1" w14:textId="77777777" w:rsidR="004C1DAF" w:rsidRPr="008819AF" w:rsidRDefault="004C1DAF" w:rsidP="004C1DAF">
            <w:pPr>
              <w:ind w:left="215" w:hanging="215"/>
              <w:rPr>
                <w:rFonts w:eastAsia="Arial"/>
              </w:rPr>
            </w:pPr>
            <w:r w:rsidRPr="008819AF">
              <w:rPr>
                <w:rFonts w:eastAsia="Arial"/>
              </w:rPr>
              <w:t>KAPITOLA VII</w:t>
            </w:r>
          </w:p>
          <w:p w14:paraId="15132EB2" w14:textId="77777777" w:rsidR="004C1DAF" w:rsidRPr="008819AF" w:rsidRDefault="004C1DAF" w:rsidP="004C1DAF">
            <w:pPr>
              <w:ind w:left="215" w:hanging="215"/>
              <w:rPr>
                <w:rFonts w:eastAsia="Arial"/>
              </w:rPr>
            </w:pPr>
            <w:r w:rsidRPr="008819AF">
              <w:rPr>
                <w:rFonts w:eastAsia="Arial"/>
              </w:rPr>
              <w:t>VÝBOR, PRECHODNÉ A ZÁVEREČNÉ USTANOVENIA</w:t>
            </w:r>
          </w:p>
          <w:p w14:paraId="15132EB3" w14:textId="77777777" w:rsidR="004C1DAF" w:rsidRPr="008819AF" w:rsidRDefault="004C1DAF" w:rsidP="004C1DAF">
            <w:pPr>
              <w:ind w:left="215" w:hanging="215"/>
              <w:rPr>
                <w:rFonts w:eastAsia="Arial"/>
              </w:rPr>
            </w:pPr>
            <w:r w:rsidRPr="008819AF">
              <w:rPr>
                <w:rFonts w:eastAsia="Arial"/>
              </w:rPr>
              <w:t>Článok 71</w:t>
            </w:r>
          </w:p>
          <w:p w14:paraId="15132EB4" w14:textId="77777777" w:rsidR="004C1DAF" w:rsidRPr="008819AF" w:rsidRDefault="004C1DAF" w:rsidP="004C1DAF">
            <w:pPr>
              <w:ind w:left="215" w:hanging="215"/>
              <w:rPr>
                <w:rFonts w:eastAsia="Arial"/>
              </w:rPr>
            </w:pPr>
            <w:r w:rsidRPr="008819AF">
              <w:rPr>
                <w:rFonts w:eastAsia="Arial"/>
              </w:rPr>
              <w:t>Príslušné orgány</w:t>
            </w:r>
          </w:p>
          <w:p w14:paraId="15132EB5" w14:textId="77777777" w:rsidR="004C1DAF" w:rsidRPr="008819AF" w:rsidRDefault="004C1DAF" w:rsidP="004C1DAF">
            <w:pPr>
              <w:ind w:left="215" w:hanging="1"/>
              <w:rPr>
                <w:rFonts w:eastAsia="Arial"/>
              </w:rPr>
            </w:pPr>
            <w:r w:rsidRPr="008819AF">
              <w:rPr>
                <w:rFonts w:eastAsia="Arial"/>
              </w:rPr>
              <w:t>Členské štáty určia príslušné orgány, ktoré sú zodpovedné za plnenie povinností vyplývajúcich z tejto smernice.</w:t>
            </w:r>
          </w:p>
        </w:tc>
        <w:tc>
          <w:tcPr>
            <w:tcW w:w="542" w:type="dxa"/>
            <w:gridSpan w:val="2"/>
            <w:tcBorders>
              <w:top w:val="single" w:sz="4" w:space="0" w:color="auto"/>
              <w:left w:val="single" w:sz="6" w:space="0" w:color="000000"/>
              <w:bottom w:val="single" w:sz="6" w:space="0" w:color="000000"/>
              <w:right w:val="single" w:sz="6" w:space="0" w:color="000000"/>
            </w:tcBorders>
            <w:noWrap/>
          </w:tcPr>
          <w:p w14:paraId="15132EB6" w14:textId="77777777" w:rsidR="004C1DAF" w:rsidRPr="008819AF" w:rsidRDefault="004C1DAF" w:rsidP="004C1DAF">
            <w:pPr>
              <w:ind w:left="215" w:hanging="215"/>
              <w:jc w:val="center"/>
              <w:rPr>
                <w:rFonts w:eastAsia="Arial"/>
                <w:lang w:bidi="cs-CZ"/>
              </w:rPr>
            </w:pPr>
            <w:r w:rsidRPr="008819AF">
              <w:rPr>
                <w:rFonts w:eastAsia="Arial"/>
                <w:lang w:bidi="cs-CZ"/>
              </w:rPr>
              <w:t>N</w:t>
            </w:r>
          </w:p>
        </w:tc>
        <w:tc>
          <w:tcPr>
            <w:tcW w:w="543" w:type="dxa"/>
            <w:gridSpan w:val="2"/>
            <w:tcBorders>
              <w:top w:val="single" w:sz="4" w:space="0" w:color="auto"/>
              <w:left w:val="single" w:sz="6" w:space="0" w:color="000000"/>
              <w:bottom w:val="single" w:sz="6" w:space="0" w:color="000000"/>
              <w:right w:val="single" w:sz="6" w:space="0" w:color="000000"/>
            </w:tcBorders>
          </w:tcPr>
          <w:p w14:paraId="15132EB7" w14:textId="77777777" w:rsidR="004C1DAF" w:rsidRPr="008819AF" w:rsidRDefault="004C1DAF" w:rsidP="004C1DAF">
            <w:pPr>
              <w:jc w:val="center"/>
              <w:rPr>
                <w:rFonts w:eastAsia="Arial"/>
                <w:lang w:bidi="cs-CZ"/>
              </w:rPr>
            </w:pPr>
            <w:r w:rsidRPr="008819AF">
              <w:rPr>
                <w:rFonts w:eastAsia="Arial"/>
                <w:lang w:bidi="cs-CZ"/>
              </w:rPr>
              <w:t>NZ</w:t>
            </w:r>
          </w:p>
        </w:tc>
        <w:tc>
          <w:tcPr>
            <w:tcW w:w="543" w:type="dxa"/>
            <w:tcBorders>
              <w:top w:val="single" w:sz="4" w:space="0" w:color="auto"/>
              <w:left w:val="single" w:sz="6" w:space="0" w:color="000000"/>
              <w:bottom w:val="single" w:sz="6" w:space="0" w:color="000000"/>
              <w:right w:val="single" w:sz="6" w:space="0" w:color="000000"/>
            </w:tcBorders>
          </w:tcPr>
          <w:p w14:paraId="15132EB8"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 40</w:t>
            </w:r>
          </w:p>
          <w:p w14:paraId="15132EB9" w14:textId="77777777" w:rsidR="004C1DAF" w:rsidRPr="008819AF" w:rsidRDefault="00887A90" w:rsidP="00887A90">
            <w:pPr>
              <w:pStyle w:val="BodyText21"/>
              <w:spacing w:before="0" w:line="240" w:lineRule="auto"/>
              <w:jc w:val="center"/>
              <w:rPr>
                <w:rFonts w:ascii="Times New Roman" w:hAnsi="Times New Roman" w:cs="Times New Roman"/>
              </w:rPr>
            </w:pPr>
            <w:r w:rsidRPr="008819AF">
              <w:rPr>
                <w:rFonts w:ascii="Times New Roman" w:hAnsi="Times New Roman" w:cs="Times New Roman"/>
              </w:rPr>
              <w:t>P d)</w:t>
            </w:r>
          </w:p>
        </w:tc>
        <w:tc>
          <w:tcPr>
            <w:tcW w:w="5664" w:type="dxa"/>
            <w:gridSpan w:val="5"/>
            <w:tcBorders>
              <w:top w:val="single" w:sz="4" w:space="0" w:color="auto"/>
              <w:left w:val="single" w:sz="6" w:space="0" w:color="000000"/>
              <w:bottom w:val="single" w:sz="6" w:space="0" w:color="000000"/>
              <w:right w:val="single" w:sz="6" w:space="0" w:color="000000"/>
            </w:tcBorders>
          </w:tcPr>
          <w:p w14:paraId="15132EBA" w14:textId="77777777" w:rsidR="004C1DAF" w:rsidRPr="008819AF" w:rsidRDefault="004C1DAF" w:rsidP="004C1DAF">
            <w:pPr>
              <w:pStyle w:val="Nra"/>
              <w:ind w:left="72"/>
              <w:rPr>
                <w:rFonts w:ascii="Times New Roman" w:eastAsia="a*i*l" w:hAnsi="Times New Roman" w:cs="Times New Roman"/>
              </w:rPr>
            </w:pPr>
            <w:r w:rsidRPr="008819AF">
              <w:rPr>
                <w:rFonts w:ascii="Times New Roman" w:eastAsia="a*i*l" w:hAnsi="Times New Roman" w:cs="Times New Roman"/>
              </w:rPr>
              <w:t>Ministerstvo</w:t>
            </w:r>
          </w:p>
          <w:p w14:paraId="15132EBB" w14:textId="77777777" w:rsidR="004C1DAF" w:rsidRPr="008819AF" w:rsidRDefault="004C1DAF" w:rsidP="004C1DAF">
            <w:pPr>
              <w:pStyle w:val="Nra"/>
              <w:ind w:left="72"/>
              <w:rPr>
                <w:rFonts w:ascii="Times New Roman" w:eastAsia="a*i*l" w:hAnsi="Times New Roman" w:cs="Times New Roman"/>
              </w:rPr>
            </w:pPr>
            <w:r w:rsidRPr="008819AF">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15132EBC" w14:textId="77777777" w:rsidR="004C1DAF" w:rsidRPr="008819AF" w:rsidRDefault="004C1DAF" w:rsidP="004C1DAF">
            <w:pPr>
              <w:pStyle w:val="Nadpis6"/>
              <w:ind w:left="0" w:firstLine="0"/>
              <w:jc w:val="left"/>
              <w:rPr>
                <w:rFonts w:ascii="Times New Roman" w:hAnsi="Times New Roman" w:cs="Times New Roman"/>
                <w:b w:val="0"/>
                <w:bCs w:val="0"/>
                <w:sz w:val="20"/>
                <w:szCs w:val="20"/>
              </w:rPr>
            </w:pPr>
          </w:p>
        </w:tc>
        <w:tc>
          <w:tcPr>
            <w:tcW w:w="429" w:type="dxa"/>
            <w:tcBorders>
              <w:top w:val="single" w:sz="4" w:space="0" w:color="auto"/>
              <w:left w:val="single" w:sz="6" w:space="0" w:color="000000"/>
              <w:bottom w:val="single" w:sz="6" w:space="0" w:color="000000"/>
              <w:right w:val="single" w:sz="6" w:space="0" w:color="000000"/>
            </w:tcBorders>
          </w:tcPr>
          <w:p w14:paraId="15132EBD" w14:textId="77777777" w:rsidR="004C1DAF" w:rsidRPr="008819AF" w:rsidRDefault="004C1DAF" w:rsidP="004C1DAF">
            <w:pPr>
              <w:ind w:left="215" w:hanging="215"/>
              <w:rPr>
                <w:rFonts w:eastAsia="Arial"/>
                <w:lang w:bidi="cs-CZ"/>
              </w:rPr>
            </w:pPr>
            <w:r w:rsidRPr="008819AF">
              <w:rPr>
                <w:rFonts w:eastAsia="Arial"/>
                <w:lang w:bidi="cs-CZ"/>
              </w:rPr>
              <w:t>Ú</w:t>
            </w:r>
          </w:p>
        </w:tc>
        <w:tc>
          <w:tcPr>
            <w:tcW w:w="821" w:type="dxa"/>
            <w:gridSpan w:val="3"/>
            <w:tcBorders>
              <w:top w:val="single" w:sz="4" w:space="0" w:color="auto"/>
              <w:left w:val="single" w:sz="6" w:space="0" w:color="000000"/>
              <w:bottom w:val="single" w:sz="6" w:space="0" w:color="000000"/>
              <w:right w:val="single" w:sz="6" w:space="0" w:color="000000"/>
            </w:tcBorders>
          </w:tcPr>
          <w:p w14:paraId="15132EBE" w14:textId="77777777" w:rsidR="004C1DAF" w:rsidRPr="008819AF" w:rsidRDefault="004C1DAF" w:rsidP="004C1DAF">
            <w:pPr>
              <w:ind w:left="215" w:hanging="215"/>
              <w:rPr>
                <w:rFonts w:eastAsia="Arial"/>
              </w:rPr>
            </w:pPr>
          </w:p>
        </w:tc>
      </w:tr>
      <w:tr w:rsidR="004C1DAF" w:rsidRPr="008819AF" w14:paraId="15132F4A" w14:textId="77777777" w:rsidTr="003E351D">
        <w:trPr>
          <w:trHeight w:val="327"/>
          <w:jc w:val="center"/>
        </w:trPr>
        <w:tc>
          <w:tcPr>
            <w:tcW w:w="483" w:type="dxa"/>
            <w:tcBorders>
              <w:top w:val="single" w:sz="4" w:space="0" w:color="000000"/>
              <w:left w:val="single" w:sz="6" w:space="0" w:color="000000"/>
              <w:bottom w:val="single" w:sz="6" w:space="0" w:color="000000"/>
              <w:right w:val="single" w:sz="6" w:space="0" w:color="000000"/>
            </w:tcBorders>
          </w:tcPr>
          <w:p w14:paraId="15132EC0" w14:textId="77777777" w:rsidR="004C1DAF" w:rsidRPr="008819AF" w:rsidRDefault="004C1DAF" w:rsidP="004C1DAF">
            <w:pPr>
              <w:ind w:right="-70"/>
              <w:rPr>
                <w:rFonts w:eastAsia="Arial"/>
                <w:lang w:bidi="cs-CZ"/>
              </w:rPr>
            </w:pPr>
            <w:r w:rsidRPr="008819AF">
              <w:rPr>
                <w:rFonts w:eastAsia="Arial"/>
                <w:lang w:bidi="cs-CZ"/>
              </w:rPr>
              <w:t>Č:72</w:t>
            </w:r>
          </w:p>
        </w:tc>
        <w:tc>
          <w:tcPr>
            <w:tcW w:w="6227" w:type="dxa"/>
            <w:gridSpan w:val="2"/>
            <w:tcBorders>
              <w:top w:val="single" w:sz="4" w:space="0" w:color="000000"/>
              <w:left w:val="single" w:sz="6" w:space="0" w:color="000000"/>
              <w:bottom w:val="single" w:sz="6" w:space="0" w:color="000000"/>
              <w:right w:val="single" w:sz="6" w:space="0" w:color="000000"/>
            </w:tcBorders>
          </w:tcPr>
          <w:p w14:paraId="15132EC1" w14:textId="77777777" w:rsidR="004C1DAF" w:rsidRPr="008819AF" w:rsidRDefault="004C1DAF" w:rsidP="004C1DAF">
            <w:pPr>
              <w:ind w:left="215" w:hanging="215"/>
              <w:rPr>
                <w:rFonts w:eastAsia="Arial"/>
              </w:rPr>
            </w:pPr>
            <w:r w:rsidRPr="008819AF">
              <w:rPr>
                <w:rFonts w:eastAsia="Arial"/>
              </w:rPr>
              <w:t>Článok 72</w:t>
            </w:r>
          </w:p>
          <w:p w14:paraId="15132EC2" w14:textId="77777777" w:rsidR="004C1DAF" w:rsidRPr="008819AF" w:rsidRDefault="004C1DAF" w:rsidP="004C1DAF">
            <w:pPr>
              <w:ind w:left="215" w:hanging="215"/>
              <w:rPr>
                <w:rFonts w:eastAsia="Arial"/>
              </w:rPr>
            </w:pPr>
            <w:r w:rsidRPr="008819AF">
              <w:rPr>
                <w:rFonts w:eastAsia="Arial"/>
              </w:rPr>
              <w:t>Podávanie správ zo strany členských štátov</w:t>
            </w:r>
          </w:p>
          <w:p w14:paraId="15132EC3" w14:textId="77777777" w:rsidR="004C1DAF" w:rsidRPr="008819AF" w:rsidRDefault="004C1DAF" w:rsidP="004C1DAF">
            <w:pPr>
              <w:ind w:left="215" w:hanging="215"/>
              <w:rPr>
                <w:rFonts w:eastAsia="Arial"/>
              </w:rPr>
            </w:pPr>
            <w:r w:rsidRPr="008819AF">
              <w:rPr>
                <w:rFonts w:eastAsia="Arial"/>
              </w:rPr>
              <w:t>1. Členské štáty zabezpečia, aby Komisia mala k dispozícii informácie o vykonávaní tejto smernice, o reprezentatívnych údajoch o emisiách a ostatných formách znečistenia, o emisných limitoch, o uplatňovaní najlepších dostupných techník v súlade s článkami 14 a 15, najmä o udeľovaní výnimiek podľa článku 15 ods. 4, a o pokroku pri vývoji a uplatňovaní nových techník v súlade s článkom 27. Členské štáty sprístupňujú informácie v elektronickej podobe.</w:t>
            </w:r>
          </w:p>
          <w:p w14:paraId="15132EC4" w14:textId="77777777" w:rsidR="004C1DAF" w:rsidRPr="008819AF" w:rsidRDefault="004C1DAF" w:rsidP="004C1DAF">
            <w:pPr>
              <w:ind w:left="215" w:hanging="215"/>
              <w:rPr>
                <w:rFonts w:eastAsia="Arial"/>
              </w:rPr>
            </w:pPr>
          </w:p>
          <w:p w14:paraId="15132EC5" w14:textId="77777777" w:rsidR="004C1DAF" w:rsidRPr="008819AF" w:rsidRDefault="004C1DAF" w:rsidP="004C1DAF">
            <w:pPr>
              <w:ind w:left="215" w:hanging="215"/>
              <w:rPr>
                <w:rFonts w:eastAsia="Arial"/>
              </w:rPr>
            </w:pPr>
            <w:r w:rsidRPr="008819AF">
              <w:rPr>
                <w:rFonts w:eastAsia="Arial"/>
              </w:rPr>
              <w:t>2. Typ, formát a frekvencia informácií, ktoré sa majú sprístupňovať podľa odseku 1, sa ustanoví v súlade s regulačným postupom uvedeným v článku 75 ods. 2 Tieto informácie obsahujú určenie špecifických činností a znečisťujúcich látok, o ktorých sa sprístupnia údaje uvedené v odseku 1.</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EC6" w14:textId="77777777" w:rsidR="004C1DAF" w:rsidRPr="008819AF" w:rsidRDefault="004C1DAF" w:rsidP="004C1DAF">
            <w:pPr>
              <w:ind w:left="215" w:hanging="215"/>
              <w:jc w:val="center"/>
              <w:rPr>
                <w:rFonts w:eastAsia="Arial"/>
                <w:lang w:bidi="cs-CZ"/>
              </w:rPr>
            </w:pPr>
            <w:r w:rsidRPr="008819AF">
              <w:rPr>
                <w:rFonts w:eastAsia="Arial"/>
                <w:lang w:bidi="cs-CZ"/>
              </w:rPr>
              <w:t>N</w:t>
            </w:r>
          </w:p>
          <w:p w14:paraId="15132EC7" w14:textId="77777777" w:rsidR="004C1DAF" w:rsidRPr="008819AF" w:rsidRDefault="004C1DAF" w:rsidP="004C1DAF">
            <w:pPr>
              <w:jc w:val="center"/>
              <w:rPr>
                <w:rFonts w:eastAsia="Arial"/>
                <w:lang w:bidi="cs-CZ"/>
              </w:rPr>
            </w:pPr>
          </w:p>
          <w:p w14:paraId="15132EC8" w14:textId="77777777" w:rsidR="004C1DAF" w:rsidRPr="008819AF" w:rsidRDefault="004C1DAF" w:rsidP="004C1DAF">
            <w:pPr>
              <w:jc w:val="center"/>
              <w:rPr>
                <w:rFonts w:eastAsia="Arial"/>
                <w:lang w:bidi="cs-CZ"/>
              </w:rPr>
            </w:pPr>
          </w:p>
          <w:p w14:paraId="15132EC9" w14:textId="77777777" w:rsidR="004C1DAF" w:rsidRPr="008819AF" w:rsidRDefault="004C1DAF" w:rsidP="004C1DAF">
            <w:pPr>
              <w:jc w:val="center"/>
              <w:rPr>
                <w:rFonts w:eastAsia="Arial"/>
                <w:lang w:bidi="cs-CZ"/>
              </w:rPr>
            </w:pPr>
          </w:p>
          <w:p w14:paraId="15132ECA" w14:textId="77777777" w:rsidR="004C1DAF" w:rsidRPr="008819AF" w:rsidRDefault="004C1DAF" w:rsidP="004C1DAF">
            <w:pPr>
              <w:jc w:val="center"/>
              <w:rPr>
                <w:rFonts w:eastAsia="Arial"/>
                <w:lang w:bidi="cs-CZ"/>
              </w:rPr>
            </w:pPr>
          </w:p>
          <w:p w14:paraId="15132ECB" w14:textId="77777777" w:rsidR="004C1DAF" w:rsidRPr="008819AF" w:rsidRDefault="004C1DAF" w:rsidP="004C1DAF">
            <w:pPr>
              <w:jc w:val="center"/>
              <w:rPr>
                <w:rFonts w:eastAsia="Arial"/>
                <w:lang w:bidi="cs-CZ"/>
              </w:rPr>
            </w:pPr>
          </w:p>
          <w:p w14:paraId="15132ECC" w14:textId="77777777" w:rsidR="004C1DAF" w:rsidRPr="008819AF" w:rsidRDefault="004C1DAF" w:rsidP="004C1DAF">
            <w:pPr>
              <w:ind w:left="215" w:hanging="215"/>
              <w:jc w:val="center"/>
              <w:rPr>
                <w:rFonts w:eastAsia="Arial"/>
                <w:lang w:bidi="cs-CZ"/>
              </w:rPr>
            </w:pPr>
            <w:r w:rsidRPr="008819AF">
              <w:rPr>
                <w:rFonts w:eastAsia="Arial"/>
                <w:lang w:bidi="cs-CZ"/>
              </w:rPr>
              <w:t>N</w:t>
            </w:r>
          </w:p>
          <w:p w14:paraId="15132ECD" w14:textId="77777777" w:rsidR="004C1DAF" w:rsidRPr="008819AF" w:rsidRDefault="004C1DAF" w:rsidP="004C1DAF">
            <w:pPr>
              <w:ind w:left="215" w:hanging="215"/>
              <w:jc w:val="center"/>
              <w:rPr>
                <w:rFonts w:eastAsia="Arial"/>
                <w:lang w:bidi="cs-CZ"/>
              </w:rPr>
            </w:pPr>
          </w:p>
          <w:p w14:paraId="15132ECE" w14:textId="77777777" w:rsidR="004C1DAF" w:rsidRPr="008819AF" w:rsidRDefault="004C1DAF" w:rsidP="004C1DAF">
            <w:pPr>
              <w:ind w:left="215" w:hanging="215"/>
              <w:jc w:val="center"/>
              <w:rPr>
                <w:rFonts w:eastAsia="Arial"/>
                <w:lang w:bidi="cs-CZ"/>
              </w:rPr>
            </w:pPr>
          </w:p>
          <w:p w14:paraId="15132ECF" w14:textId="77777777" w:rsidR="004C1DAF" w:rsidRPr="008819AF" w:rsidRDefault="004C1DAF" w:rsidP="004C1DAF">
            <w:pPr>
              <w:ind w:left="215" w:hanging="215"/>
              <w:jc w:val="center"/>
              <w:rPr>
                <w:rFonts w:eastAsia="Arial"/>
                <w:lang w:bidi="cs-CZ"/>
              </w:rPr>
            </w:pPr>
          </w:p>
          <w:p w14:paraId="15132ED0" w14:textId="77777777" w:rsidR="004C1DAF" w:rsidRPr="008819AF" w:rsidRDefault="004C1DAF" w:rsidP="004C1DAF">
            <w:pPr>
              <w:jc w:val="center"/>
              <w:rPr>
                <w:rFonts w:eastAsia="Arial"/>
                <w:lang w:bidi="cs-CZ"/>
              </w:rPr>
            </w:pPr>
            <w:r w:rsidRPr="008819AF">
              <w:rPr>
                <w:rFonts w:eastAsia="Arial"/>
                <w:lang w:bidi="cs-CZ"/>
              </w:rPr>
              <w:t>N</w:t>
            </w:r>
          </w:p>
          <w:p w14:paraId="15132ED1" w14:textId="77777777" w:rsidR="004C1DAF" w:rsidRPr="008819AF" w:rsidRDefault="004C1DAF" w:rsidP="004C1DAF">
            <w:pPr>
              <w:jc w:val="center"/>
              <w:rPr>
                <w:rFonts w:eastAsia="Arial"/>
                <w:lang w:bidi="cs-CZ"/>
              </w:rPr>
            </w:pPr>
          </w:p>
          <w:p w14:paraId="15132ED2" w14:textId="77777777" w:rsidR="004C1DAF" w:rsidRPr="008819AF" w:rsidRDefault="004C1DAF" w:rsidP="004C1DAF">
            <w:pPr>
              <w:jc w:val="center"/>
              <w:rPr>
                <w:rFonts w:eastAsia="Arial"/>
                <w:lang w:bidi="cs-CZ"/>
              </w:rPr>
            </w:pPr>
          </w:p>
          <w:p w14:paraId="15132ED3" w14:textId="77777777" w:rsidR="004C1DAF" w:rsidRPr="008819AF" w:rsidRDefault="004C1DAF" w:rsidP="004C1DAF">
            <w:pPr>
              <w:jc w:val="center"/>
              <w:rPr>
                <w:rFonts w:eastAsia="Arial"/>
                <w:lang w:bidi="cs-CZ"/>
              </w:rPr>
            </w:pPr>
          </w:p>
          <w:p w14:paraId="15132ED4" w14:textId="77777777" w:rsidR="004C1DAF" w:rsidRPr="008819AF" w:rsidRDefault="004C1DAF" w:rsidP="004C1DAF">
            <w:pPr>
              <w:jc w:val="center"/>
              <w:rPr>
                <w:rFonts w:eastAsia="Arial"/>
                <w:lang w:bidi="cs-CZ"/>
              </w:rPr>
            </w:pPr>
          </w:p>
          <w:p w14:paraId="15132ED5" w14:textId="77777777" w:rsidR="004C1DAF" w:rsidRPr="008819AF" w:rsidRDefault="004C1DAF" w:rsidP="004C1DAF">
            <w:pPr>
              <w:jc w:val="center"/>
              <w:rPr>
                <w:rFonts w:eastAsia="Arial"/>
                <w:lang w:bidi="cs-CZ"/>
              </w:rPr>
            </w:pPr>
          </w:p>
          <w:p w14:paraId="15132ED6" w14:textId="77777777" w:rsidR="004C1DAF" w:rsidRPr="008819AF" w:rsidRDefault="004C1DAF" w:rsidP="004C1DAF">
            <w:pPr>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2ED7" w14:textId="77777777" w:rsidR="004C1DAF" w:rsidRPr="008819AF" w:rsidRDefault="004C1DAF" w:rsidP="004C1DAF">
            <w:pPr>
              <w:ind w:left="215" w:hanging="215"/>
              <w:jc w:val="center"/>
              <w:rPr>
                <w:rFonts w:eastAsia="Arial"/>
                <w:lang w:bidi="cs-CZ"/>
              </w:rPr>
            </w:pPr>
            <w:r w:rsidRPr="008819AF">
              <w:rPr>
                <w:rFonts w:eastAsia="Arial"/>
                <w:lang w:bidi="cs-CZ"/>
              </w:rPr>
              <w:t>NZ</w:t>
            </w:r>
          </w:p>
          <w:p w14:paraId="15132ED8" w14:textId="77777777" w:rsidR="004C1DAF" w:rsidRPr="008819AF" w:rsidRDefault="004C1DAF" w:rsidP="004C1DAF">
            <w:pPr>
              <w:ind w:left="215" w:hanging="215"/>
              <w:jc w:val="center"/>
              <w:rPr>
                <w:rFonts w:eastAsia="Arial"/>
                <w:lang w:bidi="cs-CZ"/>
              </w:rPr>
            </w:pPr>
          </w:p>
          <w:p w14:paraId="15132ED9" w14:textId="77777777" w:rsidR="004C1DAF" w:rsidRPr="008819AF" w:rsidRDefault="004C1DAF" w:rsidP="004C1DAF">
            <w:pPr>
              <w:ind w:left="215" w:hanging="215"/>
              <w:jc w:val="center"/>
              <w:rPr>
                <w:rFonts w:eastAsia="Arial"/>
                <w:lang w:bidi="cs-CZ"/>
              </w:rPr>
            </w:pPr>
          </w:p>
          <w:p w14:paraId="15132EDA" w14:textId="77777777" w:rsidR="004C1DAF" w:rsidRPr="008819AF" w:rsidRDefault="004C1DAF" w:rsidP="004C1DAF">
            <w:pPr>
              <w:ind w:left="215" w:hanging="215"/>
              <w:jc w:val="center"/>
              <w:rPr>
                <w:rFonts w:eastAsia="Arial"/>
                <w:lang w:bidi="cs-CZ"/>
              </w:rPr>
            </w:pPr>
          </w:p>
          <w:p w14:paraId="15132EDB" w14:textId="77777777" w:rsidR="004C1DAF" w:rsidRPr="008819AF" w:rsidRDefault="004C1DAF" w:rsidP="004C1DAF">
            <w:pPr>
              <w:ind w:left="215" w:hanging="215"/>
              <w:jc w:val="center"/>
              <w:rPr>
                <w:rFonts w:eastAsia="Arial"/>
                <w:lang w:bidi="cs-CZ"/>
              </w:rPr>
            </w:pPr>
          </w:p>
          <w:p w14:paraId="15132EDC" w14:textId="77777777" w:rsidR="004C1DAF" w:rsidRPr="008819AF" w:rsidRDefault="004C1DAF" w:rsidP="004C1DAF">
            <w:pPr>
              <w:ind w:left="215" w:hanging="215"/>
              <w:jc w:val="center"/>
              <w:rPr>
                <w:rFonts w:eastAsia="Arial"/>
                <w:lang w:bidi="cs-CZ"/>
              </w:rPr>
            </w:pPr>
          </w:p>
          <w:p w14:paraId="15132EDD" w14:textId="77777777" w:rsidR="004C1DAF" w:rsidRPr="008819AF" w:rsidRDefault="004C1DAF" w:rsidP="004C1DAF">
            <w:pPr>
              <w:ind w:left="215" w:hanging="215"/>
              <w:jc w:val="center"/>
              <w:rPr>
                <w:rFonts w:eastAsia="Arial"/>
                <w:lang w:bidi="cs-CZ"/>
              </w:rPr>
            </w:pPr>
            <w:r w:rsidRPr="008819AF">
              <w:rPr>
                <w:rFonts w:eastAsia="Arial"/>
                <w:lang w:bidi="cs-CZ"/>
              </w:rPr>
              <w:t>NZ</w:t>
            </w:r>
          </w:p>
          <w:p w14:paraId="15132EDE" w14:textId="77777777" w:rsidR="004C1DAF" w:rsidRPr="008819AF" w:rsidRDefault="004C1DAF" w:rsidP="004C1DAF">
            <w:pPr>
              <w:ind w:left="215" w:hanging="215"/>
              <w:jc w:val="center"/>
              <w:rPr>
                <w:rFonts w:eastAsia="Arial"/>
                <w:lang w:bidi="cs-CZ"/>
              </w:rPr>
            </w:pPr>
          </w:p>
          <w:p w14:paraId="15132EDF" w14:textId="77777777" w:rsidR="004C1DAF" w:rsidRPr="008819AF" w:rsidRDefault="004C1DAF" w:rsidP="004C1DAF">
            <w:pPr>
              <w:ind w:left="215" w:hanging="215"/>
              <w:jc w:val="center"/>
              <w:rPr>
                <w:rFonts w:eastAsia="Arial"/>
                <w:lang w:bidi="cs-CZ"/>
              </w:rPr>
            </w:pPr>
          </w:p>
          <w:p w14:paraId="15132EE0" w14:textId="77777777" w:rsidR="004C1DAF" w:rsidRPr="008819AF" w:rsidRDefault="004C1DAF" w:rsidP="004C1DAF">
            <w:pPr>
              <w:ind w:left="215" w:hanging="215"/>
              <w:jc w:val="center"/>
              <w:rPr>
                <w:rFonts w:eastAsia="Arial"/>
                <w:lang w:bidi="cs-CZ"/>
              </w:rPr>
            </w:pPr>
          </w:p>
          <w:p w14:paraId="15132EE1" w14:textId="77777777" w:rsidR="004C1DAF" w:rsidRPr="008819AF" w:rsidRDefault="004C1DAF" w:rsidP="004C1DAF">
            <w:pPr>
              <w:ind w:left="215" w:hanging="215"/>
              <w:jc w:val="center"/>
              <w:rPr>
                <w:rFonts w:eastAsia="Arial"/>
                <w:lang w:bidi="cs-CZ"/>
              </w:rPr>
            </w:pPr>
            <w:r w:rsidRPr="008819AF">
              <w:rPr>
                <w:rFonts w:eastAsia="Arial"/>
                <w:lang w:bidi="cs-CZ"/>
              </w:rPr>
              <w:t>NZ</w:t>
            </w:r>
          </w:p>
          <w:p w14:paraId="15132EE2" w14:textId="77777777" w:rsidR="004C1DAF" w:rsidRPr="008819AF" w:rsidRDefault="004C1DAF" w:rsidP="004C1DAF">
            <w:pPr>
              <w:ind w:left="215" w:hanging="215"/>
              <w:jc w:val="center"/>
              <w:rPr>
                <w:rFonts w:eastAsia="Arial"/>
                <w:lang w:bidi="cs-CZ"/>
              </w:rPr>
            </w:pPr>
          </w:p>
          <w:p w14:paraId="15132EE3" w14:textId="77777777" w:rsidR="004C1DAF" w:rsidRPr="008819AF" w:rsidRDefault="004C1DAF" w:rsidP="004C1DAF">
            <w:pPr>
              <w:ind w:left="215" w:hanging="215"/>
              <w:jc w:val="center"/>
              <w:rPr>
                <w:rFonts w:eastAsia="Arial"/>
                <w:lang w:bidi="cs-CZ"/>
              </w:rPr>
            </w:pPr>
          </w:p>
          <w:p w14:paraId="15132EE4" w14:textId="77777777" w:rsidR="004C1DAF" w:rsidRPr="008819AF" w:rsidRDefault="004C1DAF" w:rsidP="004C1DAF">
            <w:pPr>
              <w:ind w:left="215" w:hanging="215"/>
              <w:jc w:val="center"/>
              <w:rPr>
                <w:rFonts w:eastAsia="Arial"/>
                <w:lang w:bidi="cs-CZ"/>
              </w:rPr>
            </w:pPr>
          </w:p>
          <w:p w14:paraId="15132EE5" w14:textId="77777777" w:rsidR="004C1DAF" w:rsidRPr="008819AF" w:rsidRDefault="004C1DAF" w:rsidP="004C1DAF">
            <w:pPr>
              <w:ind w:left="215" w:hanging="215"/>
              <w:jc w:val="center"/>
              <w:rPr>
                <w:rFonts w:eastAsia="Arial"/>
                <w:lang w:bidi="cs-CZ"/>
              </w:rPr>
            </w:pPr>
          </w:p>
          <w:p w14:paraId="15132EE6" w14:textId="77777777" w:rsidR="004C1DAF" w:rsidRPr="008819AF" w:rsidRDefault="004C1DAF" w:rsidP="004C1DAF">
            <w:pPr>
              <w:ind w:left="215" w:hanging="215"/>
              <w:jc w:val="center"/>
              <w:rPr>
                <w:rFonts w:eastAsia="Arial"/>
                <w:lang w:bidi="cs-CZ"/>
              </w:rPr>
            </w:pPr>
          </w:p>
          <w:p w14:paraId="15132EE7" w14:textId="77777777" w:rsidR="004C1DAF" w:rsidRPr="008819AF" w:rsidRDefault="004C1DAF" w:rsidP="004C1DAF">
            <w:pPr>
              <w:ind w:left="215" w:hanging="215"/>
              <w:jc w:val="center"/>
              <w:rPr>
                <w:rFonts w:eastAsia="Arial"/>
                <w:lang w:bidi="cs-CZ"/>
              </w:rPr>
            </w:pPr>
            <w:r w:rsidRPr="008819AF">
              <w:rPr>
                <w:rFonts w:eastAsia="Arial"/>
                <w:lang w:bidi="cs-CZ"/>
              </w:rPr>
              <w:t>NV4</w:t>
            </w:r>
          </w:p>
        </w:tc>
        <w:tc>
          <w:tcPr>
            <w:tcW w:w="543" w:type="dxa"/>
            <w:tcBorders>
              <w:top w:val="single" w:sz="4" w:space="0" w:color="000000"/>
              <w:left w:val="single" w:sz="6" w:space="0" w:color="000000"/>
              <w:bottom w:val="single" w:sz="6" w:space="0" w:color="000000"/>
              <w:right w:val="single" w:sz="6" w:space="0" w:color="000000"/>
            </w:tcBorders>
          </w:tcPr>
          <w:p w14:paraId="15132EE8" w14:textId="77777777" w:rsidR="004C1DAF" w:rsidRPr="008819AF" w:rsidRDefault="00E87844" w:rsidP="00E87844">
            <w:pPr>
              <w:pStyle w:val="BodyText21"/>
              <w:spacing w:before="0" w:line="240" w:lineRule="auto"/>
              <w:jc w:val="center"/>
              <w:rPr>
                <w:rFonts w:ascii="Times New Roman" w:hAnsi="Times New Roman" w:cs="Times New Roman"/>
              </w:rPr>
            </w:pPr>
            <w:r w:rsidRPr="008819AF">
              <w:rPr>
                <w:rFonts w:ascii="Times New Roman" w:hAnsi="Times New Roman" w:cs="Times New Roman"/>
              </w:rPr>
              <w:t>§ 40</w:t>
            </w:r>
          </w:p>
          <w:p w14:paraId="15132EE9"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P l)</w:t>
            </w:r>
          </w:p>
          <w:p w14:paraId="15132EEA" w14:textId="77777777" w:rsidR="004C1DAF" w:rsidRPr="008819AF" w:rsidRDefault="004C1DAF" w:rsidP="004C1DAF">
            <w:pPr>
              <w:pStyle w:val="BodyText21"/>
              <w:spacing w:before="0" w:line="240" w:lineRule="auto"/>
              <w:jc w:val="center"/>
              <w:rPr>
                <w:rFonts w:ascii="Times New Roman" w:hAnsi="Times New Roman" w:cs="Times New Roman"/>
              </w:rPr>
            </w:pPr>
          </w:p>
          <w:p w14:paraId="15132EEB" w14:textId="77777777" w:rsidR="004C1DAF" w:rsidRPr="008819AF" w:rsidRDefault="004C1DAF" w:rsidP="004C1DAF">
            <w:pPr>
              <w:pStyle w:val="BodyText21"/>
              <w:spacing w:before="0" w:line="240" w:lineRule="auto"/>
              <w:jc w:val="center"/>
              <w:rPr>
                <w:rFonts w:ascii="Times New Roman" w:hAnsi="Times New Roman" w:cs="Times New Roman"/>
              </w:rPr>
            </w:pPr>
          </w:p>
          <w:p w14:paraId="15132EEC" w14:textId="77777777" w:rsidR="00E87844" w:rsidRPr="008819AF" w:rsidRDefault="00E87844" w:rsidP="004C1DAF">
            <w:pPr>
              <w:pStyle w:val="BodyText21"/>
              <w:spacing w:before="0" w:line="240" w:lineRule="auto"/>
              <w:jc w:val="center"/>
              <w:rPr>
                <w:rFonts w:ascii="Times New Roman" w:hAnsi="Times New Roman" w:cs="Times New Roman"/>
              </w:rPr>
            </w:pPr>
          </w:p>
          <w:p w14:paraId="15132EED" w14:textId="77777777" w:rsidR="004C1DAF" w:rsidRPr="008819AF" w:rsidRDefault="004C1DAF" w:rsidP="004C1DAF">
            <w:pPr>
              <w:pStyle w:val="BodyText21"/>
              <w:spacing w:before="0" w:line="240" w:lineRule="auto"/>
              <w:jc w:val="center"/>
              <w:rPr>
                <w:rFonts w:ascii="Times New Roman" w:hAnsi="Times New Roman" w:cs="Times New Roman"/>
              </w:rPr>
            </w:pPr>
          </w:p>
          <w:p w14:paraId="15132EEE"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 62</w:t>
            </w:r>
          </w:p>
          <w:p w14:paraId="15132EEF"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P n)</w:t>
            </w:r>
          </w:p>
          <w:p w14:paraId="15132EF0" w14:textId="77777777" w:rsidR="004C1DAF" w:rsidRPr="008819AF" w:rsidRDefault="004C1DAF" w:rsidP="004C1DAF">
            <w:pPr>
              <w:pStyle w:val="BodyText21"/>
              <w:spacing w:before="0" w:line="240" w:lineRule="auto"/>
              <w:jc w:val="center"/>
              <w:rPr>
                <w:rFonts w:ascii="Times New Roman" w:hAnsi="Times New Roman" w:cs="Times New Roman"/>
              </w:rPr>
            </w:pPr>
          </w:p>
          <w:p w14:paraId="15132EF1" w14:textId="77777777" w:rsidR="004C1DAF" w:rsidRPr="008819AF" w:rsidRDefault="004C1DAF" w:rsidP="004C1DAF">
            <w:pPr>
              <w:pStyle w:val="BodyText21"/>
              <w:spacing w:before="0" w:line="240" w:lineRule="auto"/>
              <w:jc w:val="center"/>
              <w:rPr>
                <w:rFonts w:ascii="Times New Roman" w:hAnsi="Times New Roman" w:cs="Times New Roman"/>
              </w:rPr>
            </w:pPr>
          </w:p>
          <w:p w14:paraId="15132EF2" w14:textId="77777777" w:rsidR="004C1DAF" w:rsidRPr="008819AF" w:rsidRDefault="00E87844" w:rsidP="00E87844">
            <w:pPr>
              <w:pStyle w:val="BodyText21"/>
              <w:spacing w:before="0" w:line="240" w:lineRule="auto"/>
              <w:jc w:val="center"/>
              <w:rPr>
                <w:rFonts w:ascii="Times New Roman" w:hAnsi="Times New Roman" w:cs="Times New Roman"/>
              </w:rPr>
            </w:pPr>
            <w:r w:rsidRPr="008819AF">
              <w:rPr>
                <w:rFonts w:ascii="Times New Roman" w:hAnsi="Times New Roman" w:cs="Times New Roman"/>
              </w:rPr>
              <w:t>§ 40</w:t>
            </w:r>
          </w:p>
          <w:p w14:paraId="15132EF3" w14:textId="77777777" w:rsidR="004C1DAF" w:rsidRPr="008819AF" w:rsidRDefault="004C1DAF" w:rsidP="004C1DAF">
            <w:pPr>
              <w:pStyle w:val="BodyText21"/>
              <w:spacing w:before="0" w:line="240" w:lineRule="auto"/>
              <w:jc w:val="center"/>
              <w:rPr>
                <w:rFonts w:ascii="Times New Roman" w:hAnsi="Times New Roman" w:cs="Times New Roman"/>
              </w:rPr>
            </w:pPr>
            <w:r w:rsidRPr="008819AF">
              <w:rPr>
                <w:rFonts w:ascii="Times New Roman" w:hAnsi="Times New Roman" w:cs="Times New Roman"/>
              </w:rPr>
              <w:t>P d)</w:t>
            </w:r>
          </w:p>
          <w:p w14:paraId="15132EF4"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EF5"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EF6" w14:textId="77777777" w:rsidR="00E87844" w:rsidRPr="008819AF" w:rsidRDefault="00E87844" w:rsidP="004C1DAF">
            <w:pPr>
              <w:pStyle w:val="BodyText21"/>
              <w:spacing w:before="0" w:line="240" w:lineRule="auto"/>
              <w:ind w:left="0" w:firstLine="0"/>
              <w:jc w:val="center"/>
              <w:rPr>
                <w:rFonts w:ascii="Times New Roman" w:hAnsi="Times New Roman" w:cs="Times New Roman"/>
              </w:rPr>
            </w:pPr>
          </w:p>
          <w:p w14:paraId="15132EF7"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p w14:paraId="15132EF8"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Pr. č. 1</w:t>
            </w:r>
          </w:p>
          <w:p w14:paraId="15132EF9" w14:textId="77777777" w:rsidR="004C1DAF" w:rsidRPr="008819AF" w:rsidRDefault="004C1DAF" w:rsidP="004C1DAF">
            <w:pPr>
              <w:pStyle w:val="BodyText21"/>
              <w:spacing w:before="0" w:line="240" w:lineRule="auto"/>
              <w:ind w:left="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EFA" w14:textId="77777777" w:rsidR="004C1DAF" w:rsidRPr="008819AF" w:rsidRDefault="004C1DAF" w:rsidP="004C1DAF">
            <w:pPr>
              <w:pStyle w:val="pismeno"/>
              <w:tabs>
                <w:tab w:val="clear" w:pos="360"/>
                <w:tab w:val="clear" w:pos="585"/>
              </w:tabs>
              <w:spacing w:before="0"/>
              <w:ind w:left="0" w:firstLine="0"/>
              <w:jc w:val="left"/>
              <w:rPr>
                <w:rFonts w:ascii="Times New Roman" w:hAnsi="Times New Roman" w:cs="Times New Roman"/>
                <w:sz w:val="20"/>
                <w:szCs w:val="20"/>
              </w:rPr>
            </w:pPr>
            <w:r w:rsidRPr="008819AF">
              <w:rPr>
                <w:rFonts w:ascii="Times New Roman" w:hAnsi="Times New Roman" w:cs="Times New Roman"/>
                <w:sz w:val="20"/>
                <w:szCs w:val="20"/>
              </w:rPr>
              <w:t xml:space="preserve">Ministerstvo </w:t>
            </w:r>
          </w:p>
          <w:p w14:paraId="15132EFB" w14:textId="77777777" w:rsidR="004C1DAF" w:rsidRPr="008819AF" w:rsidRDefault="004C1DAF" w:rsidP="004C1DAF">
            <w:pPr>
              <w:pStyle w:val="pismeno"/>
              <w:tabs>
                <w:tab w:val="clear" w:pos="360"/>
                <w:tab w:val="clear" w:pos="585"/>
              </w:tabs>
              <w:spacing w:before="0"/>
              <w:ind w:left="0" w:firstLine="0"/>
              <w:jc w:val="left"/>
              <w:rPr>
                <w:rFonts w:ascii="Times New Roman" w:hAnsi="Times New Roman" w:cs="Times New Roman"/>
                <w:sz w:val="20"/>
                <w:szCs w:val="20"/>
              </w:rPr>
            </w:pPr>
            <w:r w:rsidRPr="008819AF">
              <w:rPr>
                <w:rFonts w:ascii="Times New Roman" w:hAnsi="Times New Roman" w:cs="Times New Roman"/>
                <w:sz w:val="20"/>
                <w:szCs w:val="20"/>
              </w:rPr>
              <w:t>l) vo veciach plnenia národných záväzkov znižovania emisií</w:t>
            </w:r>
          </w:p>
          <w:p w14:paraId="15132EFC" w14:textId="77777777" w:rsidR="004C1DAF" w:rsidRPr="008819AF" w:rsidRDefault="004C1DAF" w:rsidP="004C1DAF">
            <w:pPr>
              <w:pStyle w:val="pismeno"/>
              <w:tabs>
                <w:tab w:val="clear" w:pos="360"/>
                <w:tab w:val="clear" w:pos="585"/>
              </w:tabs>
              <w:spacing w:before="0"/>
              <w:ind w:left="0" w:firstLine="0"/>
              <w:jc w:val="left"/>
              <w:rPr>
                <w:rFonts w:ascii="Times New Roman" w:hAnsi="Times New Roman" w:cs="Times New Roman"/>
                <w:sz w:val="20"/>
                <w:szCs w:val="20"/>
              </w:rPr>
            </w:pPr>
            <w:r w:rsidRPr="008819AF">
              <w:rPr>
                <w:rFonts w:ascii="Times New Roman" w:hAnsi="Times New Roman" w:cs="Times New Roman"/>
                <w:sz w:val="20"/>
                <w:szCs w:val="20"/>
              </w:rPr>
              <w:t>1. vypracováva prostredníctvom poverenej organizácie národné emisné inventúry, informatívne správy o emisných inventúrach a projekcie emisií a zverejňuje ich,</w:t>
            </w:r>
          </w:p>
          <w:p w14:paraId="15132EFD" w14:textId="77777777" w:rsidR="004C1DAF" w:rsidRPr="008819AF" w:rsidRDefault="004C1DAF" w:rsidP="004C1DAF">
            <w:pPr>
              <w:ind w:left="215" w:hanging="215"/>
              <w:rPr>
                <w:rFonts w:eastAsia="Arial"/>
                <w:lang w:bidi="cs-CZ"/>
              </w:rPr>
            </w:pPr>
          </w:p>
          <w:p w14:paraId="15132EFE" w14:textId="77777777" w:rsidR="004C1DAF" w:rsidRPr="008819AF" w:rsidRDefault="004C1DAF" w:rsidP="004C1DAF">
            <w:pPr>
              <w:pStyle w:val="Textpsmene"/>
              <w:ind w:left="0" w:firstLine="0"/>
              <w:jc w:val="left"/>
              <w:rPr>
                <w:rFonts w:ascii="Times New Roman" w:hAnsi="Times New Roman" w:cs="Times New Roman"/>
                <w:sz w:val="20"/>
                <w:szCs w:val="20"/>
              </w:rPr>
            </w:pPr>
            <w:r w:rsidRPr="008819AF">
              <w:rPr>
                <w:rFonts w:ascii="Times New Roman" w:hAnsi="Times New Roman" w:cs="Times New Roman"/>
                <w:sz w:val="20"/>
                <w:szCs w:val="20"/>
              </w:rPr>
              <w:t xml:space="preserve">Všeobecne záväzný právny predpis, ktorý vydá ministerstvo, </w:t>
            </w:r>
          </w:p>
          <w:p w14:paraId="15132EFF" w14:textId="77777777" w:rsidR="004C1DAF" w:rsidRPr="008819AF" w:rsidRDefault="004C1DAF" w:rsidP="004C1DAF">
            <w:pPr>
              <w:pStyle w:val="Textpsmene"/>
              <w:ind w:left="0" w:firstLine="0"/>
              <w:jc w:val="left"/>
              <w:rPr>
                <w:rFonts w:ascii="Times New Roman" w:hAnsi="Times New Roman" w:cs="Times New Roman"/>
                <w:sz w:val="20"/>
                <w:szCs w:val="20"/>
              </w:rPr>
            </w:pPr>
            <w:r w:rsidRPr="008819AF">
              <w:rPr>
                <w:rFonts w:ascii="Times New Roman" w:hAnsi="Times New Roman" w:cs="Times New Roman"/>
                <w:sz w:val="20"/>
                <w:szCs w:val="20"/>
              </w:rPr>
              <w:t xml:space="preserve">n) obsah a rozsah informácií a správ podávaných notifikačným orgánom Komisii a lehoty ich podávania, </w:t>
            </w:r>
          </w:p>
          <w:p w14:paraId="15132F00" w14:textId="77777777" w:rsidR="004C1DAF" w:rsidRPr="008819AF" w:rsidRDefault="004C1DAF" w:rsidP="004C1DAF">
            <w:pPr>
              <w:ind w:left="215" w:hanging="215"/>
              <w:rPr>
                <w:rFonts w:eastAsia="Arial"/>
                <w:lang w:bidi="cs-CZ"/>
              </w:rPr>
            </w:pPr>
          </w:p>
          <w:p w14:paraId="15132F01" w14:textId="77777777" w:rsidR="004C1DAF" w:rsidRPr="008819AF" w:rsidRDefault="004C1DAF" w:rsidP="004C1DAF">
            <w:pPr>
              <w:pStyle w:val="Nra"/>
              <w:ind w:left="72"/>
              <w:rPr>
                <w:rFonts w:ascii="Times New Roman" w:eastAsia="a*i*l" w:hAnsi="Times New Roman" w:cs="Times New Roman"/>
              </w:rPr>
            </w:pPr>
            <w:r w:rsidRPr="008819AF">
              <w:rPr>
                <w:rFonts w:ascii="Times New Roman" w:eastAsia="a*i*l" w:hAnsi="Times New Roman" w:cs="Times New Roman"/>
              </w:rPr>
              <w:t>Ministerstvo</w:t>
            </w:r>
          </w:p>
          <w:p w14:paraId="15132F02" w14:textId="77777777" w:rsidR="004C1DAF" w:rsidRPr="008819AF" w:rsidRDefault="004C1DAF" w:rsidP="004C1DAF">
            <w:pPr>
              <w:pStyle w:val="Nra"/>
              <w:ind w:left="72"/>
              <w:rPr>
                <w:rFonts w:ascii="Times New Roman" w:eastAsia="a*i*l" w:hAnsi="Times New Roman" w:cs="Times New Roman"/>
              </w:rPr>
            </w:pPr>
            <w:r w:rsidRPr="008819AF">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15132F03" w14:textId="77777777" w:rsidR="004C1DAF" w:rsidRPr="008819AF" w:rsidRDefault="004C1DAF" w:rsidP="004C1DAF">
            <w:pPr>
              <w:ind w:left="72"/>
              <w:rPr>
                <w:rFonts w:eastAsia="Arial"/>
                <w:lang w:bidi="cs-CZ"/>
              </w:rPr>
            </w:pPr>
          </w:p>
          <w:p w14:paraId="15132F04" w14:textId="77777777" w:rsidR="004C1DAF" w:rsidRPr="008819AF" w:rsidRDefault="004C1DAF" w:rsidP="004C1DAF">
            <w:pPr>
              <w:pStyle w:val="Nra"/>
              <w:rPr>
                <w:rFonts w:ascii="Times New Roman" w:eastAsia="Arial" w:hAnsi="Times New Roman" w:cs="Times New Roman"/>
                <w:lang w:bidi="cs-CZ"/>
              </w:rPr>
            </w:pPr>
            <w:r w:rsidRPr="008819AF">
              <w:rPr>
                <w:rFonts w:ascii="Times New Roman" w:eastAsia="Arial" w:hAnsi="Times New Roman" w:cs="Times New Roman"/>
                <w:lang w:bidi="cs-CZ"/>
              </w:rPr>
              <w:t xml:space="preserve">5.SPAĽOVNE ODPADOV A ZARIADENIA NA SPOLUSPAĽOVANIE ODPADOV podľa § 20 ods. </w:t>
            </w:r>
            <w:r w:rsidR="005B5D9E" w:rsidRPr="008819AF">
              <w:rPr>
                <w:rFonts w:ascii="Times New Roman" w:eastAsia="Arial" w:hAnsi="Times New Roman" w:cs="Times New Roman"/>
                <w:lang w:bidi="cs-CZ"/>
              </w:rPr>
              <w:t>8</w:t>
            </w:r>
            <w:r w:rsidRPr="008819AF">
              <w:rPr>
                <w:rFonts w:ascii="Times New Roman" w:eastAsia="Arial" w:hAnsi="Times New Roman" w:cs="Times New Roman"/>
                <w:lang w:bidi="cs-CZ"/>
              </w:rPr>
              <w:t xml:space="preserve"> a </w:t>
            </w:r>
            <w:r w:rsidR="005B5D9E" w:rsidRPr="008819AF">
              <w:rPr>
                <w:rFonts w:ascii="Times New Roman" w:eastAsia="Arial" w:hAnsi="Times New Roman" w:cs="Times New Roman"/>
                <w:lang w:bidi="cs-CZ"/>
              </w:rPr>
              <w:t>9</w:t>
            </w:r>
            <w:r w:rsidRPr="008819AF">
              <w:rPr>
                <w:rFonts w:ascii="Times New Roman" w:eastAsia="Arial" w:hAnsi="Times New Roman" w:cs="Times New Roman"/>
                <w:lang w:bidi="cs-CZ"/>
              </w:rPr>
              <w:t xml:space="preserve"> zákona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7"/>
              <w:gridCol w:w="2899"/>
              <w:gridCol w:w="1354"/>
            </w:tblGrid>
            <w:tr w:rsidR="004C1DAF" w:rsidRPr="008819AF" w14:paraId="15132F08" w14:textId="77777777" w:rsidTr="00CB6CE7">
              <w:trPr>
                <w:jc w:val="center"/>
              </w:trPr>
              <w:tc>
                <w:tcPr>
                  <w:tcW w:w="1085" w:type="dxa"/>
                  <w:shd w:val="clear" w:color="auto" w:fill="auto"/>
                  <w:vAlign w:val="center"/>
                </w:tcPr>
                <w:p w14:paraId="15132F05" w14:textId="77777777" w:rsidR="004C1DAF" w:rsidRPr="008819AF" w:rsidRDefault="004C1DAF" w:rsidP="004C1DAF">
                  <w:pPr>
                    <w:widowControl w:val="0"/>
                    <w:ind w:right="-108"/>
                    <w:rPr>
                      <w:rFonts w:eastAsia="Arial"/>
                      <w:lang w:bidi="cs-CZ"/>
                    </w:rPr>
                  </w:pPr>
                  <w:r w:rsidRPr="008819AF">
                    <w:rPr>
                      <w:rFonts w:eastAsia="Arial"/>
                      <w:lang w:bidi="cs-CZ"/>
                    </w:rPr>
                    <w:t>Predmet správy, oznámenia</w:t>
                  </w:r>
                </w:p>
              </w:tc>
              <w:tc>
                <w:tcPr>
                  <w:tcW w:w="2443" w:type="dxa"/>
                  <w:shd w:val="clear" w:color="auto" w:fill="auto"/>
                  <w:vAlign w:val="center"/>
                </w:tcPr>
                <w:p w14:paraId="15132F06" w14:textId="77777777" w:rsidR="004C1DAF" w:rsidRPr="008819AF" w:rsidRDefault="004C1DAF" w:rsidP="004C1DAF">
                  <w:pPr>
                    <w:widowControl w:val="0"/>
                    <w:rPr>
                      <w:rFonts w:eastAsia="Arial"/>
                      <w:lang w:bidi="cs-CZ"/>
                    </w:rPr>
                  </w:pPr>
                  <w:r w:rsidRPr="008819AF">
                    <w:rPr>
                      <w:rFonts w:eastAsia="Arial"/>
                      <w:lang w:bidi="cs-CZ"/>
                    </w:rPr>
                    <w:t xml:space="preserve">Údaje, ktoré treba oznamovať </w:t>
                  </w:r>
                  <w:r w:rsidR="00445A6C" w:rsidRPr="008819AF">
                    <w:fldChar w:fldCharType="begin"/>
                  </w:r>
                  <w:r w:rsidR="00445A6C" w:rsidRPr="008819AF">
                    <w:instrText xml:space="preserve"> NOTEREF _Ref92216829 \h  \* MERGEFORMAT </w:instrText>
                  </w:r>
                  <w:r w:rsidR="00445A6C" w:rsidRPr="008819AF">
                    <w:fldChar w:fldCharType="separate"/>
                  </w:r>
                  <w:r w:rsidRPr="008819AF">
                    <w:t>2</w:t>
                  </w:r>
                  <w:r w:rsidR="00445A6C" w:rsidRPr="008819AF">
                    <w:fldChar w:fldCharType="end"/>
                  </w:r>
                  <w:r w:rsidRPr="008819AF">
                    <w:rPr>
                      <w:rFonts w:eastAsia="Arial"/>
                      <w:lang w:bidi="cs-CZ"/>
                    </w:rPr>
                    <w:t>)</w:t>
                  </w:r>
                </w:p>
              </w:tc>
              <w:tc>
                <w:tcPr>
                  <w:tcW w:w="1141" w:type="dxa"/>
                  <w:shd w:val="clear" w:color="auto" w:fill="auto"/>
                  <w:vAlign w:val="center"/>
                </w:tcPr>
                <w:p w14:paraId="15132F07" w14:textId="77777777" w:rsidR="004C1DAF" w:rsidRPr="008819AF" w:rsidRDefault="004C1DAF" w:rsidP="004C1DAF">
                  <w:pPr>
                    <w:widowControl w:val="0"/>
                    <w:rPr>
                      <w:rFonts w:eastAsia="Arial"/>
                      <w:lang w:bidi="cs-CZ"/>
                    </w:rPr>
                  </w:pPr>
                  <w:r w:rsidRPr="008819AF">
                    <w:rPr>
                      <w:rFonts w:eastAsia="Arial"/>
                      <w:lang w:bidi="cs-CZ"/>
                    </w:rPr>
                    <w:t>Lehoty / termíny</w:t>
                  </w:r>
                </w:p>
              </w:tc>
            </w:tr>
            <w:tr w:rsidR="004C1DAF" w:rsidRPr="008819AF" w14:paraId="15132F12" w14:textId="77777777" w:rsidTr="00CB6CE7">
              <w:trPr>
                <w:jc w:val="center"/>
              </w:trPr>
              <w:tc>
                <w:tcPr>
                  <w:tcW w:w="1085" w:type="dxa"/>
                  <w:shd w:val="clear" w:color="auto" w:fill="auto"/>
                  <w:vAlign w:val="center"/>
                </w:tcPr>
                <w:p w14:paraId="15132F09" w14:textId="77777777" w:rsidR="004C1DAF" w:rsidRPr="008819AF" w:rsidRDefault="004C1DAF" w:rsidP="004C1DAF">
                  <w:pPr>
                    <w:widowControl w:val="0"/>
                    <w:ind w:right="-108"/>
                    <w:rPr>
                      <w:rFonts w:eastAsia="Arial"/>
                      <w:lang w:bidi="cs-CZ"/>
                    </w:rPr>
                  </w:pPr>
                  <w:r w:rsidRPr="008819AF">
                    <w:rPr>
                      <w:rFonts w:eastAsia="Arial"/>
                      <w:lang w:bidi="cs-CZ"/>
                    </w:rPr>
                    <w:t>Informácie o uplatňovaní minimálnych požiadaviek</w:t>
                  </w:r>
                </w:p>
                <w:p w14:paraId="15132F0A" w14:textId="77777777" w:rsidR="004C1DAF" w:rsidRPr="008819AF" w:rsidRDefault="004C1DAF" w:rsidP="004C1DAF">
                  <w:pPr>
                    <w:widowControl w:val="0"/>
                    <w:ind w:right="-108"/>
                    <w:rPr>
                      <w:rFonts w:eastAsia="Arial"/>
                      <w:lang w:bidi="cs-CZ"/>
                    </w:rPr>
                  </w:pPr>
                  <w:r w:rsidRPr="008819AF">
                    <w:rPr>
                      <w:rFonts w:eastAsia="Arial"/>
                      <w:lang w:bidi="cs-CZ"/>
                    </w:rPr>
                    <w:t>na ochranu ovzdušia</w:t>
                  </w:r>
                </w:p>
              </w:tc>
              <w:tc>
                <w:tcPr>
                  <w:tcW w:w="2443" w:type="dxa"/>
                  <w:shd w:val="clear" w:color="auto" w:fill="auto"/>
                  <w:vAlign w:val="center"/>
                </w:tcPr>
                <w:p w14:paraId="15132F0B" w14:textId="77777777" w:rsidR="004C1DAF" w:rsidRPr="008819AF" w:rsidRDefault="004C1DAF" w:rsidP="004C1DAF">
                  <w:pPr>
                    <w:widowControl w:val="0"/>
                    <w:rPr>
                      <w:rFonts w:eastAsia="Arial"/>
                      <w:lang w:bidi="cs-CZ"/>
                    </w:rPr>
                  </w:pPr>
                  <w:r w:rsidRPr="008819AF">
                    <w:rPr>
                      <w:rFonts w:eastAsia="Arial"/>
                      <w:lang w:bidi="cs-CZ"/>
                    </w:rPr>
                    <w:t>Informácie o spaľovniach odpadov a zariadeniach  na spoluspaľovanie odpadov s kapacitou 2 t/h a viac najmä údaje</w:t>
                  </w:r>
                </w:p>
                <w:p w14:paraId="15132F0C" w14:textId="77777777" w:rsidR="004C1DAF" w:rsidRPr="008819AF" w:rsidRDefault="004C1DAF" w:rsidP="009C63CF">
                  <w:pPr>
                    <w:pStyle w:val="Odsekzoznamu"/>
                    <w:widowControl w:val="0"/>
                    <w:numPr>
                      <w:ilvl w:val="1"/>
                      <w:numId w:val="66"/>
                    </w:numPr>
                    <w:tabs>
                      <w:tab w:val="clear" w:pos="360"/>
                      <w:tab w:val="left" w:pos="121"/>
                    </w:tabs>
                    <w:spacing w:line="259" w:lineRule="auto"/>
                    <w:contextualSpacing/>
                    <w:rPr>
                      <w:rFonts w:eastAsia="Arial"/>
                      <w:sz w:val="20"/>
                      <w:szCs w:val="20"/>
                      <w:lang w:bidi="cs-CZ"/>
                    </w:rPr>
                  </w:pPr>
                  <w:r w:rsidRPr="008819AF">
                    <w:rPr>
                      <w:rFonts w:eastAsia="Arial"/>
                      <w:sz w:val="20"/>
                      <w:szCs w:val="20"/>
                      <w:lang w:bidi="cs-CZ"/>
                    </w:rPr>
                    <w:t>celková menovitá kapacita</w:t>
                  </w:r>
                </w:p>
                <w:p w14:paraId="15132F0D" w14:textId="77777777" w:rsidR="004C1DAF" w:rsidRPr="008819AF" w:rsidRDefault="004C1DAF" w:rsidP="009C63CF">
                  <w:pPr>
                    <w:pStyle w:val="Odsekzoznamu"/>
                    <w:widowControl w:val="0"/>
                    <w:numPr>
                      <w:ilvl w:val="1"/>
                      <w:numId w:val="66"/>
                    </w:numPr>
                    <w:tabs>
                      <w:tab w:val="clear" w:pos="360"/>
                      <w:tab w:val="left" w:pos="121"/>
                    </w:tabs>
                    <w:spacing w:line="259" w:lineRule="auto"/>
                    <w:contextualSpacing/>
                    <w:rPr>
                      <w:rFonts w:eastAsia="Arial"/>
                      <w:sz w:val="20"/>
                      <w:szCs w:val="20"/>
                      <w:lang w:bidi="cs-CZ"/>
                    </w:rPr>
                  </w:pPr>
                  <w:r w:rsidRPr="008819AF">
                    <w:rPr>
                      <w:rFonts w:eastAsia="Arial"/>
                      <w:sz w:val="20"/>
                      <w:szCs w:val="20"/>
                      <w:lang w:bidi="cs-CZ"/>
                    </w:rPr>
                    <w:t>povolená kapacita pre nebezpečný a nie nebezpečný odpad</w:t>
                  </w:r>
                </w:p>
                <w:p w14:paraId="15132F0E" w14:textId="77777777" w:rsidR="004C1DAF" w:rsidRPr="008819AF" w:rsidRDefault="004C1DAF" w:rsidP="009C63CF">
                  <w:pPr>
                    <w:pStyle w:val="Odsekzoznamu"/>
                    <w:widowControl w:val="0"/>
                    <w:numPr>
                      <w:ilvl w:val="1"/>
                      <w:numId w:val="66"/>
                    </w:numPr>
                    <w:tabs>
                      <w:tab w:val="clear" w:pos="360"/>
                      <w:tab w:val="left" w:pos="121"/>
                    </w:tabs>
                    <w:spacing w:line="259" w:lineRule="auto"/>
                    <w:contextualSpacing/>
                    <w:rPr>
                      <w:rFonts w:eastAsia="Arial"/>
                      <w:sz w:val="20"/>
                      <w:szCs w:val="20"/>
                      <w:lang w:bidi="cs-CZ"/>
                    </w:rPr>
                  </w:pPr>
                  <w:r w:rsidRPr="008819AF">
                    <w:rPr>
                      <w:rFonts w:eastAsia="Arial"/>
                      <w:sz w:val="20"/>
                      <w:szCs w:val="20"/>
                      <w:lang w:bidi="cs-CZ"/>
                    </w:rPr>
                    <w:t>bezpečnostné opatrenia na riadenie emisií</w:t>
                  </w:r>
                </w:p>
                <w:p w14:paraId="15132F0F" w14:textId="77777777" w:rsidR="004C1DAF" w:rsidRPr="008819AF" w:rsidRDefault="004C1DAF" w:rsidP="009C63CF">
                  <w:pPr>
                    <w:pStyle w:val="Odsekzoznamu"/>
                    <w:widowControl w:val="0"/>
                    <w:numPr>
                      <w:ilvl w:val="1"/>
                      <w:numId w:val="66"/>
                    </w:numPr>
                    <w:tabs>
                      <w:tab w:val="clear" w:pos="360"/>
                      <w:tab w:val="left" w:pos="121"/>
                    </w:tabs>
                    <w:spacing w:line="259" w:lineRule="auto"/>
                    <w:contextualSpacing/>
                    <w:rPr>
                      <w:rFonts w:eastAsia="Arial"/>
                      <w:sz w:val="20"/>
                      <w:szCs w:val="20"/>
                      <w:lang w:bidi="cs-CZ"/>
                    </w:rPr>
                  </w:pPr>
                  <w:r w:rsidRPr="008819AF">
                    <w:rPr>
                      <w:rFonts w:eastAsia="Arial"/>
                      <w:sz w:val="20"/>
                      <w:szCs w:val="20"/>
                      <w:lang w:bidi="cs-CZ"/>
                    </w:rPr>
                    <w:t>osobitné podmienky</w:t>
                  </w:r>
                </w:p>
                <w:p w14:paraId="15132F10" w14:textId="77777777" w:rsidR="004C1DAF" w:rsidRPr="008819AF" w:rsidRDefault="004C1DAF" w:rsidP="009C63CF">
                  <w:pPr>
                    <w:pStyle w:val="Odsekzoznamu"/>
                    <w:widowControl w:val="0"/>
                    <w:numPr>
                      <w:ilvl w:val="1"/>
                      <w:numId w:val="66"/>
                    </w:numPr>
                    <w:tabs>
                      <w:tab w:val="clear" w:pos="360"/>
                      <w:tab w:val="left" w:pos="121"/>
                    </w:tabs>
                    <w:spacing w:line="259" w:lineRule="auto"/>
                    <w:contextualSpacing/>
                    <w:rPr>
                      <w:rFonts w:eastAsia="Arial"/>
                      <w:sz w:val="20"/>
                      <w:szCs w:val="20"/>
                      <w:lang w:bidi="cs-CZ"/>
                    </w:rPr>
                  </w:pPr>
                  <w:r w:rsidRPr="008819AF">
                    <w:rPr>
                      <w:rFonts w:eastAsia="Arial"/>
                      <w:sz w:val="20"/>
                      <w:szCs w:val="20"/>
                      <w:lang w:bidi="cs-CZ"/>
                    </w:rPr>
                    <w:t>sprístupnenie informácií verejnosti</w:t>
                  </w:r>
                </w:p>
              </w:tc>
              <w:tc>
                <w:tcPr>
                  <w:tcW w:w="1141" w:type="dxa"/>
                  <w:shd w:val="clear" w:color="auto" w:fill="auto"/>
                  <w:vAlign w:val="center"/>
                </w:tcPr>
                <w:p w14:paraId="15132F11" w14:textId="77777777" w:rsidR="004C1DAF" w:rsidRPr="008819AF" w:rsidRDefault="004C1DAF" w:rsidP="004C1DAF">
                  <w:pPr>
                    <w:widowControl w:val="0"/>
                    <w:rPr>
                      <w:rFonts w:eastAsia="Arial"/>
                      <w:lang w:bidi="cs-CZ"/>
                    </w:rPr>
                  </w:pPr>
                  <w:r w:rsidRPr="008819AF">
                    <w:rPr>
                      <w:rFonts w:eastAsia="Arial"/>
                      <w:lang w:bidi="cs-CZ"/>
                    </w:rPr>
                    <w:t>Každý rok /do 30. septembra</w:t>
                  </w:r>
                </w:p>
              </w:tc>
            </w:tr>
            <w:tr w:rsidR="004C1DAF" w:rsidRPr="008819AF" w14:paraId="15132F16" w14:textId="77777777" w:rsidTr="00CB6CE7">
              <w:trPr>
                <w:jc w:val="center"/>
              </w:trPr>
              <w:tc>
                <w:tcPr>
                  <w:tcW w:w="1085" w:type="dxa"/>
                  <w:shd w:val="clear" w:color="auto" w:fill="auto"/>
                  <w:vAlign w:val="center"/>
                </w:tcPr>
                <w:p w14:paraId="15132F13" w14:textId="77777777" w:rsidR="004C1DAF" w:rsidRPr="008819AF" w:rsidRDefault="004C1DAF" w:rsidP="004C1DAF">
                  <w:pPr>
                    <w:widowControl w:val="0"/>
                    <w:ind w:right="-108"/>
                    <w:rPr>
                      <w:rFonts w:eastAsia="Arial"/>
                      <w:lang w:bidi="cs-CZ"/>
                    </w:rPr>
                  </w:pPr>
                  <w:r w:rsidRPr="008819AF">
                    <w:rPr>
                      <w:rFonts w:eastAsia="Arial"/>
                      <w:lang w:bidi="cs-CZ"/>
                    </w:rPr>
                    <w:lastRenderedPageBreak/>
                    <w:t>Informácie o zariadeniach</w:t>
                  </w:r>
                </w:p>
              </w:tc>
              <w:tc>
                <w:tcPr>
                  <w:tcW w:w="2443" w:type="dxa"/>
                  <w:shd w:val="clear" w:color="auto" w:fill="auto"/>
                  <w:vAlign w:val="center"/>
                </w:tcPr>
                <w:p w14:paraId="15132F14" w14:textId="77777777" w:rsidR="004C1DAF" w:rsidRPr="008819AF" w:rsidRDefault="004C1DAF" w:rsidP="004C1DAF">
                  <w:pPr>
                    <w:widowControl w:val="0"/>
                    <w:rPr>
                      <w:rFonts w:eastAsia="Arial"/>
                      <w:lang w:bidi="cs-CZ"/>
                    </w:rPr>
                  </w:pPr>
                  <w:r w:rsidRPr="008819AF">
                    <w:rPr>
                      <w:rFonts w:eastAsia="Arial"/>
                      <w:lang w:bidi="cs-CZ"/>
                    </w:rPr>
                    <w:t>Informácie o spaľovniach odpadov a zariadeniach  na spoluspaľovanie odpadov s kapacitou do 2 t/h</w:t>
                  </w:r>
                </w:p>
              </w:tc>
              <w:tc>
                <w:tcPr>
                  <w:tcW w:w="1141" w:type="dxa"/>
                  <w:shd w:val="clear" w:color="auto" w:fill="auto"/>
                  <w:vAlign w:val="center"/>
                </w:tcPr>
                <w:p w14:paraId="15132F15" w14:textId="77777777" w:rsidR="004C1DAF" w:rsidRPr="008819AF" w:rsidRDefault="004C1DAF" w:rsidP="004C1DAF">
                  <w:pPr>
                    <w:widowControl w:val="0"/>
                    <w:rPr>
                      <w:rFonts w:eastAsia="Arial"/>
                      <w:lang w:bidi="cs-CZ"/>
                    </w:rPr>
                  </w:pPr>
                  <w:r w:rsidRPr="008819AF">
                    <w:rPr>
                      <w:rFonts w:eastAsia="Arial"/>
                      <w:lang w:bidi="cs-CZ"/>
                    </w:rPr>
                    <w:t>Každé 3 roky /do 30. septembra</w:t>
                  </w:r>
                </w:p>
              </w:tc>
            </w:tr>
          </w:tbl>
          <w:p w14:paraId="15132F17" w14:textId="77777777" w:rsidR="004C1DAF" w:rsidRPr="008819AF" w:rsidRDefault="004C1DAF" w:rsidP="004C1DAF">
            <w:pPr>
              <w:pStyle w:val="Nra"/>
              <w:rPr>
                <w:rFonts w:ascii="Times New Roman" w:eastAsia="Arial" w:hAnsi="Times New Roman" w:cs="Times New Roman"/>
                <w:lang w:bidi="cs-CZ"/>
              </w:rPr>
            </w:pPr>
          </w:p>
          <w:p w14:paraId="15132F18" w14:textId="77777777" w:rsidR="004C1DAF" w:rsidRPr="008819AF" w:rsidRDefault="004C1DAF" w:rsidP="004C1DAF">
            <w:pPr>
              <w:pStyle w:val="Nra"/>
              <w:rPr>
                <w:rFonts w:ascii="Times New Roman" w:eastAsia="Arial" w:hAnsi="Times New Roman" w:cs="Times New Roman"/>
                <w:lang w:bidi="cs-CZ"/>
              </w:rPr>
            </w:pPr>
          </w:p>
          <w:p w14:paraId="15132F19" w14:textId="77777777" w:rsidR="004C1DAF" w:rsidRPr="008819AF" w:rsidRDefault="004C1DAF" w:rsidP="004C1DAF">
            <w:pPr>
              <w:pStyle w:val="Nra"/>
              <w:rPr>
                <w:rFonts w:ascii="Times New Roman" w:eastAsia="Arial" w:hAnsi="Times New Roman" w:cs="Times New Roman"/>
                <w:lang w:bidi="cs-CZ"/>
              </w:rPr>
            </w:pPr>
            <w:r w:rsidRPr="008819AF">
              <w:rPr>
                <w:rFonts w:ascii="Times New Roman" w:eastAsia="Arial" w:hAnsi="Times New Roman" w:cs="Times New Roman"/>
                <w:lang w:bidi="cs-CZ"/>
              </w:rPr>
              <w:t xml:space="preserve">6.ZARIADENIA POUŽÍVAJÚCE ORGANICKÉ ROZPÚŠŤADLÁ podľa § 20 ods. </w:t>
            </w:r>
            <w:r w:rsidR="005B5D9E" w:rsidRPr="008819AF">
              <w:rPr>
                <w:rFonts w:ascii="Times New Roman" w:eastAsia="Arial" w:hAnsi="Times New Roman" w:cs="Times New Roman"/>
                <w:lang w:bidi="cs-CZ"/>
              </w:rPr>
              <w:t>10</w:t>
            </w:r>
            <w:r w:rsidRPr="008819AF">
              <w:rPr>
                <w:rFonts w:ascii="Times New Roman" w:eastAsia="Arial" w:hAnsi="Times New Roman" w:cs="Times New Roman"/>
                <w:lang w:bidi="cs-CZ"/>
              </w:rPr>
              <w:t xml:space="preserve"> zákona</w:t>
            </w:r>
          </w:p>
          <w:p w14:paraId="15132F1A" w14:textId="77777777" w:rsidR="004C1DAF" w:rsidRPr="008819AF" w:rsidRDefault="004C1DAF" w:rsidP="004C1DAF">
            <w:pPr>
              <w:pStyle w:val="Nra"/>
              <w:rPr>
                <w:rFonts w:ascii="Times New Roman" w:eastAsia="Arial" w:hAnsi="Times New Roman" w:cs="Times New Roman"/>
                <w:lang w:bidi="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0"/>
              <w:gridCol w:w="2726"/>
              <w:gridCol w:w="1354"/>
            </w:tblGrid>
            <w:tr w:rsidR="004C1DAF" w:rsidRPr="008819AF" w14:paraId="15132F1E" w14:textId="77777777" w:rsidTr="00CB6CE7">
              <w:trPr>
                <w:trHeight w:val="552"/>
                <w:jc w:val="center"/>
              </w:trPr>
              <w:tc>
                <w:tcPr>
                  <w:tcW w:w="1231" w:type="dxa"/>
                  <w:shd w:val="clear" w:color="auto" w:fill="auto"/>
                  <w:vAlign w:val="center"/>
                </w:tcPr>
                <w:p w14:paraId="15132F1B" w14:textId="77777777" w:rsidR="004C1DAF" w:rsidRPr="008819AF" w:rsidRDefault="004C1DAF" w:rsidP="004C1DAF">
                  <w:pPr>
                    <w:widowControl w:val="0"/>
                    <w:ind w:right="-108"/>
                    <w:rPr>
                      <w:rFonts w:eastAsia="Arial"/>
                      <w:lang w:bidi="cs-CZ"/>
                    </w:rPr>
                  </w:pPr>
                  <w:r w:rsidRPr="008819AF">
                    <w:rPr>
                      <w:rFonts w:eastAsia="Arial"/>
                      <w:lang w:bidi="cs-CZ"/>
                    </w:rPr>
                    <w:t>Predmet správy, oznámenia</w:t>
                  </w:r>
                </w:p>
              </w:tc>
              <w:tc>
                <w:tcPr>
                  <w:tcW w:w="2297" w:type="dxa"/>
                  <w:shd w:val="clear" w:color="auto" w:fill="auto"/>
                  <w:vAlign w:val="center"/>
                </w:tcPr>
                <w:p w14:paraId="15132F1C" w14:textId="77777777" w:rsidR="004C1DAF" w:rsidRPr="008819AF" w:rsidRDefault="004C1DAF" w:rsidP="004C1DAF">
                  <w:pPr>
                    <w:widowControl w:val="0"/>
                    <w:rPr>
                      <w:rFonts w:eastAsia="Arial"/>
                      <w:lang w:bidi="cs-CZ"/>
                    </w:rPr>
                  </w:pPr>
                  <w:r w:rsidRPr="008819AF">
                    <w:rPr>
                      <w:rFonts w:eastAsia="Arial"/>
                      <w:lang w:bidi="cs-CZ"/>
                    </w:rPr>
                    <w:t xml:space="preserve">Údaje, ktoré treba oznamovať </w:t>
                  </w:r>
                  <w:r w:rsidR="00445A6C" w:rsidRPr="008819AF">
                    <w:fldChar w:fldCharType="begin"/>
                  </w:r>
                  <w:r w:rsidR="00445A6C" w:rsidRPr="008819AF">
                    <w:instrText xml:space="preserve"> NOTEREF _Ref92216829 \h  \* MERGEFORMAT </w:instrText>
                  </w:r>
                  <w:r w:rsidR="00445A6C" w:rsidRPr="008819AF">
                    <w:fldChar w:fldCharType="separate"/>
                  </w:r>
                  <w:r w:rsidRPr="008819AF">
                    <w:t>2</w:t>
                  </w:r>
                  <w:r w:rsidR="00445A6C" w:rsidRPr="008819AF">
                    <w:fldChar w:fldCharType="end"/>
                  </w:r>
                  <w:r w:rsidRPr="008819AF">
                    <w:rPr>
                      <w:rFonts w:eastAsia="Arial"/>
                      <w:lang w:bidi="cs-CZ"/>
                    </w:rPr>
                    <w:t>)</w:t>
                  </w:r>
                </w:p>
              </w:tc>
              <w:tc>
                <w:tcPr>
                  <w:tcW w:w="1141" w:type="dxa"/>
                  <w:shd w:val="clear" w:color="auto" w:fill="auto"/>
                  <w:vAlign w:val="center"/>
                </w:tcPr>
                <w:p w14:paraId="15132F1D" w14:textId="77777777" w:rsidR="004C1DAF" w:rsidRPr="008819AF" w:rsidRDefault="004C1DAF" w:rsidP="004C1DAF">
                  <w:pPr>
                    <w:widowControl w:val="0"/>
                    <w:rPr>
                      <w:rFonts w:eastAsia="Arial"/>
                      <w:lang w:bidi="cs-CZ"/>
                    </w:rPr>
                  </w:pPr>
                  <w:r w:rsidRPr="008819AF">
                    <w:rPr>
                      <w:rFonts w:eastAsia="Arial"/>
                      <w:lang w:bidi="cs-CZ"/>
                    </w:rPr>
                    <w:t>Lehoty / termíny</w:t>
                  </w:r>
                </w:p>
              </w:tc>
            </w:tr>
            <w:tr w:rsidR="004C1DAF" w:rsidRPr="008819AF" w14:paraId="15132F25" w14:textId="77777777" w:rsidTr="00CB6CE7">
              <w:trPr>
                <w:trHeight w:val="552"/>
                <w:jc w:val="center"/>
              </w:trPr>
              <w:tc>
                <w:tcPr>
                  <w:tcW w:w="1231" w:type="dxa"/>
                  <w:shd w:val="clear" w:color="auto" w:fill="auto"/>
                  <w:vAlign w:val="center"/>
                </w:tcPr>
                <w:p w14:paraId="15132F1F" w14:textId="77777777" w:rsidR="004C1DAF" w:rsidRPr="008819AF" w:rsidRDefault="004C1DAF" w:rsidP="004C1DAF">
                  <w:pPr>
                    <w:widowControl w:val="0"/>
                    <w:ind w:right="-108"/>
                    <w:rPr>
                      <w:rFonts w:eastAsia="Arial"/>
                      <w:lang w:bidi="cs-CZ"/>
                    </w:rPr>
                  </w:pPr>
                  <w:r w:rsidRPr="008819AF">
                    <w:rPr>
                      <w:rFonts w:eastAsia="Arial"/>
                      <w:lang w:bidi="cs-CZ"/>
                    </w:rPr>
                    <w:t>Informácie o uplatňovaní minimálnych požiadaviek</w:t>
                  </w:r>
                </w:p>
                <w:p w14:paraId="15132F20" w14:textId="77777777" w:rsidR="004C1DAF" w:rsidRPr="008819AF" w:rsidRDefault="004C1DAF" w:rsidP="004C1DAF">
                  <w:pPr>
                    <w:widowControl w:val="0"/>
                    <w:ind w:right="-108"/>
                    <w:rPr>
                      <w:rFonts w:eastAsia="Arial"/>
                      <w:lang w:bidi="cs-CZ"/>
                    </w:rPr>
                  </w:pPr>
                  <w:r w:rsidRPr="008819AF">
                    <w:rPr>
                      <w:rFonts w:eastAsia="Arial"/>
                      <w:lang w:bidi="cs-CZ"/>
                    </w:rPr>
                    <w:t>na ochranu ovzdušia</w:t>
                  </w:r>
                </w:p>
              </w:tc>
              <w:tc>
                <w:tcPr>
                  <w:tcW w:w="2297" w:type="dxa"/>
                  <w:shd w:val="clear" w:color="auto" w:fill="auto"/>
                  <w:vAlign w:val="center"/>
                </w:tcPr>
                <w:p w14:paraId="15132F21" w14:textId="77777777" w:rsidR="004C1DAF" w:rsidRPr="008819AF" w:rsidRDefault="004C1DAF" w:rsidP="004C1DAF">
                  <w:pPr>
                    <w:pStyle w:val="Odsekzoznamu"/>
                    <w:widowControl w:val="0"/>
                    <w:ind w:left="33"/>
                    <w:rPr>
                      <w:rFonts w:eastAsia="Arial"/>
                      <w:sz w:val="20"/>
                      <w:szCs w:val="20"/>
                      <w:lang w:bidi="cs-CZ"/>
                    </w:rPr>
                  </w:pPr>
                  <w:r w:rsidRPr="008819AF">
                    <w:rPr>
                      <w:rFonts w:eastAsia="Arial"/>
                      <w:sz w:val="20"/>
                      <w:szCs w:val="20"/>
                      <w:lang w:bidi="cs-CZ"/>
                    </w:rPr>
                    <w:t>Informácie o zariadeniach používajúcich organické rozpúšťadlá, ktoré sa týkajú:</w:t>
                  </w:r>
                </w:p>
                <w:p w14:paraId="15132F22" w14:textId="77777777" w:rsidR="004C1DAF" w:rsidRPr="008819AF" w:rsidRDefault="004C1DAF" w:rsidP="009C63CF">
                  <w:pPr>
                    <w:pStyle w:val="Odsekzoznamu"/>
                    <w:widowControl w:val="0"/>
                    <w:numPr>
                      <w:ilvl w:val="0"/>
                      <w:numId w:val="67"/>
                    </w:numPr>
                    <w:spacing w:line="259" w:lineRule="auto"/>
                    <w:ind w:left="0" w:hanging="705"/>
                    <w:contextualSpacing/>
                    <w:rPr>
                      <w:rFonts w:eastAsia="Arial"/>
                      <w:sz w:val="20"/>
                      <w:szCs w:val="20"/>
                      <w:lang w:bidi="cs-CZ"/>
                    </w:rPr>
                  </w:pPr>
                  <w:r w:rsidRPr="008819AF">
                    <w:rPr>
                      <w:rFonts w:eastAsia="Arial"/>
                      <w:sz w:val="20"/>
                      <w:szCs w:val="20"/>
                      <w:lang w:bidi="cs-CZ"/>
                    </w:rPr>
                    <w:t>uplatňovania emisných limitov prchavých organických zlúčenín a výnimiek z emisných limitov pre fugitívne emisie a pre prípady, v ktorých nemožno vypúšťať emisie za riadených podmienok, a ich odôvodnenie</w:t>
                  </w:r>
                </w:p>
                <w:p w14:paraId="15132F23" w14:textId="77777777" w:rsidR="004C1DAF" w:rsidRPr="008819AF" w:rsidRDefault="004C1DAF" w:rsidP="009C63CF">
                  <w:pPr>
                    <w:pStyle w:val="Odsekzoznamu"/>
                    <w:widowControl w:val="0"/>
                    <w:numPr>
                      <w:ilvl w:val="0"/>
                      <w:numId w:val="67"/>
                    </w:numPr>
                    <w:spacing w:line="259" w:lineRule="auto"/>
                    <w:ind w:left="0" w:hanging="705"/>
                    <w:contextualSpacing/>
                    <w:rPr>
                      <w:rFonts w:eastAsia="Arial"/>
                      <w:sz w:val="20"/>
                      <w:szCs w:val="20"/>
                      <w:lang w:bidi="cs-CZ"/>
                    </w:rPr>
                  </w:pPr>
                  <w:r w:rsidRPr="008819AF">
                    <w:rPr>
                      <w:rFonts w:eastAsia="Arial"/>
                      <w:sz w:val="20"/>
                      <w:szCs w:val="20"/>
                      <w:lang w:bidi="cs-CZ"/>
                    </w:rPr>
                    <w:t>uplatňovania redukčného plánu a preukázania rovnocenného zníženia emisií</w:t>
                  </w:r>
                </w:p>
              </w:tc>
              <w:tc>
                <w:tcPr>
                  <w:tcW w:w="1141" w:type="dxa"/>
                  <w:shd w:val="clear" w:color="auto" w:fill="auto"/>
                  <w:vAlign w:val="center"/>
                </w:tcPr>
                <w:p w14:paraId="15132F24" w14:textId="77777777" w:rsidR="004C1DAF" w:rsidRPr="008819AF" w:rsidRDefault="004C1DAF" w:rsidP="004C1DAF">
                  <w:pPr>
                    <w:widowControl w:val="0"/>
                    <w:rPr>
                      <w:rFonts w:eastAsia="Arial"/>
                      <w:lang w:bidi="cs-CZ"/>
                    </w:rPr>
                  </w:pPr>
                  <w:r w:rsidRPr="008819AF">
                    <w:rPr>
                      <w:rFonts w:eastAsia="Arial"/>
                      <w:lang w:bidi="cs-CZ"/>
                    </w:rPr>
                    <w:t>Každé 3 roky /do 30. septembra</w:t>
                  </w:r>
                </w:p>
              </w:tc>
            </w:tr>
          </w:tbl>
          <w:p w14:paraId="15132F26" w14:textId="77777777" w:rsidR="004C1DAF" w:rsidRPr="008819AF" w:rsidRDefault="004C1DAF" w:rsidP="004C1DAF">
            <w:pPr>
              <w:pStyle w:val="Nra"/>
              <w:rPr>
                <w:rFonts w:ascii="Times New Roman" w:eastAsia="Arial" w:hAnsi="Times New Roman" w:cs="Times New Roman"/>
                <w:lang w:bidi="cs-CZ"/>
              </w:rPr>
            </w:pPr>
          </w:p>
          <w:p w14:paraId="15132F27" w14:textId="77777777" w:rsidR="004C1DAF" w:rsidRPr="008819AF" w:rsidRDefault="004C1DAF" w:rsidP="004C1DAF">
            <w:pPr>
              <w:pStyle w:val="Nra"/>
              <w:rPr>
                <w:rFonts w:ascii="Times New Roman" w:eastAsia="Arial"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2F28" w14:textId="77777777" w:rsidR="004C1DAF" w:rsidRPr="008819AF" w:rsidRDefault="004C1DAF" w:rsidP="004C1DAF">
            <w:pPr>
              <w:ind w:left="215" w:hanging="215"/>
              <w:rPr>
                <w:rFonts w:eastAsia="Arial"/>
                <w:lang w:bidi="cs-CZ"/>
              </w:rPr>
            </w:pPr>
            <w:r w:rsidRPr="008819AF">
              <w:rPr>
                <w:rFonts w:eastAsia="Arial"/>
                <w:lang w:bidi="cs-CZ"/>
              </w:rPr>
              <w:lastRenderedPageBreak/>
              <w:t>Ú</w:t>
            </w:r>
          </w:p>
          <w:p w14:paraId="15132F29" w14:textId="77777777" w:rsidR="004C1DAF" w:rsidRPr="008819AF" w:rsidRDefault="004C1DAF" w:rsidP="004C1DAF">
            <w:pPr>
              <w:ind w:left="215" w:hanging="215"/>
              <w:rPr>
                <w:rFonts w:eastAsia="Arial"/>
                <w:lang w:bidi="cs-CZ"/>
              </w:rPr>
            </w:pPr>
          </w:p>
          <w:p w14:paraId="15132F2A" w14:textId="77777777" w:rsidR="004C1DAF" w:rsidRPr="008819AF" w:rsidRDefault="004C1DAF" w:rsidP="004C1DAF">
            <w:pPr>
              <w:ind w:left="215" w:hanging="215"/>
              <w:rPr>
                <w:rFonts w:eastAsia="Arial"/>
                <w:lang w:bidi="cs-CZ"/>
              </w:rPr>
            </w:pPr>
          </w:p>
          <w:p w14:paraId="15132F2B" w14:textId="77777777" w:rsidR="004C1DAF" w:rsidRPr="008819AF" w:rsidRDefault="004C1DAF" w:rsidP="004C1DAF">
            <w:pPr>
              <w:ind w:left="215" w:hanging="215"/>
              <w:rPr>
                <w:rFonts w:eastAsia="Arial"/>
                <w:lang w:bidi="cs-CZ"/>
              </w:rPr>
            </w:pPr>
          </w:p>
          <w:p w14:paraId="15132F2C" w14:textId="77777777" w:rsidR="004C1DAF" w:rsidRPr="008819AF" w:rsidRDefault="004C1DAF" w:rsidP="004C1DAF">
            <w:pPr>
              <w:ind w:left="215" w:hanging="215"/>
              <w:rPr>
                <w:rFonts w:eastAsia="Arial"/>
                <w:lang w:bidi="cs-CZ"/>
              </w:rPr>
            </w:pPr>
          </w:p>
          <w:p w14:paraId="15132F2D" w14:textId="77777777" w:rsidR="004C1DAF" w:rsidRPr="008819AF" w:rsidRDefault="004C1DAF" w:rsidP="004C1DAF">
            <w:pPr>
              <w:ind w:left="215" w:hanging="215"/>
              <w:rPr>
                <w:rFonts w:eastAsia="Arial"/>
                <w:lang w:bidi="cs-CZ"/>
              </w:rPr>
            </w:pPr>
          </w:p>
          <w:p w14:paraId="15132F2E" w14:textId="77777777" w:rsidR="004C1DAF" w:rsidRPr="008819AF" w:rsidRDefault="004C1DAF" w:rsidP="004C1DAF">
            <w:pPr>
              <w:ind w:left="215" w:hanging="215"/>
              <w:rPr>
                <w:rFonts w:eastAsia="Arial"/>
                <w:lang w:bidi="cs-CZ"/>
              </w:rPr>
            </w:pPr>
            <w:r w:rsidRPr="008819AF">
              <w:rPr>
                <w:rFonts w:eastAsia="Arial"/>
                <w:lang w:bidi="cs-CZ"/>
              </w:rPr>
              <w:t>Ú</w:t>
            </w:r>
          </w:p>
          <w:p w14:paraId="15132F2F" w14:textId="77777777" w:rsidR="004C1DAF" w:rsidRPr="008819AF" w:rsidRDefault="004C1DAF" w:rsidP="004C1DAF">
            <w:pPr>
              <w:ind w:left="215" w:hanging="215"/>
              <w:rPr>
                <w:rFonts w:eastAsia="Arial"/>
                <w:lang w:bidi="cs-CZ"/>
              </w:rPr>
            </w:pPr>
          </w:p>
          <w:p w14:paraId="15132F30" w14:textId="77777777" w:rsidR="004C1DAF" w:rsidRPr="008819AF" w:rsidRDefault="004C1DAF" w:rsidP="004C1DAF">
            <w:pPr>
              <w:ind w:left="215" w:hanging="215"/>
              <w:rPr>
                <w:rFonts w:eastAsia="Arial"/>
                <w:lang w:bidi="cs-CZ"/>
              </w:rPr>
            </w:pPr>
          </w:p>
          <w:p w14:paraId="15132F31" w14:textId="77777777" w:rsidR="004C1DAF" w:rsidRPr="008819AF" w:rsidRDefault="004C1DAF" w:rsidP="004C1DAF">
            <w:pPr>
              <w:ind w:left="215" w:hanging="215"/>
              <w:rPr>
                <w:rFonts w:eastAsia="Arial"/>
                <w:lang w:bidi="cs-CZ"/>
              </w:rPr>
            </w:pPr>
          </w:p>
          <w:p w14:paraId="15132F32" w14:textId="77777777" w:rsidR="004C1DAF" w:rsidRPr="008819AF" w:rsidRDefault="004C1DAF" w:rsidP="004C1DAF">
            <w:pPr>
              <w:ind w:left="215" w:hanging="215"/>
              <w:rPr>
                <w:rFonts w:eastAsia="Arial"/>
                <w:lang w:bidi="cs-CZ"/>
              </w:rPr>
            </w:pPr>
            <w:r w:rsidRPr="008819AF">
              <w:rPr>
                <w:rFonts w:eastAsia="Arial"/>
                <w:lang w:bidi="cs-CZ"/>
              </w:rPr>
              <w:t>Ú</w:t>
            </w:r>
          </w:p>
          <w:p w14:paraId="15132F33" w14:textId="77777777" w:rsidR="004C1DAF" w:rsidRPr="008819AF" w:rsidRDefault="004C1DAF" w:rsidP="004C1DAF">
            <w:pPr>
              <w:ind w:left="215" w:hanging="215"/>
              <w:rPr>
                <w:rFonts w:eastAsia="Arial"/>
                <w:lang w:bidi="cs-CZ"/>
              </w:rPr>
            </w:pPr>
          </w:p>
          <w:p w14:paraId="15132F34" w14:textId="77777777" w:rsidR="004C1DAF" w:rsidRPr="008819AF" w:rsidRDefault="004C1DAF" w:rsidP="004C1DAF">
            <w:pPr>
              <w:ind w:left="215" w:hanging="215"/>
              <w:rPr>
                <w:rFonts w:eastAsia="Arial"/>
                <w:lang w:bidi="cs-CZ"/>
              </w:rPr>
            </w:pPr>
          </w:p>
          <w:p w14:paraId="15132F35" w14:textId="77777777" w:rsidR="004C1DAF" w:rsidRPr="008819AF" w:rsidRDefault="004C1DAF" w:rsidP="004C1DAF">
            <w:pPr>
              <w:ind w:left="215" w:hanging="215"/>
              <w:rPr>
                <w:rFonts w:eastAsia="Arial"/>
                <w:lang w:bidi="cs-CZ"/>
              </w:rPr>
            </w:pPr>
          </w:p>
          <w:p w14:paraId="15132F36" w14:textId="77777777" w:rsidR="004C1DAF" w:rsidRPr="008819AF" w:rsidRDefault="004C1DAF" w:rsidP="004C1DAF">
            <w:pPr>
              <w:ind w:left="215" w:hanging="215"/>
              <w:rPr>
                <w:rFonts w:eastAsia="Arial"/>
                <w:lang w:bidi="cs-CZ"/>
              </w:rPr>
            </w:pPr>
          </w:p>
          <w:p w14:paraId="15132F37" w14:textId="77777777" w:rsidR="004C1DAF" w:rsidRPr="008819AF" w:rsidRDefault="004C1DAF" w:rsidP="004C1DAF">
            <w:pPr>
              <w:ind w:left="215" w:hanging="215"/>
              <w:rPr>
                <w:rFonts w:eastAsia="Arial"/>
                <w:lang w:bidi="cs-CZ"/>
              </w:rPr>
            </w:pPr>
          </w:p>
          <w:p w14:paraId="15132F38" w14:textId="77777777" w:rsidR="004C1DAF" w:rsidRPr="008819AF" w:rsidRDefault="004C1DAF" w:rsidP="004C1DAF">
            <w:pPr>
              <w:ind w:left="215" w:hanging="215"/>
              <w:rPr>
                <w:rFonts w:eastAsia="Arial"/>
                <w:lang w:bidi="cs-CZ"/>
              </w:rPr>
            </w:pPr>
            <w:r w:rsidRPr="008819AF">
              <w:rPr>
                <w:rFonts w:eastAsia="Arial"/>
                <w:lang w:bidi="cs-CZ"/>
              </w:rPr>
              <w:t>U</w:t>
            </w:r>
          </w:p>
        </w:tc>
        <w:tc>
          <w:tcPr>
            <w:tcW w:w="821" w:type="dxa"/>
            <w:gridSpan w:val="3"/>
            <w:tcBorders>
              <w:top w:val="single" w:sz="4" w:space="0" w:color="000000"/>
              <w:left w:val="single" w:sz="6" w:space="0" w:color="000000"/>
              <w:bottom w:val="single" w:sz="6" w:space="0" w:color="000000"/>
              <w:right w:val="single" w:sz="6" w:space="0" w:color="000000"/>
            </w:tcBorders>
          </w:tcPr>
          <w:p w14:paraId="15132F39" w14:textId="77777777" w:rsidR="004C1DAF" w:rsidRPr="008819AF" w:rsidRDefault="004C1DAF" w:rsidP="004C1DAF">
            <w:pPr>
              <w:ind w:left="215" w:hanging="215"/>
              <w:rPr>
                <w:rFonts w:eastAsia="Arial"/>
              </w:rPr>
            </w:pPr>
          </w:p>
          <w:p w14:paraId="15132F3A" w14:textId="77777777" w:rsidR="004C1DAF" w:rsidRPr="008819AF" w:rsidRDefault="004C1DAF" w:rsidP="004C1DAF">
            <w:pPr>
              <w:ind w:left="215" w:hanging="215"/>
              <w:rPr>
                <w:rFonts w:eastAsia="Arial"/>
              </w:rPr>
            </w:pPr>
          </w:p>
          <w:p w14:paraId="15132F3B" w14:textId="77777777" w:rsidR="004C1DAF" w:rsidRPr="008819AF" w:rsidRDefault="004C1DAF" w:rsidP="004C1DAF">
            <w:pPr>
              <w:ind w:left="215" w:hanging="215"/>
              <w:rPr>
                <w:rFonts w:eastAsia="Arial"/>
              </w:rPr>
            </w:pPr>
          </w:p>
          <w:p w14:paraId="15132F3C" w14:textId="77777777" w:rsidR="004C1DAF" w:rsidRPr="008819AF" w:rsidRDefault="004C1DAF" w:rsidP="004C1DAF">
            <w:pPr>
              <w:ind w:left="215" w:hanging="215"/>
              <w:rPr>
                <w:rFonts w:eastAsia="Arial"/>
              </w:rPr>
            </w:pPr>
          </w:p>
          <w:p w14:paraId="15132F3D" w14:textId="77777777" w:rsidR="004C1DAF" w:rsidRPr="008819AF" w:rsidRDefault="004C1DAF" w:rsidP="004C1DAF">
            <w:pPr>
              <w:ind w:left="215" w:hanging="215"/>
              <w:rPr>
                <w:rFonts w:eastAsia="Arial"/>
              </w:rPr>
            </w:pPr>
          </w:p>
          <w:p w14:paraId="15132F3E" w14:textId="77777777" w:rsidR="004C1DAF" w:rsidRPr="008819AF" w:rsidRDefault="004C1DAF" w:rsidP="004C1DAF">
            <w:pPr>
              <w:ind w:left="215" w:hanging="215"/>
              <w:rPr>
                <w:rFonts w:eastAsia="Arial"/>
              </w:rPr>
            </w:pPr>
          </w:p>
          <w:p w14:paraId="15132F3F" w14:textId="77777777" w:rsidR="004C1DAF" w:rsidRPr="008819AF" w:rsidRDefault="004C1DAF" w:rsidP="004C1DAF">
            <w:pPr>
              <w:ind w:left="215" w:hanging="215"/>
              <w:rPr>
                <w:rFonts w:eastAsia="Arial"/>
              </w:rPr>
            </w:pPr>
          </w:p>
          <w:p w14:paraId="15132F40" w14:textId="77777777" w:rsidR="004C1DAF" w:rsidRPr="008819AF" w:rsidRDefault="004C1DAF" w:rsidP="004C1DAF">
            <w:pPr>
              <w:ind w:left="215" w:hanging="215"/>
              <w:rPr>
                <w:rFonts w:eastAsia="Arial"/>
              </w:rPr>
            </w:pPr>
          </w:p>
          <w:p w14:paraId="15132F41" w14:textId="77777777" w:rsidR="004C1DAF" w:rsidRPr="008819AF" w:rsidRDefault="004C1DAF" w:rsidP="004C1DAF">
            <w:pPr>
              <w:ind w:left="215" w:hanging="215"/>
              <w:rPr>
                <w:rFonts w:eastAsia="Arial"/>
              </w:rPr>
            </w:pPr>
          </w:p>
          <w:p w14:paraId="15132F42" w14:textId="77777777" w:rsidR="004C1DAF" w:rsidRPr="008819AF" w:rsidRDefault="004C1DAF" w:rsidP="004C1DAF">
            <w:pPr>
              <w:ind w:left="215" w:hanging="215"/>
              <w:rPr>
                <w:rFonts w:eastAsia="Arial"/>
              </w:rPr>
            </w:pPr>
          </w:p>
          <w:p w14:paraId="15132F43" w14:textId="77777777" w:rsidR="004C1DAF" w:rsidRPr="008819AF" w:rsidRDefault="004C1DAF" w:rsidP="004C1DAF">
            <w:pPr>
              <w:ind w:left="215" w:hanging="215"/>
              <w:rPr>
                <w:rFonts w:eastAsia="Arial"/>
              </w:rPr>
            </w:pPr>
          </w:p>
          <w:p w14:paraId="15132F44" w14:textId="77777777" w:rsidR="004C1DAF" w:rsidRPr="008819AF" w:rsidRDefault="004C1DAF" w:rsidP="004C1DAF">
            <w:pPr>
              <w:ind w:left="215" w:hanging="215"/>
              <w:rPr>
                <w:rFonts w:eastAsia="Arial"/>
              </w:rPr>
            </w:pPr>
          </w:p>
          <w:p w14:paraId="15132F45" w14:textId="77777777" w:rsidR="004C1DAF" w:rsidRPr="008819AF" w:rsidRDefault="004C1DAF" w:rsidP="004C1DAF">
            <w:pPr>
              <w:ind w:left="215" w:hanging="215"/>
              <w:rPr>
                <w:rFonts w:eastAsia="Arial"/>
              </w:rPr>
            </w:pPr>
          </w:p>
          <w:p w14:paraId="15132F46" w14:textId="77777777" w:rsidR="004C1DAF" w:rsidRPr="008819AF" w:rsidRDefault="004C1DAF" w:rsidP="004C1DAF">
            <w:pPr>
              <w:ind w:left="215" w:hanging="215"/>
              <w:rPr>
                <w:rFonts w:eastAsia="Arial"/>
              </w:rPr>
            </w:pPr>
          </w:p>
          <w:p w14:paraId="15132F47" w14:textId="77777777" w:rsidR="004C1DAF" w:rsidRPr="008819AF" w:rsidRDefault="004C1DAF" w:rsidP="004C1DAF">
            <w:pPr>
              <w:ind w:left="215" w:hanging="215"/>
              <w:rPr>
                <w:rFonts w:eastAsia="Arial"/>
              </w:rPr>
            </w:pPr>
          </w:p>
          <w:p w14:paraId="15132F48" w14:textId="77777777" w:rsidR="004C1DAF" w:rsidRPr="008819AF" w:rsidRDefault="004C1DAF" w:rsidP="004C1DAF">
            <w:pPr>
              <w:ind w:left="215" w:hanging="215"/>
              <w:rPr>
                <w:rFonts w:eastAsia="Arial"/>
              </w:rPr>
            </w:pPr>
          </w:p>
          <w:p w14:paraId="15132F49" w14:textId="77777777" w:rsidR="004C1DAF" w:rsidRPr="008819AF" w:rsidRDefault="004C1DAF" w:rsidP="004C1DAF">
            <w:pPr>
              <w:rPr>
                <w:rFonts w:eastAsia="Arial"/>
              </w:rPr>
            </w:pPr>
            <w:r w:rsidRPr="008819AF">
              <w:rPr>
                <w:rFonts w:eastAsia="Arial"/>
              </w:rPr>
              <w:t xml:space="preserve">Text vyhlášky doplnený na základe Vykonávacieho rozhodnutia komisie (EÚ) 2018/1135, ktorým sa reportujú údaje </w:t>
            </w:r>
            <w:r w:rsidRPr="008819AF">
              <w:rPr>
                <w:rFonts w:eastAsia="Arial"/>
              </w:rPr>
              <w:lastRenderedPageBreak/>
              <w:t>o spaľovniach odpadov a zariadeniach na spoluspaľovanie odpadov.</w:t>
            </w:r>
          </w:p>
        </w:tc>
      </w:tr>
      <w:tr w:rsidR="004C1DAF" w:rsidRPr="008819AF" w14:paraId="15132FDC"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2F4B" w14:textId="77777777" w:rsidR="004C1DAF" w:rsidRPr="008819AF" w:rsidRDefault="004C1DAF" w:rsidP="004C1DAF">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2F4C" w14:textId="77777777" w:rsidR="004C1DAF" w:rsidRPr="008819AF" w:rsidRDefault="004C1DAF" w:rsidP="004C1DAF">
            <w:pPr>
              <w:ind w:left="215" w:hanging="215"/>
              <w:rPr>
                <w:rFonts w:eastAsia="Arial"/>
              </w:rPr>
            </w:pPr>
            <w:r w:rsidRPr="008819AF">
              <w:rPr>
                <w:rFonts w:eastAsia="Arial"/>
              </w:rPr>
              <w:t>3. Členské štáty každý rok počnúc 1. januárom 2016 zabezpečia inventarizáciu emisií oxidu siričitého, oxidov dusíka a tuhých znečisťujúcich látok a energetických vstupov všetkých spaľovacích zariadení, na ktoré sa vzťahuje kapitola III tejto smernice.</w:t>
            </w:r>
          </w:p>
          <w:p w14:paraId="15132F4D" w14:textId="77777777" w:rsidR="004C1DAF" w:rsidRPr="008819AF" w:rsidRDefault="004C1DAF" w:rsidP="004C1DAF">
            <w:pPr>
              <w:ind w:left="215" w:hanging="1"/>
              <w:rPr>
                <w:rFonts w:eastAsia="Arial"/>
              </w:rPr>
            </w:pPr>
            <w:r w:rsidRPr="008819AF">
              <w:rPr>
                <w:rFonts w:eastAsia="Arial"/>
              </w:rPr>
              <w:t>Príslušný orgán pri zohľadnení agregačných pravidiel uvedených v článku 29 získa tieto údaje o každom spaľovacom zariadení:</w:t>
            </w:r>
          </w:p>
          <w:p w14:paraId="15132F4E" w14:textId="77777777" w:rsidR="004C1DAF" w:rsidRPr="008819AF" w:rsidRDefault="004C1DAF" w:rsidP="009C63CF">
            <w:pPr>
              <w:numPr>
                <w:ilvl w:val="0"/>
                <w:numId w:val="46"/>
              </w:numPr>
              <w:spacing w:after="120"/>
              <w:ind w:left="497" w:hanging="283"/>
              <w:rPr>
                <w:rFonts w:eastAsia="Arial"/>
              </w:rPr>
            </w:pPr>
            <w:r w:rsidRPr="008819AF">
              <w:rPr>
                <w:rFonts w:eastAsia="Arial"/>
              </w:rPr>
              <w:t>celkový menovitý tepelný príkon (MW) spaľovacieho zariadenia;</w:t>
            </w:r>
          </w:p>
          <w:p w14:paraId="15132F4F" w14:textId="77777777" w:rsidR="004C1DAF" w:rsidRPr="008819AF" w:rsidRDefault="004C1DAF" w:rsidP="009C63CF">
            <w:pPr>
              <w:numPr>
                <w:ilvl w:val="0"/>
                <w:numId w:val="46"/>
              </w:numPr>
              <w:spacing w:after="120"/>
              <w:ind w:left="497" w:hanging="283"/>
              <w:rPr>
                <w:rFonts w:eastAsia="Arial"/>
              </w:rPr>
            </w:pPr>
            <w:r w:rsidRPr="008819AF">
              <w:rPr>
                <w:rFonts w:eastAsia="Arial"/>
              </w:rPr>
              <w:t>druh spaľovacieho zariadenia: kotol, plynová turbína, plynový motor, naftový motor, iný (uviesť druh);</w:t>
            </w:r>
          </w:p>
          <w:p w14:paraId="15132F50" w14:textId="77777777" w:rsidR="004C1DAF" w:rsidRPr="008819AF" w:rsidRDefault="004C1DAF" w:rsidP="009C63CF">
            <w:pPr>
              <w:numPr>
                <w:ilvl w:val="0"/>
                <w:numId w:val="46"/>
              </w:numPr>
              <w:spacing w:after="120"/>
              <w:ind w:left="497" w:hanging="283"/>
              <w:rPr>
                <w:rFonts w:eastAsia="Arial"/>
              </w:rPr>
            </w:pPr>
            <w:r w:rsidRPr="008819AF">
              <w:rPr>
                <w:rFonts w:eastAsia="Arial"/>
              </w:rPr>
              <w:t>dátum spustenia prevádzkovaní spaľovacieho zariadenia;</w:t>
            </w:r>
          </w:p>
          <w:p w14:paraId="15132F51" w14:textId="77777777" w:rsidR="004C1DAF" w:rsidRPr="008819AF" w:rsidRDefault="004C1DAF" w:rsidP="009C63CF">
            <w:pPr>
              <w:numPr>
                <w:ilvl w:val="0"/>
                <w:numId w:val="46"/>
              </w:numPr>
              <w:spacing w:after="120"/>
              <w:ind w:left="497" w:hanging="283"/>
              <w:rPr>
                <w:rFonts w:eastAsia="Arial"/>
              </w:rPr>
            </w:pPr>
            <w:r w:rsidRPr="008819AF">
              <w:rPr>
                <w:rFonts w:eastAsia="Arial"/>
              </w:rPr>
              <w:t xml:space="preserve">celkové ročné emisie (v tonách za rok) oxidu siričitého, oxidov dusíka a tuhých znečisťujúcich látok (ako celkové suspendované </w:t>
            </w:r>
            <w:r w:rsidRPr="008819AF">
              <w:rPr>
                <w:rFonts w:eastAsia="Arial"/>
              </w:rPr>
              <w:lastRenderedPageBreak/>
              <w:t>častice);</w:t>
            </w:r>
          </w:p>
          <w:p w14:paraId="15132F52" w14:textId="77777777" w:rsidR="004C1DAF" w:rsidRPr="008819AF" w:rsidRDefault="004C1DAF" w:rsidP="009C63CF">
            <w:pPr>
              <w:numPr>
                <w:ilvl w:val="0"/>
                <w:numId w:val="46"/>
              </w:numPr>
              <w:spacing w:after="120"/>
              <w:ind w:left="497" w:hanging="283"/>
              <w:rPr>
                <w:rFonts w:eastAsia="Arial"/>
              </w:rPr>
            </w:pPr>
            <w:r w:rsidRPr="008819AF">
              <w:rPr>
                <w:rFonts w:eastAsia="Arial"/>
              </w:rPr>
              <w:t>počet prevádzkových hodín spaľovacieho zariadenia;</w:t>
            </w:r>
          </w:p>
          <w:p w14:paraId="15132F53" w14:textId="77777777" w:rsidR="004C1DAF" w:rsidRPr="008819AF" w:rsidRDefault="004C1DAF" w:rsidP="009C63CF">
            <w:pPr>
              <w:numPr>
                <w:ilvl w:val="0"/>
                <w:numId w:val="46"/>
              </w:numPr>
              <w:spacing w:after="120"/>
              <w:ind w:left="497" w:hanging="283"/>
              <w:rPr>
                <w:rFonts w:eastAsia="Arial"/>
              </w:rPr>
            </w:pPr>
            <w:r w:rsidRPr="008819AF">
              <w:rPr>
                <w:rFonts w:eastAsia="Arial"/>
              </w:rPr>
              <w:t>celkové ročné množstvo energetických vstupov vztiahnuté na výhrevnosť (v TJ za rok), rozdelené podľa týchto kategórií paliva: čierne a hnedé uhlie, biomasa, rašelina, iné tuhé palivá (uviesť druh), kvapalné palivá, zemný plyn, iné plyny (uviesť druh).</w:t>
            </w:r>
          </w:p>
          <w:p w14:paraId="15132F54" w14:textId="77777777" w:rsidR="004C1DAF" w:rsidRPr="008819AF" w:rsidRDefault="004C1DAF" w:rsidP="004C1DAF">
            <w:pPr>
              <w:ind w:left="215" w:hanging="1"/>
              <w:rPr>
                <w:rFonts w:eastAsia="Arial"/>
              </w:rPr>
            </w:pPr>
            <w:r w:rsidRPr="008819AF">
              <w:rPr>
                <w:rFonts w:eastAsia="Arial"/>
              </w:rPr>
              <w:t>Údaje z každoročnej inventarizácie za jednotlivé zariadenia sa na požiadanie sprístupnia Komisii.</w:t>
            </w:r>
          </w:p>
          <w:p w14:paraId="15132F55" w14:textId="77777777" w:rsidR="004C1DAF" w:rsidRPr="008819AF" w:rsidRDefault="004C1DAF" w:rsidP="004C1DAF">
            <w:pPr>
              <w:ind w:left="215" w:hanging="1"/>
              <w:rPr>
                <w:rFonts w:eastAsia="Arial"/>
              </w:rPr>
            </w:pPr>
            <w:r w:rsidRPr="008819AF">
              <w:rPr>
                <w:rFonts w:eastAsia="Arial"/>
              </w:rPr>
              <w:t>Súhrn inventúr sa sprístupní Komisii každé tri roky do 12 mesiacov od konca príslušného trojročného obdobia. V tomto súhrne sú oddelene uvedené údaje o spaľovacích zariadeniach v rámci rafinérií.</w:t>
            </w:r>
          </w:p>
          <w:p w14:paraId="15132F56" w14:textId="77777777" w:rsidR="004C1DAF" w:rsidRPr="008819AF" w:rsidRDefault="004C1DAF" w:rsidP="004C1DAF">
            <w:pPr>
              <w:ind w:left="215" w:hanging="1"/>
              <w:rPr>
                <w:rFonts w:eastAsia="Arial"/>
              </w:rPr>
            </w:pPr>
            <w:r w:rsidRPr="008819AF">
              <w:rPr>
                <w:rFonts w:eastAsia="Arial"/>
              </w:rPr>
              <w:t>Komisia sprístupní členským štátom a verejnosti prehľad porovnaní a vyhodnotení údajov z týchto inventúr v súlade so smernicou 2003/4/ES do 24 mesiacov od konca príslušného trojročného obdobia..</w:t>
            </w:r>
          </w:p>
          <w:p w14:paraId="15132F57" w14:textId="77777777" w:rsidR="004C1DAF" w:rsidRPr="008819AF" w:rsidRDefault="004C1DAF" w:rsidP="004C1DAF">
            <w:pPr>
              <w:ind w:left="215" w:hanging="1"/>
              <w:rPr>
                <w:rFonts w:eastAsia="Arial"/>
              </w:rPr>
            </w:pPr>
          </w:p>
          <w:p w14:paraId="15132F58" w14:textId="77777777" w:rsidR="004C1DAF" w:rsidRPr="008819AF" w:rsidRDefault="004C1DAF" w:rsidP="004C1DAF">
            <w:pPr>
              <w:ind w:left="215" w:hanging="215"/>
              <w:rPr>
                <w:rFonts w:eastAsia="Arial"/>
              </w:rPr>
            </w:pPr>
            <w:r w:rsidRPr="008819AF">
              <w:rPr>
                <w:rFonts w:eastAsia="Arial"/>
              </w:rPr>
              <w:t>4. Členské štáty počnúc 1. januárom 2016 Komisii každoročne oznamujú tieto údaje:</w:t>
            </w:r>
          </w:p>
          <w:p w14:paraId="15132F59" w14:textId="77777777" w:rsidR="004C1DAF" w:rsidRPr="008819AF" w:rsidRDefault="004C1DAF" w:rsidP="009C63CF">
            <w:pPr>
              <w:numPr>
                <w:ilvl w:val="0"/>
                <w:numId w:val="47"/>
              </w:numPr>
              <w:spacing w:after="120"/>
              <w:ind w:left="497" w:hanging="283"/>
              <w:rPr>
                <w:rFonts w:eastAsia="Arial"/>
              </w:rPr>
            </w:pPr>
            <w:r w:rsidRPr="008819AF">
              <w:rPr>
                <w:rFonts w:eastAsia="Arial"/>
              </w:rPr>
              <w:t>v prípade spaľovacích zariadení, na ktoré sa vzťahuje článok 31, obsah síry v používanom domácom tuhom palive a dosiahnutý stupeň odsírenia, a to ako priemer za každý mesiac; za prvý rok uplatňovania článku 31 sa oznámi aj technické odôvodnenie nemožnosti dodržiavať emisné limity uvedené v článku 30 ods. 2 a 3; a</w:t>
            </w:r>
          </w:p>
          <w:p w14:paraId="15132F5A" w14:textId="77777777" w:rsidR="004C1DAF" w:rsidRPr="008819AF" w:rsidRDefault="004C1DAF" w:rsidP="004C1DAF">
            <w:pPr>
              <w:spacing w:after="120"/>
              <w:ind w:left="497"/>
              <w:rPr>
                <w:rFonts w:eastAsia="Arial"/>
              </w:rPr>
            </w:pPr>
          </w:p>
          <w:p w14:paraId="15132F5B" w14:textId="77777777" w:rsidR="004C1DAF" w:rsidRPr="008819AF" w:rsidRDefault="004C1DAF" w:rsidP="004C1DAF">
            <w:pPr>
              <w:spacing w:after="120"/>
              <w:ind w:left="497"/>
              <w:rPr>
                <w:rFonts w:eastAsia="Arial"/>
              </w:rPr>
            </w:pPr>
          </w:p>
          <w:p w14:paraId="15132F5C" w14:textId="77777777" w:rsidR="004C1DAF" w:rsidRPr="008819AF" w:rsidRDefault="004C1DAF" w:rsidP="004C1DAF">
            <w:pPr>
              <w:spacing w:after="120"/>
              <w:ind w:left="497"/>
              <w:rPr>
                <w:rFonts w:eastAsia="Arial"/>
              </w:rPr>
            </w:pPr>
          </w:p>
          <w:p w14:paraId="15132F5D" w14:textId="77777777" w:rsidR="004C1DAF" w:rsidRPr="008819AF" w:rsidRDefault="004C1DAF" w:rsidP="009C63CF">
            <w:pPr>
              <w:numPr>
                <w:ilvl w:val="0"/>
                <w:numId w:val="47"/>
              </w:numPr>
              <w:ind w:left="497" w:hanging="283"/>
              <w:rPr>
                <w:rFonts w:eastAsia="Arial"/>
              </w:rPr>
            </w:pPr>
            <w:r w:rsidRPr="008819AF">
              <w:rPr>
                <w:rFonts w:eastAsia="Arial"/>
              </w:rPr>
              <w:t>v prípade spaľovacích zariadení, ktoré nie sú v prevádzke viac ako 1 500 prevádzkových hodín ročne ako plávajúci priemer za päť rokov, počet prevádzkových hodín za rok.</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F5E" w14:textId="77777777" w:rsidR="004C1DAF" w:rsidRPr="008819AF" w:rsidRDefault="004C1DAF" w:rsidP="004C1DAF">
            <w:pPr>
              <w:ind w:left="215" w:hanging="215"/>
              <w:jc w:val="center"/>
              <w:rPr>
                <w:rFonts w:eastAsia="Arial"/>
                <w:lang w:bidi="cs-CZ"/>
              </w:rPr>
            </w:pPr>
            <w:r w:rsidRPr="008819AF">
              <w:rPr>
                <w:rFonts w:eastAsia="Arial"/>
                <w:lang w:bidi="cs-CZ"/>
              </w:rPr>
              <w:lastRenderedPageBreak/>
              <w:t>N</w:t>
            </w:r>
          </w:p>
          <w:p w14:paraId="15132F5F" w14:textId="77777777" w:rsidR="004C1DAF" w:rsidRPr="008819AF" w:rsidRDefault="004C1DAF" w:rsidP="004C1DAF">
            <w:pPr>
              <w:ind w:left="215" w:hanging="215"/>
              <w:jc w:val="center"/>
              <w:rPr>
                <w:rFonts w:eastAsia="Arial"/>
                <w:lang w:bidi="cs-CZ"/>
              </w:rPr>
            </w:pPr>
          </w:p>
          <w:p w14:paraId="15132F60" w14:textId="77777777" w:rsidR="004C1DAF" w:rsidRPr="008819AF" w:rsidRDefault="004C1DAF" w:rsidP="004C1DAF">
            <w:pPr>
              <w:ind w:left="215" w:hanging="215"/>
              <w:jc w:val="center"/>
              <w:rPr>
                <w:rFonts w:eastAsia="Arial"/>
                <w:lang w:bidi="cs-CZ"/>
              </w:rPr>
            </w:pPr>
          </w:p>
          <w:p w14:paraId="15132F61" w14:textId="77777777" w:rsidR="004C1DAF" w:rsidRPr="008819AF" w:rsidRDefault="004C1DAF" w:rsidP="004C1DAF">
            <w:pPr>
              <w:ind w:left="215" w:hanging="215"/>
              <w:jc w:val="center"/>
              <w:rPr>
                <w:rFonts w:eastAsia="Arial"/>
                <w:lang w:bidi="cs-CZ"/>
              </w:rPr>
            </w:pPr>
          </w:p>
          <w:p w14:paraId="15132F62" w14:textId="77777777" w:rsidR="004C1DAF" w:rsidRPr="008819AF" w:rsidRDefault="004C1DAF" w:rsidP="004C1DAF">
            <w:pPr>
              <w:ind w:left="215" w:hanging="215"/>
              <w:jc w:val="center"/>
              <w:rPr>
                <w:rFonts w:eastAsia="Arial"/>
                <w:lang w:bidi="cs-CZ"/>
              </w:rPr>
            </w:pPr>
          </w:p>
          <w:p w14:paraId="15132F63" w14:textId="77777777" w:rsidR="004C1DAF" w:rsidRPr="008819AF" w:rsidRDefault="004C1DAF" w:rsidP="004C1DAF">
            <w:pPr>
              <w:ind w:left="215" w:hanging="215"/>
              <w:jc w:val="center"/>
              <w:rPr>
                <w:rFonts w:eastAsia="Arial"/>
                <w:lang w:bidi="cs-CZ"/>
              </w:rPr>
            </w:pPr>
          </w:p>
          <w:p w14:paraId="15132F64" w14:textId="77777777" w:rsidR="004C1DAF" w:rsidRPr="008819AF" w:rsidRDefault="004C1DAF" w:rsidP="004C1DAF">
            <w:pPr>
              <w:ind w:left="215" w:hanging="215"/>
              <w:jc w:val="center"/>
              <w:rPr>
                <w:rFonts w:eastAsia="Arial"/>
                <w:lang w:bidi="cs-CZ"/>
              </w:rPr>
            </w:pPr>
          </w:p>
          <w:p w14:paraId="15132F65" w14:textId="77777777" w:rsidR="004C1DAF" w:rsidRPr="008819AF" w:rsidRDefault="004C1DAF" w:rsidP="004C1DAF">
            <w:pPr>
              <w:ind w:left="215" w:hanging="215"/>
              <w:jc w:val="center"/>
              <w:rPr>
                <w:rFonts w:eastAsia="Arial"/>
                <w:lang w:bidi="cs-CZ"/>
              </w:rPr>
            </w:pPr>
          </w:p>
          <w:p w14:paraId="15132F66" w14:textId="77777777" w:rsidR="004C1DAF" w:rsidRPr="008819AF" w:rsidRDefault="004C1DAF" w:rsidP="004C1DAF">
            <w:pPr>
              <w:ind w:left="215" w:hanging="215"/>
              <w:jc w:val="center"/>
              <w:rPr>
                <w:rFonts w:eastAsia="Arial"/>
                <w:lang w:bidi="cs-CZ"/>
              </w:rPr>
            </w:pPr>
          </w:p>
          <w:p w14:paraId="15132F67" w14:textId="77777777" w:rsidR="004C1DAF" w:rsidRPr="008819AF" w:rsidRDefault="004C1DAF" w:rsidP="004C1DAF">
            <w:pPr>
              <w:ind w:left="215" w:hanging="215"/>
              <w:jc w:val="center"/>
              <w:rPr>
                <w:rFonts w:eastAsia="Arial"/>
                <w:lang w:bidi="cs-CZ"/>
              </w:rPr>
            </w:pPr>
          </w:p>
          <w:p w14:paraId="15132F68" w14:textId="77777777" w:rsidR="004C1DAF" w:rsidRPr="008819AF" w:rsidRDefault="004C1DAF" w:rsidP="004C1DAF">
            <w:pPr>
              <w:ind w:left="215" w:hanging="215"/>
              <w:jc w:val="center"/>
              <w:rPr>
                <w:rFonts w:eastAsia="Arial"/>
                <w:lang w:bidi="cs-CZ"/>
              </w:rPr>
            </w:pPr>
          </w:p>
          <w:p w14:paraId="15132F69" w14:textId="77777777" w:rsidR="004C1DAF" w:rsidRPr="008819AF" w:rsidRDefault="004C1DAF" w:rsidP="004C1DAF">
            <w:pPr>
              <w:ind w:left="215" w:hanging="215"/>
              <w:jc w:val="center"/>
              <w:rPr>
                <w:rFonts w:eastAsia="Arial"/>
                <w:lang w:bidi="cs-CZ"/>
              </w:rPr>
            </w:pPr>
          </w:p>
          <w:p w14:paraId="15132F6A" w14:textId="77777777" w:rsidR="004C1DAF" w:rsidRPr="008819AF" w:rsidRDefault="004C1DAF" w:rsidP="004C1DAF">
            <w:pPr>
              <w:ind w:left="215" w:hanging="215"/>
              <w:jc w:val="center"/>
              <w:rPr>
                <w:rFonts w:eastAsia="Arial"/>
                <w:lang w:bidi="cs-CZ"/>
              </w:rPr>
            </w:pPr>
          </w:p>
          <w:p w14:paraId="15132F6B" w14:textId="77777777" w:rsidR="004C1DAF" w:rsidRPr="008819AF" w:rsidRDefault="004C1DAF" w:rsidP="004C1DAF">
            <w:pPr>
              <w:ind w:left="215" w:hanging="215"/>
              <w:jc w:val="center"/>
              <w:rPr>
                <w:rFonts w:eastAsia="Arial"/>
                <w:lang w:bidi="cs-CZ"/>
              </w:rPr>
            </w:pPr>
          </w:p>
          <w:p w14:paraId="15132F6C" w14:textId="77777777" w:rsidR="004C1DAF" w:rsidRPr="008819AF" w:rsidRDefault="004C1DAF" w:rsidP="004C1DAF">
            <w:pPr>
              <w:ind w:left="215" w:hanging="215"/>
              <w:jc w:val="center"/>
              <w:rPr>
                <w:rFonts w:eastAsia="Arial"/>
                <w:lang w:bidi="cs-CZ"/>
              </w:rPr>
            </w:pPr>
          </w:p>
          <w:p w14:paraId="15132F6D" w14:textId="77777777" w:rsidR="004C1DAF" w:rsidRPr="008819AF" w:rsidRDefault="004C1DAF" w:rsidP="004C1DAF">
            <w:pPr>
              <w:ind w:left="215" w:hanging="215"/>
              <w:jc w:val="center"/>
              <w:rPr>
                <w:rFonts w:eastAsia="Arial"/>
                <w:lang w:bidi="cs-CZ"/>
              </w:rPr>
            </w:pPr>
          </w:p>
          <w:p w14:paraId="15132F6E" w14:textId="77777777" w:rsidR="004C1DAF" w:rsidRPr="008819AF" w:rsidRDefault="004C1DAF" w:rsidP="004C1DAF">
            <w:pPr>
              <w:ind w:left="215" w:hanging="215"/>
              <w:jc w:val="center"/>
              <w:rPr>
                <w:rFonts w:eastAsia="Arial"/>
                <w:lang w:bidi="cs-CZ"/>
              </w:rPr>
            </w:pPr>
          </w:p>
          <w:p w14:paraId="15132F6F" w14:textId="77777777" w:rsidR="004C1DAF" w:rsidRPr="008819AF" w:rsidRDefault="004C1DAF" w:rsidP="004C1DAF">
            <w:pPr>
              <w:ind w:left="215" w:hanging="215"/>
              <w:jc w:val="center"/>
              <w:rPr>
                <w:rFonts w:eastAsia="Arial"/>
                <w:lang w:bidi="cs-CZ"/>
              </w:rPr>
            </w:pPr>
          </w:p>
          <w:p w14:paraId="15132F70" w14:textId="77777777" w:rsidR="004C1DAF" w:rsidRPr="008819AF" w:rsidRDefault="004C1DAF" w:rsidP="004C1DAF">
            <w:pPr>
              <w:ind w:left="215" w:hanging="215"/>
              <w:jc w:val="center"/>
              <w:rPr>
                <w:rFonts w:eastAsia="Arial"/>
                <w:lang w:bidi="cs-CZ"/>
              </w:rPr>
            </w:pPr>
          </w:p>
          <w:p w14:paraId="15132F71" w14:textId="77777777" w:rsidR="004C1DAF" w:rsidRPr="008819AF" w:rsidRDefault="004C1DAF" w:rsidP="004C1DAF">
            <w:pPr>
              <w:ind w:left="215" w:hanging="215"/>
              <w:jc w:val="center"/>
              <w:rPr>
                <w:rFonts w:eastAsia="Arial"/>
                <w:lang w:bidi="cs-CZ"/>
              </w:rPr>
            </w:pPr>
          </w:p>
          <w:p w14:paraId="15132F72" w14:textId="77777777" w:rsidR="004C1DAF" w:rsidRPr="008819AF" w:rsidRDefault="004C1DAF" w:rsidP="004C1DAF">
            <w:pPr>
              <w:ind w:left="215" w:hanging="215"/>
              <w:jc w:val="center"/>
              <w:rPr>
                <w:rFonts w:eastAsia="Arial"/>
                <w:lang w:bidi="cs-CZ"/>
              </w:rPr>
            </w:pPr>
          </w:p>
          <w:p w14:paraId="15132F73" w14:textId="77777777" w:rsidR="004C1DAF" w:rsidRPr="008819AF" w:rsidRDefault="004C1DAF" w:rsidP="004C1DAF">
            <w:pPr>
              <w:ind w:left="215" w:hanging="215"/>
              <w:jc w:val="center"/>
              <w:rPr>
                <w:rFonts w:eastAsia="Arial"/>
                <w:lang w:bidi="cs-CZ"/>
              </w:rPr>
            </w:pPr>
          </w:p>
          <w:p w14:paraId="15132F74" w14:textId="77777777" w:rsidR="004C1DAF" w:rsidRPr="008819AF" w:rsidRDefault="004C1DAF" w:rsidP="004C1DAF">
            <w:pPr>
              <w:ind w:left="215" w:hanging="215"/>
              <w:jc w:val="center"/>
              <w:rPr>
                <w:rFonts w:eastAsia="Arial"/>
                <w:lang w:bidi="cs-CZ"/>
              </w:rPr>
            </w:pPr>
          </w:p>
          <w:p w14:paraId="15132F75" w14:textId="77777777" w:rsidR="004C1DAF" w:rsidRPr="008819AF" w:rsidRDefault="004C1DAF" w:rsidP="004C1DAF">
            <w:pPr>
              <w:ind w:left="215" w:hanging="215"/>
              <w:jc w:val="center"/>
              <w:rPr>
                <w:rFonts w:eastAsia="Arial"/>
                <w:lang w:bidi="cs-CZ"/>
              </w:rPr>
            </w:pPr>
          </w:p>
          <w:p w14:paraId="15132F76" w14:textId="77777777" w:rsidR="004C1DAF" w:rsidRPr="008819AF" w:rsidRDefault="004C1DAF" w:rsidP="004C1DAF">
            <w:pPr>
              <w:ind w:left="215" w:hanging="215"/>
              <w:jc w:val="center"/>
              <w:rPr>
                <w:rFonts w:eastAsia="Arial"/>
                <w:lang w:bidi="cs-CZ"/>
              </w:rPr>
            </w:pPr>
          </w:p>
          <w:p w14:paraId="15132F77" w14:textId="77777777" w:rsidR="004C1DAF" w:rsidRPr="008819AF" w:rsidRDefault="004C1DAF" w:rsidP="004C1DAF">
            <w:pPr>
              <w:ind w:left="215" w:hanging="215"/>
              <w:jc w:val="center"/>
              <w:rPr>
                <w:rFonts w:eastAsia="Arial"/>
                <w:lang w:bidi="cs-CZ"/>
              </w:rPr>
            </w:pPr>
          </w:p>
          <w:p w14:paraId="15132F78" w14:textId="77777777" w:rsidR="004C1DAF" w:rsidRPr="008819AF" w:rsidRDefault="004C1DAF" w:rsidP="004C1DAF">
            <w:pPr>
              <w:ind w:left="215" w:hanging="215"/>
              <w:jc w:val="center"/>
              <w:rPr>
                <w:rFonts w:eastAsia="Arial"/>
                <w:lang w:bidi="cs-CZ"/>
              </w:rPr>
            </w:pPr>
          </w:p>
          <w:p w14:paraId="15132F79" w14:textId="77777777" w:rsidR="00803D61" w:rsidRPr="008819AF" w:rsidRDefault="00803D61" w:rsidP="004C1DAF">
            <w:pPr>
              <w:ind w:left="215" w:hanging="215"/>
              <w:jc w:val="center"/>
              <w:rPr>
                <w:rFonts w:eastAsia="Arial"/>
                <w:lang w:bidi="cs-CZ"/>
              </w:rPr>
            </w:pPr>
          </w:p>
          <w:p w14:paraId="15132F7A" w14:textId="77777777" w:rsidR="004C1DAF" w:rsidRPr="008819AF" w:rsidRDefault="004C1DAF" w:rsidP="004C1DAF">
            <w:pPr>
              <w:ind w:left="215" w:hanging="215"/>
              <w:jc w:val="center"/>
              <w:rPr>
                <w:rFonts w:eastAsia="Arial"/>
                <w:lang w:bidi="cs-CZ"/>
              </w:rPr>
            </w:pPr>
          </w:p>
          <w:p w14:paraId="15132F7B" w14:textId="77777777" w:rsidR="004C1DAF" w:rsidRPr="008819AF" w:rsidRDefault="004C1DAF" w:rsidP="004C1DAF">
            <w:pPr>
              <w:ind w:left="215" w:hanging="215"/>
              <w:jc w:val="center"/>
              <w:rPr>
                <w:rFonts w:eastAsia="Arial"/>
                <w:lang w:bidi="cs-CZ"/>
              </w:rPr>
            </w:pPr>
          </w:p>
          <w:p w14:paraId="15132F7C" w14:textId="77777777" w:rsidR="004C1DAF" w:rsidRPr="008819AF" w:rsidRDefault="004C1DAF" w:rsidP="004C1DAF">
            <w:pPr>
              <w:ind w:left="215" w:hanging="215"/>
              <w:jc w:val="center"/>
              <w:rPr>
                <w:rFonts w:eastAsia="Arial"/>
                <w:lang w:bidi="cs-CZ"/>
              </w:rPr>
            </w:pPr>
          </w:p>
          <w:p w14:paraId="15132F7D" w14:textId="77777777" w:rsidR="004C1DAF" w:rsidRPr="008819AF" w:rsidRDefault="004C1DAF" w:rsidP="004C1DAF">
            <w:pPr>
              <w:ind w:left="215" w:hanging="215"/>
              <w:jc w:val="center"/>
              <w:rPr>
                <w:rFonts w:eastAsia="Arial"/>
                <w:lang w:bidi="cs-CZ"/>
              </w:rPr>
            </w:pPr>
          </w:p>
          <w:p w14:paraId="5F48D8C4" w14:textId="77777777" w:rsidR="004C1DAF" w:rsidRPr="008819AF" w:rsidRDefault="004C1DAF" w:rsidP="004C1DAF">
            <w:pPr>
              <w:jc w:val="center"/>
              <w:rPr>
                <w:rFonts w:eastAsia="Arial"/>
                <w:lang w:bidi="cs-CZ"/>
              </w:rPr>
            </w:pPr>
            <w:r w:rsidRPr="008819AF">
              <w:rPr>
                <w:rFonts w:eastAsia="Arial"/>
                <w:lang w:bidi="cs-CZ"/>
              </w:rPr>
              <w:t>N</w:t>
            </w:r>
          </w:p>
          <w:p w14:paraId="562717E6" w14:textId="77777777" w:rsidR="000B26D5" w:rsidRPr="008819AF" w:rsidRDefault="000B26D5" w:rsidP="004C1DAF">
            <w:pPr>
              <w:jc w:val="center"/>
              <w:rPr>
                <w:rFonts w:eastAsia="Arial"/>
                <w:lang w:bidi="cs-CZ"/>
              </w:rPr>
            </w:pPr>
          </w:p>
          <w:p w14:paraId="0C16B42E" w14:textId="77777777" w:rsidR="000B26D5" w:rsidRPr="008819AF" w:rsidRDefault="000B26D5" w:rsidP="004C1DAF">
            <w:pPr>
              <w:jc w:val="center"/>
              <w:rPr>
                <w:rFonts w:eastAsia="Arial"/>
                <w:lang w:bidi="cs-CZ"/>
              </w:rPr>
            </w:pPr>
          </w:p>
          <w:p w14:paraId="3E9C8EFC" w14:textId="77777777" w:rsidR="000B26D5" w:rsidRPr="008819AF" w:rsidRDefault="000B26D5" w:rsidP="004C1DAF">
            <w:pPr>
              <w:jc w:val="center"/>
              <w:rPr>
                <w:rFonts w:eastAsia="Arial"/>
                <w:lang w:bidi="cs-CZ"/>
              </w:rPr>
            </w:pPr>
          </w:p>
          <w:p w14:paraId="0F979F2B" w14:textId="77777777" w:rsidR="000B26D5" w:rsidRPr="008819AF" w:rsidRDefault="000B26D5" w:rsidP="004C1DAF">
            <w:pPr>
              <w:jc w:val="center"/>
              <w:rPr>
                <w:rFonts w:eastAsia="Arial"/>
                <w:lang w:bidi="cs-CZ"/>
              </w:rPr>
            </w:pPr>
          </w:p>
          <w:p w14:paraId="660B8A64" w14:textId="77777777" w:rsidR="000B26D5" w:rsidRPr="008819AF" w:rsidRDefault="000B26D5" w:rsidP="004C1DAF">
            <w:pPr>
              <w:jc w:val="center"/>
              <w:rPr>
                <w:rFonts w:eastAsia="Arial"/>
                <w:lang w:bidi="cs-CZ"/>
              </w:rPr>
            </w:pPr>
          </w:p>
          <w:p w14:paraId="40E95D1E" w14:textId="77777777" w:rsidR="000B26D5" w:rsidRPr="008819AF" w:rsidRDefault="000B26D5" w:rsidP="004C1DAF">
            <w:pPr>
              <w:jc w:val="center"/>
              <w:rPr>
                <w:rFonts w:eastAsia="Arial"/>
                <w:lang w:bidi="cs-CZ"/>
              </w:rPr>
            </w:pPr>
          </w:p>
          <w:p w14:paraId="2216F3D3" w14:textId="77777777" w:rsidR="000B26D5" w:rsidRPr="008819AF" w:rsidRDefault="000B26D5" w:rsidP="004C1DAF">
            <w:pPr>
              <w:jc w:val="center"/>
              <w:rPr>
                <w:rFonts w:eastAsia="Arial"/>
                <w:lang w:bidi="cs-CZ"/>
              </w:rPr>
            </w:pPr>
          </w:p>
          <w:p w14:paraId="078CEF7D" w14:textId="77777777" w:rsidR="000B26D5" w:rsidRPr="008819AF" w:rsidRDefault="000B26D5" w:rsidP="004C1DAF">
            <w:pPr>
              <w:jc w:val="center"/>
              <w:rPr>
                <w:rFonts w:eastAsia="Arial"/>
                <w:lang w:bidi="cs-CZ"/>
              </w:rPr>
            </w:pPr>
          </w:p>
          <w:p w14:paraId="0D357EF9" w14:textId="77777777" w:rsidR="000B26D5" w:rsidRPr="008819AF" w:rsidRDefault="000B26D5" w:rsidP="004C1DAF">
            <w:pPr>
              <w:jc w:val="center"/>
              <w:rPr>
                <w:rFonts w:eastAsia="Arial"/>
                <w:lang w:bidi="cs-CZ"/>
              </w:rPr>
            </w:pPr>
          </w:p>
          <w:p w14:paraId="1169B930" w14:textId="2915811F" w:rsidR="000B26D5" w:rsidRPr="008819AF" w:rsidRDefault="000B26D5" w:rsidP="004C1DAF">
            <w:pPr>
              <w:jc w:val="center"/>
              <w:rPr>
                <w:rFonts w:eastAsia="Arial"/>
                <w:lang w:bidi="cs-CZ"/>
              </w:rPr>
            </w:pPr>
          </w:p>
          <w:p w14:paraId="390749F8" w14:textId="77777777" w:rsidR="000B26D5" w:rsidRPr="008819AF" w:rsidRDefault="000B26D5" w:rsidP="004C1DAF">
            <w:pPr>
              <w:jc w:val="center"/>
              <w:rPr>
                <w:rFonts w:eastAsia="Arial"/>
                <w:lang w:bidi="cs-CZ"/>
              </w:rPr>
            </w:pPr>
          </w:p>
          <w:p w14:paraId="21DEDC87" w14:textId="492DABDB" w:rsidR="000B26D5" w:rsidRPr="008819AF" w:rsidRDefault="000B26D5" w:rsidP="004C1DAF">
            <w:pPr>
              <w:jc w:val="center"/>
              <w:rPr>
                <w:rFonts w:eastAsia="Arial"/>
                <w:lang w:bidi="cs-CZ"/>
              </w:rPr>
            </w:pPr>
            <w:r w:rsidRPr="008819AF">
              <w:rPr>
                <w:rFonts w:eastAsia="Arial"/>
                <w:lang w:bidi="cs-CZ"/>
              </w:rPr>
              <w:t>N</w:t>
            </w:r>
          </w:p>
          <w:p w14:paraId="15132F7E" w14:textId="212BA17C" w:rsidR="000B26D5" w:rsidRPr="008819AF" w:rsidRDefault="000B26D5" w:rsidP="004C1DAF">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2F7F" w14:textId="77777777" w:rsidR="004C1DAF" w:rsidRPr="008819AF" w:rsidRDefault="004C1DAF" w:rsidP="004C1DAF">
            <w:pPr>
              <w:ind w:left="215" w:hanging="215"/>
              <w:jc w:val="center"/>
              <w:rPr>
                <w:rFonts w:eastAsia="Arial"/>
                <w:lang w:bidi="cs-CZ"/>
              </w:rPr>
            </w:pPr>
            <w:r w:rsidRPr="008819AF">
              <w:rPr>
                <w:rFonts w:eastAsia="Arial"/>
                <w:lang w:bidi="cs-CZ"/>
              </w:rPr>
              <w:lastRenderedPageBreak/>
              <w:t>NV4</w:t>
            </w:r>
          </w:p>
          <w:p w14:paraId="15132F80" w14:textId="77777777" w:rsidR="004C1DAF" w:rsidRPr="008819AF" w:rsidRDefault="004C1DAF" w:rsidP="004C1DAF">
            <w:pPr>
              <w:ind w:left="215" w:hanging="215"/>
              <w:jc w:val="center"/>
              <w:rPr>
                <w:rFonts w:eastAsia="Arial"/>
                <w:lang w:bidi="cs-CZ"/>
              </w:rPr>
            </w:pPr>
          </w:p>
          <w:p w14:paraId="15132F81" w14:textId="77777777" w:rsidR="004C1DAF" w:rsidRPr="008819AF" w:rsidRDefault="004C1DAF" w:rsidP="004C1DAF">
            <w:pPr>
              <w:ind w:left="215" w:hanging="215"/>
              <w:jc w:val="center"/>
              <w:rPr>
                <w:rFonts w:eastAsia="Arial"/>
                <w:lang w:bidi="cs-CZ"/>
              </w:rPr>
            </w:pPr>
          </w:p>
          <w:p w14:paraId="15132F82" w14:textId="77777777" w:rsidR="004C1DAF" w:rsidRPr="008819AF" w:rsidRDefault="004C1DAF" w:rsidP="004C1DAF">
            <w:pPr>
              <w:ind w:left="215" w:hanging="215"/>
              <w:jc w:val="center"/>
              <w:rPr>
                <w:rFonts w:eastAsia="Arial"/>
                <w:lang w:bidi="cs-CZ"/>
              </w:rPr>
            </w:pPr>
          </w:p>
          <w:p w14:paraId="15132F83" w14:textId="77777777" w:rsidR="004C1DAF" w:rsidRPr="008819AF" w:rsidRDefault="004C1DAF" w:rsidP="004C1DAF">
            <w:pPr>
              <w:ind w:left="215" w:hanging="215"/>
              <w:jc w:val="center"/>
              <w:rPr>
                <w:rFonts w:eastAsia="Arial"/>
                <w:lang w:bidi="cs-CZ"/>
              </w:rPr>
            </w:pPr>
          </w:p>
          <w:p w14:paraId="15132F84" w14:textId="77777777" w:rsidR="004C1DAF" w:rsidRPr="008819AF" w:rsidRDefault="004C1DAF" w:rsidP="004C1DAF">
            <w:pPr>
              <w:ind w:left="215" w:hanging="215"/>
              <w:jc w:val="center"/>
              <w:rPr>
                <w:rFonts w:eastAsia="Arial"/>
                <w:lang w:bidi="cs-CZ"/>
              </w:rPr>
            </w:pPr>
          </w:p>
          <w:p w14:paraId="15132F85" w14:textId="77777777" w:rsidR="004C1DAF" w:rsidRPr="008819AF" w:rsidRDefault="004C1DAF" w:rsidP="004C1DAF">
            <w:pPr>
              <w:ind w:left="215" w:hanging="215"/>
              <w:jc w:val="center"/>
              <w:rPr>
                <w:rFonts w:eastAsia="Arial"/>
                <w:lang w:bidi="cs-CZ"/>
              </w:rPr>
            </w:pPr>
          </w:p>
          <w:p w14:paraId="15132F86" w14:textId="77777777" w:rsidR="004C1DAF" w:rsidRPr="008819AF" w:rsidRDefault="004C1DAF" w:rsidP="004C1DAF">
            <w:pPr>
              <w:ind w:left="215" w:hanging="215"/>
              <w:jc w:val="center"/>
              <w:rPr>
                <w:rFonts w:eastAsia="Arial"/>
                <w:lang w:bidi="cs-CZ"/>
              </w:rPr>
            </w:pPr>
          </w:p>
          <w:p w14:paraId="15132F87" w14:textId="77777777" w:rsidR="004C1DAF" w:rsidRPr="008819AF" w:rsidRDefault="004C1DAF" w:rsidP="004C1DAF">
            <w:pPr>
              <w:ind w:left="215" w:hanging="215"/>
              <w:jc w:val="center"/>
              <w:rPr>
                <w:rFonts w:eastAsia="Arial"/>
                <w:lang w:bidi="cs-CZ"/>
              </w:rPr>
            </w:pPr>
          </w:p>
          <w:p w14:paraId="15132F88" w14:textId="77777777" w:rsidR="004C1DAF" w:rsidRPr="008819AF" w:rsidRDefault="004C1DAF" w:rsidP="004C1DAF">
            <w:pPr>
              <w:ind w:left="215" w:hanging="215"/>
              <w:jc w:val="center"/>
              <w:rPr>
                <w:rFonts w:eastAsia="Arial"/>
                <w:lang w:bidi="cs-CZ"/>
              </w:rPr>
            </w:pPr>
          </w:p>
          <w:p w14:paraId="15132F89" w14:textId="77777777" w:rsidR="004C1DAF" w:rsidRPr="008819AF" w:rsidRDefault="004C1DAF" w:rsidP="004C1DAF">
            <w:pPr>
              <w:ind w:left="215" w:hanging="215"/>
              <w:jc w:val="center"/>
              <w:rPr>
                <w:rFonts w:eastAsia="Arial"/>
                <w:lang w:bidi="cs-CZ"/>
              </w:rPr>
            </w:pPr>
          </w:p>
          <w:p w14:paraId="15132F8A" w14:textId="77777777" w:rsidR="004C1DAF" w:rsidRPr="008819AF" w:rsidRDefault="004C1DAF" w:rsidP="004C1DAF">
            <w:pPr>
              <w:ind w:left="215" w:hanging="215"/>
              <w:jc w:val="center"/>
              <w:rPr>
                <w:rFonts w:eastAsia="Arial"/>
                <w:lang w:bidi="cs-CZ"/>
              </w:rPr>
            </w:pPr>
          </w:p>
          <w:p w14:paraId="15132F8B" w14:textId="77777777" w:rsidR="004C1DAF" w:rsidRPr="008819AF" w:rsidRDefault="004C1DAF" w:rsidP="004C1DAF">
            <w:pPr>
              <w:ind w:left="215" w:hanging="215"/>
              <w:jc w:val="center"/>
              <w:rPr>
                <w:rFonts w:eastAsia="Arial"/>
                <w:lang w:bidi="cs-CZ"/>
              </w:rPr>
            </w:pPr>
          </w:p>
          <w:p w14:paraId="15132F8C" w14:textId="77777777" w:rsidR="004C1DAF" w:rsidRPr="008819AF" w:rsidRDefault="004C1DAF" w:rsidP="004C1DAF">
            <w:pPr>
              <w:ind w:left="215" w:hanging="215"/>
              <w:jc w:val="center"/>
              <w:rPr>
                <w:rFonts w:eastAsia="Arial"/>
                <w:lang w:bidi="cs-CZ"/>
              </w:rPr>
            </w:pPr>
          </w:p>
          <w:p w14:paraId="15132F8D" w14:textId="77777777" w:rsidR="004C1DAF" w:rsidRPr="008819AF" w:rsidRDefault="004C1DAF" w:rsidP="004C1DAF">
            <w:pPr>
              <w:ind w:left="215" w:hanging="215"/>
              <w:jc w:val="center"/>
              <w:rPr>
                <w:rFonts w:eastAsia="Arial"/>
                <w:lang w:bidi="cs-CZ"/>
              </w:rPr>
            </w:pPr>
          </w:p>
          <w:p w14:paraId="15132F8E" w14:textId="77777777" w:rsidR="004C1DAF" w:rsidRPr="008819AF" w:rsidRDefault="004C1DAF" w:rsidP="004C1DAF">
            <w:pPr>
              <w:ind w:left="215" w:hanging="215"/>
              <w:jc w:val="center"/>
              <w:rPr>
                <w:rFonts w:eastAsia="Arial"/>
                <w:lang w:bidi="cs-CZ"/>
              </w:rPr>
            </w:pPr>
          </w:p>
          <w:p w14:paraId="15132F8F" w14:textId="77777777" w:rsidR="004C1DAF" w:rsidRPr="008819AF" w:rsidRDefault="004C1DAF" w:rsidP="004C1DAF">
            <w:pPr>
              <w:ind w:left="215" w:hanging="215"/>
              <w:jc w:val="center"/>
              <w:rPr>
                <w:rFonts w:eastAsia="Arial"/>
                <w:lang w:bidi="cs-CZ"/>
              </w:rPr>
            </w:pPr>
          </w:p>
          <w:p w14:paraId="15132F90" w14:textId="77777777" w:rsidR="004C1DAF" w:rsidRPr="008819AF" w:rsidRDefault="004C1DAF" w:rsidP="004C1DAF">
            <w:pPr>
              <w:ind w:left="215" w:hanging="215"/>
              <w:jc w:val="center"/>
              <w:rPr>
                <w:rFonts w:eastAsia="Arial"/>
                <w:lang w:bidi="cs-CZ"/>
              </w:rPr>
            </w:pPr>
          </w:p>
          <w:p w14:paraId="15132F91" w14:textId="77777777" w:rsidR="004C1DAF" w:rsidRPr="008819AF" w:rsidRDefault="004C1DAF" w:rsidP="004C1DAF">
            <w:pPr>
              <w:ind w:left="215" w:hanging="215"/>
              <w:jc w:val="center"/>
              <w:rPr>
                <w:rFonts w:eastAsia="Arial"/>
                <w:lang w:bidi="cs-CZ"/>
              </w:rPr>
            </w:pPr>
          </w:p>
          <w:p w14:paraId="15132F92" w14:textId="77777777" w:rsidR="004C1DAF" w:rsidRPr="008819AF" w:rsidRDefault="004C1DAF" w:rsidP="004C1DAF">
            <w:pPr>
              <w:ind w:left="215" w:hanging="215"/>
              <w:jc w:val="center"/>
              <w:rPr>
                <w:rFonts w:eastAsia="Arial"/>
                <w:lang w:bidi="cs-CZ"/>
              </w:rPr>
            </w:pPr>
          </w:p>
          <w:p w14:paraId="15132F93" w14:textId="77777777" w:rsidR="004C1DAF" w:rsidRPr="008819AF" w:rsidRDefault="004C1DAF" w:rsidP="004C1DAF">
            <w:pPr>
              <w:ind w:left="215" w:hanging="215"/>
              <w:jc w:val="center"/>
              <w:rPr>
                <w:rFonts w:eastAsia="Arial"/>
                <w:lang w:bidi="cs-CZ"/>
              </w:rPr>
            </w:pPr>
          </w:p>
          <w:p w14:paraId="15132F94" w14:textId="77777777" w:rsidR="004C1DAF" w:rsidRPr="008819AF" w:rsidRDefault="004C1DAF" w:rsidP="004C1DAF">
            <w:pPr>
              <w:ind w:left="215" w:hanging="215"/>
              <w:jc w:val="center"/>
              <w:rPr>
                <w:rFonts w:eastAsia="Arial"/>
                <w:lang w:bidi="cs-CZ"/>
              </w:rPr>
            </w:pPr>
          </w:p>
          <w:p w14:paraId="15132F95" w14:textId="77777777" w:rsidR="004C1DAF" w:rsidRPr="008819AF" w:rsidRDefault="004C1DAF" w:rsidP="004C1DAF">
            <w:pPr>
              <w:ind w:left="215" w:hanging="215"/>
              <w:jc w:val="center"/>
              <w:rPr>
                <w:rFonts w:eastAsia="Arial"/>
                <w:lang w:bidi="cs-CZ"/>
              </w:rPr>
            </w:pPr>
          </w:p>
          <w:p w14:paraId="15132F96" w14:textId="77777777" w:rsidR="004C1DAF" w:rsidRPr="008819AF" w:rsidRDefault="004C1DAF" w:rsidP="004C1DAF">
            <w:pPr>
              <w:ind w:left="215" w:hanging="215"/>
              <w:jc w:val="center"/>
              <w:rPr>
                <w:rFonts w:eastAsia="Arial"/>
                <w:lang w:bidi="cs-CZ"/>
              </w:rPr>
            </w:pPr>
          </w:p>
          <w:p w14:paraId="15132F97" w14:textId="77777777" w:rsidR="004C1DAF" w:rsidRPr="008819AF" w:rsidRDefault="004C1DAF" w:rsidP="004C1DAF">
            <w:pPr>
              <w:ind w:left="215" w:hanging="215"/>
              <w:jc w:val="center"/>
              <w:rPr>
                <w:rFonts w:eastAsia="Arial"/>
                <w:lang w:bidi="cs-CZ"/>
              </w:rPr>
            </w:pPr>
          </w:p>
          <w:p w14:paraId="15132F98" w14:textId="77777777" w:rsidR="004C1DAF" w:rsidRPr="008819AF" w:rsidRDefault="004C1DAF" w:rsidP="004C1DAF">
            <w:pPr>
              <w:ind w:left="215" w:hanging="215"/>
              <w:jc w:val="center"/>
              <w:rPr>
                <w:rFonts w:eastAsia="Arial"/>
                <w:lang w:bidi="cs-CZ"/>
              </w:rPr>
            </w:pPr>
          </w:p>
          <w:p w14:paraId="15132F99" w14:textId="77777777" w:rsidR="00803D61" w:rsidRPr="008819AF" w:rsidRDefault="00803D61" w:rsidP="004C1DAF">
            <w:pPr>
              <w:ind w:left="215" w:hanging="215"/>
              <w:jc w:val="center"/>
              <w:rPr>
                <w:rFonts w:eastAsia="Arial"/>
                <w:lang w:bidi="cs-CZ"/>
              </w:rPr>
            </w:pPr>
          </w:p>
          <w:p w14:paraId="15132F9A" w14:textId="77777777" w:rsidR="004C1DAF" w:rsidRPr="008819AF" w:rsidRDefault="004C1DAF" w:rsidP="004C1DAF">
            <w:pPr>
              <w:ind w:left="215" w:hanging="215"/>
              <w:jc w:val="center"/>
              <w:rPr>
                <w:rFonts w:eastAsia="Arial"/>
                <w:lang w:bidi="cs-CZ"/>
              </w:rPr>
            </w:pPr>
          </w:p>
          <w:p w14:paraId="15132F9B" w14:textId="77777777" w:rsidR="004C1DAF" w:rsidRPr="008819AF" w:rsidRDefault="004C1DAF" w:rsidP="004C1DAF">
            <w:pPr>
              <w:ind w:left="215" w:hanging="215"/>
              <w:jc w:val="center"/>
              <w:rPr>
                <w:rFonts w:eastAsia="Arial"/>
                <w:lang w:bidi="cs-CZ"/>
              </w:rPr>
            </w:pPr>
          </w:p>
          <w:p w14:paraId="15132F9C" w14:textId="77777777" w:rsidR="004C1DAF" w:rsidRPr="008819AF" w:rsidRDefault="004C1DAF" w:rsidP="004C1DAF">
            <w:pPr>
              <w:ind w:left="215" w:hanging="215"/>
              <w:jc w:val="center"/>
              <w:rPr>
                <w:rFonts w:eastAsia="Arial"/>
                <w:lang w:bidi="cs-CZ"/>
              </w:rPr>
            </w:pPr>
          </w:p>
          <w:p w14:paraId="15132F9D" w14:textId="77777777" w:rsidR="004C1DAF" w:rsidRPr="008819AF" w:rsidRDefault="004C1DAF" w:rsidP="004C1DAF">
            <w:pPr>
              <w:ind w:left="215" w:hanging="215"/>
              <w:jc w:val="center"/>
              <w:rPr>
                <w:rFonts w:eastAsia="Arial"/>
                <w:lang w:bidi="cs-CZ"/>
              </w:rPr>
            </w:pPr>
          </w:p>
          <w:p w14:paraId="15132F9E" w14:textId="77777777" w:rsidR="004C1DAF" w:rsidRPr="008819AF" w:rsidRDefault="004C1DAF" w:rsidP="004C1DAF">
            <w:pPr>
              <w:ind w:left="215" w:hanging="215"/>
              <w:jc w:val="center"/>
              <w:rPr>
                <w:rFonts w:eastAsia="Arial"/>
                <w:lang w:bidi="cs-CZ"/>
              </w:rPr>
            </w:pPr>
          </w:p>
          <w:p w14:paraId="6B6CB2CB" w14:textId="77777777" w:rsidR="004C1DAF" w:rsidRPr="008819AF" w:rsidRDefault="004C1DAF" w:rsidP="004C1DAF">
            <w:pPr>
              <w:ind w:left="215" w:hanging="215"/>
              <w:jc w:val="center"/>
              <w:rPr>
                <w:rFonts w:eastAsia="Arial"/>
                <w:lang w:bidi="cs-CZ"/>
              </w:rPr>
            </w:pPr>
            <w:r w:rsidRPr="008819AF">
              <w:rPr>
                <w:rFonts w:eastAsia="Arial"/>
                <w:lang w:bidi="cs-CZ"/>
              </w:rPr>
              <w:t>NV4</w:t>
            </w:r>
          </w:p>
          <w:p w14:paraId="3CCE9378" w14:textId="77777777" w:rsidR="000B26D5" w:rsidRPr="008819AF" w:rsidRDefault="000B26D5" w:rsidP="004C1DAF">
            <w:pPr>
              <w:ind w:left="215" w:hanging="215"/>
              <w:jc w:val="center"/>
              <w:rPr>
                <w:rFonts w:eastAsia="Arial"/>
                <w:lang w:bidi="cs-CZ"/>
              </w:rPr>
            </w:pPr>
          </w:p>
          <w:p w14:paraId="0C4A23B8" w14:textId="77777777" w:rsidR="000B26D5" w:rsidRPr="008819AF" w:rsidRDefault="000B26D5" w:rsidP="004C1DAF">
            <w:pPr>
              <w:ind w:left="215" w:hanging="215"/>
              <w:jc w:val="center"/>
              <w:rPr>
                <w:rFonts w:eastAsia="Arial"/>
                <w:lang w:bidi="cs-CZ"/>
              </w:rPr>
            </w:pPr>
          </w:p>
          <w:p w14:paraId="256E1EE0" w14:textId="77777777" w:rsidR="000B26D5" w:rsidRPr="008819AF" w:rsidRDefault="000B26D5" w:rsidP="004C1DAF">
            <w:pPr>
              <w:ind w:left="215" w:hanging="215"/>
              <w:jc w:val="center"/>
              <w:rPr>
                <w:rFonts w:eastAsia="Arial"/>
                <w:lang w:bidi="cs-CZ"/>
              </w:rPr>
            </w:pPr>
          </w:p>
          <w:p w14:paraId="0526048D" w14:textId="77777777" w:rsidR="000B26D5" w:rsidRPr="008819AF" w:rsidRDefault="000B26D5" w:rsidP="004C1DAF">
            <w:pPr>
              <w:ind w:left="215" w:hanging="215"/>
              <w:jc w:val="center"/>
              <w:rPr>
                <w:rFonts w:eastAsia="Arial"/>
                <w:lang w:bidi="cs-CZ"/>
              </w:rPr>
            </w:pPr>
          </w:p>
          <w:p w14:paraId="5C8950E0" w14:textId="77777777" w:rsidR="000B26D5" w:rsidRPr="008819AF" w:rsidRDefault="000B26D5" w:rsidP="004C1DAF">
            <w:pPr>
              <w:ind w:left="215" w:hanging="215"/>
              <w:jc w:val="center"/>
              <w:rPr>
                <w:rFonts w:eastAsia="Arial"/>
                <w:lang w:bidi="cs-CZ"/>
              </w:rPr>
            </w:pPr>
          </w:p>
          <w:p w14:paraId="50EC019F" w14:textId="77777777" w:rsidR="000B26D5" w:rsidRPr="008819AF" w:rsidRDefault="000B26D5" w:rsidP="004C1DAF">
            <w:pPr>
              <w:ind w:left="215" w:hanging="215"/>
              <w:jc w:val="center"/>
              <w:rPr>
                <w:rFonts w:eastAsia="Arial"/>
                <w:lang w:bidi="cs-CZ"/>
              </w:rPr>
            </w:pPr>
          </w:p>
          <w:p w14:paraId="097969FD" w14:textId="77777777" w:rsidR="000B26D5" w:rsidRPr="008819AF" w:rsidRDefault="000B26D5" w:rsidP="004C1DAF">
            <w:pPr>
              <w:ind w:left="215" w:hanging="215"/>
              <w:jc w:val="center"/>
              <w:rPr>
                <w:rFonts w:eastAsia="Arial"/>
                <w:lang w:bidi="cs-CZ"/>
              </w:rPr>
            </w:pPr>
          </w:p>
          <w:p w14:paraId="7C93633F" w14:textId="77777777" w:rsidR="000B26D5" w:rsidRPr="008819AF" w:rsidRDefault="000B26D5" w:rsidP="004C1DAF">
            <w:pPr>
              <w:ind w:left="215" w:hanging="215"/>
              <w:jc w:val="center"/>
              <w:rPr>
                <w:rFonts w:eastAsia="Arial"/>
                <w:lang w:bidi="cs-CZ"/>
              </w:rPr>
            </w:pPr>
          </w:p>
          <w:p w14:paraId="392EF047" w14:textId="77777777" w:rsidR="000B26D5" w:rsidRPr="008819AF" w:rsidRDefault="000B26D5" w:rsidP="004C1DAF">
            <w:pPr>
              <w:ind w:left="215" w:hanging="215"/>
              <w:jc w:val="center"/>
              <w:rPr>
                <w:rFonts w:eastAsia="Arial"/>
                <w:lang w:bidi="cs-CZ"/>
              </w:rPr>
            </w:pPr>
          </w:p>
          <w:p w14:paraId="6A438AC2" w14:textId="040B9E54" w:rsidR="000B26D5" w:rsidRPr="008819AF" w:rsidRDefault="000B26D5" w:rsidP="004C1DAF">
            <w:pPr>
              <w:ind w:left="215" w:hanging="215"/>
              <w:jc w:val="center"/>
              <w:rPr>
                <w:rFonts w:eastAsia="Arial"/>
                <w:lang w:bidi="cs-CZ"/>
              </w:rPr>
            </w:pPr>
          </w:p>
          <w:p w14:paraId="4CC5C1AD" w14:textId="77777777" w:rsidR="000B26D5" w:rsidRPr="008819AF" w:rsidRDefault="000B26D5" w:rsidP="004C1DAF">
            <w:pPr>
              <w:ind w:left="215" w:hanging="215"/>
              <w:jc w:val="center"/>
              <w:rPr>
                <w:rFonts w:eastAsia="Arial"/>
                <w:lang w:bidi="cs-CZ"/>
              </w:rPr>
            </w:pPr>
          </w:p>
          <w:p w14:paraId="15132F9F" w14:textId="7C2E82EE" w:rsidR="000B26D5" w:rsidRPr="008819AF" w:rsidRDefault="000B26D5" w:rsidP="004C1DAF">
            <w:pPr>
              <w:ind w:left="215" w:hanging="215"/>
              <w:jc w:val="center"/>
              <w:rPr>
                <w:rFonts w:eastAsia="Arial"/>
                <w:lang w:bidi="cs-CZ"/>
              </w:rPr>
            </w:pPr>
            <w:r w:rsidRPr="008819AF">
              <w:rPr>
                <w:rFonts w:eastAsia="Arial"/>
                <w:lang w:bidi="cs-CZ"/>
              </w:rPr>
              <w:t>NV3</w:t>
            </w:r>
          </w:p>
        </w:tc>
        <w:tc>
          <w:tcPr>
            <w:tcW w:w="543" w:type="dxa"/>
            <w:tcBorders>
              <w:top w:val="single" w:sz="4" w:space="0" w:color="000000"/>
              <w:left w:val="single" w:sz="6" w:space="0" w:color="000000"/>
              <w:bottom w:val="single" w:sz="6" w:space="0" w:color="000000"/>
              <w:right w:val="single" w:sz="6" w:space="0" w:color="000000"/>
            </w:tcBorders>
          </w:tcPr>
          <w:p w14:paraId="15132FA0" w14:textId="77777777" w:rsidR="004C1DAF" w:rsidRPr="008819AF" w:rsidRDefault="004C1DAF" w:rsidP="004C1DAF">
            <w:pPr>
              <w:jc w:val="center"/>
              <w:rPr>
                <w:rFonts w:eastAsia="Arial"/>
                <w:lang w:bidi="cs-CZ"/>
              </w:rPr>
            </w:pPr>
            <w:r w:rsidRPr="008819AF">
              <w:rPr>
                <w:rFonts w:eastAsia="Arial"/>
                <w:lang w:bidi="cs-CZ"/>
              </w:rPr>
              <w:lastRenderedPageBreak/>
              <w:t>Pr. č. 1</w:t>
            </w:r>
          </w:p>
          <w:p w14:paraId="15132FA1" w14:textId="77777777" w:rsidR="004C1DAF" w:rsidRPr="008819AF" w:rsidRDefault="004C1DAF" w:rsidP="004C1DAF">
            <w:pPr>
              <w:jc w:val="center"/>
              <w:rPr>
                <w:rFonts w:eastAsia="Arial"/>
                <w:lang w:bidi="cs-CZ"/>
              </w:rPr>
            </w:pPr>
          </w:p>
          <w:p w14:paraId="15132FA2" w14:textId="77777777" w:rsidR="004C1DAF" w:rsidRPr="008819AF" w:rsidRDefault="004C1DAF" w:rsidP="004C1DAF">
            <w:pPr>
              <w:jc w:val="center"/>
              <w:rPr>
                <w:rFonts w:eastAsia="Arial"/>
                <w:lang w:bidi="cs-CZ"/>
              </w:rPr>
            </w:pPr>
          </w:p>
          <w:p w14:paraId="15132FA3" w14:textId="77777777" w:rsidR="004C1DAF" w:rsidRPr="008819AF" w:rsidRDefault="004C1DAF" w:rsidP="004C1DAF">
            <w:pPr>
              <w:jc w:val="center"/>
              <w:rPr>
                <w:rFonts w:eastAsia="Arial"/>
                <w:lang w:bidi="cs-CZ"/>
              </w:rPr>
            </w:pPr>
          </w:p>
          <w:p w14:paraId="15132FA4" w14:textId="77777777" w:rsidR="004C1DAF" w:rsidRPr="008819AF" w:rsidRDefault="004C1DAF" w:rsidP="004C1DAF">
            <w:pPr>
              <w:jc w:val="center"/>
              <w:rPr>
                <w:rFonts w:eastAsia="Arial"/>
                <w:lang w:bidi="cs-CZ"/>
              </w:rPr>
            </w:pPr>
          </w:p>
          <w:p w14:paraId="15132FA5" w14:textId="77777777" w:rsidR="004C1DAF" w:rsidRPr="008819AF" w:rsidRDefault="004C1DAF" w:rsidP="004C1DAF">
            <w:pPr>
              <w:jc w:val="center"/>
              <w:rPr>
                <w:rFonts w:eastAsia="Arial"/>
                <w:lang w:bidi="cs-CZ"/>
              </w:rPr>
            </w:pPr>
          </w:p>
          <w:p w14:paraId="15132FA6" w14:textId="77777777" w:rsidR="004C1DAF" w:rsidRPr="008819AF" w:rsidRDefault="004C1DAF" w:rsidP="004C1DAF">
            <w:pPr>
              <w:jc w:val="center"/>
              <w:rPr>
                <w:rFonts w:eastAsia="Arial"/>
                <w:lang w:bidi="cs-CZ"/>
              </w:rPr>
            </w:pPr>
          </w:p>
          <w:p w14:paraId="15132FA7" w14:textId="77777777" w:rsidR="004C1DAF" w:rsidRPr="008819AF" w:rsidRDefault="004C1DAF" w:rsidP="004C1DAF">
            <w:pPr>
              <w:jc w:val="center"/>
              <w:rPr>
                <w:rFonts w:eastAsia="Arial"/>
                <w:lang w:bidi="cs-CZ"/>
              </w:rPr>
            </w:pPr>
          </w:p>
          <w:p w14:paraId="15132FA8" w14:textId="77777777" w:rsidR="004C1DAF" w:rsidRPr="008819AF" w:rsidRDefault="004C1DAF" w:rsidP="004C1DAF">
            <w:pPr>
              <w:jc w:val="center"/>
              <w:rPr>
                <w:rFonts w:eastAsia="Arial"/>
                <w:lang w:bidi="cs-CZ"/>
              </w:rPr>
            </w:pPr>
          </w:p>
          <w:p w14:paraId="15132FA9" w14:textId="77777777" w:rsidR="004C1DAF" w:rsidRPr="008819AF" w:rsidRDefault="004C1DAF" w:rsidP="004C1DAF">
            <w:pPr>
              <w:jc w:val="center"/>
              <w:rPr>
                <w:rFonts w:eastAsia="Arial"/>
                <w:lang w:bidi="cs-CZ"/>
              </w:rPr>
            </w:pPr>
          </w:p>
          <w:p w14:paraId="15132FAA" w14:textId="77777777" w:rsidR="004C1DAF" w:rsidRPr="008819AF" w:rsidRDefault="004C1DAF" w:rsidP="004C1DAF">
            <w:pPr>
              <w:jc w:val="center"/>
              <w:rPr>
                <w:rFonts w:eastAsia="Arial"/>
                <w:lang w:bidi="cs-CZ"/>
              </w:rPr>
            </w:pPr>
          </w:p>
          <w:p w14:paraId="15132FAB" w14:textId="77777777" w:rsidR="004C1DAF" w:rsidRPr="008819AF" w:rsidRDefault="004C1DAF" w:rsidP="004C1DAF">
            <w:pPr>
              <w:jc w:val="center"/>
              <w:rPr>
                <w:rFonts w:eastAsia="Arial"/>
                <w:lang w:bidi="cs-CZ"/>
              </w:rPr>
            </w:pPr>
          </w:p>
          <w:p w14:paraId="15132FAC" w14:textId="77777777" w:rsidR="004C1DAF" w:rsidRPr="008819AF" w:rsidRDefault="004C1DAF" w:rsidP="004C1DAF">
            <w:pPr>
              <w:jc w:val="center"/>
              <w:rPr>
                <w:rFonts w:eastAsia="Arial"/>
                <w:lang w:bidi="cs-CZ"/>
              </w:rPr>
            </w:pPr>
          </w:p>
          <w:p w14:paraId="15132FAD" w14:textId="77777777" w:rsidR="004C1DAF" w:rsidRPr="008819AF" w:rsidRDefault="004C1DAF" w:rsidP="004C1DAF">
            <w:pPr>
              <w:jc w:val="center"/>
              <w:rPr>
                <w:rFonts w:eastAsia="Arial"/>
                <w:lang w:bidi="cs-CZ"/>
              </w:rPr>
            </w:pPr>
          </w:p>
          <w:p w14:paraId="15132FAE" w14:textId="77777777" w:rsidR="004C1DAF" w:rsidRPr="008819AF" w:rsidRDefault="004C1DAF" w:rsidP="004C1DAF">
            <w:pPr>
              <w:jc w:val="center"/>
              <w:rPr>
                <w:rFonts w:eastAsia="Arial"/>
                <w:lang w:bidi="cs-CZ"/>
              </w:rPr>
            </w:pPr>
          </w:p>
          <w:p w14:paraId="15132FAF" w14:textId="77777777" w:rsidR="004C1DAF" w:rsidRPr="008819AF" w:rsidRDefault="004C1DAF" w:rsidP="004C1DAF">
            <w:pPr>
              <w:jc w:val="center"/>
              <w:rPr>
                <w:rFonts w:eastAsia="Arial"/>
                <w:lang w:bidi="cs-CZ"/>
              </w:rPr>
            </w:pPr>
          </w:p>
          <w:p w14:paraId="15132FB0" w14:textId="77777777" w:rsidR="004C1DAF" w:rsidRPr="008819AF" w:rsidRDefault="004C1DAF" w:rsidP="004C1DAF">
            <w:pPr>
              <w:jc w:val="center"/>
              <w:rPr>
                <w:rFonts w:eastAsia="Arial"/>
                <w:lang w:bidi="cs-CZ"/>
              </w:rPr>
            </w:pPr>
          </w:p>
          <w:p w14:paraId="15132FB1" w14:textId="77777777" w:rsidR="004C1DAF" w:rsidRPr="008819AF" w:rsidRDefault="004C1DAF" w:rsidP="004C1DAF">
            <w:pPr>
              <w:jc w:val="center"/>
              <w:rPr>
                <w:rFonts w:eastAsia="Arial"/>
                <w:lang w:bidi="cs-CZ"/>
              </w:rPr>
            </w:pPr>
          </w:p>
          <w:p w14:paraId="15132FB2" w14:textId="77777777" w:rsidR="004C1DAF" w:rsidRPr="008819AF" w:rsidRDefault="004C1DAF" w:rsidP="004C1DAF">
            <w:pPr>
              <w:jc w:val="center"/>
              <w:rPr>
                <w:rFonts w:eastAsia="Arial"/>
                <w:lang w:bidi="cs-CZ"/>
              </w:rPr>
            </w:pPr>
          </w:p>
          <w:p w14:paraId="15132FB3" w14:textId="77777777" w:rsidR="004C1DAF" w:rsidRPr="008819AF" w:rsidRDefault="004C1DAF" w:rsidP="004C1DAF">
            <w:pPr>
              <w:jc w:val="center"/>
              <w:rPr>
                <w:rFonts w:eastAsia="Arial"/>
                <w:lang w:bidi="cs-CZ"/>
              </w:rPr>
            </w:pPr>
          </w:p>
          <w:p w14:paraId="15132FB4" w14:textId="77777777" w:rsidR="004C1DAF" w:rsidRPr="008819AF" w:rsidRDefault="004C1DAF" w:rsidP="004C1DAF">
            <w:pPr>
              <w:jc w:val="center"/>
              <w:rPr>
                <w:rFonts w:eastAsia="Arial"/>
                <w:lang w:bidi="cs-CZ"/>
              </w:rPr>
            </w:pPr>
          </w:p>
          <w:p w14:paraId="15132FB5" w14:textId="77777777" w:rsidR="004C1DAF" w:rsidRPr="008819AF" w:rsidRDefault="004C1DAF" w:rsidP="004C1DAF">
            <w:pPr>
              <w:jc w:val="center"/>
              <w:rPr>
                <w:rFonts w:eastAsia="Arial"/>
                <w:lang w:bidi="cs-CZ"/>
              </w:rPr>
            </w:pPr>
          </w:p>
          <w:p w14:paraId="15132FB6" w14:textId="77777777" w:rsidR="004C1DAF" w:rsidRPr="008819AF" w:rsidRDefault="004C1DAF" w:rsidP="004C1DAF">
            <w:pPr>
              <w:jc w:val="center"/>
              <w:rPr>
                <w:rFonts w:eastAsia="Arial"/>
                <w:lang w:bidi="cs-CZ"/>
              </w:rPr>
            </w:pPr>
          </w:p>
          <w:p w14:paraId="15132FB7" w14:textId="77777777" w:rsidR="004C1DAF" w:rsidRPr="008819AF" w:rsidRDefault="004C1DAF" w:rsidP="004C1DAF">
            <w:pPr>
              <w:jc w:val="center"/>
              <w:rPr>
                <w:rFonts w:eastAsia="Arial"/>
                <w:lang w:bidi="cs-CZ"/>
              </w:rPr>
            </w:pPr>
          </w:p>
          <w:p w14:paraId="15132FB8" w14:textId="77777777" w:rsidR="004C1DAF" w:rsidRPr="008819AF" w:rsidRDefault="004C1DAF" w:rsidP="004C1DAF">
            <w:pPr>
              <w:jc w:val="center"/>
              <w:rPr>
                <w:rFonts w:eastAsia="Arial"/>
                <w:lang w:bidi="cs-CZ"/>
              </w:rPr>
            </w:pPr>
          </w:p>
          <w:p w14:paraId="15132FB9" w14:textId="77777777" w:rsidR="004C1DAF" w:rsidRPr="008819AF" w:rsidRDefault="004C1DAF" w:rsidP="004C1DAF">
            <w:pPr>
              <w:jc w:val="center"/>
              <w:rPr>
                <w:rFonts w:eastAsia="Arial"/>
                <w:lang w:bidi="cs-CZ"/>
              </w:rPr>
            </w:pPr>
          </w:p>
          <w:p w14:paraId="15132FBA" w14:textId="77777777" w:rsidR="004C1DAF" w:rsidRPr="008819AF" w:rsidRDefault="004C1DAF" w:rsidP="004C1DAF">
            <w:pPr>
              <w:jc w:val="center"/>
              <w:rPr>
                <w:rFonts w:eastAsia="Arial"/>
                <w:lang w:bidi="cs-CZ"/>
              </w:rPr>
            </w:pPr>
          </w:p>
          <w:p w14:paraId="15132FBB" w14:textId="77777777" w:rsidR="004C1DAF" w:rsidRPr="008819AF" w:rsidRDefault="004C1DAF" w:rsidP="004C1DAF">
            <w:pPr>
              <w:jc w:val="center"/>
              <w:rPr>
                <w:rFonts w:eastAsia="Arial"/>
                <w:lang w:bidi="cs-CZ"/>
              </w:rPr>
            </w:pPr>
          </w:p>
          <w:p w14:paraId="15132FBC" w14:textId="77777777" w:rsidR="00803D61" w:rsidRPr="008819AF" w:rsidRDefault="00803D61" w:rsidP="004C1DAF">
            <w:pPr>
              <w:jc w:val="center"/>
              <w:rPr>
                <w:rFonts w:eastAsia="Arial"/>
                <w:lang w:bidi="cs-CZ"/>
              </w:rPr>
            </w:pPr>
          </w:p>
          <w:p w14:paraId="15132FBD" w14:textId="77777777" w:rsidR="004C1DAF" w:rsidRPr="008819AF" w:rsidRDefault="004C1DAF" w:rsidP="004C1DAF">
            <w:pPr>
              <w:jc w:val="center"/>
              <w:rPr>
                <w:rFonts w:eastAsia="Arial"/>
                <w:lang w:bidi="cs-CZ"/>
              </w:rPr>
            </w:pPr>
          </w:p>
          <w:p w14:paraId="15132FBE" w14:textId="77777777" w:rsidR="004C1DAF" w:rsidRPr="008819AF" w:rsidRDefault="004C1DAF" w:rsidP="004C1DAF">
            <w:pPr>
              <w:jc w:val="center"/>
              <w:rPr>
                <w:rFonts w:eastAsia="Arial"/>
                <w:lang w:bidi="cs-CZ"/>
              </w:rPr>
            </w:pPr>
          </w:p>
          <w:p w14:paraId="7A0C4BA5" w14:textId="77777777" w:rsidR="004C1DAF" w:rsidRPr="008819AF" w:rsidRDefault="004C1DAF" w:rsidP="004C1DAF">
            <w:pPr>
              <w:jc w:val="center"/>
              <w:rPr>
                <w:rFonts w:eastAsia="Arial"/>
                <w:lang w:bidi="cs-CZ"/>
              </w:rPr>
            </w:pPr>
            <w:r w:rsidRPr="008819AF">
              <w:rPr>
                <w:rFonts w:eastAsia="Arial"/>
                <w:lang w:bidi="cs-CZ"/>
              </w:rPr>
              <w:t>Pr. č. 1</w:t>
            </w:r>
          </w:p>
          <w:p w14:paraId="2E03E645" w14:textId="77777777" w:rsidR="000B26D5" w:rsidRPr="008819AF" w:rsidRDefault="000B26D5" w:rsidP="004C1DAF">
            <w:pPr>
              <w:jc w:val="center"/>
              <w:rPr>
                <w:rFonts w:eastAsia="Arial"/>
                <w:lang w:bidi="cs-CZ"/>
              </w:rPr>
            </w:pPr>
          </w:p>
          <w:p w14:paraId="76188014" w14:textId="77777777" w:rsidR="000B26D5" w:rsidRPr="008819AF" w:rsidRDefault="000B26D5" w:rsidP="004C1DAF">
            <w:pPr>
              <w:jc w:val="center"/>
              <w:rPr>
                <w:rFonts w:eastAsia="Arial"/>
                <w:lang w:bidi="cs-CZ"/>
              </w:rPr>
            </w:pPr>
          </w:p>
          <w:p w14:paraId="2FDFD3D2" w14:textId="77777777" w:rsidR="000B26D5" w:rsidRPr="008819AF" w:rsidRDefault="000B26D5" w:rsidP="004C1DAF">
            <w:pPr>
              <w:jc w:val="center"/>
              <w:rPr>
                <w:rFonts w:eastAsia="Arial"/>
                <w:lang w:bidi="cs-CZ"/>
              </w:rPr>
            </w:pPr>
          </w:p>
          <w:p w14:paraId="03C9E8FE" w14:textId="77777777" w:rsidR="000B26D5" w:rsidRPr="008819AF" w:rsidRDefault="000B26D5" w:rsidP="004C1DAF">
            <w:pPr>
              <w:jc w:val="center"/>
              <w:rPr>
                <w:rFonts w:eastAsia="Arial"/>
                <w:lang w:bidi="cs-CZ"/>
              </w:rPr>
            </w:pPr>
          </w:p>
          <w:p w14:paraId="7092C6BA" w14:textId="77777777" w:rsidR="000B26D5" w:rsidRPr="008819AF" w:rsidRDefault="000B26D5" w:rsidP="004C1DAF">
            <w:pPr>
              <w:jc w:val="center"/>
              <w:rPr>
                <w:rFonts w:eastAsia="Arial"/>
                <w:lang w:bidi="cs-CZ"/>
              </w:rPr>
            </w:pPr>
          </w:p>
          <w:p w14:paraId="20CC26BF" w14:textId="77777777" w:rsidR="000B26D5" w:rsidRPr="008819AF" w:rsidRDefault="000B26D5" w:rsidP="004C1DAF">
            <w:pPr>
              <w:jc w:val="center"/>
              <w:rPr>
                <w:rFonts w:eastAsia="Arial"/>
                <w:lang w:bidi="cs-CZ"/>
              </w:rPr>
            </w:pPr>
          </w:p>
          <w:p w14:paraId="04FD00E2" w14:textId="77777777" w:rsidR="000B26D5" w:rsidRPr="008819AF" w:rsidRDefault="000B26D5" w:rsidP="004C1DAF">
            <w:pPr>
              <w:jc w:val="center"/>
              <w:rPr>
                <w:rFonts w:eastAsia="Arial"/>
                <w:lang w:bidi="cs-CZ"/>
              </w:rPr>
            </w:pPr>
          </w:p>
          <w:p w14:paraId="0C2B9E23" w14:textId="14EADCC3" w:rsidR="000B26D5" w:rsidRPr="008819AF" w:rsidRDefault="000B26D5" w:rsidP="004C1DAF">
            <w:pPr>
              <w:jc w:val="center"/>
              <w:rPr>
                <w:rFonts w:eastAsia="Arial"/>
                <w:lang w:bidi="cs-CZ"/>
              </w:rPr>
            </w:pPr>
          </w:p>
          <w:p w14:paraId="1123E655" w14:textId="77777777" w:rsidR="000B26D5" w:rsidRPr="008819AF" w:rsidRDefault="000B26D5" w:rsidP="004C1DAF">
            <w:pPr>
              <w:jc w:val="center"/>
              <w:rPr>
                <w:rFonts w:eastAsia="Arial"/>
                <w:lang w:bidi="cs-CZ"/>
              </w:rPr>
            </w:pPr>
          </w:p>
          <w:p w14:paraId="619A9C67" w14:textId="77777777" w:rsidR="000B26D5" w:rsidRPr="008819AF" w:rsidRDefault="000B26D5" w:rsidP="004C1DAF">
            <w:pPr>
              <w:jc w:val="center"/>
              <w:rPr>
                <w:rFonts w:eastAsia="Arial"/>
                <w:lang w:bidi="cs-CZ"/>
              </w:rPr>
            </w:pPr>
          </w:p>
          <w:p w14:paraId="315DE671" w14:textId="1C6B5A0A" w:rsidR="000B26D5" w:rsidRPr="008819AF" w:rsidRDefault="000B26D5" w:rsidP="004C1DAF">
            <w:pPr>
              <w:jc w:val="center"/>
              <w:rPr>
                <w:rFonts w:eastAsia="Arial"/>
                <w:lang w:bidi="cs-CZ"/>
              </w:rPr>
            </w:pPr>
            <w:r w:rsidRPr="008819AF">
              <w:rPr>
                <w:rFonts w:eastAsia="Arial"/>
                <w:lang w:bidi="cs-CZ"/>
              </w:rPr>
              <w:t>Pr.2</w:t>
            </w:r>
          </w:p>
          <w:p w14:paraId="15132FBF" w14:textId="1B4E995B" w:rsidR="000B26D5" w:rsidRPr="008819AF" w:rsidRDefault="000B26D5" w:rsidP="004C1DAF">
            <w:pPr>
              <w:jc w:val="center"/>
              <w:rPr>
                <w:rFonts w:eastAsia="Arial"/>
                <w:lang w:bidi="cs-CZ"/>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FC0" w14:textId="77777777" w:rsidR="004C1DAF" w:rsidRPr="008819AF" w:rsidRDefault="004C1DAF" w:rsidP="004C1DAF">
            <w:pPr>
              <w:rPr>
                <w:rFonts w:eastAsia="Arial"/>
                <w:lang w:bidi="cs-CZ"/>
              </w:rPr>
            </w:pPr>
            <w:r w:rsidRPr="008819AF">
              <w:rPr>
                <w:rFonts w:eastAsia="Arial"/>
                <w:lang w:bidi="cs-CZ"/>
              </w:rPr>
              <w:lastRenderedPageBreak/>
              <w:t xml:space="preserve">3. VEĽKÉ SPAĽOVACIE ZARIADENIA podľa § 20  ods. </w:t>
            </w:r>
            <w:r w:rsidR="005B5D9E" w:rsidRPr="008819AF">
              <w:rPr>
                <w:rFonts w:eastAsia="Arial"/>
                <w:lang w:bidi="cs-CZ"/>
              </w:rPr>
              <w:t>7</w:t>
            </w:r>
            <w:r w:rsidRPr="008819AF">
              <w:rPr>
                <w:rFonts w:eastAsia="Arial"/>
                <w:lang w:bidi="cs-CZ"/>
              </w:rPr>
              <w:t xml:space="preserve">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867"/>
              <w:gridCol w:w="3316"/>
              <w:gridCol w:w="1351"/>
            </w:tblGrid>
            <w:tr w:rsidR="004C1DAF" w:rsidRPr="008819AF" w14:paraId="15132FC5" w14:textId="77777777" w:rsidTr="00371243">
              <w:trPr>
                <w:jc w:val="center"/>
              </w:trPr>
              <w:tc>
                <w:tcPr>
                  <w:tcW w:w="85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2FC1" w14:textId="77777777" w:rsidR="004C1DAF" w:rsidRPr="008819AF" w:rsidRDefault="004C1DAF" w:rsidP="004C1DAF">
                  <w:pPr>
                    <w:ind w:right="-12"/>
                    <w:rPr>
                      <w:rFonts w:eastAsia="Arial"/>
                      <w:lang w:bidi="cs-CZ"/>
                    </w:rPr>
                  </w:pPr>
                  <w:r w:rsidRPr="008819AF">
                    <w:rPr>
                      <w:rFonts w:eastAsia="Arial"/>
                      <w:lang w:bidi="cs-CZ"/>
                    </w:rPr>
                    <w:t>Správa</w:t>
                  </w:r>
                  <w:r w:rsidRPr="008819AF">
                    <w:rPr>
                      <w:rFonts w:eastAsia="Arial"/>
                      <w:lang w:bidi="cs-CZ"/>
                    </w:rPr>
                    <w:br/>
                    <w:t>o veľkých</w:t>
                  </w:r>
                  <w:r w:rsidRPr="008819AF">
                    <w:rPr>
                      <w:rFonts w:eastAsia="Arial"/>
                      <w:lang w:bidi="cs-CZ"/>
                    </w:rPr>
                    <w:br/>
                    <w:t>spaľovacích</w:t>
                  </w:r>
                  <w:r w:rsidRPr="008819AF">
                    <w:rPr>
                      <w:rFonts w:eastAsia="Arial"/>
                      <w:lang w:bidi="cs-CZ"/>
                    </w:rPr>
                    <w:br/>
                    <w:t>zariadeniach</w:t>
                  </w:r>
                </w:p>
              </w:tc>
              <w:tc>
                <w:tcPr>
                  <w:tcW w:w="328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2FC2" w14:textId="77777777" w:rsidR="004C1DAF" w:rsidRPr="008819AF" w:rsidRDefault="004C1DAF" w:rsidP="004C1DAF">
                  <w:pPr>
                    <w:ind w:right="-12"/>
                    <w:rPr>
                      <w:rFonts w:eastAsia="Arial"/>
                      <w:lang w:bidi="cs-CZ"/>
                    </w:rPr>
                  </w:pPr>
                  <w:r w:rsidRPr="008819AF">
                    <w:rPr>
                      <w:rFonts w:eastAsia="Arial"/>
                      <w:lang w:bidi="cs-CZ"/>
                    </w:rPr>
                    <w:t>a) celkový MTP spaľovacieho zariadenia [MW],</w:t>
                  </w:r>
                  <w:r w:rsidRPr="008819AF">
                    <w:rPr>
                      <w:rFonts w:eastAsia="Arial"/>
                      <w:lang w:bidi="cs-CZ"/>
                    </w:rPr>
                    <w:br/>
                    <w:t>b) druh spaľovacieho zariadenia (kotol, plynová turbína, zážihový motor, vznetový motor, iné),</w:t>
                  </w:r>
                  <w:r w:rsidRPr="008819AF">
                    <w:rPr>
                      <w:rFonts w:eastAsia="Arial"/>
                      <w:lang w:bidi="cs-CZ"/>
                    </w:rPr>
                    <w:br/>
                    <w:t>c) dátum uvedenia spaľovacieho zariadenia do prevádzky,</w:t>
                  </w:r>
                  <w:r w:rsidRPr="008819AF">
                    <w:rPr>
                      <w:rFonts w:eastAsia="Arial"/>
                      <w:lang w:bidi="cs-CZ"/>
                    </w:rPr>
                    <w:br/>
                    <w:t>d) celkové ročné emisie TZL, SO2 a NOx [t/rok],</w:t>
                  </w:r>
                  <w:r w:rsidRPr="008819AF">
                    <w:rPr>
                      <w:rFonts w:eastAsia="Arial"/>
                      <w:lang w:bidi="cs-CZ"/>
                    </w:rPr>
                    <w:br/>
                    <w:t>e) počet prevádzkovaných hodín [h/rok],</w:t>
                  </w:r>
                  <w:r w:rsidRPr="008819AF">
                    <w:rPr>
                      <w:rFonts w:eastAsia="Arial"/>
                      <w:lang w:bidi="cs-CZ"/>
                    </w:rPr>
                    <w:br/>
                  </w:r>
                  <w:r w:rsidRPr="008819AF">
                    <w:rPr>
                      <w:rFonts w:eastAsia="Arial"/>
                      <w:lang w:bidi="cs-CZ"/>
                    </w:rPr>
                    <w:lastRenderedPageBreak/>
                    <w:t>f) druh spaľovaných palív,</w:t>
                  </w:r>
                </w:p>
                <w:p w14:paraId="15132FC3" w14:textId="77777777" w:rsidR="00371243" w:rsidRPr="008819AF" w:rsidRDefault="00371243" w:rsidP="004C1DAF">
                  <w:pPr>
                    <w:ind w:right="-12"/>
                    <w:rPr>
                      <w:rFonts w:eastAsia="Arial"/>
                      <w:lang w:bidi="cs-CZ"/>
                    </w:rPr>
                  </w:pPr>
                  <w:r w:rsidRPr="008819AF">
                    <w:rPr>
                      <w:rFonts w:eastAsia="Trebuchet MS"/>
                      <w:lang w:eastAsia="zh-CN"/>
                    </w:rPr>
                    <w:t>g) tepelný vstup dodaný v každom druhu paliva [TJ/rok],</w:t>
                  </w:r>
                </w:p>
              </w:tc>
              <w:tc>
                <w:tcPr>
                  <w:tcW w:w="13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2FC4" w14:textId="77777777" w:rsidR="004C1DAF" w:rsidRPr="008819AF" w:rsidRDefault="004C1DAF" w:rsidP="004C1DAF">
                  <w:pPr>
                    <w:ind w:right="-12"/>
                    <w:rPr>
                      <w:rFonts w:eastAsia="Arial"/>
                      <w:lang w:bidi="cs-CZ"/>
                    </w:rPr>
                  </w:pPr>
                  <w:r w:rsidRPr="008819AF">
                    <w:rPr>
                      <w:rFonts w:eastAsia="Arial"/>
                      <w:lang w:bidi="cs-CZ"/>
                    </w:rPr>
                    <w:lastRenderedPageBreak/>
                    <w:br/>
                  </w:r>
                  <w:r w:rsidRPr="008819AF">
                    <w:rPr>
                      <w:rFonts w:eastAsia="Arial"/>
                      <w:lang w:bidi="cs-CZ"/>
                    </w:rPr>
                    <w:br/>
                  </w:r>
                  <w:r w:rsidRPr="008819AF">
                    <w:rPr>
                      <w:rFonts w:eastAsia="Arial"/>
                      <w:lang w:bidi="cs-CZ"/>
                    </w:rPr>
                    <w:br/>
                    <w:t>Každoročne/</w:t>
                  </w:r>
                  <w:r w:rsidRPr="008819AF">
                    <w:rPr>
                      <w:rFonts w:eastAsia="Arial"/>
                      <w:lang w:bidi="cs-CZ"/>
                    </w:rPr>
                    <w:br/>
                    <w:t>do 30. novembra</w:t>
                  </w:r>
                </w:p>
              </w:tc>
            </w:tr>
          </w:tbl>
          <w:p w14:paraId="15132FC6" w14:textId="77777777" w:rsidR="004C1DAF" w:rsidRPr="008819AF" w:rsidRDefault="004C1DAF" w:rsidP="004C1DAF">
            <w:pPr>
              <w:rPr>
                <w:rFonts w:eastAsia="Arial"/>
                <w:lang w:bidi="cs-CZ"/>
              </w:rPr>
            </w:pPr>
          </w:p>
          <w:p w14:paraId="15132FC7" w14:textId="77777777" w:rsidR="004C1DAF" w:rsidRPr="008819AF" w:rsidRDefault="004C1DAF" w:rsidP="004C1DAF">
            <w:pPr>
              <w:rPr>
                <w:rFonts w:eastAsia="Arial"/>
                <w:lang w:bidi="cs-CZ"/>
              </w:rPr>
            </w:pPr>
          </w:p>
          <w:p w14:paraId="15132FC8" w14:textId="77777777" w:rsidR="004C1DAF" w:rsidRPr="008819AF" w:rsidRDefault="004C1DAF" w:rsidP="004C1DAF">
            <w:pPr>
              <w:rPr>
                <w:rFonts w:eastAsia="Arial"/>
                <w:lang w:bidi="cs-CZ"/>
              </w:rPr>
            </w:pPr>
          </w:p>
          <w:p w14:paraId="15132FC9" w14:textId="77777777" w:rsidR="004C1DAF" w:rsidRPr="008819AF" w:rsidRDefault="004C1DAF" w:rsidP="004C1DAF">
            <w:pPr>
              <w:rPr>
                <w:rFonts w:eastAsia="Arial"/>
                <w:lang w:bidi="cs-CZ"/>
              </w:rPr>
            </w:pPr>
          </w:p>
          <w:p w14:paraId="15132FCA" w14:textId="77777777" w:rsidR="004C1DAF" w:rsidRPr="008819AF" w:rsidRDefault="004C1DAF" w:rsidP="004C1DAF">
            <w:pPr>
              <w:rPr>
                <w:rFonts w:eastAsia="Arial"/>
                <w:lang w:bidi="cs-CZ"/>
              </w:rPr>
            </w:pPr>
          </w:p>
          <w:p w14:paraId="15132FCB" w14:textId="77777777" w:rsidR="004C1DAF" w:rsidRPr="008819AF" w:rsidRDefault="004C1DAF" w:rsidP="004C1DAF">
            <w:pPr>
              <w:rPr>
                <w:rFonts w:eastAsia="Arial"/>
                <w:lang w:bidi="cs-CZ"/>
              </w:rPr>
            </w:pPr>
          </w:p>
          <w:p w14:paraId="15132FCC" w14:textId="77777777" w:rsidR="004C1DAF" w:rsidRPr="008819AF" w:rsidRDefault="004C1DAF" w:rsidP="004C1DAF">
            <w:pPr>
              <w:rPr>
                <w:rFonts w:eastAsia="Arial"/>
                <w:lang w:bidi="cs-CZ"/>
              </w:rPr>
            </w:pPr>
          </w:p>
          <w:p w14:paraId="15132FCD" w14:textId="77777777" w:rsidR="004C1DAF" w:rsidRPr="008819AF" w:rsidRDefault="004C1DAF" w:rsidP="004C1DAF">
            <w:pPr>
              <w:rPr>
                <w:rFonts w:eastAsia="Arial"/>
                <w:lang w:bidi="cs-CZ"/>
              </w:rPr>
            </w:pPr>
          </w:p>
          <w:p w14:paraId="15132FCE" w14:textId="77777777" w:rsidR="004C1DAF" w:rsidRPr="008819AF" w:rsidRDefault="004C1DAF" w:rsidP="004C1DAF">
            <w:pPr>
              <w:rPr>
                <w:rFonts w:eastAsia="Arial"/>
                <w:lang w:bidi="cs-CZ"/>
              </w:rPr>
            </w:pPr>
          </w:p>
          <w:p w14:paraId="15132FCF" w14:textId="77777777" w:rsidR="004C1DAF" w:rsidRPr="008819AF" w:rsidRDefault="004C1DAF" w:rsidP="004C1DAF">
            <w:pPr>
              <w:rPr>
                <w:rFonts w:eastAsia="Arial"/>
                <w:lang w:bidi="cs-CZ"/>
              </w:rPr>
            </w:pPr>
          </w:p>
          <w:p w14:paraId="15132FD0" w14:textId="77777777" w:rsidR="004C1DAF" w:rsidRPr="008819AF" w:rsidRDefault="004C1DAF" w:rsidP="004C1DAF">
            <w:pPr>
              <w:rPr>
                <w:rFonts w:eastAsia="Arial"/>
                <w:lang w:bidi="cs-CZ"/>
              </w:rPr>
            </w:pPr>
          </w:p>
          <w:p w14:paraId="15132FD1" w14:textId="77777777" w:rsidR="004C1DAF" w:rsidRPr="008819AF" w:rsidRDefault="004C1DAF" w:rsidP="004C1DAF">
            <w:pPr>
              <w:rPr>
                <w:rFonts w:eastAsia="Arial"/>
                <w:lang w:bidi="cs-CZ"/>
              </w:rPr>
            </w:pPr>
          </w:p>
          <w:p w14:paraId="15132FD2" w14:textId="77777777" w:rsidR="004C1DAF" w:rsidRPr="008819AF" w:rsidRDefault="004C1DAF" w:rsidP="004C1DAF">
            <w:pPr>
              <w:rPr>
                <w:rFonts w:eastAsia="Arial"/>
                <w:lang w:bidi="cs-CZ"/>
              </w:rPr>
            </w:pPr>
          </w:p>
          <w:p w14:paraId="15132FD3" w14:textId="77777777" w:rsidR="004C1DAF" w:rsidRPr="008819AF" w:rsidRDefault="004C1DAF" w:rsidP="004C1DAF">
            <w:pPr>
              <w:rPr>
                <w:rFonts w:eastAsia="Arial"/>
                <w:lang w:bidi="cs-CZ"/>
              </w:rPr>
            </w:pPr>
            <w:r w:rsidRPr="008819AF">
              <w:rPr>
                <w:rFonts w:eastAsia="Arial"/>
                <w:lang w:bidi="cs-CZ"/>
              </w:rPr>
              <w:t xml:space="preserve">3. VEĽKÉ SPAĽOVACIE ZARIADENIA podľa § 20  ods. </w:t>
            </w:r>
            <w:r w:rsidR="00371243" w:rsidRPr="008819AF">
              <w:rPr>
                <w:rFonts w:eastAsia="Arial"/>
                <w:lang w:bidi="cs-CZ"/>
              </w:rPr>
              <w:t>7</w:t>
            </w:r>
            <w:r w:rsidRPr="008819AF">
              <w:rPr>
                <w:rFonts w:eastAsia="Arial"/>
                <w:lang w:bidi="cs-CZ"/>
              </w:rPr>
              <w:t xml:space="preserve">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867"/>
              <w:gridCol w:w="3316"/>
              <w:gridCol w:w="1351"/>
            </w:tblGrid>
            <w:tr w:rsidR="004C1DAF" w:rsidRPr="008819AF" w14:paraId="15132FD7" w14:textId="77777777" w:rsidTr="00CB6CE7">
              <w:trPr>
                <w:jc w:val="center"/>
              </w:trPr>
              <w:tc>
                <w:tcPr>
                  <w:tcW w:w="73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2FD4" w14:textId="77777777" w:rsidR="004C1DAF" w:rsidRPr="008819AF" w:rsidRDefault="004C1DAF" w:rsidP="004C1DAF">
                  <w:pPr>
                    <w:ind w:right="-12"/>
                    <w:rPr>
                      <w:rFonts w:eastAsia="Arial"/>
                      <w:lang w:bidi="cs-CZ"/>
                    </w:rPr>
                  </w:pPr>
                  <w:r w:rsidRPr="008819AF">
                    <w:rPr>
                      <w:rFonts w:eastAsia="Arial"/>
                      <w:lang w:bidi="cs-CZ"/>
                    </w:rPr>
                    <w:t>Správa</w:t>
                  </w:r>
                  <w:r w:rsidRPr="008819AF">
                    <w:rPr>
                      <w:rFonts w:eastAsia="Arial"/>
                      <w:lang w:bidi="cs-CZ"/>
                    </w:rPr>
                    <w:br/>
                    <w:t>o veľkých</w:t>
                  </w:r>
                  <w:r w:rsidRPr="008819AF">
                    <w:rPr>
                      <w:rFonts w:eastAsia="Arial"/>
                      <w:lang w:bidi="cs-CZ"/>
                    </w:rPr>
                    <w:br/>
                    <w:t>spaľovacích</w:t>
                  </w:r>
                  <w:r w:rsidRPr="008819AF">
                    <w:rPr>
                      <w:rFonts w:eastAsia="Arial"/>
                      <w:lang w:bidi="cs-CZ"/>
                    </w:rPr>
                    <w:br/>
                    <w:t>zariadeniach</w:t>
                  </w:r>
                </w:p>
              </w:tc>
              <w:tc>
                <w:tcPr>
                  <w:tcW w:w="279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2FD5" w14:textId="77777777" w:rsidR="004C1DAF" w:rsidRPr="008819AF" w:rsidRDefault="004C1DAF" w:rsidP="004C1DAF">
                  <w:pPr>
                    <w:ind w:right="-12"/>
                    <w:rPr>
                      <w:rFonts w:eastAsia="Arial"/>
                      <w:lang w:bidi="cs-CZ"/>
                    </w:rPr>
                  </w:pPr>
                  <w:r w:rsidRPr="008819AF">
                    <w:rPr>
                      <w:rFonts w:eastAsia="Arial"/>
                      <w:lang w:bidi="cs-CZ"/>
                    </w:rPr>
                    <w:t>k) obsah síry v používanom domácom tuhom palive a dosiahnutý stupeň odsírenia, a to ako priemer za každý mesiac pre zariadenia, pre ktoré platí stupeň odsírenia; pri prvom uvedení tejto informácie sa oznámi aj technické odôvodnenie nemožnosti dodržiavať emisný limit vyjadrený ako koncentrácia SO2.</w:t>
                  </w:r>
                </w:p>
              </w:tc>
              <w:tc>
                <w:tcPr>
                  <w:tcW w:w="113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5132FD6" w14:textId="77777777" w:rsidR="004C1DAF" w:rsidRPr="008819AF" w:rsidRDefault="004C1DAF" w:rsidP="004C1DAF">
                  <w:pPr>
                    <w:ind w:right="-12"/>
                    <w:rPr>
                      <w:rFonts w:eastAsia="Arial"/>
                      <w:lang w:bidi="cs-CZ"/>
                    </w:rPr>
                  </w:pPr>
                  <w:r w:rsidRPr="008819AF">
                    <w:rPr>
                      <w:rFonts w:eastAsia="Arial"/>
                      <w:lang w:bidi="cs-CZ"/>
                    </w:rPr>
                    <w:t>Každoročne/</w:t>
                  </w:r>
                  <w:r w:rsidRPr="008819AF">
                    <w:rPr>
                      <w:rFonts w:eastAsia="Arial"/>
                      <w:lang w:bidi="cs-CZ"/>
                    </w:rPr>
                    <w:br/>
                    <w:t>do 30. novembra</w:t>
                  </w:r>
                </w:p>
              </w:tc>
            </w:tr>
          </w:tbl>
          <w:p w14:paraId="15132FD8" w14:textId="159692D6" w:rsidR="004C1DAF" w:rsidRPr="008819AF" w:rsidRDefault="004C1DAF" w:rsidP="004C1DAF">
            <w:pPr>
              <w:rPr>
                <w:rFonts w:eastAsia="Arial"/>
                <w:lang w:bidi="cs-CZ"/>
              </w:rPr>
            </w:pPr>
          </w:p>
          <w:p w14:paraId="4DA26D23" w14:textId="5202EAD5" w:rsidR="000B26D5" w:rsidRPr="008819AF" w:rsidRDefault="000B26D5" w:rsidP="000B26D5">
            <w:pPr>
              <w:jc w:val="both"/>
              <w:rPr>
                <w:rFonts w:eastAsia="Arial"/>
                <w:lang w:bidi="cs-CZ"/>
              </w:rPr>
            </w:pPr>
            <w:r w:rsidRPr="008819AF">
              <w:rPr>
                <w:rFonts w:eastAsia="Arial"/>
                <w:lang w:bidi="cs-CZ"/>
              </w:rPr>
              <w:tab/>
              <w:t>A. Register údajov o veľkých spaľovacích zariadeniach</w:t>
            </w:r>
          </w:p>
          <w:p w14:paraId="6B41B094" w14:textId="77777777" w:rsidR="000B26D5" w:rsidRPr="008819AF" w:rsidRDefault="000B26D5" w:rsidP="000B26D5">
            <w:pPr>
              <w:jc w:val="both"/>
              <w:rPr>
                <w:rFonts w:eastAsia="Arial"/>
                <w:lang w:bidi="cs-CZ"/>
              </w:rPr>
            </w:pPr>
            <w:r w:rsidRPr="008819AF">
              <w:rPr>
                <w:rFonts w:eastAsia="Arial"/>
                <w:lang w:bidi="cs-CZ"/>
              </w:rPr>
              <w:t>1.</w:t>
            </w:r>
            <w:r w:rsidRPr="008819AF">
              <w:rPr>
                <w:rFonts w:eastAsia="Arial"/>
                <w:lang w:bidi="cs-CZ"/>
              </w:rPr>
              <w:tab/>
              <w:t xml:space="preserve">identifikačné údaje o zariadení </w:t>
            </w:r>
          </w:p>
          <w:p w14:paraId="522007F0" w14:textId="77777777" w:rsidR="000B26D5" w:rsidRPr="008819AF" w:rsidRDefault="000B26D5" w:rsidP="000B26D5">
            <w:pPr>
              <w:jc w:val="both"/>
              <w:rPr>
                <w:rFonts w:eastAsia="Arial"/>
                <w:lang w:bidi="cs-CZ"/>
              </w:rPr>
            </w:pPr>
            <w:r w:rsidRPr="008819AF">
              <w:rPr>
                <w:rFonts w:eastAsia="Arial"/>
                <w:lang w:bidi="cs-CZ"/>
              </w:rPr>
              <w:t>2.</w:t>
            </w:r>
            <w:r w:rsidRPr="008819AF">
              <w:rPr>
                <w:rFonts w:eastAsia="Arial"/>
                <w:lang w:bidi="cs-CZ"/>
              </w:rPr>
              <w:tab/>
              <w:t xml:space="preserve">celkový MTP spaľovacieho zariadenia [MW], </w:t>
            </w:r>
          </w:p>
          <w:p w14:paraId="31DD6ADD" w14:textId="77777777" w:rsidR="000B26D5" w:rsidRPr="008819AF" w:rsidRDefault="000B26D5" w:rsidP="000B26D5">
            <w:pPr>
              <w:jc w:val="both"/>
              <w:rPr>
                <w:rFonts w:eastAsia="Arial"/>
                <w:lang w:bidi="cs-CZ"/>
              </w:rPr>
            </w:pPr>
            <w:r w:rsidRPr="008819AF">
              <w:rPr>
                <w:rFonts w:eastAsia="Arial"/>
                <w:lang w:bidi="cs-CZ"/>
              </w:rPr>
              <w:t>3.</w:t>
            </w:r>
            <w:r w:rsidRPr="008819AF">
              <w:rPr>
                <w:rFonts w:eastAsia="Arial"/>
                <w:lang w:bidi="cs-CZ"/>
              </w:rPr>
              <w:tab/>
              <w:t>druh spaľovacieho zariadenia (kotol, plynová turbína, zážihový motor, vznetový motor, iné),</w:t>
            </w:r>
          </w:p>
          <w:p w14:paraId="1659709C" w14:textId="77777777" w:rsidR="000B26D5" w:rsidRPr="008819AF" w:rsidRDefault="000B26D5" w:rsidP="000B26D5">
            <w:pPr>
              <w:jc w:val="both"/>
              <w:rPr>
                <w:rFonts w:eastAsia="Arial"/>
                <w:lang w:bidi="cs-CZ"/>
              </w:rPr>
            </w:pPr>
            <w:r w:rsidRPr="008819AF">
              <w:rPr>
                <w:rFonts w:eastAsia="Arial"/>
                <w:lang w:bidi="cs-CZ"/>
              </w:rPr>
              <w:t>4.</w:t>
            </w:r>
            <w:r w:rsidRPr="008819AF">
              <w:rPr>
                <w:rFonts w:eastAsia="Arial"/>
                <w:lang w:bidi="cs-CZ"/>
              </w:rPr>
              <w:tab/>
              <w:t>dátum uvedenia spaľovacieho zariadenia do prevádzky,</w:t>
            </w:r>
          </w:p>
          <w:p w14:paraId="0041DFBA" w14:textId="77777777" w:rsidR="000B26D5" w:rsidRPr="008819AF" w:rsidRDefault="000B26D5" w:rsidP="000B26D5">
            <w:pPr>
              <w:jc w:val="both"/>
              <w:rPr>
                <w:rFonts w:eastAsia="Arial"/>
                <w:lang w:bidi="cs-CZ"/>
              </w:rPr>
            </w:pPr>
            <w:r w:rsidRPr="008819AF">
              <w:rPr>
                <w:rFonts w:eastAsia="Arial"/>
                <w:lang w:bidi="cs-CZ"/>
              </w:rPr>
              <w:t>5.</w:t>
            </w:r>
            <w:r w:rsidRPr="008819AF">
              <w:rPr>
                <w:rFonts w:eastAsia="Arial"/>
                <w:lang w:bidi="cs-CZ"/>
              </w:rPr>
              <w:tab/>
              <w:t>celkové ročné emisie TZL, SO2 a NOx [t/rok],</w:t>
            </w:r>
          </w:p>
          <w:p w14:paraId="7A3087E2" w14:textId="77777777" w:rsidR="000B26D5" w:rsidRPr="008819AF" w:rsidRDefault="000B26D5" w:rsidP="000B26D5">
            <w:pPr>
              <w:jc w:val="both"/>
              <w:rPr>
                <w:rFonts w:eastAsia="Arial"/>
                <w:lang w:bidi="cs-CZ"/>
              </w:rPr>
            </w:pPr>
            <w:r w:rsidRPr="008819AF">
              <w:rPr>
                <w:rFonts w:eastAsia="Arial"/>
                <w:lang w:bidi="cs-CZ"/>
              </w:rPr>
              <w:t>6.</w:t>
            </w:r>
            <w:r w:rsidRPr="008819AF">
              <w:rPr>
                <w:rFonts w:eastAsia="Arial"/>
                <w:lang w:bidi="cs-CZ"/>
              </w:rPr>
              <w:tab/>
              <w:t>počet prevádzkovaných hodín [h/rok],</w:t>
            </w:r>
          </w:p>
          <w:p w14:paraId="32D9D47A" w14:textId="77777777" w:rsidR="000B26D5" w:rsidRPr="008819AF" w:rsidRDefault="000B26D5" w:rsidP="000B26D5">
            <w:pPr>
              <w:jc w:val="both"/>
              <w:rPr>
                <w:rFonts w:eastAsia="Arial"/>
                <w:lang w:bidi="cs-CZ"/>
              </w:rPr>
            </w:pPr>
            <w:r w:rsidRPr="008819AF">
              <w:rPr>
                <w:rFonts w:eastAsia="Arial"/>
                <w:lang w:bidi="cs-CZ"/>
              </w:rPr>
              <w:t>7.</w:t>
            </w:r>
            <w:r w:rsidRPr="008819AF">
              <w:rPr>
                <w:rFonts w:eastAsia="Arial"/>
                <w:lang w:bidi="cs-CZ"/>
              </w:rPr>
              <w:tab/>
              <w:t>druh spaľovaných palív,</w:t>
            </w:r>
          </w:p>
          <w:p w14:paraId="69B9196B" w14:textId="77777777" w:rsidR="000B26D5" w:rsidRPr="008819AF" w:rsidRDefault="000B26D5" w:rsidP="000B26D5">
            <w:pPr>
              <w:jc w:val="both"/>
              <w:rPr>
                <w:rFonts w:eastAsia="Arial"/>
                <w:lang w:bidi="cs-CZ"/>
              </w:rPr>
            </w:pPr>
            <w:r w:rsidRPr="008819AF">
              <w:rPr>
                <w:rFonts w:eastAsia="Arial"/>
                <w:lang w:bidi="cs-CZ"/>
              </w:rPr>
              <w:t>8.</w:t>
            </w:r>
            <w:r w:rsidRPr="008819AF">
              <w:rPr>
                <w:rFonts w:eastAsia="Arial"/>
                <w:lang w:bidi="cs-CZ"/>
              </w:rPr>
              <w:tab/>
              <w:t>tepelný vstup dodaný v každom druhu paliva [TJ/rok],</w:t>
            </w:r>
          </w:p>
          <w:p w14:paraId="7D111A8C" w14:textId="77777777" w:rsidR="000B26D5" w:rsidRPr="008819AF" w:rsidRDefault="000B26D5" w:rsidP="000B26D5">
            <w:pPr>
              <w:jc w:val="both"/>
              <w:rPr>
                <w:rFonts w:eastAsia="Arial"/>
                <w:lang w:bidi="cs-CZ"/>
              </w:rPr>
            </w:pPr>
            <w:r w:rsidRPr="008819AF">
              <w:rPr>
                <w:rFonts w:eastAsia="Arial"/>
                <w:lang w:bidi="cs-CZ"/>
              </w:rPr>
              <w:t>9.</w:t>
            </w:r>
            <w:r w:rsidRPr="008819AF">
              <w:rPr>
                <w:rFonts w:eastAsia="Arial"/>
                <w:lang w:bidi="cs-CZ"/>
              </w:rPr>
              <w:tab/>
              <w:t xml:space="preserve">počet prevádzkových hodín zariadení zaradených v osobitnom </w:t>
            </w:r>
            <w:r w:rsidRPr="008819AF">
              <w:rPr>
                <w:rFonts w:eastAsia="Arial"/>
                <w:lang w:bidi="cs-CZ"/>
              </w:rPr>
              <w:lastRenderedPageBreak/>
              <w:t>režime na dožitie podľa § 31 ods. 6 písm. b) zákona,</w:t>
            </w:r>
          </w:p>
          <w:p w14:paraId="143476A8" w14:textId="77777777" w:rsidR="000B26D5" w:rsidRPr="008819AF" w:rsidRDefault="000B26D5" w:rsidP="000B26D5">
            <w:pPr>
              <w:jc w:val="both"/>
              <w:rPr>
                <w:rFonts w:eastAsia="Arial"/>
                <w:lang w:bidi="cs-CZ"/>
              </w:rPr>
            </w:pPr>
            <w:r w:rsidRPr="008819AF">
              <w:rPr>
                <w:rFonts w:eastAsia="Arial"/>
                <w:lang w:bidi="cs-CZ"/>
              </w:rPr>
              <w:t>10.</w:t>
            </w:r>
            <w:r w:rsidRPr="008819AF">
              <w:rPr>
                <w:rFonts w:eastAsia="Arial"/>
                <w:lang w:bidi="cs-CZ"/>
              </w:rPr>
              <w:tab/>
              <w:t xml:space="preserve"> podiel výroby využiteľného tepla zo zariadení zaradených do osobitného režimu CZT podľa § 31 ods. 6 písm. a) zákona, ktoré sa dodalo vo forme pary alebo teplej vody do verejnej siete na diaľkové vykurovanie, vyjadrený ako plávajúci päťročný priemer,</w:t>
            </w:r>
          </w:p>
          <w:p w14:paraId="3BB8C002" w14:textId="77777777" w:rsidR="000B26D5" w:rsidRPr="008819AF" w:rsidRDefault="000B26D5" w:rsidP="000B26D5">
            <w:pPr>
              <w:jc w:val="both"/>
              <w:rPr>
                <w:rFonts w:eastAsia="Arial"/>
                <w:lang w:bidi="cs-CZ"/>
              </w:rPr>
            </w:pPr>
            <w:r w:rsidRPr="008819AF">
              <w:rPr>
                <w:rFonts w:eastAsia="Arial"/>
                <w:lang w:bidi="cs-CZ"/>
              </w:rPr>
              <w:t>11.</w:t>
            </w:r>
            <w:r w:rsidRPr="008819AF">
              <w:rPr>
                <w:rFonts w:eastAsia="Arial"/>
                <w:lang w:bidi="cs-CZ"/>
              </w:rPr>
              <w:tab/>
              <w:t xml:space="preserve"> počet prevádzkových hodín za uplynulý rok vyjadrených ako plávajúci päťročný priemer za zariadenia zaradené v obmedzenom prevádzkovom režime,</w:t>
            </w:r>
          </w:p>
          <w:p w14:paraId="15132FD9" w14:textId="297F82FB" w:rsidR="004C1DAF" w:rsidRPr="008819AF" w:rsidRDefault="000B26D5" w:rsidP="000B26D5">
            <w:pPr>
              <w:jc w:val="both"/>
              <w:rPr>
                <w:rFonts w:eastAsia="Arial"/>
                <w:lang w:bidi="cs-CZ"/>
              </w:rPr>
            </w:pPr>
            <w:r w:rsidRPr="008819AF">
              <w:rPr>
                <w:rFonts w:eastAsia="Arial"/>
                <w:lang w:bidi="cs-CZ"/>
              </w:rPr>
              <w:t>12.</w:t>
            </w:r>
            <w:r w:rsidRPr="008819AF">
              <w:rPr>
                <w:rFonts w:eastAsia="Arial"/>
                <w:lang w:bidi="cs-CZ"/>
              </w:rPr>
              <w:tab/>
              <w:t xml:space="preserve"> obsah síry v používanom domácom tuhom palive a dosiahnutý stupeň odsírenia, a to ako priemer za každý mesiac pre zariadenia, pre ktoré platí stupeň odsírenia; pri prvom uvedení tejto informácie sa oznámi aj technické odôvodnenie nemožnosti dodržiavať emisný limit vyjadrený ako koncentrácia SO2.</w:t>
            </w:r>
          </w:p>
        </w:tc>
        <w:tc>
          <w:tcPr>
            <w:tcW w:w="429" w:type="dxa"/>
            <w:tcBorders>
              <w:top w:val="single" w:sz="4" w:space="0" w:color="000000"/>
              <w:left w:val="single" w:sz="6" w:space="0" w:color="000000"/>
              <w:bottom w:val="single" w:sz="6" w:space="0" w:color="000000"/>
              <w:right w:val="single" w:sz="6" w:space="0" w:color="000000"/>
            </w:tcBorders>
          </w:tcPr>
          <w:p w14:paraId="15132FDA" w14:textId="77777777" w:rsidR="004C1DAF" w:rsidRPr="008819AF" w:rsidRDefault="004C1DAF" w:rsidP="004C1DAF">
            <w:pPr>
              <w:ind w:left="215" w:hanging="215"/>
              <w:rPr>
                <w:rFonts w:eastAsia="Arial"/>
                <w:lang w:bidi="cs-CZ"/>
              </w:rPr>
            </w:pPr>
            <w:r w:rsidRPr="008819AF">
              <w:rPr>
                <w:rFonts w:eastAsia="Arial"/>
                <w:lang w:bidi="cs-CZ"/>
              </w:rPr>
              <w:lastRenderedPageBreak/>
              <w:t>U</w:t>
            </w:r>
          </w:p>
        </w:tc>
        <w:tc>
          <w:tcPr>
            <w:tcW w:w="821" w:type="dxa"/>
            <w:gridSpan w:val="3"/>
            <w:tcBorders>
              <w:top w:val="single" w:sz="4" w:space="0" w:color="000000"/>
              <w:left w:val="single" w:sz="6" w:space="0" w:color="000000"/>
              <w:bottom w:val="single" w:sz="6" w:space="0" w:color="000000"/>
              <w:right w:val="single" w:sz="6" w:space="0" w:color="000000"/>
            </w:tcBorders>
          </w:tcPr>
          <w:p w14:paraId="15132FDB" w14:textId="77777777" w:rsidR="004C1DAF" w:rsidRPr="008819AF" w:rsidRDefault="004C1DAF" w:rsidP="004C1DAF">
            <w:pPr>
              <w:ind w:left="215" w:hanging="215"/>
              <w:rPr>
                <w:rFonts w:eastAsia="Arial"/>
              </w:rPr>
            </w:pPr>
          </w:p>
        </w:tc>
      </w:tr>
      <w:tr w:rsidR="004C1DAF" w:rsidRPr="008819AF" w14:paraId="15132FF6"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2FDD" w14:textId="77777777" w:rsidR="004C1DAF" w:rsidRPr="008819AF" w:rsidRDefault="004C1DAF" w:rsidP="004C1DAF">
            <w:pPr>
              <w:ind w:right="-70"/>
              <w:rPr>
                <w:rFonts w:eastAsia="Arial"/>
                <w:lang w:bidi="cs-CZ"/>
              </w:rPr>
            </w:pPr>
            <w:r w:rsidRPr="008819AF">
              <w:rPr>
                <w:rFonts w:eastAsia="Arial"/>
                <w:lang w:bidi="cs-CZ"/>
              </w:rPr>
              <w:lastRenderedPageBreak/>
              <w:t>Č:73</w:t>
            </w:r>
          </w:p>
        </w:tc>
        <w:tc>
          <w:tcPr>
            <w:tcW w:w="6227" w:type="dxa"/>
            <w:gridSpan w:val="2"/>
            <w:tcBorders>
              <w:top w:val="single" w:sz="4" w:space="0" w:color="000000"/>
              <w:left w:val="single" w:sz="6" w:space="0" w:color="000000"/>
              <w:bottom w:val="single" w:sz="6" w:space="0" w:color="000000"/>
              <w:right w:val="single" w:sz="6" w:space="0" w:color="000000"/>
            </w:tcBorders>
          </w:tcPr>
          <w:p w14:paraId="15132FDE" w14:textId="77777777" w:rsidR="004C1DAF" w:rsidRPr="008819AF" w:rsidRDefault="004C1DAF" w:rsidP="004C1DAF">
            <w:pPr>
              <w:ind w:left="215" w:hanging="215"/>
              <w:rPr>
                <w:rFonts w:eastAsia="Arial"/>
              </w:rPr>
            </w:pPr>
            <w:r w:rsidRPr="008819AF">
              <w:rPr>
                <w:rFonts w:eastAsia="Arial"/>
              </w:rPr>
              <w:t>Článok 73</w:t>
            </w:r>
          </w:p>
          <w:p w14:paraId="15132FDF" w14:textId="77777777" w:rsidR="004C1DAF" w:rsidRPr="008819AF" w:rsidRDefault="004C1DAF" w:rsidP="004C1DAF">
            <w:pPr>
              <w:ind w:left="215" w:hanging="215"/>
              <w:rPr>
                <w:rFonts w:eastAsia="Arial"/>
              </w:rPr>
            </w:pPr>
            <w:r w:rsidRPr="008819AF">
              <w:rPr>
                <w:rFonts w:eastAsia="Arial"/>
              </w:rPr>
              <w:t>Preskúmanie</w:t>
            </w:r>
          </w:p>
          <w:p w14:paraId="15132FE0" w14:textId="77777777" w:rsidR="004C1DAF" w:rsidRPr="008819AF" w:rsidRDefault="004C1DAF" w:rsidP="004C1DAF">
            <w:pPr>
              <w:ind w:left="215" w:hanging="215"/>
              <w:rPr>
                <w:rFonts w:eastAsia="Arial"/>
              </w:rPr>
            </w:pPr>
            <w:r w:rsidRPr="008819AF">
              <w:rPr>
                <w:rFonts w:eastAsia="Arial"/>
              </w:rPr>
              <w:t>1. Na základe informácií uvedených v článku 72 Komisia predloží Európskemu parlamentu a Rade do 7. januára 2016 a následne každé tri roky správu, v ktorej preskúma vykonávanie tejto smernice.</w:t>
            </w:r>
          </w:p>
          <w:p w14:paraId="15132FE1" w14:textId="77777777" w:rsidR="004C1DAF" w:rsidRPr="008819AF" w:rsidRDefault="004C1DAF" w:rsidP="004C1DAF">
            <w:pPr>
              <w:ind w:left="215" w:hanging="1"/>
              <w:rPr>
                <w:rFonts w:eastAsia="Arial"/>
              </w:rPr>
            </w:pPr>
            <w:r w:rsidRPr="008819AF">
              <w:rPr>
                <w:rFonts w:eastAsia="Arial"/>
              </w:rPr>
              <w:t>Táto správa uvedie posúdenie potreby akcie Únie prostredníctvom stanovenia alebo aktualizácie celoúnijných minimálnych požiadaviek na emisné limity a na pravidlá pre monitorovanie a dodržiavanie súladu pri činnostiach v rámci záverov o BAT prijatých počas predchádzajúceho trojročného obdobia na základe týchto kritérií:</w:t>
            </w:r>
          </w:p>
          <w:p w14:paraId="15132FE2" w14:textId="77777777" w:rsidR="004C1DAF" w:rsidRPr="008819AF" w:rsidRDefault="004C1DAF" w:rsidP="009C63CF">
            <w:pPr>
              <w:numPr>
                <w:ilvl w:val="0"/>
                <w:numId w:val="48"/>
              </w:numPr>
              <w:tabs>
                <w:tab w:val="left" w:pos="227"/>
              </w:tabs>
              <w:ind w:left="441"/>
              <w:rPr>
                <w:rFonts w:eastAsia="Arial"/>
              </w:rPr>
            </w:pPr>
            <w:r w:rsidRPr="008819AF">
              <w:rPr>
                <w:rFonts w:eastAsia="Arial"/>
              </w:rPr>
              <w:t>vplyv dotknutých činností na životné prostredie ako celok; a</w:t>
            </w:r>
          </w:p>
          <w:p w14:paraId="15132FE3" w14:textId="77777777" w:rsidR="004C1DAF" w:rsidRPr="008819AF" w:rsidRDefault="004C1DAF" w:rsidP="009C63CF">
            <w:pPr>
              <w:numPr>
                <w:ilvl w:val="0"/>
                <w:numId w:val="48"/>
              </w:numPr>
              <w:tabs>
                <w:tab w:val="left" w:pos="227"/>
              </w:tabs>
              <w:ind w:left="441"/>
              <w:rPr>
                <w:rFonts w:eastAsia="Arial"/>
              </w:rPr>
            </w:pPr>
            <w:r w:rsidRPr="008819AF">
              <w:rPr>
                <w:rFonts w:eastAsia="Arial"/>
              </w:rPr>
              <w:t>situácia v používaní najlepších dostupných techník pri dotknutých činnostiach.</w:t>
            </w:r>
          </w:p>
          <w:p w14:paraId="15132FE4" w14:textId="77777777" w:rsidR="004C1DAF" w:rsidRPr="008819AF" w:rsidRDefault="004C1DAF" w:rsidP="004C1DAF">
            <w:pPr>
              <w:ind w:left="215" w:hanging="1"/>
              <w:rPr>
                <w:rFonts w:eastAsia="Arial"/>
              </w:rPr>
            </w:pPr>
            <w:r w:rsidRPr="008819AF">
              <w:rPr>
                <w:rFonts w:eastAsia="Arial"/>
              </w:rPr>
              <w:t>Toto posúdenie zváži stanovisko fóra uvedeného v článku 13 ods. 4</w:t>
            </w:r>
          </w:p>
          <w:p w14:paraId="15132FE5" w14:textId="77777777" w:rsidR="004C1DAF" w:rsidRPr="008819AF" w:rsidRDefault="004C1DAF" w:rsidP="004C1DAF">
            <w:pPr>
              <w:ind w:left="215" w:hanging="1"/>
              <w:rPr>
                <w:rFonts w:eastAsia="Arial"/>
              </w:rPr>
            </w:pPr>
            <w:r w:rsidRPr="008819AF">
              <w:rPr>
                <w:rFonts w:eastAsia="Arial"/>
              </w:rPr>
              <w:t>Má sa za to, že kapitola III a príloha V tejto smernice predstavujú celoúnijné minimálne požiadavky v prípade veľkých spaľovacích zariadení.</w:t>
            </w:r>
          </w:p>
          <w:p w14:paraId="15132FE6" w14:textId="77777777" w:rsidR="004C1DAF" w:rsidRPr="008819AF" w:rsidRDefault="004C1DAF" w:rsidP="004C1DAF">
            <w:pPr>
              <w:ind w:left="215" w:hanging="1"/>
              <w:rPr>
                <w:rFonts w:eastAsia="Arial"/>
              </w:rPr>
            </w:pPr>
            <w:r w:rsidRPr="008819AF">
              <w:rPr>
                <w:rFonts w:eastAsia="Arial"/>
              </w:rPr>
              <w:t>Správa sa v prípade potreby doplní legislatívny návrhom. Ak posúdenie uvedené v druhom pododseku určí, že je to potrebné, legislatívny návrh bude obsahovať ustanovenia o stanovení alebo aktualizácii celoúnijných minimálnych požiadaviek na emisné limity alebo pravidlá monitorovania a posudzovania dodržiavania súladu pri dotknutých činnostiach.</w:t>
            </w:r>
          </w:p>
          <w:p w14:paraId="15132FE7" w14:textId="77777777" w:rsidR="004C1DAF" w:rsidRPr="008819AF" w:rsidRDefault="004C1DAF" w:rsidP="004C1DAF">
            <w:pPr>
              <w:ind w:left="215" w:hanging="215"/>
              <w:rPr>
                <w:rFonts w:eastAsia="Arial"/>
              </w:rPr>
            </w:pPr>
            <w:r w:rsidRPr="008819AF">
              <w:rPr>
                <w:rFonts w:eastAsia="Arial"/>
              </w:rPr>
              <w:t>2. Komisia do 31. decembra 2012 preskúma potrebu riadenia emisií zo:</w:t>
            </w:r>
          </w:p>
          <w:p w14:paraId="15132FE8" w14:textId="77777777" w:rsidR="004C1DAF" w:rsidRPr="008819AF" w:rsidRDefault="004C1DAF" w:rsidP="009C63CF">
            <w:pPr>
              <w:numPr>
                <w:ilvl w:val="0"/>
                <w:numId w:val="49"/>
              </w:numPr>
              <w:tabs>
                <w:tab w:val="left" w:pos="227"/>
              </w:tabs>
              <w:ind w:left="441"/>
              <w:rPr>
                <w:rFonts w:eastAsia="Arial"/>
              </w:rPr>
            </w:pPr>
            <w:r w:rsidRPr="008819AF">
              <w:rPr>
                <w:rFonts w:eastAsia="Arial"/>
              </w:rPr>
              <w:t>spaľovania palív v zariadeniach s celkovým menovitým tepelným príkonom nižším ako 50 MW;</w:t>
            </w:r>
          </w:p>
          <w:p w14:paraId="15132FE9" w14:textId="77777777" w:rsidR="004C1DAF" w:rsidRPr="008819AF" w:rsidRDefault="004C1DAF" w:rsidP="009C63CF">
            <w:pPr>
              <w:numPr>
                <w:ilvl w:val="0"/>
                <w:numId w:val="49"/>
              </w:numPr>
              <w:tabs>
                <w:tab w:val="left" w:pos="227"/>
              </w:tabs>
              <w:ind w:left="441"/>
              <w:rPr>
                <w:rFonts w:eastAsia="Arial"/>
              </w:rPr>
            </w:pPr>
            <w:r w:rsidRPr="008819AF">
              <w:rPr>
                <w:rFonts w:eastAsia="Arial"/>
              </w:rPr>
              <w:t>intenzívneho chovu dobytka; a</w:t>
            </w:r>
          </w:p>
          <w:p w14:paraId="15132FEA" w14:textId="77777777" w:rsidR="004C1DAF" w:rsidRPr="008819AF" w:rsidRDefault="004C1DAF" w:rsidP="009C63CF">
            <w:pPr>
              <w:numPr>
                <w:ilvl w:val="0"/>
                <w:numId w:val="49"/>
              </w:numPr>
              <w:tabs>
                <w:tab w:val="left" w:pos="227"/>
              </w:tabs>
              <w:ind w:left="441"/>
              <w:rPr>
                <w:rFonts w:eastAsia="Arial"/>
              </w:rPr>
            </w:pPr>
            <w:r w:rsidRPr="008819AF">
              <w:rPr>
                <w:rFonts w:eastAsia="Arial"/>
              </w:rPr>
              <w:t>rozmetávania hnoja.</w:t>
            </w:r>
          </w:p>
          <w:p w14:paraId="15132FEB" w14:textId="77777777" w:rsidR="004C1DAF" w:rsidRPr="008819AF" w:rsidRDefault="004C1DAF" w:rsidP="004C1DAF">
            <w:pPr>
              <w:ind w:left="215" w:hanging="1"/>
              <w:rPr>
                <w:rFonts w:eastAsia="Arial"/>
              </w:rPr>
            </w:pPr>
            <w:r w:rsidRPr="008819AF">
              <w:rPr>
                <w:rFonts w:eastAsia="Arial"/>
              </w:rPr>
              <w:lastRenderedPageBreak/>
              <w:t>O výsledkoch tohto preskúmania podá Komisia správu Európskemu parlamentu a Rade a v prípade potreby k nej pripojí aj legislatívny návrh.</w:t>
            </w:r>
          </w:p>
          <w:p w14:paraId="15132FEC" w14:textId="77777777" w:rsidR="004C1DAF" w:rsidRPr="008819AF" w:rsidRDefault="004C1DAF" w:rsidP="004C1DAF">
            <w:pPr>
              <w:ind w:left="215" w:hanging="215"/>
              <w:rPr>
                <w:rFonts w:eastAsia="Arial"/>
              </w:rPr>
            </w:pPr>
            <w:r w:rsidRPr="008819AF">
              <w:rPr>
                <w:rFonts w:eastAsia="Arial"/>
              </w:rPr>
              <w:t>3. Komisia predloží Európskemu parlamentu a Rade do 31. decembra 2011 správu o potrebe stanoviť v prílohe I:</w:t>
            </w:r>
          </w:p>
          <w:p w14:paraId="15132FED" w14:textId="77777777" w:rsidR="004C1DAF" w:rsidRPr="008819AF" w:rsidRDefault="004C1DAF" w:rsidP="009C63CF">
            <w:pPr>
              <w:numPr>
                <w:ilvl w:val="0"/>
                <w:numId w:val="50"/>
              </w:numPr>
              <w:tabs>
                <w:tab w:val="left" w:pos="227"/>
              </w:tabs>
              <w:ind w:left="442"/>
              <w:rPr>
                <w:rFonts w:eastAsia="Arial"/>
              </w:rPr>
            </w:pPr>
            <w:r w:rsidRPr="008819AF">
              <w:rPr>
                <w:rFonts w:eastAsia="Arial"/>
              </w:rPr>
              <w:t>diferencované kapacitné prahy pre chov rôznych druhov hydiny vrátane osobitného prípadu prepelíc;</w:t>
            </w:r>
          </w:p>
          <w:p w14:paraId="15132FEE" w14:textId="77777777" w:rsidR="004C1DAF" w:rsidRPr="008819AF" w:rsidRDefault="004C1DAF" w:rsidP="009C63CF">
            <w:pPr>
              <w:numPr>
                <w:ilvl w:val="0"/>
                <w:numId w:val="50"/>
              </w:numPr>
              <w:tabs>
                <w:tab w:val="left" w:pos="227"/>
              </w:tabs>
              <w:ind w:left="442"/>
              <w:rPr>
                <w:rFonts w:eastAsia="Arial"/>
              </w:rPr>
            </w:pPr>
            <w:r w:rsidRPr="008819AF">
              <w:rPr>
                <w:rFonts w:eastAsia="Arial"/>
              </w:rPr>
              <w:t>kapacitné prahy pre súčasný chov rôznych druhov zvierat v rámci toho istého zariadenia.</w:t>
            </w:r>
          </w:p>
          <w:p w14:paraId="15132FEF" w14:textId="77777777" w:rsidR="004C1DAF" w:rsidRPr="008819AF" w:rsidRDefault="004C1DAF" w:rsidP="004C1DAF">
            <w:pPr>
              <w:ind w:left="215" w:hanging="1"/>
              <w:rPr>
                <w:rFonts w:eastAsia="Arial"/>
              </w:rPr>
            </w:pPr>
            <w:r w:rsidRPr="008819AF">
              <w:rPr>
                <w:rFonts w:eastAsia="Arial"/>
              </w:rPr>
              <w:t>O výsledkoch tohto preskúmania podá Komisia správu Európskemu parlamentu a Rade a v prípade potreby k správe pripojí aj legislatívny návrh.</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FF0" w14:textId="77777777" w:rsidR="004C1DAF" w:rsidRPr="008819AF" w:rsidRDefault="004C1DAF" w:rsidP="004C1DAF">
            <w:pPr>
              <w:ind w:left="215" w:hanging="215"/>
              <w:jc w:val="center"/>
              <w:rPr>
                <w:rFonts w:eastAsia="Arial"/>
                <w:lang w:bidi="cs-CZ"/>
              </w:rPr>
            </w:pPr>
            <w:r w:rsidRPr="008819AF">
              <w:rPr>
                <w:rFonts w:eastAsia="Arial"/>
                <w:lang w:bidi="cs-CZ"/>
              </w:rPr>
              <w:lastRenderedPageBreak/>
              <w:t>n.a.</w:t>
            </w:r>
          </w:p>
        </w:tc>
        <w:tc>
          <w:tcPr>
            <w:tcW w:w="543" w:type="dxa"/>
            <w:gridSpan w:val="2"/>
            <w:tcBorders>
              <w:top w:val="single" w:sz="4" w:space="0" w:color="000000"/>
              <w:left w:val="single" w:sz="6" w:space="0" w:color="000000"/>
              <w:bottom w:val="single" w:sz="6" w:space="0" w:color="000000"/>
              <w:right w:val="single" w:sz="6" w:space="0" w:color="000000"/>
            </w:tcBorders>
          </w:tcPr>
          <w:p w14:paraId="15132FF1" w14:textId="77777777" w:rsidR="004C1DAF" w:rsidRPr="008819AF" w:rsidRDefault="004C1DAF"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FF2" w14:textId="77777777" w:rsidR="004C1DAF" w:rsidRPr="008819AF" w:rsidRDefault="004C1DAF" w:rsidP="004C1DAF">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FF3" w14:textId="77777777" w:rsidR="004C1DAF" w:rsidRPr="008819AF" w:rsidRDefault="004C1DAF" w:rsidP="004C1DAF">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2FF4" w14:textId="77777777" w:rsidR="004C1DAF" w:rsidRPr="008819AF" w:rsidRDefault="004C1DAF"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2FF5" w14:textId="77777777" w:rsidR="004C1DAF" w:rsidRPr="008819AF" w:rsidRDefault="004C1DAF" w:rsidP="004C1DAF">
            <w:pPr>
              <w:ind w:left="215" w:hanging="215"/>
              <w:rPr>
                <w:rFonts w:eastAsia="Arial"/>
              </w:rPr>
            </w:pPr>
          </w:p>
        </w:tc>
      </w:tr>
      <w:tr w:rsidR="004C1DAF" w:rsidRPr="008819AF" w14:paraId="15133001"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2FF7" w14:textId="77777777" w:rsidR="004C1DAF" w:rsidRPr="008819AF" w:rsidRDefault="004C1DAF" w:rsidP="004C1DAF">
            <w:pPr>
              <w:ind w:right="-70"/>
              <w:rPr>
                <w:rFonts w:eastAsia="Arial"/>
                <w:lang w:bidi="cs-CZ"/>
              </w:rPr>
            </w:pPr>
            <w:r w:rsidRPr="008819AF">
              <w:rPr>
                <w:rFonts w:eastAsia="Arial"/>
                <w:lang w:bidi="cs-CZ"/>
              </w:rPr>
              <w:t>Č:74</w:t>
            </w:r>
          </w:p>
        </w:tc>
        <w:tc>
          <w:tcPr>
            <w:tcW w:w="6227" w:type="dxa"/>
            <w:gridSpan w:val="2"/>
            <w:tcBorders>
              <w:top w:val="single" w:sz="4" w:space="0" w:color="000000"/>
              <w:left w:val="single" w:sz="6" w:space="0" w:color="000000"/>
              <w:bottom w:val="single" w:sz="6" w:space="0" w:color="000000"/>
              <w:right w:val="single" w:sz="6" w:space="0" w:color="000000"/>
            </w:tcBorders>
          </w:tcPr>
          <w:p w14:paraId="15132FF8" w14:textId="77777777" w:rsidR="004C1DAF" w:rsidRPr="008819AF" w:rsidRDefault="004C1DAF" w:rsidP="004C1DAF">
            <w:pPr>
              <w:ind w:left="215" w:hanging="215"/>
              <w:rPr>
                <w:rFonts w:eastAsia="Arial"/>
              </w:rPr>
            </w:pPr>
            <w:r w:rsidRPr="008819AF">
              <w:rPr>
                <w:rFonts w:eastAsia="Arial"/>
              </w:rPr>
              <w:t>Článok 74</w:t>
            </w:r>
          </w:p>
          <w:p w14:paraId="15132FF9" w14:textId="77777777" w:rsidR="004C1DAF" w:rsidRPr="008819AF" w:rsidRDefault="004C1DAF" w:rsidP="004C1DAF">
            <w:pPr>
              <w:ind w:left="215" w:hanging="215"/>
              <w:rPr>
                <w:rFonts w:eastAsia="Arial"/>
              </w:rPr>
            </w:pPr>
            <w:r w:rsidRPr="008819AF">
              <w:rPr>
                <w:rFonts w:eastAsia="Arial"/>
              </w:rPr>
              <w:t>Zmeny a doplnenia príloh</w:t>
            </w:r>
          </w:p>
          <w:p w14:paraId="15132FFA" w14:textId="77777777" w:rsidR="004C1DAF" w:rsidRPr="008819AF" w:rsidRDefault="004C1DAF" w:rsidP="004C1DAF">
            <w:pPr>
              <w:ind w:left="215" w:hanging="1"/>
              <w:rPr>
                <w:rFonts w:eastAsia="Arial"/>
              </w:rPr>
            </w:pPr>
            <w:r w:rsidRPr="008819AF">
              <w:rPr>
                <w:rFonts w:eastAsia="Arial"/>
              </w:rPr>
              <w:t>Na účely prispôsobenia ustanovení tejto smernice vedeckému a technickému pokroku na základe najlepších dostupných techník, prijme Komisia delegované akty v súlade s článkom 76 a za podmienok uvedených v článkoch 77 a 78, pokiaľ ide o prispôsobenie prílohy V časti 3 a 4, prílohy VI časti 2, 6, 7 a 8 a prílohy VII časti 5, 6, 7 a 8 tomuto vedeckému a technickému pokroku.</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2FFB" w14:textId="77777777" w:rsidR="004C1DAF" w:rsidRPr="008819AF" w:rsidRDefault="004C1DAF" w:rsidP="004C1DAF">
            <w:pPr>
              <w:ind w:left="215" w:hanging="215"/>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6" w:space="0" w:color="000000"/>
              <w:right w:val="single" w:sz="6" w:space="0" w:color="000000"/>
            </w:tcBorders>
          </w:tcPr>
          <w:p w14:paraId="15132FFC" w14:textId="77777777" w:rsidR="004C1DAF" w:rsidRPr="008819AF" w:rsidRDefault="004C1DAF"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2FFD" w14:textId="77777777" w:rsidR="004C1DAF" w:rsidRPr="008819AF" w:rsidRDefault="004C1DAF" w:rsidP="004C1DAF">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2FFE" w14:textId="77777777" w:rsidR="004C1DAF" w:rsidRPr="008819AF" w:rsidRDefault="004C1DAF" w:rsidP="004C1DAF">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2FFF" w14:textId="77777777" w:rsidR="004C1DAF" w:rsidRPr="008819AF" w:rsidRDefault="004C1DAF"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000" w14:textId="77777777" w:rsidR="004C1DAF" w:rsidRPr="008819AF" w:rsidRDefault="004C1DAF" w:rsidP="004C1DAF">
            <w:pPr>
              <w:ind w:left="215" w:hanging="215"/>
              <w:rPr>
                <w:rFonts w:eastAsia="Arial"/>
              </w:rPr>
            </w:pPr>
          </w:p>
        </w:tc>
      </w:tr>
      <w:tr w:rsidR="004C1DAF" w:rsidRPr="008819AF" w14:paraId="1513300E"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002" w14:textId="77777777" w:rsidR="004C1DAF" w:rsidRPr="008819AF" w:rsidRDefault="004C1DAF" w:rsidP="004C1DAF">
            <w:pPr>
              <w:ind w:right="-70"/>
              <w:rPr>
                <w:rFonts w:eastAsia="Arial"/>
                <w:lang w:bidi="cs-CZ"/>
              </w:rPr>
            </w:pPr>
            <w:r w:rsidRPr="008819AF">
              <w:rPr>
                <w:rFonts w:eastAsia="Arial"/>
                <w:lang w:bidi="cs-CZ"/>
              </w:rPr>
              <w:t>Č:75</w:t>
            </w:r>
          </w:p>
        </w:tc>
        <w:tc>
          <w:tcPr>
            <w:tcW w:w="6227" w:type="dxa"/>
            <w:gridSpan w:val="2"/>
            <w:tcBorders>
              <w:top w:val="single" w:sz="4" w:space="0" w:color="000000"/>
              <w:left w:val="single" w:sz="6" w:space="0" w:color="000000"/>
              <w:bottom w:val="single" w:sz="6" w:space="0" w:color="000000"/>
              <w:right w:val="single" w:sz="6" w:space="0" w:color="000000"/>
            </w:tcBorders>
          </w:tcPr>
          <w:p w14:paraId="15133003" w14:textId="77777777" w:rsidR="004C1DAF" w:rsidRPr="008819AF" w:rsidRDefault="004C1DAF" w:rsidP="004C1DAF">
            <w:pPr>
              <w:ind w:left="215" w:hanging="215"/>
              <w:rPr>
                <w:rFonts w:eastAsia="Arial"/>
              </w:rPr>
            </w:pPr>
            <w:r w:rsidRPr="008819AF">
              <w:rPr>
                <w:rFonts w:eastAsia="Arial"/>
              </w:rPr>
              <w:t>Článok 75</w:t>
            </w:r>
          </w:p>
          <w:p w14:paraId="15133004" w14:textId="77777777" w:rsidR="004C1DAF" w:rsidRPr="008819AF" w:rsidRDefault="004C1DAF" w:rsidP="004C1DAF">
            <w:pPr>
              <w:ind w:left="215" w:hanging="215"/>
              <w:rPr>
                <w:rFonts w:eastAsia="Arial"/>
              </w:rPr>
            </w:pPr>
            <w:r w:rsidRPr="008819AF">
              <w:rPr>
                <w:rFonts w:eastAsia="Arial"/>
              </w:rPr>
              <w:t>Postup výboru</w:t>
            </w:r>
          </w:p>
          <w:p w14:paraId="15133005" w14:textId="77777777" w:rsidR="004C1DAF" w:rsidRPr="008819AF" w:rsidRDefault="004C1DAF" w:rsidP="004C1DAF">
            <w:pPr>
              <w:ind w:left="215" w:hanging="215"/>
              <w:rPr>
                <w:rFonts w:eastAsia="Arial"/>
              </w:rPr>
            </w:pPr>
            <w:r w:rsidRPr="008819AF">
              <w:rPr>
                <w:rFonts w:eastAsia="Arial"/>
              </w:rPr>
              <w:t>1. Komisii pomáha výbor.</w:t>
            </w:r>
          </w:p>
          <w:p w14:paraId="15133006" w14:textId="77777777" w:rsidR="004C1DAF" w:rsidRPr="008819AF" w:rsidRDefault="004C1DAF" w:rsidP="004C1DAF">
            <w:pPr>
              <w:ind w:left="215" w:hanging="215"/>
              <w:rPr>
                <w:rFonts w:eastAsia="Arial"/>
              </w:rPr>
            </w:pPr>
            <w:r w:rsidRPr="008819AF">
              <w:rPr>
                <w:rFonts w:eastAsia="Arial"/>
              </w:rPr>
              <w:t>2. Ak sa odkazuje na tento odsek, uplatňujú sa články 5 a 7 rozhodnutia 1999/468/ES, so zreteľom na jeho článok 8</w:t>
            </w:r>
          </w:p>
          <w:p w14:paraId="15133007" w14:textId="77777777" w:rsidR="004C1DAF" w:rsidRPr="008819AF" w:rsidRDefault="004C1DAF" w:rsidP="004C1DAF">
            <w:pPr>
              <w:ind w:left="215" w:hanging="1"/>
              <w:rPr>
                <w:rFonts w:eastAsia="Arial"/>
              </w:rPr>
            </w:pPr>
            <w:r w:rsidRPr="008819AF">
              <w:rPr>
                <w:rFonts w:eastAsia="Arial"/>
              </w:rPr>
              <w:t>Lehota uvedená v článku 5 ods. 6 rozhodnutia 1999/468/ES je tri mesiace.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008" w14:textId="77777777" w:rsidR="004C1DAF" w:rsidRPr="008819AF" w:rsidRDefault="004C1DAF" w:rsidP="004C1DAF">
            <w:pPr>
              <w:ind w:left="215" w:hanging="215"/>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6" w:space="0" w:color="000000"/>
              <w:right w:val="single" w:sz="6" w:space="0" w:color="000000"/>
            </w:tcBorders>
          </w:tcPr>
          <w:p w14:paraId="15133009" w14:textId="77777777" w:rsidR="004C1DAF" w:rsidRPr="008819AF" w:rsidRDefault="004C1DAF"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00A" w14:textId="77777777" w:rsidR="004C1DAF" w:rsidRPr="008819AF" w:rsidRDefault="004C1DAF" w:rsidP="004C1DAF">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00B" w14:textId="77777777" w:rsidR="004C1DAF" w:rsidRPr="008819AF" w:rsidRDefault="004C1DAF" w:rsidP="004C1DAF">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00C" w14:textId="77777777" w:rsidR="004C1DAF" w:rsidRPr="008819AF" w:rsidRDefault="004C1DAF"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00D" w14:textId="77777777" w:rsidR="004C1DAF" w:rsidRPr="008819AF" w:rsidRDefault="004C1DAF" w:rsidP="004C1DAF">
            <w:pPr>
              <w:ind w:left="215" w:hanging="215"/>
              <w:rPr>
                <w:rFonts w:eastAsia="Arial"/>
              </w:rPr>
            </w:pPr>
          </w:p>
        </w:tc>
      </w:tr>
      <w:tr w:rsidR="004C1DAF" w:rsidRPr="008819AF" w14:paraId="1513301B"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00F" w14:textId="77777777" w:rsidR="004C1DAF" w:rsidRPr="008819AF" w:rsidRDefault="004C1DAF" w:rsidP="004C1DAF">
            <w:pPr>
              <w:ind w:right="-70"/>
              <w:rPr>
                <w:rFonts w:eastAsia="Arial"/>
                <w:lang w:bidi="cs-CZ"/>
              </w:rPr>
            </w:pPr>
            <w:r w:rsidRPr="008819AF">
              <w:rPr>
                <w:rFonts w:eastAsia="Arial"/>
                <w:lang w:bidi="cs-CZ"/>
              </w:rPr>
              <w:t>Č:76</w:t>
            </w:r>
          </w:p>
        </w:tc>
        <w:tc>
          <w:tcPr>
            <w:tcW w:w="6227" w:type="dxa"/>
            <w:gridSpan w:val="2"/>
            <w:tcBorders>
              <w:top w:val="single" w:sz="4" w:space="0" w:color="000000"/>
              <w:left w:val="single" w:sz="6" w:space="0" w:color="000000"/>
              <w:bottom w:val="single" w:sz="6" w:space="0" w:color="000000"/>
              <w:right w:val="single" w:sz="6" w:space="0" w:color="000000"/>
            </w:tcBorders>
          </w:tcPr>
          <w:p w14:paraId="15133010" w14:textId="77777777" w:rsidR="004C1DAF" w:rsidRPr="008819AF" w:rsidRDefault="004C1DAF" w:rsidP="004C1DAF">
            <w:pPr>
              <w:ind w:left="215" w:hanging="215"/>
              <w:rPr>
                <w:rFonts w:eastAsia="Arial"/>
              </w:rPr>
            </w:pPr>
            <w:r w:rsidRPr="008819AF">
              <w:rPr>
                <w:rFonts w:eastAsia="Arial"/>
              </w:rPr>
              <w:t>Článok 76</w:t>
            </w:r>
          </w:p>
          <w:p w14:paraId="15133011" w14:textId="77777777" w:rsidR="004C1DAF" w:rsidRPr="008819AF" w:rsidRDefault="004C1DAF" w:rsidP="004C1DAF">
            <w:pPr>
              <w:ind w:left="215" w:hanging="215"/>
              <w:rPr>
                <w:rFonts w:eastAsia="Arial"/>
              </w:rPr>
            </w:pPr>
            <w:r w:rsidRPr="008819AF">
              <w:rPr>
                <w:rFonts w:eastAsia="Arial"/>
              </w:rPr>
              <w:t>Vykonávanie delegovania právomoci</w:t>
            </w:r>
          </w:p>
          <w:p w14:paraId="15133012" w14:textId="77777777" w:rsidR="004C1DAF" w:rsidRPr="008819AF" w:rsidRDefault="004C1DAF" w:rsidP="004C1DAF">
            <w:pPr>
              <w:ind w:left="215" w:hanging="215"/>
              <w:rPr>
                <w:rFonts w:eastAsia="Arial"/>
              </w:rPr>
            </w:pPr>
            <w:r w:rsidRPr="008819AF">
              <w:rPr>
                <w:rFonts w:eastAsia="Arial"/>
              </w:rPr>
              <w:t>1. Právomoc prijímať delegované akty uvedené v článku 48 ods. 5 a článku 74 sa Komisii udeľuje na obdobie piatich rokov od 6. januára 2011. Komisia predloží správu týkajúcu sa delegovaných právomocí najneskôr šesť mesiacov pred uplynutím tohto päťročného obdobia. Delegovanie právomoci sa automaticky predlžuje na rovnako dlhé obdobia, pokiaľ ho Európsky parlament alebo Rada v súlade s článkom 77 neodvolajú.</w:t>
            </w:r>
          </w:p>
          <w:p w14:paraId="15133013" w14:textId="77777777" w:rsidR="004C1DAF" w:rsidRPr="008819AF" w:rsidRDefault="004C1DAF" w:rsidP="004C1DAF">
            <w:pPr>
              <w:ind w:left="215" w:hanging="215"/>
              <w:rPr>
                <w:rFonts w:eastAsia="Arial"/>
              </w:rPr>
            </w:pPr>
            <w:r w:rsidRPr="008819AF">
              <w:rPr>
                <w:rFonts w:eastAsia="Arial"/>
              </w:rPr>
              <w:t>2. Komisia oznamuje delegovaný akt Európskemu parlamentu a Rade súčasne, a to hneď po jeho prijatí.</w:t>
            </w:r>
          </w:p>
          <w:p w14:paraId="15133014" w14:textId="77777777" w:rsidR="004C1DAF" w:rsidRPr="008819AF" w:rsidRDefault="004C1DAF" w:rsidP="004C1DAF">
            <w:pPr>
              <w:ind w:left="215" w:hanging="215"/>
              <w:rPr>
                <w:rFonts w:eastAsia="Arial"/>
              </w:rPr>
            </w:pPr>
            <w:r w:rsidRPr="008819AF">
              <w:rPr>
                <w:rFonts w:eastAsia="Arial"/>
              </w:rPr>
              <w:t>3. Právomoc prijímať delegované akty udelená Komisii podlieha podmienkam stanoveným v článkoch 77 a 78.</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015" w14:textId="77777777" w:rsidR="004C1DAF" w:rsidRPr="008819AF" w:rsidRDefault="004C1DAF" w:rsidP="004C1DAF">
            <w:pPr>
              <w:ind w:left="215" w:hanging="215"/>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6" w:space="0" w:color="000000"/>
              <w:right w:val="single" w:sz="6" w:space="0" w:color="000000"/>
            </w:tcBorders>
          </w:tcPr>
          <w:p w14:paraId="15133016" w14:textId="77777777" w:rsidR="004C1DAF" w:rsidRPr="008819AF" w:rsidRDefault="004C1DAF"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017" w14:textId="77777777" w:rsidR="004C1DAF" w:rsidRPr="008819AF" w:rsidRDefault="004C1DAF" w:rsidP="004C1DAF">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018" w14:textId="77777777" w:rsidR="004C1DAF" w:rsidRPr="008819AF" w:rsidRDefault="004C1DAF" w:rsidP="004C1DAF">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019" w14:textId="77777777" w:rsidR="004C1DAF" w:rsidRPr="008819AF" w:rsidRDefault="004C1DAF"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01A" w14:textId="77777777" w:rsidR="004C1DAF" w:rsidRPr="008819AF" w:rsidRDefault="004C1DAF" w:rsidP="004C1DAF">
            <w:pPr>
              <w:ind w:left="215" w:hanging="215"/>
              <w:rPr>
                <w:rFonts w:eastAsia="Arial"/>
              </w:rPr>
            </w:pPr>
          </w:p>
        </w:tc>
      </w:tr>
      <w:tr w:rsidR="004C1DAF" w:rsidRPr="008819AF" w14:paraId="15133028"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01C" w14:textId="77777777" w:rsidR="004C1DAF" w:rsidRPr="008819AF" w:rsidRDefault="004C1DAF" w:rsidP="004C1DAF">
            <w:pPr>
              <w:ind w:right="-70"/>
              <w:rPr>
                <w:rFonts w:eastAsia="Arial"/>
                <w:lang w:bidi="cs-CZ"/>
              </w:rPr>
            </w:pPr>
            <w:r w:rsidRPr="008819AF">
              <w:rPr>
                <w:rFonts w:eastAsia="Arial"/>
                <w:lang w:bidi="cs-CZ"/>
              </w:rPr>
              <w:lastRenderedPageBreak/>
              <w:t>Č:77</w:t>
            </w:r>
          </w:p>
        </w:tc>
        <w:tc>
          <w:tcPr>
            <w:tcW w:w="6227" w:type="dxa"/>
            <w:gridSpan w:val="2"/>
            <w:tcBorders>
              <w:top w:val="single" w:sz="4" w:space="0" w:color="000000"/>
              <w:left w:val="single" w:sz="6" w:space="0" w:color="000000"/>
              <w:bottom w:val="single" w:sz="6" w:space="0" w:color="000000"/>
              <w:right w:val="single" w:sz="6" w:space="0" w:color="000000"/>
            </w:tcBorders>
          </w:tcPr>
          <w:p w14:paraId="1513301D" w14:textId="77777777" w:rsidR="004C1DAF" w:rsidRPr="008819AF" w:rsidRDefault="004C1DAF" w:rsidP="004C1DAF">
            <w:pPr>
              <w:ind w:left="215" w:hanging="215"/>
              <w:rPr>
                <w:rFonts w:eastAsia="Arial"/>
              </w:rPr>
            </w:pPr>
            <w:r w:rsidRPr="008819AF">
              <w:rPr>
                <w:rFonts w:eastAsia="Arial"/>
              </w:rPr>
              <w:t>Článok 77</w:t>
            </w:r>
          </w:p>
          <w:p w14:paraId="1513301E" w14:textId="77777777" w:rsidR="004C1DAF" w:rsidRPr="008819AF" w:rsidRDefault="004C1DAF" w:rsidP="004C1DAF">
            <w:pPr>
              <w:ind w:left="215" w:hanging="215"/>
              <w:rPr>
                <w:rFonts w:eastAsia="Arial"/>
              </w:rPr>
            </w:pPr>
            <w:r w:rsidRPr="008819AF">
              <w:rPr>
                <w:rFonts w:eastAsia="Arial"/>
              </w:rPr>
              <w:t>Odvolanie delegovania právomoci</w:t>
            </w:r>
          </w:p>
          <w:p w14:paraId="1513301F" w14:textId="77777777" w:rsidR="004C1DAF" w:rsidRPr="008819AF" w:rsidRDefault="004C1DAF" w:rsidP="004C1DAF">
            <w:pPr>
              <w:ind w:left="215" w:hanging="215"/>
              <w:rPr>
                <w:rFonts w:eastAsia="Arial"/>
              </w:rPr>
            </w:pPr>
            <w:r w:rsidRPr="008819AF">
              <w:rPr>
                <w:rFonts w:eastAsia="Arial"/>
              </w:rPr>
              <w:t>1. Európsky parlament a Rada môžu delegovanie právomoci uvedené v článku 48 ods. 5 a článku 74 kedykoľvek odvolať.</w:t>
            </w:r>
          </w:p>
          <w:p w14:paraId="15133020" w14:textId="77777777" w:rsidR="004C1DAF" w:rsidRPr="008819AF" w:rsidRDefault="004C1DAF" w:rsidP="004C1DAF">
            <w:pPr>
              <w:ind w:left="215" w:hanging="215"/>
              <w:rPr>
                <w:rFonts w:eastAsia="Arial"/>
              </w:rPr>
            </w:pPr>
            <w:r w:rsidRPr="008819AF">
              <w:rPr>
                <w:rFonts w:eastAsia="Arial"/>
              </w:rPr>
              <w:t>2. Inštitúcia, ktorá začala vnútorný postup s cieľom rozhodnúť, či delegovanie právomoci odvolať, vyvinie úsilie na účely informovania druhej inštitúcie a Komisie v primeranom čase pred prijatím konečného rozhodnutia, pričom uvedie delegované právomoci, ktorých by sa odvolanie mohlo týkať, a možné dôvody odvolania.</w:t>
            </w:r>
          </w:p>
          <w:p w14:paraId="15133021" w14:textId="77777777" w:rsidR="004C1DAF" w:rsidRPr="008819AF" w:rsidRDefault="004C1DAF" w:rsidP="004C1DAF">
            <w:pPr>
              <w:ind w:left="215" w:hanging="215"/>
              <w:rPr>
                <w:rFonts w:eastAsia="Arial"/>
              </w:rPr>
            </w:pPr>
            <w:r w:rsidRPr="008819AF">
              <w:rPr>
                <w:rFonts w:eastAsia="Arial"/>
              </w:rPr>
              <w:t>3. Rozhodnutím o odvolaní sa ukončuje delegovanie právomocí v ňom uvedených. Rozhodnutie nadobúda účinnosť okamžite alebo k neskoršiemu dátumu, ktorý je v ňom určený. Nie je ním dotknutá platnosť delegovaných aktov, ktoré už nadobudli účinnosť. Uverejní sa v Úradnom vestníku Európskej únie.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022" w14:textId="77777777" w:rsidR="004C1DAF" w:rsidRPr="008819AF" w:rsidRDefault="004C1DAF" w:rsidP="004C1DAF">
            <w:pPr>
              <w:ind w:left="215" w:hanging="215"/>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6" w:space="0" w:color="000000"/>
              <w:right w:val="single" w:sz="6" w:space="0" w:color="000000"/>
            </w:tcBorders>
          </w:tcPr>
          <w:p w14:paraId="15133023" w14:textId="77777777" w:rsidR="004C1DAF" w:rsidRPr="008819AF" w:rsidRDefault="004C1DAF"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024" w14:textId="77777777" w:rsidR="004C1DAF" w:rsidRPr="008819AF" w:rsidRDefault="004C1DAF" w:rsidP="004C1DAF">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025" w14:textId="77777777" w:rsidR="004C1DAF" w:rsidRPr="008819AF" w:rsidRDefault="004C1DAF" w:rsidP="004C1DAF">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026" w14:textId="77777777" w:rsidR="004C1DAF" w:rsidRPr="008819AF" w:rsidRDefault="004C1DAF"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027" w14:textId="77777777" w:rsidR="004C1DAF" w:rsidRPr="008819AF" w:rsidRDefault="004C1DAF" w:rsidP="004C1DAF">
            <w:pPr>
              <w:ind w:left="215" w:hanging="215"/>
              <w:rPr>
                <w:rFonts w:eastAsia="Arial"/>
              </w:rPr>
            </w:pPr>
          </w:p>
        </w:tc>
      </w:tr>
      <w:tr w:rsidR="004C1DAF" w:rsidRPr="008819AF" w14:paraId="15133037"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029" w14:textId="77777777" w:rsidR="004C1DAF" w:rsidRPr="008819AF" w:rsidRDefault="004C1DAF" w:rsidP="004C1DAF">
            <w:pPr>
              <w:ind w:right="-70"/>
              <w:rPr>
                <w:rFonts w:eastAsia="Arial"/>
                <w:lang w:bidi="cs-CZ"/>
              </w:rPr>
            </w:pPr>
            <w:r w:rsidRPr="008819AF">
              <w:rPr>
                <w:rFonts w:eastAsia="Arial"/>
                <w:lang w:bidi="cs-CZ"/>
              </w:rPr>
              <w:t>Č:78</w:t>
            </w:r>
          </w:p>
        </w:tc>
        <w:tc>
          <w:tcPr>
            <w:tcW w:w="6227" w:type="dxa"/>
            <w:gridSpan w:val="2"/>
            <w:tcBorders>
              <w:top w:val="single" w:sz="4" w:space="0" w:color="000000"/>
              <w:left w:val="single" w:sz="6" w:space="0" w:color="000000"/>
              <w:bottom w:val="single" w:sz="6" w:space="0" w:color="000000"/>
              <w:right w:val="single" w:sz="6" w:space="0" w:color="000000"/>
            </w:tcBorders>
          </w:tcPr>
          <w:p w14:paraId="1513302A" w14:textId="77777777" w:rsidR="004C1DAF" w:rsidRPr="008819AF" w:rsidRDefault="004C1DAF" w:rsidP="004C1DAF">
            <w:pPr>
              <w:ind w:left="215" w:hanging="215"/>
              <w:rPr>
                <w:rFonts w:eastAsia="Arial"/>
              </w:rPr>
            </w:pPr>
            <w:r w:rsidRPr="008819AF">
              <w:rPr>
                <w:rFonts w:eastAsia="Arial"/>
              </w:rPr>
              <w:t>Článok 78</w:t>
            </w:r>
          </w:p>
          <w:p w14:paraId="1513302B" w14:textId="77777777" w:rsidR="004C1DAF" w:rsidRPr="008819AF" w:rsidRDefault="004C1DAF" w:rsidP="004C1DAF">
            <w:pPr>
              <w:ind w:left="215" w:hanging="215"/>
              <w:rPr>
                <w:rFonts w:eastAsia="Arial"/>
              </w:rPr>
            </w:pPr>
            <w:r w:rsidRPr="008819AF">
              <w:rPr>
                <w:rFonts w:eastAsia="Arial"/>
              </w:rPr>
              <w:t>Námietky voči delegovaným aktom</w:t>
            </w:r>
          </w:p>
          <w:p w14:paraId="1513302C" w14:textId="77777777" w:rsidR="004C1DAF" w:rsidRPr="008819AF" w:rsidRDefault="004C1DAF" w:rsidP="004C1DAF">
            <w:pPr>
              <w:ind w:left="215" w:hanging="215"/>
              <w:rPr>
                <w:rFonts w:eastAsia="Arial"/>
              </w:rPr>
            </w:pPr>
            <w:r w:rsidRPr="008819AF">
              <w:rPr>
                <w:rFonts w:eastAsia="Arial"/>
              </w:rPr>
              <w:t>1. Európsky parlament alebo Rada môžu voči delegovanému aktu vzniesť námietku v lehote dvoch mesiacov odo dňa oznámenia.</w:t>
            </w:r>
          </w:p>
          <w:p w14:paraId="1513302D" w14:textId="77777777" w:rsidR="004C1DAF" w:rsidRPr="008819AF" w:rsidRDefault="004C1DAF" w:rsidP="004C1DAF">
            <w:pPr>
              <w:ind w:left="215" w:hanging="1"/>
              <w:rPr>
                <w:rFonts w:eastAsia="Arial"/>
              </w:rPr>
            </w:pPr>
            <w:r w:rsidRPr="008819AF">
              <w:rPr>
                <w:rFonts w:eastAsia="Arial"/>
              </w:rPr>
              <w:t>Na podnet Európskeho parlamentu alebo Rady sa táto lehota predĺži o dva mesiace.</w:t>
            </w:r>
          </w:p>
          <w:p w14:paraId="1513302E" w14:textId="77777777" w:rsidR="004C1DAF" w:rsidRPr="008819AF" w:rsidRDefault="004C1DAF" w:rsidP="004C1DAF">
            <w:pPr>
              <w:ind w:left="215" w:hanging="215"/>
              <w:rPr>
                <w:rFonts w:eastAsia="Arial"/>
              </w:rPr>
            </w:pPr>
            <w:r w:rsidRPr="008819AF">
              <w:rPr>
                <w:rFonts w:eastAsia="Arial"/>
              </w:rPr>
              <w:t>2. Ak do uplynutia lehoty uvedenej v odseku 1 Európsky parlament ani Rada nevzniesli námietku voči delegovanému aktu, tento akt sa uverejní v Úradnom vestníku Európskej únie a nadobudne účinnosť dňom, ktorý je v ňom stanovený.</w:t>
            </w:r>
          </w:p>
          <w:p w14:paraId="1513302F" w14:textId="77777777" w:rsidR="004C1DAF" w:rsidRPr="008819AF" w:rsidRDefault="004C1DAF" w:rsidP="004C1DAF">
            <w:pPr>
              <w:ind w:left="215" w:hanging="1"/>
              <w:rPr>
                <w:rFonts w:eastAsia="Arial"/>
              </w:rPr>
            </w:pPr>
            <w:r w:rsidRPr="008819AF">
              <w:rPr>
                <w:rFonts w:eastAsia="Arial"/>
              </w:rPr>
              <w:t>Delegovaný akt sa môže uverejniť v Úradnom vestníku Európskej únie a nadobudnúť účinnosť pred uplynutím uvedenej lehoty, ak Európsky parlament a Rada informovali Komisiu o tom, že nemajú v úmysle vzniesť námietku.</w:t>
            </w:r>
          </w:p>
          <w:p w14:paraId="15133030" w14:textId="77777777" w:rsidR="004C1DAF" w:rsidRPr="008819AF" w:rsidRDefault="004C1DAF" w:rsidP="004C1DAF">
            <w:pPr>
              <w:ind w:left="215" w:hanging="215"/>
              <w:rPr>
                <w:rFonts w:eastAsia="Arial"/>
              </w:rPr>
            </w:pPr>
            <w:r w:rsidRPr="008819AF">
              <w:rPr>
                <w:rFonts w:eastAsia="Arial"/>
              </w:rPr>
              <w:t>3. Delegovaný akt nenadobúda účinnosť v prípade, ak Európsky parlament alebo Rada voči nemu vzniesli námietku v lehote uvedenej v odseku 1. Inštitúcia, ktorá vznesie námietku voči delegovanému aktu, uvedie dôvody jej vznesenia.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031" w14:textId="77777777" w:rsidR="004C1DAF" w:rsidRPr="008819AF" w:rsidRDefault="004C1DAF" w:rsidP="004C1DAF">
            <w:pPr>
              <w:ind w:left="215" w:hanging="215"/>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6" w:space="0" w:color="000000"/>
              <w:right w:val="single" w:sz="6" w:space="0" w:color="000000"/>
            </w:tcBorders>
          </w:tcPr>
          <w:p w14:paraId="15133032" w14:textId="77777777" w:rsidR="004C1DAF" w:rsidRPr="008819AF" w:rsidRDefault="004C1DAF"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033" w14:textId="77777777" w:rsidR="004C1DAF" w:rsidRPr="008819AF" w:rsidRDefault="004C1DAF" w:rsidP="004C1DAF">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034" w14:textId="77777777" w:rsidR="004C1DAF" w:rsidRPr="008819AF" w:rsidRDefault="004C1DAF" w:rsidP="004C1DAF">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035" w14:textId="77777777" w:rsidR="004C1DAF" w:rsidRPr="008819AF" w:rsidRDefault="004C1DAF" w:rsidP="004C1DAF">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036" w14:textId="77777777" w:rsidR="004C1DAF" w:rsidRPr="008819AF" w:rsidRDefault="004C1DAF" w:rsidP="004C1DAF">
            <w:pPr>
              <w:ind w:left="215" w:hanging="215"/>
              <w:rPr>
                <w:rFonts w:eastAsia="Arial"/>
              </w:rPr>
            </w:pPr>
          </w:p>
        </w:tc>
      </w:tr>
      <w:tr w:rsidR="004C1DAF" w:rsidRPr="008819AF" w14:paraId="151330AF"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038" w14:textId="77777777" w:rsidR="004C1DAF" w:rsidRPr="008819AF" w:rsidRDefault="004C1DAF" w:rsidP="004C1DAF">
            <w:pPr>
              <w:ind w:right="-70"/>
              <w:rPr>
                <w:rFonts w:eastAsia="Arial"/>
                <w:lang w:bidi="cs-CZ"/>
              </w:rPr>
            </w:pPr>
            <w:r w:rsidRPr="008819AF">
              <w:rPr>
                <w:rFonts w:eastAsia="Arial"/>
                <w:lang w:bidi="cs-CZ"/>
              </w:rPr>
              <w:t>Č:79</w:t>
            </w:r>
          </w:p>
        </w:tc>
        <w:tc>
          <w:tcPr>
            <w:tcW w:w="6227" w:type="dxa"/>
            <w:gridSpan w:val="2"/>
            <w:tcBorders>
              <w:top w:val="single" w:sz="4" w:space="0" w:color="000000"/>
              <w:left w:val="single" w:sz="6" w:space="0" w:color="000000"/>
              <w:bottom w:val="single" w:sz="6" w:space="0" w:color="000000"/>
              <w:right w:val="single" w:sz="6" w:space="0" w:color="000000"/>
            </w:tcBorders>
          </w:tcPr>
          <w:p w14:paraId="15133039" w14:textId="77777777" w:rsidR="004C1DAF" w:rsidRPr="008819AF" w:rsidRDefault="004C1DAF" w:rsidP="004C1DAF">
            <w:pPr>
              <w:ind w:left="215" w:hanging="215"/>
              <w:rPr>
                <w:rFonts w:eastAsia="Arial"/>
              </w:rPr>
            </w:pPr>
            <w:r w:rsidRPr="008819AF">
              <w:rPr>
                <w:rFonts w:eastAsia="Arial"/>
              </w:rPr>
              <w:t>Článok 79</w:t>
            </w:r>
          </w:p>
          <w:p w14:paraId="1513303A" w14:textId="77777777" w:rsidR="004C1DAF" w:rsidRPr="008819AF" w:rsidRDefault="004C1DAF" w:rsidP="004C1DAF">
            <w:pPr>
              <w:ind w:left="215" w:hanging="215"/>
              <w:rPr>
                <w:rFonts w:eastAsia="Arial"/>
              </w:rPr>
            </w:pPr>
            <w:r w:rsidRPr="008819AF">
              <w:rPr>
                <w:rFonts w:eastAsia="Arial"/>
              </w:rPr>
              <w:t>Sankcie</w:t>
            </w:r>
          </w:p>
          <w:p w14:paraId="1513303B" w14:textId="77777777" w:rsidR="004C1DAF" w:rsidRPr="008819AF" w:rsidRDefault="004C1DAF" w:rsidP="004C1DAF">
            <w:pPr>
              <w:ind w:left="215" w:hanging="1"/>
              <w:rPr>
                <w:rFonts w:eastAsia="Arial"/>
              </w:rPr>
            </w:pPr>
            <w:r w:rsidRPr="008819AF">
              <w:rPr>
                <w:rFonts w:eastAsia="Arial"/>
              </w:rPr>
              <w:t>Členské štáty určia sankcie za porušovanie vnútroštátnych ustanovení prijatých podľa tejto smernice. Tieto sankcie musia byť účinné, primerané a odrádzajúce. Členské štáty oznámia tieto ustanovenia Komisii do 7. januára 2013 a bezodkladne jej oznámia všetky ich následné zmeny a doplnenia.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03C" w14:textId="77777777" w:rsidR="004C1DAF" w:rsidRPr="008819AF" w:rsidRDefault="004C1DAF" w:rsidP="00E87844">
            <w:pPr>
              <w:ind w:left="215" w:hanging="215"/>
              <w:jc w:val="center"/>
              <w:rPr>
                <w:rFonts w:eastAsia="Arial"/>
                <w:lang w:bidi="cs-CZ"/>
              </w:rPr>
            </w:pPr>
            <w:r w:rsidRPr="008819AF">
              <w:rPr>
                <w:rFonts w:eastAsia="Arial"/>
                <w:lang w:bidi="cs-CZ"/>
              </w:rPr>
              <w:t>N</w:t>
            </w:r>
          </w:p>
          <w:p w14:paraId="1513303D" w14:textId="77777777" w:rsidR="004C1DAF" w:rsidRPr="008819AF" w:rsidRDefault="004C1DAF" w:rsidP="00E87844">
            <w:pPr>
              <w:ind w:left="215" w:hanging="215"/>
              <w:jc w:val="center"/>
              <w:rPr>
                <w:rFonts w:eastAsia="Arial"/>
                <w:lang w:bidi="cs-CZ"/>
              </w:rPr>
            </w:pPr>
          </w:p>
          <w:p w14:paraId="1513303E" w14:textId="77777777" w:rsidR="004C1DAF" w:rsidRPr="008819AF" w:rsidRDefault="004C1DAF" w:rsidP="00E87844">
            <w:pPr>
              <w:ind w:left="215" w:hanging="215"/>
              <w:jc w:val="center"/>
              <w:rPr>
                <w:rFonts w:eastAsia="Arial"/>
                <w:lang w:bidi="cs-CZ"/>
              </w:rPr>
            </w:pPr>
          </w:p>
          <w:p w14:paraId="1513303F" w14:textId="77777777" w:rsidR="004C1DAF" w:rsidRPr="008819AF" w:rsidRDefault="004C1DAF" w:rsidP="00E87844">
            <w:pPr>
              <w:ind w:left="215" w:hanging="215"/>
              <w:jc w:val="center"/>
              <w:rPr>
                <w:rFonts w:eastAsia="Arial"/>
                <w:lang w:bidi="cs-CZ"/>
              </w:rPr>
            </w:pPr>
          </w:p>
          <w:p w14:paraId="15133040" w14:textId="77777777" w:rsidR="004C1DAF" w:rsidRPr="008819AF" w:rsidRDefault="004C1DAF" w:rsidP="00E87844">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041" w14:textId="77777777" w:rsidR="004C1DAF" w:rsidRPr="008819AF" w:rsidRDefault="004C1DAF" w:rsidP="00E87844">
            <w:pPr>
              <w:ind w:left="215" w:hanging="215"/>
              <w:jc w:val="center"/>
              <w:rPr>
                <w:rFonts w:eastAsia="Arial"/>
                <w:lang w:bidi="cs-CZ"/>
              </w:rPr>
            </w:pPr>
            <w:r w:rsidRPr="008819AF">
              <w:rPr>
                <w:rFonts w:eastAsia="Arial"/>
                <w:lang w:bidi="cs-CZ"/>
              </w:rPr>
              <w:t>NZ</w:t>
            </w:r>
          </w:p>
          <w:p w14:paraId="15133042" w14:textId="77777777" w:rsidR="004C1DAF" w:rsidRPr="008819AF" w:rsidRDefault="004C1DAF" w:rsidP="00E87844">
            <w:pPr>
              <w:ind w:left="215" w:hanging="215"/>
              <w:jc w:val="center"/>
              <w:rPr>
                <w:rFonts w:eastAsia="Arial"/>
                <w:lang w:bidi="cs-CZ"/>
              </w:rPr>
            </w:pPr>
          </w:p>
          <w:p w14:paraId="15133043" w14:textId="77777777" w:rsidR="004C1DAF" w:rsidRPr="008819AF" w:rsidRDefault="004C1DAF" w:rsidP="00E87844">
            <w:pPr>
              <w:ind w:left="215" w:hanging="215"/>
              <w:jc w:val="center"/>
              <w:rPr>
                <w:rFonts w:eastAsia="Arial"/>
                <w:lang w:bidi="cs-CZ"/>
              </w:rPr>
            </w:pPr>
          </w:p>
          <w:p w14:paraId="15133044" w14:textId="77777777" w:rsidR="004C1DAF" w:rsidRPr="008819AF" w:rsidRDefault="004C1DAF" w:rsidP="00E87844">
            <w:pPr>
              <w:ind w:left="215" w:hanging="215"/>
              <w:jc w:val="center"/>
              <w:rPr>
                <w:rFonts w:eastAsia="Arial"/>
                <w:lang w:bidi="cs-CZ"/>
              </w:rPr>
            </w:pPr>
          </w:p>
          <w:p w14:paraId="15133045" w14:textId="77777777" w:rsidR="004C1DAF" w:rsidRPr="008819AF" w:rsidRDefault="004C1DAF" w:rsidP="00E87844">
            <w:pPr>
              <w:ind w:left="215" w:hanging="215"/>
              <w:jc w:val="center"/>
              <w:rPr>
                <w:rFonts w:eastAsia="Arial"/>
                <w:lang w:bidi="cs-CZ"/>
              </w:rPr>
            </w:pPr>
          </w:p>
          <w:p w14:paraId="15133046" w14:textId="77777777" w:rsidR="004C1DAF" w:rsidRPr="008819AF" w:rsidRDefault="004C1DAF" w:rsidP="00E87844">
            <w:pPr>
              <w:ind w:left="215" w:hanging="215"/>
              <w:jc w:val="center"/>
              <w:rPr>
                <w:rFonts w:eastAsia="Arial"/>
                <w:lang w:bidi="cs-CZ"/>
              </w:rPr>
            </w:pPr>
          </w:p>
          <w:p w14:paraId="15133047" w14:textId="77777777" w:rsidR="004C1DAF" w:rsidRPr="008819AF" w:rsidRDefault="004C1DAF" w:rsidP="00E87844">
            <w:pPr>
              <w:ind w:left="215" w:hanging="215"/>
              <w:jc w:val="center"/>
              <w:rPr>
                <w:rFonts w:eastAsia="Arial"/>
                <w:lang w:bidi="cs-CZ"/>
              </w:rPr>
            </w:pPr>
          </w:p>
          <w:p w14:paraId="15133048" w14:textId="77777777" w:rsidR="004C1DAF" w:rsidRPr="008819AF" w:rsidRDefault="004C1DAF" w:rsidP="00E87844">
            <w:pPr>
              <w:ind w:left="215" w:hanging="215"/>
              <w:jc w:val="center"/>
              <w:rPr>
                <w:rFonts w:eastAsia="Arial"/>
                <w:lang w:bidi="cs-CZ"/>
              </w:rPr>
            </w:pPr>
          </w:p>
          <w:p w14:paraId="15133049" w14:textId="77777777" w:rsidR="004C1DAF" w:rsidRPr="008819AF" w:rsidRDefault="004C1DAF" w:rsidP="00E87844">
            <w:pPr>
              <w:ind w:left="215" w:hanging="215"/>
              <w:jc w:val="center"/>
              <w:rPr>
                <w:rFonts w:eastAsia="Arial"/>
                <w:lang w:bidi="cs-CZ"/>
              </w:rPr>
            </w:pPr>
          </w:p>
          <w:p w14:paraId="1513304A" w14:textId="77777777" w:rsidR="004C1DAF" w:rsidRPr="008819AF" w:rsidRDefault="004C1DAF" w:rsidP="00E87844">
            <w:pPr>
              <w:ind w:left="215" w:hanging="215"/>
              <w:jc w:val="center"/>
              <w:rPr>
                <w:rFonts w:eastAsia="Arial"/>
                <w:lang w:bidi="cs-CZ"/>
              </w:rPr>
            </w:pPr>
          </w:p>
          <w:p w14:paraId="1513304B" w14:textId="77777777" w:rsidR="004C1DAF" w:rsidRPr="008819AF" w:rsidRDefault="004C1DAF" w:rsidP="00E87844">
            <w:pPr>
              <w:ind w:left="215" w:hanging="215"/>
              <w:jc w:val="center"/>
              <w:rPr>
                <w:rFonts w:eastAsia="Arial"/>
                <w:lang w:bidi="cs-CZ"/>
              </w:rPr>
            </w:pPr>
          </w:p>
          <w:p w14:paraId="1513304C" w14:textId="77777777" w:rsidR="004C1DAF" w:rsidRPr="008819AF" w:rsidRDefault="004C1DAF" w:rsidP="00E87844">
            <w:pPr>
              <w:ind w:left="215" w:hanging="215"/>
              <w:jc w:val="center"/>
              <w:rPr>
                <w:rFonts w:eastAsia="Arial"/>
                <w:lang w:bidi="cs-CZ"/>
              </w:rPr>
            </w:pPr>
          </w:p>
          <w:p w14:paraId="1513304D" w14:textId="77777777" w:rsidR="004C1DAF" w:rsidRPr="008819AF" w:rsidRDefault="004C1DAF" w:rsidP="00E87844">
            <w:pPr>
              <w:ind w:left="215" w:hanging="215"/>
              <w:jc w:val="center"/>
              <w:rPr>
                <w:rFonts w:eastAsia="Arial"/>
                <w:lang w:bidi="cs-CZ"/>
              </w:rPr>
            </w:pPr>
          </w:p>
          <w:p w14:paraId="1513304E" w14:textId="77777777" w:rsidR="004C1DAF" w:rsidRPr="008819AF" w:rsidRDefault="004C1DAF" w:rsidP="00E87844">
            <w:pPr>
              <w:ind w:left="215" w:hanging="215"/>
              <w:jc w:val="center"/>
              <w:rPr>
                <w:rFonts w:eastAsia="Arial"/>
                <w:lang w:bidi="cs-CZ"/>
              </w:rPr>
            </w:pPr>
          </w:p>
          <w:p w14:paraId="1513304F" w14:textId="77777777" w:rsidR="004C1DAF" w:rsidRPr="008819AF" w:rsidRDefault="004C1DAF" w:rsidP="00E87844">
            <w:pPr>
              <w:ind w:left="215" w:hanging="215"/>
              <w:jc w:val="center"/>
              <w:rPr>
                <w:rFonts w:eastAsia="Arial"/>
                <w:lang w:bidi="cs-CZ"/>
              </w:rPr>
            </w:pPr>
          </w:p>
          <w:p w14:paraId="15133050" w14:textId="77777777" w:rsidR="004C1DAF" w:rsidRPr="008819AF" w:rsidRDefault="004C1DAF" w:rsidP="00E87844">
            <w:pPr>
              <w:ind w:left="215" w:hanging="215"/>
              <w:jc w:val="center"/>
              <w:rPr>
                <w:rFonts w:eastAsia="Arial"/>
                <w:lang w:bidi="cs-CZ"/>
              </w:rPr>
            </w:pPr>
          </w:p>
          <w:p w14:paraId="15133051" w14:textId="77777777" w:rsidR="004C1DAF" w:rsidRPr="008819AF" w:rsidRDefault="004C1DAF" w:rsidP="00E87844">
            <w:pPr>
              <w:ind w:left="215" w:hanging="215"/>
              <w:jc w:val="center"/>
              <w:rPr>
                <w:rFonts w:eastAsia="Arial"/>
                <w:lang w:bidi="cs-CZ"/>
              </w:rPr>
            </w:pPr>
          </w:p>
          <w:p w14:paraId="15133052" w14:textId="77777777" w:rsidR="004C1DAF" w:rsidRPr="008819AF" w:rsidRDefault="004C1DAF" w:rsidP="00E87844">
            <w:pPr>
              <w:ind w:left="215" w:hanging="215"/>
              <w:jc w:val="center"/>
              <w:rPr>
                <w:rFonts w:eastAsia="Arial"/>
                <w:lang w:bidi="cs-CZ"/>
              </w:rPr>
            </w:pPr>
          </w:p>
          <w:p w14:paraId="15133053" w14:textId="77777777" w:rsidR="004C1DAF" w:rsidRPr="008819AF" w:rsidRDefault="004C1DAF" w:rsidP="00E87844">
            <w:pPr>
              <w:ind w:left="215" w:hanging="215"/>
              <w:jc w:val="center"/>
              <w:rPr>
                <w:rFonts w:eastAsia="Arial"/>
                <w:lang w:bidi="cs-CZ"/>
              </w:rPr>
            </w:pPr>
          </w:p>
          <w:p w14:paraId="15133054" w14:textId="77777777" w:rsidR="004C1DAF" w:rsidRPr="008819AF" w:rsidRDefault="004C1DAF" w:rsidP="00E87844">
            <w:pPr>
              <w:ind w:left="215" w:hanging="215"/>
              <w:jc w:val="center"/>
              <w:rPr>
                <w:rFonts w:eastAsia="Arial"/>
                <w:lang w:bidi="cs-CZ"/>
              </w:rPr>
            </w:pPr>
          </w:p>
          <w:p w14:paraId="15133055" w14:textId="77777777" w:rsidR="004C1DAF" w:rsidRPr="008819AF" w:rsidRDefault="004C1DAF" w:rsidP="00E87844">
            <w:pPr>
              <w:ind w:left="215" w:hanging="215"/>
              <w:jc w:val="center"/>
              <w:rPr>
                <w:rFonts w:eastAsia="Arial"/>
                <w:lang w:bidi="cs-CZ"/>
              </w:rPr>
            </w:pPr>
          </w:p>
          <w:p w14:paraId="15133056" w14:textId="77777777" w:rsidR="004C1DAF" w:rsidRPr="008819AF" w:rsidRDefault="004C1DAF" w:rsidP="00E87844">
            <w:pPr>
              <w:ind w:left="215" w:hanging="215"/>
              <w:jc w:val="center"/>
              <w:rPr>
                <w:rFonts w:eastAsia="Arial"/>
                <w:lang w:bidi="cs-CZ"/>
              </w:rPr>
            </w:pPr>
          </w:p>
          <w:p w14:paraId="15133057" w14:textId="77777777" w:rsidR="004C1DAF" w:rsidRPr="008819AF" w:rsidRDefault="004C1DAF" w:rsidP="00E87844">
            <w:pPr>
              <w:ind w:left="215" w:hanging="215"/>
              <w:jc w:val="center"/>
              <w:rPr>
                <w:rFonts w:eastAsia="Arial"/>
                <w:lang w:bidi="cs-CZ"/>
              </w:rPr>
            </w:pPr>
          </w:p>
          <w:p w14:paraId="15133058" w14:textId="77777777" w:rsidR="00803D61" w:rsidRPr="008819AF" w:rsidRDefault="00803D61" w:rsidP="00E87844">
            <w:pPr>
              <w:ind w:left="215" w:hanging="215"/>
              <w:jc w:val="center"/>
              <w:rPr>
                <w:rFonts w:eastAsia="Arial"/>
                <w:lang w:bidi="cs-CZ"/>
              </w:rPr>
            </w:pPr>
          </w:p>
          <w:p w14:paraId="15133059" w14:textId="77777777" w:rsidR="00803D61" w:rsidRPr="008819AF" w:rsidRDefault="00803D61" w:rsidP="00E87844">
            <w:pPr>
              <w:ind w:left="215" w:hanging="215"/>
              <w:jc w:val="center"/>
              <w:rPr>
                <w:rFonts w:eastAsia="Arial"/>
                <w:lang w:bidi="cs-CZ"/>
              </w:rPr>
            </w:pPr>
          </w:p>
          <w:p w14:paraId="1513305A" w14:textId="77777777" w:rsidR="00803D61" w:rsidRPr="008819AF" w:rsidRDefault="00803D61" w:rsidP="00E87844">
            <w:pPr>
              <w:ind w:left="215" w:hanging="215"/>
              <w:jc w:val="center"/>
              <w:rPr>
                <w:rFonts w:eastAsia="Arial"/>
                <w:lang w:bidi="cs-CZ"/>
              </w:rPr>
            </w:pPr>
          </w:p>
          <w:p w14:paraId="1513305B" w14:textId="77777777" w:rsidR="00803D61" w:rsidRPr="008819AF" w:rsidRDefault="00803D61" w:rsidP="00E87844">
            <w:pPr>
              <w:ind w:left="215" w:hanging="215"/>
              <w:jc w:val="center"/>
              <w:rPr>
                <w:rFonts w:eastAsia="Arial"/>
                <w:lang w:bidi="cs-CZ"/>
              </w:rPr>
            </w:pPr>
          </w:p>
          <w:p w14:paraId="1513305C" w14:textId="77777777" w:rsidR="00803D61" w:rsidRPr="008819AF" w:rsidRDefault="00803D61" w:rsidP="00E87844">
            <w:pPr>
              <w:ind w:left="215" w:hanging="215"/>
              <w:jc w:val="center"/>
              <w:rPr>
                <w:rFonts w:eastAsia="Arial"/>
                <w:lang w:bidi="cs-CZ"/>
              </w:rPr>
            </w:pPr>
          </w:p>
          <w:p w14:paraId="1513305D" w14:textId="77777777" w:rsidR="00803D61" w:rsidRPr="008819AF" w:rsidRDefault="00803D61" w:rsidP="00E87844">
            <w:pPr>
              <w:ind w:left="215" w:hanging="215"/>
              <w:jc w:val="center"/>
              <w:rPr>
                <w:rFonts w:eastAsia="Arial"/>
                <w:lang w:bidi="cs-CZ"/>
              </w:rPr>
            </w:pPr>
          </w:p>
          <w:p w14:paraId="1513305E" w14:textId="77777777" w:rsidR="00803D61" w:rsidRPr="008819AF" w:rsidRDefault="00803D61" w:rsidP="00E87844">
            <w:pPr>
              <w:ind w:left="215" w:hanging="215"/>
              <w:jc w:val="center"/>
              <w:rPr>
                <w:rFonts w:eastAsia="Arial"/>
                <w:lang w:bidi="cs-CZ"/>
              </w:rPr>
            </w:pPr>
          </w:p>
          <w:p w14:paraId="1513305F" w14:textId="77777777" w:rsidR="00803D61" w:rsidRPr="008819AF" w:rsidRDefault="00803D61" w:rsidP="00E87844">
            <w:pPr>
              <w:ind w:left="215" w:hanging="215"/>
              <w:jc w:val="center"/>
              <w:rPr>
                <w:rFonts w:eastAsia="Arial"/>
                <w:lang w:bidi="cs-CZ"/>
              </w:rPr>
            </w:pPr>
          </w:p>
          <w:p w14:paraId="15133060" w14:textId="77777777" w:rsidR="00803D61" w:rsidRPr="008819AF" w:rsidRDefault="00803D61" w:rsidP="00E87844">
            <w:pPr>
              <w:ind w:left="215" w:hanging="215"/>
              <w:jc w:val="center"/>
              <w:rPr>
                <w:rFonts w:eastAsia="Arial"/>
                <w:lang w:bidi="cs-CZ"/>
              </w:rPr>
            </w:pPr>
          </w:p>
          <w:p w14:paraId="15133061" w14:textId="77777777" w:rsidR="004C1DAF" w:rsidRPr="008819AF" w:rsidRDefault="004C1DAF" w:rsidP="00E87844">
            <w:pPr>
              <w:ind w:left="215" w:hanging="215"/>
              <w:jc w:val="center"/>
              <w:rPr>
                <w:rFonts w:eastAsia="Arial"/>
                <w:lang w:bidi="cs-CZ"/>
              </w:rPr>
            </w:pPr>
          </w:p>
          <w:p w14:paraId="15133062" w14:textId="77777777" w:rsidR="004C1DAF" w:rsidRPr="008819AF" w:rsidRDefault="004C1DAF" w:rsidP="00E87844">
            <w:pPr>
              <w:jc w:val="center"/>
              <w:rPr>
                <w:rFonts w:eastAsia="Arial"/>
                <w:lang w:bidi="cs-CZ"/>
              </w:rPr>
            </w:pPr>
            <w:r w:rsidRPr="008819AF">
              <w:rPr>
                <w:rFonts w:eastAsia="Arial"/>
                <w:lang w:bidi="cs-CZ"/>
              </w:rPr>
              <w:t>IPKZ</w:t>
            </w:r>
          </w:p>
        </w:tc>
        <w:tc>
          <w:tcPr>
            <w:tcW w:w="543" w:type="dxa"/>
            <w:tcBorders>
              <w:top w:val="single" w:sz="4" w:space="0" w:color="000000"/>
              <w:left w:val="single" w:sz="6" w:space="0" w:color="000000"/>
              <w:bottom w:val="single" w:sz="6" w:space="0" w:color="000000"/>
              <w:right w:val="single" w:sz="6" w:space="0" w:color="000000"/>
            </w:tcBorders>
          </w:tcPr>
          <w:p w14:paraId="15133063"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lastRenderedPageBreak/>
              <w:t>§ 42 O 3</w:t>
            </w:r>
          </w:p>
          <w:p w14:paraId="15133064"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P b)</w:t>
            </w:r>
          </w:p>
          <w:p w14:paraId="15133065" w14:textId="77777777" w:rsidR="004C1DAF" w:rsidRPr="008819AF" w:rsidRDefault="004C1DAF" w:rsidP="00E87844">
            <w:pPr>
              <w:pStyle w:val="BodyText21"/>
              <w:spacing w:before="0" w:line="240" w:lineRule="auto"/>
              <w:jc w:val="center"/>
              <w:rPr>
                <w:rFonts w:ascii="Times New Roman" w:hAnsi="Times New Roman" w:cs="Times New Roman"/>
              </w:rPr>
            </w:pPr>
          </w:p>
          <w:p w14:paraId="15133066" w14:textId="77777777" w:rsidR="004C1DAF" w:rsidRPr="008819AF" w:rsidRDefault="004C1DAF" w:rsidP="00E87844">
            <w:pPr>
              <w:pStyle w:val="BodyText21"/>
              <w:spacing w:before="0" w:line="240" w:lineRule="auto"/>
              <w:jc w:val="center"/>
              <w:rPr>
                <w:rFonts w:ascii="Times New Roman" w:hAnsi="Times New Roman" w:cs="Times New Roman"/>
              </w:rPr>
            </w:pPr>
          </w:p>
          <w:p w14:paraId="15133067"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 44 O 5</w:t>
            </w:r>
          </w:p>
          <w:p w14:paraId="15133068"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P b)</w:t>
            </w:r>
          </w:p>
          <w:p w14:paraId="15133069"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306A"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306B"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p>
          <w:p w14:paraId="1513306C" w14:textId="77777777" w:rsidR="004C1DAF" w:rsidRPr="008819AF" w:rsidRDefault="004C1DAF" w:rsidP="00E87844">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 55</w:t>
            </w:r>
          </w:p>
          <w:p w14:paraId="1513306D" w14:textId="77777777" w:rsidR="004C1DAF" w:rsidRPr="008819AF" w:rsidRDefault="00765AE1" w:rsidP="00E87844">
            <w:pPr>
              <w:pStyle w:val="BodyText21"/>
              <w:spacing w:before="0" w:line="240" w:lineRule="auto"/>
              <w:jc w:val="center"/>
              <w:rPr>
                <w:rFonts w:ascii="Times New Roman" w:hAnsi="Times New Roman" w:cs="Times New Roman"/>
              </w:rPr>
            </w:pPr>
            <w:r w:rsidRPr="008819AF">
              <w:rPr>
                <w:rFonts w:ascii="Times New Roman" w:hAnsi="Times New Roman" w:cs="Times New Roman"/>
              </w:rPr>
              <w:t>O 1-3</w:t>
            </w:r>
          </w:p>
          <w:p w14:paraId="1513306E" w14:textId="77777777" w:rsidR="004C1DAF" w:rsidRPr="008819AF" w:rsidRDefault="004C1DAF" w:rsidP="00E87844">
            <w:pPr>
              <w:pStyle w:val="BodyText21"/>
              <w:spacing w:before="0" w:line="240" w:lineRule="auto"/>
              <w:jc w:val="center"/>
              <w:rPr>
                <w:rFonts w:ascii="Times New Roman" w:hAnsi="Times New Roman" w:cs="Times New Roman"/>
              </w:rPr>
            </w:pPr>
          </w:p>
          <w:p w14:paraId="1513306F"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0"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1"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2"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3"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4"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5"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6"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7"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8"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9"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A"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B"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C"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D"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E" w14:textId="77777777" w:rsidR="004C1DAF" w:rsidRPr="008819AF" w:rsidRDefault="004C1DAF" w:rsidP="00E87844">
            <w:pPr>
              <w:pStyle w:val="BodyText21"/>
              <w:spacing w:before="0" w:line="240" w:lineRule="auto"/>
              <w:jc w:val="center"/>
              <w:rPr>
                <w:rFonts w:ascii="Times New Roman" w:hAnsi="Times New Roman" w:cs="Times New Roman"/>
              </w:rPr>
            </w:pPr>
          </w:p>
          <w:p w14:paraId="1513307F" w14:textId="77777777" w:rsidR="004C1DAF" w:rsidRPr="008819AF" w:rsidRDefault="004C1DAF" w:rsidP="00E87844">
            <w:pPr>
              <w:pStyle w:val="BodyText21"/>
              <w:spacing w:before="0" w:line="240" w:lineRule="auto"/>
              <w:jc w:val="center"/>
              <w:rPr>
                <w:rFonts w:ascii="Times New Roman" w:hAnsi="Times New Roman" w:cs="Times New Roman"/>
              </w:rPr>
            </w:pPr>
          </w:p>
          <w:p w14:paraId="15133080" w14:textId="77777777" w:rsidR="004C1DAF" w:rsidRPr="008819AF" w:rsidRDefault="004C1DAF" w:rsidP="00E87844">
            <w:pPr>
              <w:pStyle w:val="BodyText21"/>
              <w:spacing w:before="0" w:line="240" w:lineRule="auto"/>
              <w:jc w:val="center"/>
              <w:rPr>
                <w:rFonts w:ascii="Times New Roman" w:hAnsi="Times New Roman" w:cs="Times New Roman"/>
              </w:rPr>
            </w:pPr>
          </w:p>
          <w:p w14:paraId="15133081" w14:textId="77777777" w:rsidR="004C1DAF" w:rsidRPr="008819AF" w:rsidRDefault="004C1DAF" w:rsidP="00E87844">
            <w:pPr>
              <w:pStyle w:val="BodyText21"/>
              <w:spacing w:before="0" w:line="240" w:lineRule="auto"/>
              <w:jc w:val="center"/>
              <w:rPr>
                <w:rFonts w:ascii="Times New Roman" w:hAnsi="Times New Roman" w:cs="Times New Roman"/>
              </w:rPr>
            </w:pPr>
            <w:r w:rsidRPr="008819AF">
              <w:rPr>
                <w:rFonts w:ascii="Times New Roman" w:hAnsi="Times New Roman" w:cs="Times New Roman"/>
              </w:rPr>
              <w:t>§37</w:t>
            </w:r>
          </w:p>
        </w:tc>
        <w:tc>
          <w:tcPr>
            <w:tcW w:w="5664" w:type="dxa"/>
            <w:gridSpan w:val="5"/>
            <w:tcBorders>
              <w:top w:val="single" w:sz="4" w:space="0" w:color="000000"/>
              <w:left w:val="single" w:sz="6" w:space="0" w:color="000000"/>
              <w:bottom w:val="single" w:sz="6" w:space="0" w:color="000000"/>
              <w:right w:val="single" w:sz="6" w:space="0" w:color="000000"/>
            </w:tcBorders>
          </w:tcPr>
          <w:p w14:paraId="15133082" w14:textId="77777777" w:rsidR="004C1DAF" w:rsidRPr="008819AF" w:rsidRDefault="004C1DAF" w:rsidP="004C1DAF">
            <w:pPr>
              <w:rPr>
                <w:rFonts w:eastAsia="Arial"/>
                <w:lang w:bidi="cs-CZ"/>
              </w:rPr>
            </w:pPr>
            <w:r w:rsidRPr="008819AF">
              <w:rPr>
                <w:rFonts w:eastAsia="Arial"/>
                <w:lang w:bidi="cs-CZ"/>
              </w:rPr>
              <w:lastRenderedPageBreak/>
              <w:t>Inšpekcia pri zistení porušenia povinností určených v povolení, ustanovených týmto zákonom a všeobecne záväznými právnymi predpismi upravujúcimi ochranu ovzdušia</w:t>
            </w:r>
          </w:p>
          <w:p w14:paraId="15133083" w14:textId="77777777" w:rsidR="004C1DAF" w:rsidRPr="008819AF" w:rsidRDefault="004C1DAF" w:rsidP="004C1DAF">
            <w:pPr>
              <w:rPr>
                <w:rFonts w:eastAsia="Arial"/>
                <w:lang w:bidi="cs-CZ"/>
              </w:rPr>
            </w:pPr>
            <w:r w:rsidRPr="008819AF">
              <w:rPr>
                <w:rFonts w:eastAsia="Arial"/>
                <w:lang w:bidi="cs-CZ"/>
              </w:rPr>
              <w:t>b)</w:t>
            </w:r>
            <w:r w:rsidRPr="008819AF">
              <w:rPr>
                <w:rFonts w:eastAsia="Arial"/>
                <w:lang w:bidi="cs-CZ"/>
              </w:rPr>
              <w:tab/>
              <w:t xml:space="preserve">ukladá pokuty </w:t>
            </w:r>
          </w:p>
          <w:p w14:paraId="15133084" w14:textId="77777777" w:rsidR="004C1DAF" w:rsidRPr="008819AF" w:rsidRDefault="004C1DAF" w:rsidP="004C1DAF">
            <w:pPr>
              <w:rPr>
                <w:rFonts w:eastAsia="Arial"/>
                <w:lang w:bidi="cs-CZ"/>
              </w:rPr>
            </w:pPr>
          </w:p>
          <w:p w14:paraId="15133085" w14:textId="77777777" w:rsidR="00E87844" w:rsidRPr="008819AF" w:rsidRDefault="00E87844" w:rsidP="004C1DAF">
            <w:pPr>
              <w:rPr>
                <w:rFonts w:eastAsia="Arial"/>
                <w:lang w:bidi="cs-CZ"/>
              </w:rPr>
            </w:pPr>
            <w:r w:rsidRPr="008819AF">
              <w:rPr>
                <w:rFonts w:eastAsia="Arial"/>
                <w:lang w:bidi="cs-CZ"/>
              </w:rPr>
              <w:t>(5)</w:t>
            </w:r>
            <w:r w:rsidRPr="008819AF">
              <w:rPr>
                <w:rFonts w:eastAsia="Arial"/>
                <w:lang w:bidi="cs-CZ"/>
              </w:rPr>
              <w:tab/>
              <w:t xml:space="preserve">Okresný úrad pri zistení porušenia povinnosti určenej v povolení, ustanovenej týmto zákonom a všeobecne záväznými právnymi predpismi upravujúcimi ochranu ovzdušia  </w:t>
            </w:r>
          </w:p>
          <w:p w14:paraId="15133086" w14:textId="77777777" w:rsidR="004C1DAF" w:rsidRPr="008819AF" w:rsidRDefault="004C1DAF" w:rsidP="004C1DAF">
            <w:pPr>
              <w:rPr>
                <w:rFonts w:eastAsia="Arial"/>
                <w:lang w:bidi="cs-CZ"/>
              </w:rPr>
            </w:pPr>
            <w:r w:rsidRPr="008819AF">
              <w:rPr>
                <w:rFonts w:eastAsia="Arial"/>
                <w:lang w:bidi="cs-CZ"/>
              </w:rPr>
              <w:lastRenderedPageBreak/>
              <w:t>a)</w:t>
            </w:r>
            <w:r w:rsidRPr="008819AF">
              <w:rPr>
                <w:rFonts w:eastAsia="Arial"/>
                <w:lang w:bidi="cs-CZ"/>
              </w:rPr>
              <w:tab/>
              <w:t xml:space="preserve">ukladá prevádzkovateľovi veľkého zdroja a stredného zdroja </w:t>
            </w:r>
          </w:p>
          <w:p w14:paraId="15133087" w14:textId="77777777" w:rsidR="004C1DAF" w:rsidRPr="008819AF" w:rsidRDefault="004C1DAF" w:rsidP="004C1DAF">
            <w:pPr>
              <w:rPr>
                <w:rFonts w:eastAsia="Arial"/>
                <w:lang w:bidi="cs-CZ"/>
              </w:rPr>
            </w:pPr>
            <w:r w:rsidRPr="008819AF">
              <w:rPr>
                <w:rFonts w:eastAsia="Arial"/>
                <w:lang w:bidi="cs-CZ"/>
              </w:rPr>
              <w:t>2.</w:t>
            </w:r>
            <w:r w:rsidRPr="008819AF">
              <w:rPr>
                <w:rFonts w:eastAsia="Arial"/>
                <w:lang w:bidi="cs-CZ"/>
              </w:rPr>
              <w:tab/>
              <w:t>pokuty,</w:t>
            </w:r>
          </w:p>
          <w:p w14:paraId="15133088" w14:textId="77777777" w:rsidR="004C1DAF" w:rsidRPr="008819AF" w:rsidRDefault="004C1DAF" w:rsidP="004C1DAF">
            <w:pPr>
              <w:rPr>
                <w:rFonts w:eastAsia="Arial"/>
                <w:lang w:bidi="cs-CZ"/>
              </w:rPr>
            </w:pPr>
          </w:p>
          <w:p w14:paraId="15133089" w14:textId="77777777" w:rsidR="00765AE1" w:rsidRPr="008819AF" w:rsidRDefault="00765AE1" w:rsidP="00765AE1">
            <w:pPr>
              <w:ind w:left="24"/>
              <w:rPr>
                <w:rFonts w:eastAsia="Arial"/>
                <w:lang w:bidi="cs-CZ"/>
              </w:rPr>
            </w:pPr>
            <w:r w:rsidRPr="008819AF">
              <w:rPr>
                <w:rFonts w:eastAsia="Arial"/>
                <w:lang w:bidi="cs-CZ"/>
              </w:rPr>
              <w:t>(1)</w:t>
            </w:r>
            <w:r w:rsidRPr="008819AF">
              <w:rPr>
                <w:rFonts w:eastAsia="Arial"/>
                <w:lang w:bidi="cs-CZ"/>
              </w:rPr>
              <w:tab/>
              <w:t xml:space="preserve">Okresný úrad alebo inšpekcia uloží pokutu za porušenie povinností podľa § 34 ods. 1 písm. a) až g), § 34 ods. 2 písm. g), § 34 ods. 3 písm. a) a d) až f), § 34 ods. 4 písm. a) až c), § 34 ods. 5 písm. b), § 34 ods. 6, § 34 ods. 7 písm. a) až c), § 34 ods. 8 písm. a) a e), § 34 ods. 9 písm. a), § 34 ods. 10 písm. a) až c) a povinnosti ustanovenej v § 34 ods. 11, prevádzkovateľovi zdroja, ak ide o porušenie povinností pre </w:t>
            </w:r>
          </w:p>
          <w:p w14:paraId="1513308A" w14:textId="77777777" w:rsidR="00765AE1" w:rsidRPr="008819AF" w:rsidRDefault="00765AE1" w:rsidP="00765AE1">
            <w:pPr>
              <w:ind w:left="24"/>
              <w:rPr>
                <w:rFonts w:eastAsia="Arial"/>
                <w:lang w:bidi="cs-CZ"/>
              </w:rPr>
            </w:pPr>
            <w:r w:rsidRPr="008819AF">
              <w:rPr>
                <w:rFonts w:eastAsia="Arial"/>
                <w:lang w:bidi="cs-CZ"/>
              </w:rPr>
              <w:t>a)</w:t>
            </w:r>
            <w:r w:rsidRPr="008819AF">
              <w:rPr>
                <w:rFonts w:eastAsia="Arial"/>
                <w:lang w:bidi="cs-CZ"/>
              </w:rPr>
              <w:tab/>
              <w:t>veľký zdroj vo výške od 10 000 eur do 1 000 000 eur,</w:t>
            </w:r>
          </w:p>
          <w:p w14:paraId="1513308B" w14:textId="77777777" w:rsidR="00765AE1" w:rsidRPr="008819AF" w:rsidRDefault="00765AE1" w:rsidP="00765AE1">
            <w:pPr>
              <w:ind w:left="24"/>
              <w:rPr>
                <w:rFonts w:eastAsia="Arial"/>
                <w:lang w:bidi="cs-CZ"/>
              </w:rPr>
            </w:pPr>
            <w:r w:rsidRPr="008819AF">
              <w:rPr>
                <w:rFonts w:eastAsia="Arial"/>
                <w:lang w:bidi="cs-CZ"/>
              </w:rPr>
              <w:t>b)</w:t>
            </w:r>
            <w:r w:rsidRPr="008819AF">
              <w:rPr>
                <w:rFonts w:eastAsia="Arial"/>
                <w:lang w:bidi="cs-CZ"/>
              </w:rPr>
              <w:tab/>
              <w:t>stredného zdroja vo výške od 2 500 eur do 250 000 eur.</w:t>
            </w:r>
          </w:p>
          <w:p w14:paraId="1513308C" w14:textId="77777777" w:rsidR="00765AE1" w:rsidRPr="008819AF" w:rsidRDefault="00765AE1" w:rsidP="00765AE1">
            <w:pPr>
              <w:ind w:left="24"/>
              <w:rPr>
                <w:rFonts w:eastAsia="Arial"/>
                <w:lang w:bidi="cs-CZ"/>
              </w:rPr>
            </w:pPr>
            <w:r w:rsidRPr="008819AF">
              <w:rPr>
                <w:rFonts w:eastAsia="Arial"/>
                <w:lang w:bidi="cs-CZ"/>
              </w:rPr>
              <w:t>(2)</w:t>
            </w:r>
            <w:r w:rsidRPr="008819AF">
              <w:rPr>
                <w:rFonts w:eastAsia="Arial"/>
                <w:lang w:bidi="cs-CZ"/>
              </w:rPr>
              <w:tab/>
              <w:t xml:space="preserve">Okresný úrad alebo inšpekcia uloží pokutu za porušenie povinností podľa § 34 ods. 1 písm. h) a i), § 34 ods. 2 písm. b), c), e), f), h) až j), § 34 ods. 3 písm. b), c) a g), § 34 ods. 4 písm. d) až f), § 34 ods. 5 písm. a), § 34 ods. 7 písm. d), § 34 ods. 8 písm. b) až d), § 34 ods. 9 písm. b) a c) a povinnosti ustanovenej v § 34 ods. 10 písm. d) a e), prevádzkovateľovi zdroja, ak ide o </w:t>
            </w:r>
          </w:p>
          <w:p w14:paraId="1513308D" w14:textId="77777777" w:rsidR="00765AE1" w:rsidRPr="008819AF" w:rsidRDefault="00765AE1" w:rsidP="00765AE1">
            <w:pPr>
              <w:ind w:left="24"/>
              <w:rPr>
                <w:rFonts w:eastAsia="Arial"/>
                <w:lang w:bidi="cs-CZ"/>
              </w:rPr>
            </w:pPr>
            <w:r w:rsidRPr="008819AF">
              <w:rPr>
                <w:rFonts w:eastAsia="Arial"/>
                <w:lang w:bidi="cs-CZ"/>
              </w:rPr>
              <w:t>a)</w:t>
            </w:r>
            <w:r w:rsidRPr="008819AF">
              <w:rPr>
                <w:rFonts w:eastAsia="Arial"/>
                <w:lang w:bidi="cs-CZ"/>
              </w:rPr>
              <w:tab/>
              <w:t>veľký zdroj vo výške od 2 500 eur do 250 000 eur,</w:t>
            </w:r>
          </w:p>
          <w:p w14:paraId="1513308E" w14:textId="77777777" w:rsidR="00765AE1" w:rsidRPr="008819AF" w:rsidRDefault="00765AE1" w:rsidP="00765AE1">
            <w:pPr>
              <w:ind w:left="24"/>
              <w:rPr>
                <w:rFonts w:eastAsia="Arial"/>
                <w:lang w:bidi="cs-CZ"/>
              </w:rPr>
            </w:pPr>
            <w:r w:rsidRPr="008819AF">
              <w:rPr>
                <w:rFonts w:eastAsia="Arial"/>
                <w:lang w:bidi="cs-CZ"/>
              </w:rPr>
              <w:t>b)</w:t>
            </w:r>
            <w:r w:rsidRPr="008819AF">
              <w:rPr>
                <w:rFonts w:eastAsia="Arial"/>
                <w:lang w:bidi="cs-CZ"/>
              </w:rPr>
              <w:tab/>
              <w:t>stredného zdroja vo výške od 500 eur do 50 000 eur.</w:t>
            </w:r>
          </w:p>
          <w:p w14:paraId="1513308F" w14:textId="77777777" w:rsidR="004C1DAF" w:rsidRPr="008819AF" w:rsidRDefault="00765AE1" w:rsidP="00765AE1">
            <w:pPr>
              <w:ind w:left="24"/>
              <w:rPr>
                <w:rFonts w:eastAsia="Arial"/>
                <w:lang w:bidi="cs-CZ"/>
              </w:rPr>
            </w:pPr>
            <w:r w:rsidRPr="008819AF">
              <w:rPr>
                <w:rFonts w:eastAsia="Arial"/>
                <w:lang w:bidi="cs-CZ"/>
              </w:rPr>
              <w:t>(3)</w:t>
            </w:r>
            <w:r w:rsidRPr="008819AF">
              <w:rPr>
                <w:rFonts w:eastAsia="Arial"/>
                <w:lang w:bidi="cs-CZ"/>
              </w:rPr>
              <w:tab/>
              <w:t>Okresný úrad alebo inšpekcia za porušenie povinností v § 34 ods. 1 písm. j) a ods. 2 písm. a), d) a k) a § 61 ods. 6 a 8 uloží pokutu prevádzkovateľovi veľkého zdroja a prevádzkovateľovi stredného zdroja vo výške od 50 eur do 5000 eur.</w:t>
            </w:r>
          </w:p>
          <w:p w14:paraId="15133090" w14:textId="77777777" w:rsidR="004C1DAF" w:rsidRPr="008819AF" w:rsidRDefault="004C1DAF" w:rsidP="004C1DAF">
            <w:pPr>
              <w:ind w:firstLine="284"/>
              <w:rPr>
                <w:rFonts w:eastAsia="Arial"/>
                <w:lang w:bidi="cs-CZ"/>
              </w:rPr>
            </w:pPr>
          </w:p>
          <w:p w14:paraId="15133091" w14:textId="77777777" w:rsidR="004C1DAF" w:rsidRPr="008819AF" w:rsidRDefault="004C1DAF" w:rsidP="004C1DAF">
            <w:pPr>
              <w:ind w:firstLine="284"/>
              <w:rPr>
                <w:rFonts w:eastAsia="Arial"/>
                <w:lang w:bidi="cs-CZ"/>
              </w:rPr>
            </w:pPr>
            <w:r w:rsidRPr="008819AF">
              <w:rPr>
                <w:rFonts w:eastAsia="Arial"/>
                <w:lang w:bidi="cs-CZ"/>
              </w:rPr>
              <w:t>(1) Inšpekcia uloží prevádzkovateľovi pokutu od 500 eur do 16 600 eur, ak</w:t>
            </w:r>
          </w:p>
          <w:p w14:paraId="15133092" w14:textId="77777777" w:rsidR="004C1DAF" w:rsidRPr="008819AF" w:rsidRDefault="004C1DAF" w:rsidP="004C1DAF">
            <w:pPr>
              <w:ind w:firstLine="284"/>
              <w:rPr>
                <w:rFonts w:eastAsia="Arial"/>
                <w:lang w:bidi="cs-CZ"/>
              </w:rPr>
            </w:pPr>
            <w:r w:rsidRPr="008819AF">
              <w:rPr>
                <w:rFonts w:eastAsia="Arial"/>
                <w:lang w:bidi="cs-CZ"/>
              </w:rPr>
              <w:t>a)</w:t>
            </w:r>
            <w:r w:rsidRPr="008819AF">
              <w:rPr>
                <w:rFonts w:eastAsia="Arial"/>
                <w:lang w:bidi="cs-CZ"/>
              </w:rPr>
              <w:tab/>
              <w:t>neoznámil údaje a informácie podľa § 33 ods. 4 písm. i),</w:t>
            </w:r>
          </w:p>
          <w:p w14:paraId="15133093" w14:textId="77777777" w:rsidR="004C1DAF" w:rsidRPr="008819AF" w:rsidRDefault="004C1DAF" w:rsidP="004C1DAF">
            <w:pPr>
              <w:ind w:firstLine="284"/>
              <w:rPr>
                <w:rFonts w:eastAsia="Arial"/>
                <w:lang w:bidi="cs-CZ"/>
              </w:rPr>
            </w:pPr>
            <w:r w:rsidRPr="008819AF">
              <w:rPr>
                <w:rFonts w:eastAsia="Arial"/>
                <w:lang w:bidi="cs-CZ"/>
              </w:rPr>
              <w:t>b)</w:t>
            </w:r>
            <w:r w:rsidRPr="008819AF">
              <w:rPr>
                <w:rFonts w:eastAsia="Arial"/>
                <w:lang w:bidi="cs-CZ"/>
              </w:rPr>
              <w:tab/>
              <w:t>nevedie predpísanú evidenciu a neuchováva údaje po určený čas  podľa § 33 ods. 4 písm. h),</w:t>
            </w:r>
          </w:p>
          <w:p w14:paraId="15133094" w14:textId="77777777" w:rsidR="004C1DAF" w:rsidRPr="008819AF" w:rsidRDefault="004C1DAF" w:rsidP="004C1DAF">
            <w:pPr>
              <w:ind w:firstLine="284"/>
              <w:rPr>
                <w:rFonts w:eastAsia="Arial"/>
                <w:lang w:bidi="cs-CZ"/>
              </w:rPr>
            </w:pPr>
            <w:r w:rsidRPr="008819AF">
              <w:rPr>
                <w:rFonts w:eastAsia="Arial"/>
                <w:lang w:bidi="cs-CZ"/>
              </w:rPr>
              <w:t>c)</w:t>
            </w:r>
            <w:r w:rsidRPr="008819AF">
              <w:rPr>
                <w:rFonts w:eastAsia="Arial"/>
                <w:lang w:bidi="cs-CZ"/>
              </w:rPr>
              <w:tab/>
              <w:t>nepodal v určenej lehote na výzvu orgánu štátneho dozoru žiadosť o zmenu povolenia podľa § 20 ods. 2),</w:t>
            </w:r>
          </w:p>
          <w:p w14:paraId="15133095" w14:textId="77777777" w:rsidR="004C1DAF" w:rsidRPr="008819AF" w:rsidRDefault="004C1DAF" w:rsidP="004C1DAF">
            <w:pPr>
              <w:ind w:firstLine="284"/>
              <w:rPr>
                <w:rFonts w:eastAsia="Arial"/>
                <w:lang w:bidi="cs-CZ"/>
              </w:rPr>
            </w:pPr>
            <w:r w:rsidRPr="008819AF">
              <w:rPr>
                <w:rFonts w:eastAsia="Arial"/>
                <w:lang w:bidi="cs-CZ"/>
              </w:rPr>
              <w:t>d)</w:t>
            </w:r>
            <w:r w:rsidRPr="008819AF">
              <w:rPr>
                <w:rFonts w:eastAsia="Arial"/>
                <w:lang w:bidi="cs-CZ"/>
              </w:rPr>
              <w:tab/>
              <w:t>nevykonal dodatočné  nápravné opatrenie uložené orgánom štátneho dozoru podľa § 33 ods. 4 písm. f),</w:t>
            </w:r>
          </w:p>
          <w:p w14:paraId="15133096" w14:textId="77777777" w:rsidR="004C1DAF" w:rsidRPr="008819AF" w:rsidRDefault="004C1DAF" w:rsidP="004C1DAF">
            <w:pPr>
              <w:ind w:firstLine="284"/>
              <w:rPr>
                <w:rFonts w:eastAsia="Arial"/>
                <w:lang w:bidi="cs-CZ"/>
              </w:rPr>
            </w:pPr>
            <w:r w:rsidRPr="008819AF">
              <w:rPr>
                <w:rFonts w:eastAsia="Arial"/>
                <w:lang w:bidi="cs-CZ"/>
              </w:rPr>
              <w:t>e)</w:t>
            </w:r>
            <w:r w:rsidRPr="008819AF">
              <w:rPr>
                <w:rFonts w:eastAsia="Arial"/>
                <w:lang w:bidi="cs-CZ"/>
              </w:rPr>
              <w:tab/>
              <w:t>nesplnil si povinnosť vypracovať východiskovú správu podľa § 8 ods. 2,</w:t>
            </w:r>
          </w:p>
          <w:p w14:paraId="15133097" w14:textId="77777777" w:rsidR="004C1DAF" w:rsidRPr="008819AF" w:rsidRDefault="004C1DAF" w:rsidP="004C1DAF">
            <w:pPr>
              <w:ind w:firstLine="284"/>
              <w:rPr>
                <w:rFonts w:eastAsia="Arial"/>
                <w:lang w:bidi="cs-CZ"/>
              </w:rPr>
            </w:pPr>
            <w:r w:rsidRPr="008819AF">
              <w:rPr>
                <w:rFonts w:eastAsia="Arial"/>
                <w:lang w:bidi="cs-CZ"/>
              </w:rPr>
              <w:t>f)</w:t>
            </w:r>
            <w:r w:rsidRPr="008819AF">
              <w:rPr>
                <w:rFonts w:eastAsia="Arial"/>
                <w:lang w:bidi="cs-CZ"/>
              </w:rPr>
              <w:tab/>
              <w:t>nesplnil povinnosti podľa § 26 ods. 1 písm. b) a e), 26 ods. 5 alebo podľa § 33 ods. 4 písm. g) a h),</w:t>
            </w:r>
          </w:p>
          <w:p w14:paraId="15133098" w14:textId="77777777" w:rsidR="004C1DAF" w:rsidRPr="008819AF" w:rsidRDefault="004C1DAF" w:rsidP="004C1DAF">
            <w:pPr>
              <w:ind w:firstLine="284"/>
              <w:rPr>
                <w:rFonts w:eastAsia="Arial"/>
                <w:lang w:bidi="cs-CZ"/>
              </w:rPr>
            </w:pPr>
            <w:r w:rsidRPr="008819AF">
              <w:rPr>
                <w:rFonts w:eastAsia="Arial"/>
                <w:lang w:bidi="cs-CZ"/>
              </w:rPr>
              <w:t>g)</w:t>
            </w:r>
            <w:r w:rsidRPr="008819AF">
              <w:rPr>
                <w:rFonts w:eastAsia="Arial"/>
                <w:lang w:bidi="cs-CZ"/>
              </w:rPr>
              <w:tab/>
              <w:t>ak osobe vykonávajúcej štátny dozor neposkytol pravdivé alebo úplné informácie a vysvetlenia.</w:t>
            </w:r>
          </w:p>
          <w:p w14:paraId="15133099" w14:textId="77777777" w:rsidR="004C1DAF" w:rsidRPr="008819AF" w:rsidRDefault="004C1DAF" w:rsidP="004C1DAF">
            <w:pPr>
              <w:ind w:firstLine="284"/>
              <w:rPr>
                <w:rFonts w:eastAsia="Arial"/>
                <w:lang w:bidi="cs-CZ"/>
              </w:rPr>
            </w:pPr>
          </w:p>
          <w:p w14:paraId="1513309A" w14:textId="77777777" w:rsidR="004C1DAF" w:rsidRPr="008819AF" w:rsidRDefault="004C1DAF" w:rsidP="004C1DAF">
            <w:pPr>
              <w:ind w:firstLine="284"/>
              <w:rPr>
                <w:rFonts w:eastAsia="Arial"/>
                <w:lang w:bidi="cs-CZ"/>
              </w:rPr>
            </w:pPr>
            <w:r w:rsidRPr="008819AF">
              <w:rPr>
                <w:rFonts w:eastAsia="Arial"/>
                <w:lang w:bidi="cs-CZ"/>
              </w:rPr>
              <w:lastRenderedPageBreak/>
              <w:t>(2) Inšpekcia uloží prevádzkovateľovi pokutu od 1000 eur do 33 200 eur, ak</w:t>
            </w:r>
          </w:p>
          <w:p w14:paraId="1513309B" w14:textId="77777777" w:rsidR="004C1DAF" w:rsidRPr="008819AF" w:rsidRDefault="004C1DAF" w:rsidP="004C1DAF">
            <w:pPr>
              <w:ind w:firstLine="284"/>
              <w:rPr>
                <w:rFonts w:eastAsia="Arial"/>
                <w:lang w:bidi="cs-CZ"/>
              </w:rPr>
            </w:pPr>
            <w:r w:rsidRPr="008819AF">
              <w:rPr>
                <w:rFonts w:eastAsia="Arial"/>
                <w:lang w:bidi="cs-CZ"/>
              </w:rPr>
              <w:t>b)</w:t>
            </w:r>
            <w:r w:rsidRPr="008819AF">
              <w:rPr>
                <w:rFonts w:eastAsia="Arial"/>
                <w:lang w:bidi="cs-CZ"/>
              </w:rPr>
              <w:tab/>
              <w:t>neohlásil zmenu v prevádzke podľa § 26 ods. 1 písm. d),</w:t>
            </w:r>
          </w:p>
          <w:p w14:paraId="1513309C" w14:textId="77777777" w:rsidR="004C1DAF" w:rsidRPr="008819AF" w:rsidRDefault="004C1DAF" w:rsidP="004C1DAF">
            <w:pPr>
              <w:ind w:firstLine="284"/>
              <w:rPr>
                <w:rFonts w:eastAsia="Arial"/>
                <w:lang w:bidi="cs-CZ"/>
              </w:rPr>
            </w:pPr>
            <w:r w:rsidRPr="008819AF">
              <w:rPr>
                <w:rFonts w:eastAsia="Arial"/>
                <w:lang w:bidi="cs-CZ"/>
              </w:rPr>
              <w:t>c)</w:t>
            </w:r>
            <w:r w:rsidRPr="008819AF">
              <w:rPr>
                <w:rFonts w:eastAsia="Arial"/>
                <w:lang w:bidi="cs-CZ"/>
              </w:rPr>
              <w:tab/>
              <w:t>uviedol v žiadosti podľa § 7 alebo v konaní podľa § 3 ods. 1 nepravdivé alebo neúplné údaje, ktoré môžu mať vplyv na integrované povoľovanie,</w:t>
            </w:r>
          </w:p>
          <w:p w14:paraId="1513309D" w14:textId="77777777" w:rsidR="004C1DAF" w:rsidRPr="008819AF" w:rsidRDefault="004C1DAF" w:rsidP="004C1DAF">
            <w:pPr>
              <w:ind w:firstLine="284"/>
              <w:rPr>
                <w:rFonts w:eastAsia="Arial"/>
                <w:lang w:bidi="cs-CZ"/>
              </w:rPr>
            </w:pPr>
            <w:r w:rsidRPr="008819AF">
              <w:rPr>
                <w:rFonts w:eastAsia="Arial"/>
                <w:lang w:bidi="cs-CZ"/>
              </w:rPr>
              <w:t>d)</w:t>
            </w:r>
            <w:r w:rsidRPr="008819AF">
              <w:rPr>
                <w:rFonts w:eastAsia="Arial"/>
                <w:lang w:bidi="cs-CZ"/>
              </w:rPr>
              <w:tab/>
              <w:t>neoznámil bez zbytočného odkladu vzniknutú haváriu alebo inú mimoriadnu udalosť, alebo nadmerný okamžitý únik emisií alebo látok do okolitého prostredia podľa § 33 ods. 4 písm. d).</w:t>
            </w:r>
          </w:p>
          <w:p w14:paraId="1513309E" w14:textId="77777777" w:rsidR="004C1DAF" w:rsidRPr="008819AF" w:rsidRDefault="004C1DAF" w:rsidP="004C1DAF">
            <w:pPr>
              <w:ind w:firstLine="284"/>
              <w:rPr>
                <w:rFonts w:eastAsia="Arial"/>
                <w:lang w:bidi="cs-CZ"/>
              </w:rPr>
            </w:pPr>
            <w:r w:rsidRPr="008819AF">
              <w:rPr>
                <w:rFonts w:eastAsia="Arial"/>
                <w:lang w:bidi="cs-CZ"/>
              </w:rPr>
              <w:t>e)</w:t>
            </w:r>
            <w:r w:rsidRPr="008819AF">
              <w:rPr>
                <w:rFonts w:eastAsia="Arial"/>
                <w:lang w:bidi="cs-CZ"/>
              </w:rPr>
              <w:tab/>
              <w:t>po definitívnom ukončení činností prevádzkovateľ nevykonal opatrenia podľa § 21 ods. 2 písm. m).</w:t>
            </w:r>
          </w:p>
          <w:p w14:paraId="1513309F" w14:textId="77777777" w:rsidR="004C1DAF" w:rsidRPr="008819AF" w:rsidRDefault="004C1DAF" w:rsidP="004C1DAF">
            <w:pPr>
              <w:ind w:firstLine="284"/>
              <w:rPr>
                <w:rFonts w:eastAsia="Arial"/>
                <w:lang w:bidi="cs-CZ"/>
              </w:rPr>
            </w:pPr>
          </w:p>
          <w:p w14:paraId="151330A0" w14:textId="77777777" w:rsidR="004C1DAF" w:rsidRPr="008819AF" w:rsidRDefault="004C1DAF" w:rsidP="004C1DAF">
            <w:pPr>
              <w:ind w:firstLine="284"/>
              <w:rPr>
                <w:rFonts w:eastAsia="Arial"/>
                <w:lang w:bidi="cs-CZ"/>
              </w:rPr>
            </w:pPr>
            <w:r w:rsidRPr="008819AF">
              <w:rPr>
                <w:rFonts w:eastAsia="Arial"/>
                <w:lang w:bidi="cs-CZ"/>
              </w:rPr>
              <w:t>(3) Inšpekcia uloží prevádzkovateľovi pokutu od 10 000 eur do 331 940 eur, ak</w:t>
            </w:r>
          </w:p>
          <w:p w14:paraId="151330A1" w14:textId="77777777" w:rsidR="004C1DAF" w:rsidRPr="008819AF" w:rsidRDefault="004C1DAF" w:rsidP="004C1DAF">
            <w:pPr>
              <w:ind w:firstLine="284"/>
              <w:rPr>
                <w:rFonts w:eastAsia="Arial"/>
                <w:lang w:bidi="cs-CZ"/>
              </w:rPr>
            </w:pPr>
            <w:r w:rsidRPr="008819AF">
              <w:rPr>
                <w:rFonts w:eastAsia="Arial"/>
                <w:lang w:bidi="cs-CZ"/>
              </w:rPr>
              <w:t>a)</w:t>
            </w:r>
            <w:r w:rsidRPr="008819AF">
              <w:rPr>
                <w:rFonts w:eastAsia="Arial"/>
                <w:lang w:bidi="cs-CZ"/>
              </w:rPr>
              <w:tab/>
              <w:t>vykonáva činnosť v prevádzke bez povolenia alebo si neplní povinnosti podľa § 26 ods. 1 písm. a) a c),</w:t>
            </w:r>
          </w:p>
          <w:p w14:paraId="151330A2" w14:textId="77777777" w:rsidR="004C1DAF" w:rsidRPr="008819AF" w:rsidRDefault="004C1DAF" w:rsidP="004C1DAF">
            <w:pPr>
              <w:ind w:firstLine="284"/>
              <w:rPr>
                <w:rFonts w:eastAsia="Arial"/>
                <w:lang w:bidi="cs-CZ"/>
              </w:rPr>
            </w:pPr>
            <w:r w:rsidRPr="008819AF">
              <w:rPr>
                <w:rFonts w:eastAsia="Arial"/>
                <w:lang w:bidi="cs-CZ"/>
              </w:rPr>
              <w:t>b)</w:t>
            </w:r>
            <w:r w:rsidRPr="008819AF">
              <w:rPr>
                <w:rFonts w:eastAsia="Arial"/>
                <w:lang w:bidi="cs-CZ"/>
              </w:rPr>
              <w:tab/>
              <w:t>neobmedzil činnosť v prevádzke alebo nezastavil činnosť v prevádzke alebo v jej časti na základe rozhodnutia orgánu štátneho dozoru podľa § 19 ods. 3,</w:t>
            </w:r>
          </w:p>
          <w:p w14:paraId="151330A3" w14:textId="77777777" w:rsidR="004C1DAF" w:rsidRPr="008819AF" w:rsidRDefault="004C1DAF" w:rsidP="004C1DAF">
            <w:pPr>
              <w:ind w:firstLine="284"/>
              <w:rPr>
                <w:rFonts w:eastAsia="Arial"/>
                <w:lang w:bidi="cs-CZ"/>
              </w:rPr>
            </w:pPr>
            <w:r w:rsidRPr="008819AF">
              <w:rPr>
                <w:rFonts w:eastAsia="Arial"/>
                <w:lang w:bidi="cs-CZ"/>
              </w:rPr>
              <w:t>c)</w:t>
            </w:r>
            <w:r w:rsidRPr="008819AF">
              <w:rPr>
                <w:rFonts w:eastAsia="Arial"/>
                <w:lang w:bidi="cs-CZ"/>
              </w:rPr>
              <w:tab/>
              <w:t>nesplnil povinnosti podľa § 26 ods. 2,</w:t>
            </w:r>
          </w:p>
          <w:p w14:paraId="151330A4" w14:textId="77777777" w:rsidR="004C1DAF" w:rsidRPr="008819AF" w:rsidRDefault="004C1DAF" w:rsidP="004C1DAF">
            <w:pPr>
              <w:ind w:firstLine="284"/>
              <w:rPr>
                <w:rFonts w:eastAsia="Arial"/>
                <w:lang w:bidi="cs-CZ"/>
              </w:rPr>
            </w:pPr>
            <w:r w:rsidRPr="008819AF">
              <w:rPr>
                <w:rFonts w:eastAsia="Arial"/>
                <w:lang w:bidi="cs-CZ"/>
              </w:rPr>
              <w:t>d)</w:t>
            </w:r>
            <w:r w:rsidRPr="008819AF">
              <w:rPr>
                <w:rFonts w:eastAsia="Arial"/>
                <w:lang w:bidi="cs-CZ"/>
              </w:rPr>
              <w:tab/>
              <w:t>nesplnil si informačnú povinnosť podľa § 33 ods. 4 písm. c),</w:t>
            </w:r>
          </w:p>
          <w:p w14:paraId="151330A5" w14:textId="77777777" w:rsidR="004C1DAF" w:rsidRPr="008819AF" w:rsidRDefault="004C1DAF" w:rsidP="004C1DAF">
            <w:pPr>
              <w:ind w:firstLine="284"/>
              <w:rPr>
                <w:rFonts w:eastAsia="Arial"/>
                <w:lang w:bidi="cs-CZ"/>
              </w:rPr>
            </w:pPr>
            <w:r w:rsidRPr="008819AF">
              <w:rPr>
                <w:rFonts w:eastAsia="Arial"/>
                <w:lang w:bidi="cs-CZ"/>
              </w:rPr>
              <w:t>e)</w:t>
            </w:r>
            <w:r w:rsidRPr="008819AF">
              <w:rPr>
                <w:rFonts w:eastAsia="Arial"/>
                <w:lang w:bidi="cs-CZ"/>
              </w:rPr>
              <w:tab/>
              <w:t>nevykonal opatrenie uložené orgánom štátneho dozoru podľa § 33 ods. 4 písm. e).</w:t>
            </w:r>
          </w:p>
          <w:p w14:paraId="151330A6" w14:textId="77777777" w:rsidR="004C1DAF" w:rsidRPr="008819AF" w:rsidRDefault="004C1DAF" w:rsidP="004C1DAF">
            <w:pPr>
              <w:ind w:firstLine="284"/>
              <w:rPr>
                <w:rFonts w:eastAsia="Arial"/>
                <w:lang w:bidi="cs-CZ"/>
              </w:rPr>
            </w:pPr>
          </w:p>
          <w:p w14:paraId="151330A7" w14:textId="77777777" w:rsidR="004C1DAF" w:rsidRPr="008819AF" w:rsidRDefault="004C1DAF" w:rsidP="004C1DAF">
            <w:pPr>
              <w:ind w:firstLine="284"/>
              <w:rPr>
                <w:rFonts w:eastAsia="Arial"/>
                <w:lang w:bidi="cs-CZ"/>
              </w:rPr>
            </w:pPr>
            <w:r w:rsidRPr="008819AF">
              <w:rPr>
                <w:rFonts w:eastAsia="Arial"/>
                <w:lang w:bidi="cs-CZ"/>
              </w:rPr>
              <w:t>(4) Inšpekcia môže uložiť prevádzkovateľovi poriadkovú pokutu do 330 eur, ak prevádzkovateľ neumožnil osobe vykonávajúcej štátny dozor kontrolu prevádzkovaní, najmä vstup do prevádzkovaní, odber vzoriek a vykonanie kontrolných meraní, nahliadnutie do evidencií a iných písomností o prevádzke alebo ak nevykonal uložený odber vzoriek alebo nevykonal prevádzkovú skúšku.</w:t>
            </w:r>
          </w:p>
          <w:p w14:paraId="151330A8" w14:textId="77777777" w:rsidR="004C1DAF" w:rsidRPr="008819AF" w:rsidRDefault="004C1DAF" w:rsidP="004C1DAF">
            <w:pPr>
              <w:ind w:firstLine="284"/>
              <w:rPr>
                <w:rFonts w:eastAsia="Arial"/>
                <w:lang w:bidi="cs-CZ"/>
              </w:rPr>
            </w:pPr>
          </w:p>
          <w:p w14:paraId="151330A9" w14:textId="77777777" w:rsidR="004C1DAF" w:rsidRPr="008819AF" w:rsidRDefault="004C1DAF" w:rsidP="004C1DAF">
            <w:pPr>
              <w:ind w:firstLine="284"/>
              <w:rPr>
                <w:rFonts w:eastAsia="Arial"/>
                <w:lang w:bidi="cs-CZ"/>
              </w:rPr>
            </w:pPr>
            <w:r w:rsidRPr="008819AF">
              <w:rPr>
                <w:rFonts w:eastAsia="Arial"/>
                <w:lang w:bidi="cs-CZ"/>
              </w:rPr>
              <w:t>(5) Pri rozhodovaní o výške pokuty orgán štátneho dozoru prihliada na závažnosť porušenia povinnosti, čas trvania protiprávneho stavu, na vzniknuté alebo hroziace škodlivé následky na životné prostredie alebo na zdravie ľudí.</w:t>
            </w:r>
          </w:p>
          <w:p w14:paraId="151330AA" w14:textId="77777777" w:rsidR="004C1DAF" w:rsidRPr="008819AF" w:rsidRDefault="004C1DAF" w:rsidP="004C1DAF">
            <w:pPr>
              <w:ind w:firstLine="284"/>
              <w:rPr>
                <w:rFonts w:eastAsia="Arial"/>
                <w:lang w:bidi="cs-CZ"/>
              </w:rPr>
            </w:pPr>
            <w:r w:rsidRPr="008819AF">
              <w:rPr>
                <w:rFonts w:eastAsia="Arial"/>
                <w:lang w:bidi="cs-CZ"/>
              </w:rPr>
              <w:t>(6) Ak do dvoch rokov odo dňa nadobudnutia právoplatnosti rozhodnutia o uložení pokuty dôjde k opätovnému porušeniu rovnakej povinnosti, za ktorú už bola uložená pokuta, orgán štátneho dozoru môže uložiť pokutu až do výšky dvojnásobku hornej hranice pokuty.</w:t>
            </w:r>
          </w:p>
          <w:p w14:paraId="151330AB" w14:textId="77777777" w:rsidR="004C1DAF" w:rsidRPr="008819AF" w:rsidRDefault="004C1DAF" w:rsidP="004C1DAF">
            <w:pPr>
              <w:ind w:firstLine="284"/>
              <w:rPr>
                <w:rFonts w:eastAsia="Arial"/>
                <w:lang w:bidi="cs-CZ"/>
              </w:rPr>
            </w:pPr>
            <w:r w:rsidRPr="008819AF">
              <w:rPr>
                <w:rFonts w:eastAsia="Arial"/>
                <w:lang w:bidi="cs-CZ"/>
              </w:rPr>
              <w:t xml:space="preserve">(7) Konanie o uloženie pokuty možno začať do jedného roka odo </w:t>
            </w:r>
            <w:r w:rsidRPr="008819AF">
              <w:rPr>
                <w:rFonts w:eastAsia="Arial"/>
                <w:lang w:bidi="cs-CZ"/>
              </w:rPr>
              <w:lastRenderedPageBreak/>
              <w:t>dňa, v ktorom sa orgán štátneho dozoru dozvedel, že prevádzkovateľ porušil povinnosť ustanovenú v tomto zákone, alebo prevádzkuje prevádzku bez povolenia alebo v rozpore s ním, najneskôr však do troch rokov odo dňa, v ktorom k porušeniu povinnosti došlo.</w:t>
            </w:r>
          </w:p>
          <w:p w14:paraId="151330AC" w14:textId="77777777" w:rsidR="004C1DAF" w:rsidRPr="008819AF" w:rsidRDefault="004C1DAF" w:rsidP="004C1DAF">
            <w:pPr>
              <w:ind w:firstLine="284"/>
              <w:rPr>
                <w:rFonts w:eastAsia="Arial"/>
                <w:lang w:bidi="cs-CZ"/>
              </w:rPr>
            </w:pPr>
            <w:r w:rsidRPr="008819AF">
              <w:rPr>
                <w:rFonts w:eastAsia="Arial"/>
                <w:lang w:bidi="cs-CZ"/>
              </w:rPr>
              <w:t>(8) Výnos pokút uložený podľa zákona je príjmom Environmentálneho fondu.</w:t>
            </w:r>
          </w:p>
        </w:tc>
        <w:tc>
          <w:tcPr>
            <w:tcW w:w="429" w:type="dxa"/>
            <w:tcBorders>
              <w:top w:val="single" w:sz="4" w:space="0" w:color="000000"/>
              <w:left w:val="single" w:sz="6" w:space="0" w:color="000000"/>
              <w:bottom w:val="single" w:sz="6" w:space="0" w:color="000000"/>
              <w:right w:val="single" w:sz="6" w:space="0" w:color="000000"/>
            </w:tcBorders>
          </w:tcPr>
          <w:p w14:paraId="151330AD" w14:textId="77777777" w:rsidR="004C1DAF" w:rsidRPr="008819AF" w:rsidRDefault="004C1DAF" w:rsidP="004C1DAF">
            <w:pPr>
              <w:ind w:left="215" w:hanging="215"/>
              <w:rPr>
                <w:rFonts w:eastAsia="Arial"/>
                <w:lang w:bidi="cs-CZ"/>
              </w:rPr>
            </w:pPr>
            <w:r w:rsidRPr="008819AF">
              <w:rPr>
                <w:rFonts w:eastAsia="Arial"/>
                <w:lang w:bidi="cs-CZ"/>
              </w:rPr>
              <w:lastRenderedPageBreak/>
              <w:t>Ú</w:t>
            </w:r>
          </w:p>
        </w:tc>
        <w:tc>
          <w:tcPr>
            <w:tcW w:w="821" w:type="dxa"/>
            <w:gridSpan w:val="3"/>
            <w:tcBorders>
              <w:top w:val="single" w:sz="4" w:space="0" w:color="000000"/>
              <w:left w:val="single" w:sz="6" w:space="0" w:color="000000"/>
              <w:bottom w:val="single" w:sz="6" w:space="0" w:color="000000"/>
              <w:right w:val="single" w:sz="6" w:space="0" w:color="000000"/>
            </w:tcBorders>
          </w:tcPr>
          <w:p w14:paraId="151330AE" w14:textId="77777777" w:rsidR="004C1DAF" w:rsidRPr="008819AF" w:rsidRDefault="004C1DAF" w:rsidP="004C1DAF">
            <w:pPr>
              <w:ind w:left="215" w:hanging="215"/>
              <w:rPr>
                <w:rFonts w:eastAsia="Arial"/>
              </w:rPr>
            </w:pPr>
          </w:p>
        </w:tc>
      </w:tr>
      <w:tr w:rsidR="00236AB5" w:rsidRPr="008819AF" w14:paraId="15133127"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0B0" w14:textId="77777777" w:rsidR="00236AB5" w:rsidRPr="008819AF" w:rsidRDefault="00236AB5" w:rsidP="00236AB5">
            <w:pPr>
              <w:ind w:right="-70"/>
              <w:rPr>
                <w:rFonts w:eastAsia="Arial"/>
                <w:lang w:bidi="cs-CZ"/>
              </w:rPr>
            </w:pPr>
            <w:r w:rsidRPr="008819AF">
              <w:rPr>
                <w:rFonts w:eastAsia="Arial"/>
                <w:lang w:bidi="cs-CZ"/>
              </w:rPr>
              <w:lastRenderedPageBreak/>
              <w:t>Č:80</w:t>
            </w:r>
          </w:p>
        </w:tc>
        <w:tc>
          <w:tcPr>
            <w:tcW w:w="6227" w:type="dxa"/>
            <w:gridSpan w:val="2"/>
            <w:tcBorders>
              <w:top w:val="single" w:sz="4" w:space="0" w:color="000000"/>
              <w:left w:val="single" w:sz="6" w:space="0" w:color="000000"/>
              <w:bottom w:val="single" w:sz="6" w:space="0" w:color="000000"/>
              <w:right w:val="single" w:sz="6" w:space="0" w:color="000000"/>
            </w:tcBorders>
          </w:tcPr>
          <w:p w14:paraId="151330B1" w14:textId="77777777" w:rsidR="00236AB5" w:rsidRPr="008819AF" w:rsidRDefault="00236AB5" w:rsidP="00236AB5">
            <w:pPr>
              <w:ind w:left="215" w:hanging="215"/>
              <w:rPr>
                <w:rFonts w:eastAsia="Arial"/>
              </w:rPr>
            </w:pPr>
            <w:r w:rsidRPr="008819AF">
              <w:rPr>
                <w:rFonts w:eastAsia="Arial"/>
              </w:rPr>
              <w:t>Článok 80</w:t>
            </w:r>
          </w:p>
          <w:p w14:paraId="151330B2" w14:textId="77777777" w:rsidR="00236AB5" w:rsidRPr="008819AF" w:rsidRDefault="00236AB5" w:rsidP="00236AB5">
            <w:pPr>
              <w:ind w:left="215" w:hanging="215"/>
              <w:rPr>
                <w:rFonts w:eastAsia="Arial"/>
              </w:rPr>
            </w:pPr>
            <w:r w:rsidRPr="008819AF">
              <w:rPr>
                <w:rFonts w:eastAsia="Arial"/>
              </w:rPr>
              <w:t>Transpozícia</w:t>
            </w:r>
          </w:p>
          <w:p w14:paraId="151330B3" w14:textId="77777777" w:rsidR="00236AB5" w:rsidRPr="008819AF" w:rsidRDefault="00236AB5" w:rsidP="00236AB5">
            <w:pPr>
              <w:ind w:left="215" w:hanging="215"/>
              <w:rPr>
                <w:rFonts w:eastAsia="Arial"/>
              </w:rPr>
            </w:pPr>
            <w:r w:rsidRPr="008819AF">
              <w:rPr>
                <w:rFonts w:eastAsia="Arial"/>
              </w:rPr>
              <w:t>1. Členské štáty uvedú do účinnosti zákony, iné právne predpisy a správne opatrenia potrebné na dosiahnutie súladu s článkom 2, článkom 3 body 8, 11 až 15, 18 až 23, 26 až 30, 34 až 38 a 41, článkom 4 ods. 2 a 3, článkom 7, článkami 8 a 10, článkom 11 písm. e) a h), článkom 12 ods. 1 písm. e) a h), článkom 13 ods. 7, článkom 14 ods. 1 písm. c) bod ii), článkom 14 ods. 1 písm. d), e), f) a h), článkom 14 ods. 2 až 7, článkom 15 ods. 2 až 5, článkami 16, 17 a 19, článkom 21 ods. 2 až 5, článkami 22, 23, 24, 27, 28 a 29, článkom 30 ods. 1, 2, 3, 4, 7 a 8, článkami 31, 32, 33, 34, 35, 36, 38 a 39, článkom 40 ods. 2 a 3, článkami 42 a 43, článkom 45 ods. 1, článkom 58, článkom 59 ods. 5, článkom 63, článkom 65 ods. 3, článkami 69, 70, 71, 72 a 79, s prílohou I prvý pododsek a body 1.1, 1.4, 2.5 písm. b), 3.1, 4, 5, 6.1 písm. c), 6.4 písm. b), 6.10 a 6.11, s prílohou II, prílohou III bod 12, prílohou V, prílohou VI časť 1 písm. b), časť 4 body 2.2, 2.4, 3.1 a 3.2, časť 6 body 2.5 a 2.6 a časť 8 bod 1.1 písm. d), s prílohou VII časť 4 bod 2, časť 5 bod 1, časť 7 bod 3 a s prílohou VIII časť 1 body 1 a 2 písm. c), časť 2 body 2 a 3 a časť 3 do 7. januára 2013.</w:t>
            </w:r>
          </w:p>
          <w:p w14:paraId="151330B4" w14:textId="77777777" w:rsidR="00236AB5" w:rsidRPr="008819AF" w:rsidRDefault="00236AB5" w:rsidP="00236AB5">
            <w:pPr>
              <w:ind w:left="215" w:hanging="1"/>
              <w:rPr>
                <w:rFonts w:eastAsia="Arial"/>
              </w:rPr>
            </w:pPr>
            <w:r w:rsidRPr="008819AF">
              <w:rPr>
                <w:rFonts w:eastAsia="Arial"/>
              </w:rPr>
              <w:t>Tieto opatrenia uplatňujú od toho istého dátumu.</w:t>
            </w:r>
          </w:p>
          <w:p w14:paraId="151330B5" w14:textId="77777777" w:rsidR="00236AB5" w:rsidRPr="008819AF" w:rsidRDefault="00236AB5" w:rsidP="00236AB5">
            <w:pPr>
              <w:ind w:left="215" w:hanging="1"/>
              <w:rPr>
                <w:rFonts w:eastAsia="Arial"/>
              </w:rPr>
            </w:pPr>
            <w:r w:rsidRPr="008819AF">
              <w:rPr>
                <w:rFonts w:eastAsia="Arial"/>
              </w:rPr>
              <w:t>Členské štáty uvedú priamo v prijatých opatreniach alebo pri ich úradnom uverejnení odkaz na túto smernicu. Podrobnosti o odkaze upravia členské štáty.</w:t>
            </w:r>
          </w:p>
          <w:p w14:paraId="151330B6" w14:textId="03C976A5" w:rsidR="00236AB5" w:rsidRPr="008819AF" w:rsidRDefault="00236AB5" w:rsidP="00236AB5">
            <w:pPr>
              <w:ind w:left="215" w:hanging="215"/>
              <w:rPr>
                <w:rFonts w:eastAsia="Arial"/>
              </w:rPr>
            </w:pPr>
            <w:r w:rsidRPr="008819AF">
              <w:rPr>
                <w:rFonts w:eastAsia="Arial"/>
              </w:rPr>
              <w:t>.</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0CC"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5942FBEE" w14:textId="77777777" w:rsidR="00236AB5" w:rsidRPr="008819AF" w:rsidRDefault="00236AB5" w:rsidP="00236AB5">
            <w:pPr>
              <w:ind w:right="-108"/>
            </w:pPr>
            <w:r w:rsidRPr="008819AF">
              <w:t>NZ</w:t>
            </w:r>
          </w:p>
          <w:p w14:paraId="79C7C667" w14:textId="77777777" w:rsidR="00236AB5" w:rsidRPr="008819AF" w:rsidRDefault="00236AB5" w:rsidP="00236AB5">
            <w:pPr>
              <w:ind w:right="-108"/>
            </w:pPr>
          </w:p>
          <w:p w14:paraId="001361AC" w14:textId="77777777" w:rsidR="00236AB5" w:rsidRPr="008819AF" w:rsidRDefault="00236AB5" w:rsidP="00236AB5">
            <w:pPr>
              <w:ind w:right="-108"/>
            </w:pPr>
          </w:p>
          <w:p w14:paraId="0296A787" w14:textId="77777777" w:rsidR="00236AB5" w:rsidRPr="008819AF" w:rsidRDefault="00236AB5" w:rsidP="00236AB5">
            <w:pPr>
              <w:ind w:right="-108"/>
            </w:pPr>
          </w:p>
          <w:p w14:paraId="361EAA34" w14:textId="77777777" w:rsidR="00236AB5" w:rsidRPr="008819AF" w:rsidRDefault="00236AB5" w:rsidP="00236AB5">
            <w:pPr>
              <w:ind w:right="-108"/>
            </w:pPr>
          </w:p>
          <w:p w14:paraId="5174550C" w14:textId="77777777" w:rsidR="00236AB5" w:rsidRPr="008819AF" w:rsidRDefault="00236AB5" w:rsidP="00236AB5">
            <w:pPr>
              <w:ind w:right="-108"/>
            </w:pPr>
            <w:r w:rsidRPr="008819AF">
              <w:t>NV1</w:t>
            </w:r>
          </w:p>
          <w:p w14:paraId="76EF8420" w14:textId="77777777" w:rsidR="00236AB5" w:rsidRPr="008819AF" w:rsidRDefault="00236AB5" w:rsidP="00236AB5">
            <w:pPr>
              <w:ind w:right="-108"/>
            </w:pPr>
          </w:p>
          <w:p w14:paraId="5DACA680" w14:textId="77777777" w:rsidR="00236AB5" w:rsidRPr="008819AF" w:rsidRDefault="00236AB5" w:rsidP="00236AB5">
            <w:pPr>
              <w:ind w:right="-108"/>
            </w:pPr>
          </w:p>
          <w:p w14:paraId="437C657A" w14:textId="77777777" w:rsidR="00236AB5" w:rsidRPr="008819AF" w:rsidRDefault="00236AB5" w:rsidP="00236AB5">
            <w:pPr>
              <w:ind w:right="-108"/>
            </w:pPr>
          </w:p>
          <w:p w14:paraId="164DBF28" w14:textId="77777777" w:rsidR="00236AB5" w:rsidRPr="008819AF" w:rsidRDefault="00236AB5" w:rsidP="00236AB5">
            <w:pPr>
              <w:ind w:right="-108"/>
            </w:pPr>
          </w:p>
          <w:p w14:paraId="3FAB2019" w14:textId="77777777" w:rsidR="00236AB5" w:rsidRPr="008819AF" w:rsidRDefault="00236AB5" w:rsidP="00236AB5">
            <w:pPr>
              <w:ind w:right="-108"/>
            </w:pPr>
            <w:r w:rsidRPr="008819AF">
              <w:t>NV2</w:t>
            </w:r>
          </w:p>
          <w:p w14:paraId="22FB2C43" w14:textId="77777777" w:rsidR="00236AB5" w:rsidRPr="008819AF" w:rsidRDefault="00236AB5" w:rsidP="00236AB5">
            <w:pPr>
              <w:ind w:right="-108"/>
            </w:pPr>
          </w:p>
          <w:p w14:paraId="18DDBD44" w14:textId="77777777" w:rsidR="00236AB5" w:rsidRPr="008819AF" w:rsidRDefault="00236AB5" w:rsidP="00236AB5">
            <w:pPr>
              <w:ind w:right="-108"/>
            </w:pPr>
          </w:p>
          <w:p w14:paraId="0DB292A7" w14:textId="77777777" w:rsidR="00236AB5" w:rsidRPr="008819AF" w:rsidRDefault="00236AB5" w:rsidP="00236AB5">
            <w:pPr>
              <w:ind w:right="-108"/>
            </w:pPr>
          </w:p>
          <w:p w14:paraId="16B0C5F2" w14:textId="77777777" w:rsidR="00236AB5" w:rsidRPr="008819AF" w:rsidRDefault="00236AB5" w:rsidP="00236AB5">
            <w:pPr>
              <w:ind w:right="-108"/>
            </w:pPr>
          </w:p>
          <w:p w14:paraId="16A68E03" w14:textId="77777777" w:rsidR="00236AB5" w:rsidRPr="008819AF" w:rsidRDefault="00236AB5" w:rsidP="00236AB5">
            <w:pPr>
              <w:ind w:right="-108"/>
            </w:pPr>
            <w:r w:rsidRPr="008819AF">
              <w:t>NV3</w:t>
            </w:r>
          </w:p>
          <w:p w14:paraId="0EA2CC4E" w14:textId="77777777" w:rsidR="00236AB5" w:rsidRPr="008819AF" w:rsidRDefault="00236AB5" w:rsidP="00236AB5">
            <w:pPr>
              <w:ind w:right="-108"/>
            </w:pPr>
          </w:p>
          <w:p w14:paraId="16847D31" w14:textId="77777777" w:rsidR="00236AB5" w:rsidRPr="008819AF" w:rsidRDefault="00236AB5" w:rsidP="00236AB5">
            <w:pPr>
              <w:ind w:right="-108"/>
            </w:pPr>
          </w:p>
          <w:p w14:paraId="73C384C2" w14:textId="77777777" w:rsidR="00236AB5" w:rsidRPr="008819AF" w:rsidRDefault="00236AB5" w:rsidP="00236AB5">
            <w:pPr>
              <w:ind w:right="-108"/>
            </w:pPr>
          </w:p>
          <w:p w14:paraId="2EC8FD04" w14:textId="77777777" w:rsidR="00236AB5" w:rsidRPr="008819AF" w:rsidRDefault="00236AB5" w:rsidP="00236AB5">
            <w:pPr>
              <w:ind w:right="-108"/>
            </w:pPr>
          </w:p>
          <w:p w14:paraId="6F9F43B7" w14:textId="77777777" w:rsidR="00236AB5" w:rsidRPr="008819AF" w:rsidRDefault="00236AB5" w:rsidP="00236AB5">
            <w:pPr>
              <w:ind w:right="-108"/>
            </w:pPr>
          </w:p>
          <w:p w14:paraId="4BF5A556" w14:textId="77777777" w:rsidR="00236AB5" w:rsidRPr="008819AF" w:rsidRDefault="00236AB5" w:rsidP="00236AB5">
            <w:pPr>
              <w:ind w:right="-108"/>
            </w:pPr>
            <w:r w:rsidRPr="008819AF">
              <w:t>NV4</w:t>
            </w:r>
          </w:p>
          <w:p w14:paraId="29D4B6C6" w14:textId="77777777" w:rsidR="00236AB5" w:rsidRPr="008819AF" w:rsidRDefault="00236AB5" w:rsidP="00236AB5">
            <w:pPr>
              <w:ind w:right="-108"/>
            </w:pPr>
          </w:p>
          <w:p w14:paraId="151330E4" w14:textId="77777777" w:rsidR="00236AB5" w:rsidRPr="008819AF" w:rsidRDefault="00236AB5"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74E9B7AD" w14:textId="77777777" w:rsidR="00236AB5" w:rsidRPr="008819AF" w:rsidRDefault="00236AB5" w:rsidP="00236AB5">
            <w:pPr>
              <w:ind w:left="14" w:right="-9" w:hanging="29"/>
            </w:pPr>
            <w:r w:rsidRPr="008819AF">
              <w:t>Pr. 11</w:t>
            </w:r>
          </w:p>
          <w:p w14:paraId="45386188" w14:textId="0263F0DF" w:rsidR="00236AB5" w:rsidRPr="008819AF" w:rsidRDefault="00236AB5" w:rsidP="00236AB5">
            <w:pPr>
              <w:ind w:left="14" w:right="-9" w:hanging="29"/>
            </w:pPr>
            <w:r w:rsidRPr="008819AF">
              <w:t>O8</w:t>
            </w:r>
          </w:p>
          <w:p w14:paraId="1F0277A6" w14:textId="77777777" w:rsidR="00236AB5" w:rsidRPr="008819AF" w:rsidRDefault="00236AB5" w:rsidP="00236AB5">
            <w:pPr>
              <w:ind w:left="14" w:right="-9" w:hanging="29"/>
            </w:pPr>
          </w:p>
          <w:p w14:paraId="01592A38" w14:textId="77777777" w:rsidR="00236AB5" w:rsidRPr="008819AF" w:rsidRDefault="00236AB5" w:rsidP="00236AB5">
            <w:pPr>
              <w:ind w:left="14" w:right="-9" w:hanging="29"/>
            </w:pPr>
          </w:p>
          <w:p w14:paraId="54B54B35" w14:textId="77777777" w:rsidR="00236AB5" w:rsidRPr="008819AF" w:rsidRDefault="00236AB5" w:rsidP="00236AB5">
            <w:pPr>
              <w:ind w:left="14" w:right="-9" w:hanging="29"/>
            </w:pPr>
            <w:r w:rsidRPr="008819AF">
              <w:t>Pr.7</w:t>
            </w:r>
          </w:p>
          <w:p w14:paraId="4A13182E" w14:textId="77777777" w:rsidR="00236AB5" w:rsidRPr="008819AF" w:rsidRDefault="00236AB5" w:rsidP="00236AB5">
            <w:pPr>
              <w:ind w:left="14" w:right="-9" w:hanging="29"/>
            </w:pPr>
          </w:p>
          <w:p w14:paraId="59937F8A" w14:textId="77777777" w:rsidR="00236AB5" w:rsidRPr="008819AF" w:rsidRDefault="00236AB5" w:rsidP="00236AB5">
            <w:pPr>
              <w:ind w:left="14" w:right="-9" w:hanging="29"/>
            </w:pPr>
          </w:p>
          <w:p w14:paraId="0A90C161" w14:textId="77777777" w:rsidR="00236AB5" w:rsidRPr="008819AF" w:rsidRDefault="00236AB5" w:rsidP="00236AB5">
            <w:pPr>
              <w:ind w:left="14" w:right="-9" w:hanging="29"/>
            </w:pPr>
          </w:p>
          <w:p w14:paraId="6E575D75" w14:textId="77777777" w:rsidR="00236AB5" w:rsidRPr="008819AF" w:rsidRDefault="00236AB5" w:rsidP="00236AB5">
            <w:pPr>
              <w:ind w:left="14" w:right="-9" w:hanging="29"/>
            </w:pPr>
          </w:p>
          <w:p w14:paraId="28A94CB0" w14:textId="77777777" w:rsidR="00236AB5" w:rsidRPr="008819AF" w:rsidRDefault="00236AB5" w:rsidP="00236AB5">
            <w:pPr>
              <w:ind w:left="14" w:right="-114" w:hanging="29"/>
            </w:pPr>
            <w:r w:rsidRPr="008819AF">
              <w:t>Pr.13</w:t>
            </w:r>
          </w:p>
          <w:p w14:paraId="01EFC718" w14:textId="050911E7" w:rsidR="00236AB5" w:rsidRPr="008819AF" w:rsidRDefault="00236AB5" w:rsidP="00236AB5">
            <w:pPr>
              <w:ind w:left="14" w:right="-9" w:hanging="29"/>
            </w:pPr>
            <w:r w:rsidRPr="008819AF">
              <w:t>O1</w:t>
            </w:r>
          </w:p>
          <w:p w14:paraId="66B59E50" w14:textId="77777777" w:rsidR="00236AB5" w:rsidRPr="008819AF" w:rsidRDefault="00236AB5" w:rsidP="00236AB5">
            <w:pPr>
              <w:ind w:left="14" w:right="-9" w:hanging="29"/>
            </w:pPr>
          </w:p>
          <w:p w14:paraId="60873E8D" w14:textId="77777777" w:rsidR="00236AB5" w:rsidRPr="008819AF" w:rsidRDefault="00236AB5" w:rsidP="00236AB5">
            <w:pPr>
              <w:ind w:left="14" w:right="-9" w:hanging="29"/>
            </w:pPr>
          </w:p>
          <w:p w14:paraId="3F778FBF" w14:textId="77777777" w:rsidR="00236AB5" w:rsidRPr="008819AF" w:rsidRDefault="00236AB5" w:rsidP="00236AB5">
            <w:pPr>
              <w:ind w:left="14" w:right="-9" w:hanging="29"/>
            </w:pPr>
          </w:p>
          <w:p w14:paraId="68D27B22" w14:textId="77777777" w:rsidR="00236AB5" w:rsidRPr="008819AF" w:rsidRDefault="00236AB5" w:rsidP="00236AB5">
            <w:pPr>
              <w:ind w:left="14" w:right="-9" w:hanging="29"/>
            </w:pPr>
            <w:r w:rsidRPr="008819AF">
              <w:t>Pr.7</w:t>
            </w:r>
          </w:p>
          <w:p w14:paraId="6DCAC501" w14:textId="36DD7A65" w:rsidR="00236AB5" w:rsidRPr="008819AF" w:rsidRDefault="00236AB5" w:rsidP="00236AB5">
            <w:pPr>
              <w:ind w:left="14" w:right="-9" w:hanging="29"/>
            </w:pPr>
            <w:r w:rsidRPr="008819AF">
              <w:t>O1</w:t>
            </w:r>
          </w:p>
          <w:p w14:paraId="16F4A8A8" w14:textId="77777777" w:rsidR="00236AB5" w:rsidRPr="008819AF" w:rsidRDefault="00236AB5" w:rsidP="00236AB5">
            <w:pPr>
              <w:ind w:left="14" w:right="-9" w:hanging="29"/>
            </w:pPr>
          </w:p>
          <w:p w14:paraId="42F70115" w14:textId="77777777" w:rsidR="00236AB5" w:rsidRPr="008819AF" w:rsidRDefault="00236AB5" w:rsidP="00236AB5">
            <w:pPr>
              <w:ind w:left="14" w:right="-9" w:hanging="29"/>
            </w:pPr>
          </w:p>
          <w:p w14:paraId="18F16A7B" w14:textId="77777777" w:rsidR="00236AB5" w:rsidRPr="008819AF" w:rsidRDefault="00236AB5" w:rsidP="00236AB5">
            <w:pPr>
              <w:ind w:left="14" w:right="-9" w:hanging="29"/>
            </w:pPr>
          </w:p>
          <w:p w14:paraId="008EC116" w14:textId="77777777" w:rsidR="00236AB5" w:rsidRPr="008819AF" w:rsidRDefault="00236AB5" w:rsidP="00236AB5">
            <w:pPr>
              <w:ind w:left="14" w:right="-9" w:hanging="29"/>
            </w:pPr>
          </w:p>
          <w:p w14:paraId="7F9218A5" w14:textId="77777777" w:rsidR="00236AB5" w:rsidRPr="008819AF" w:rsidRDefault="00236AB5" w:rsidP="00236AB5">
            <w:pPr>
              <w:ind w:left="14" w:right="-9" w:hanging="29"/>
            </w:pPr>
            <w:r w:rsidRPr="008819AF">
              <w:t>Pr.5</w:t>
            </w:r>
          </w:p>
          <w:p w14:paraId="22C85FDD" w14:textId="068C65D9" w:rsidR="00236AB5" w:rsidRPr="008819AF" w:rsidRDefault="008C05DE" w:rsidP="00236AB5">
            <w:pPr>
              <w:ind w:left="14" w:right="-9" w:hanging="29"/>
            </w:pPr>
            <w:r w:rsidRPr="008819AF">
              <w:t>O5</w:t>
            </w:r>
          </w:p>
          <w:p w14:paraId="151330F5" w14:textId="60749E4C" w:rsidR="00236AB5" w:rsidRPr="008819AF" w:rsidRDefault="00236AB5" w:rsidP="00236AB5">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2D9041CE" w14:textId="3DF930DC" w:rsidR="00236AB5" w:rsidRPr="008819AF" w:rsidRDefault="00236AB5" w:rsidP="00236AB5">
            <w:pPr>
              <w:jc w:val="both"/>
            </w:pPr>
            <w:r w:rsidRPr="008819AF">
              <w:rPr>
                <w:rFonts w:eastAsiaTheme="minorEastAsia"/>
              </w:rPr>
              <w:t>8. Smernica Európskeho parlamentu a Rady 2010/75/EÚ z 24. novembra 2010 o priemyselných emisiách (integrovaná prevencia a kontrola znečisťovania životného prostredia) (prepracované znenie) (Ú. v. EÚ L 334, 17.12.2010).</w:t>
            </w:r>
          </w:p>
          <w:p w14:paraId="6AB71B8E" w14:textId="002367DA" w:rsidR="00236AB5" w:rsidRPr="008819AF" w:rsidRDefault="00236AB5" w:rsidP="00236AB5">
            <w:pPr>
              <w:tabs>
                <w:tab w:val="left" w:pos="426"/>
              </w:tabs>
              <w:jc w:val="both"/>
            </w:pPr>
          </w:p>
          <w:p w14:paraId="0DA909E7" w14:textId="0BA4A128" w:rsidR="00236AB5" w:rsidRPr="008819AF" w:rsidRDefault="00236AB5" w:rsidP="00236AB5">
            <w:pPr>
              <w:rPr>
                <w:rFonts w:eastAsiaTheme="minorEastAsia"/>
              </w:rPr>
            </w:pPr>
            <w:r w:rsidRPr="008819AF">
              <w:rPr>
                <w:rFonts w:eastAsiaTheme="minorEastAsia"/>
              </w:rPr>
              <w:t>Smernica Európskeho parlamentu a Rady 2010/75/EÚ z 24. novembra 2010 o priemyselných emisiách (integrovaná prevencia a kontrola znečisťovania životného prostredia) (prepracované znenie) (Ú. v. EÚ L 334, 17.12.2010).</w:t>
            </w:r>
          </w:p>
          <w:p w14:paraId="7ED7FB86" w14:textId="77777777" w:rsidR="00236AB5" w:rsidRPr="008819AF" w:rsidRDefault="00236AB5" w:rsidP="00236AB5">
            <w:pPr>
              <w:tabs>
                <w:tab w:val="left" w:pos="426"/>
              </w:tabs>
              <w:jc w:val="both"/>
            </w:pPr>
          </w:p>
          <w:p w14:paraId="28EDAB4D" w14:textId="4E4B59B3" w:rsidR="00236AB5" w:rsidRPr="008819AF" w:rsidRDefault="00236AB5" w:rsidP="00236AB5">
            <w:pPr>
              <w:tabs>
                <w:tab w:val="left" w:pos="426"/>
              </w:tabs>
              <w:jc w:val="both"/>
            </w:pPr>
            <w:r w:rsidRPr="008819AF">
              <w:rPr>
                <w:rFonts w:eastAsiaTheme="minorEastAsia"/>
              </w:rPr>
              <w:t>1. Smernica Európskeho parlamentu a Rady 2010/75/EÚ z 24. novembra 2010 o priemyselných emisiách (integrovaná prevencia a kontrola znečisťovania životného prostredia) (prepracované znenie) (Ú. v. EÚ L 334, 17.12.2010).</w:t>
            </w:r>
          </w:p>
          <w:p w14:paraId="0ADFBC5D" w14:textId="77777777" w:rsidR="008C05DE" w:rsidRPr="008819AF" w:rsidRDefault="008C05DE" w:rsidP="008C05DE">
            <w:pPr>
              <w:tabs>
                <w:tab w:val="left" w:pos="426"/>
              </w:tabs>
              <w:jc w:val="both"/>
            </w:pPr>
          </w:p>
          <w:p w14:paraId="4449EB11" w14:textId="77777777" w:rsidR="008C05DE" w:rsidRPr="008819AF" w:rsidRDefault="008C05DE" w:rsidP="008C05DE">
            <w:pPr>
              <w:tabs>
                <w:tab w:val="left" w:pos="426"/>
              </w:tabs>
              <w:jc w:val="both"/>
            </w:pPr>
            <w:r w:rsidRPr="008819AF">
              <w:rPr>
                <w:rFonts w:eastAsiaTheme="minorEastAsia"/>
              </w:rPr>
              <w:t>1. Smernica Európskeho parlamentu a Rady 2010/75/EÚ z 24. novembra 2010 o priemyselných emisiách (integrovaná prevencia a kontrola znečisťovania životného prostredia) (prepracované znenie) (Ú. v. EÚ L 334, 17.12.2010).</w:t>
            </w:r>
          </w:p>
          <w:p w14:paraId="62CBB641" w14:textId="77777777" w:rsidR="008C05DE" w:rsidRPr="008819AF" w:rsidRDefault="008C05DE" w:rsidP="008C05DE">
            <w:pPr>
              <w:tabs>
                <w:tab w:val="left" w:pos="426"/>
              </w:tabs>
              <w:jc w:val="both"/>
              <w:rPr>
                <w:rFonts w:eastAsia="a*i*l"/>
              </w:rPr>
            </w:pPr>
          </w:p>
          <w:p w14:paraId="28490C2C" w14:textId="77777777" w:rsidR="008C05DE" w:rsidRPr="008819AF" w:rsidRDefault="008C05DE" w:rsidP="008C05DE">
            <w:pPr>
              <w:tabs>
                <w:tab w:val="left" w:pos="426"/>
              </w:tabs>
              <w:jc w:val="both"/>
            </w:pPr>
          </w:p>
          <w:p w14:paraId="1513310C" w14:textId="3D23A719" w:rsidR="008C05DE" w:rsidRPr="008819AF" w:rsidRDefault="008C05DE" w:rsidP="008C05DE">
            <w:pPr>
              <w:tabs>
                <w:tab w:val="left" w:pos="426"/>
              </w:tabs>
              <w:jc w:val="both"/>
              <w:rPr>
                <w:rFonts w:eastAsia="a*i*l"/>
              </w:rPr>
            </w:pPr>
            <w:r w:rsidRPr="008819AF">
              <w:rPr>
                <w:rFonts w:eastAsiaTheme="minorEastAsia"/>
              </w:rPr>
              <w:t>5</w:t>
            </w:r>
            <w:r w:rsidRPr="008819AF">
              <w:rPr>
                <w:rFonts w:eastAsiaTheme="minorEastAsia"/>
              </w:rPr>
              <w:t>. Smernica Európskeho parlamentu a Rady 2010/75/EÚ z 24. novembra 2010 o priemyselných emisiách (integrovaná prevencia a kontrola znečisťovania životného prostredia) (prepracované znenie) (Ú. v. EÚ L 334, 17.12.2010).</w:t>
            </w:r>
          </w:p>
        </w:tc>
        <w:tc>
          <w:tcPr>
            <w:tcW w:w="429" w:type="dxa"/>
            <w:tcBorders>
              <w:top w:val="single" w:sz="4" w:space="0" w:color="000000"/>
              <w:left w:val="single" w:sz="6" w:space="0" w:color="000000"/>
              <w:bottom w:val="single" w:sz="6" w:space="0" w:color="000000"/>
              <w:right w:val="single" w:sz="6" w:space="0" w:color="000000"/>
            </w:tcBorders>
          </w:tcPr>
          <w:p w14:paraId="1513310D" w14:textId="77777777" w:rsidR="00236AB5" w:rsidRPr="008819AF" w:rsidRDefault="00236AB5" w:rsidP="00236AB5">
            <w:pPr>
              <w:ind w:left="215" w:hanging="215"/>
              <w:rPr>
                <w:rFonts w:eastAsia="Arial"/>
                <w:lang w:bidi="cs-CZ"/>
              </w:rPr>
            </w:pPr>
          </w:p>
          <w:p w14:paraId="1513310E" w14:textId="77777777" w:rsidR="00236AB5" w:rsidRPr="008819AF" w:rsidRDefault="00236AB5" w:rsidP="00236AB5">
            <w:pPr>
              <w:ind w:left="215" w:hanging="215"/>
              <w:rPr>
                <w:rFonts w:eastAsia="Arial"/>
                <w:lang w:bidi="cs-CZ"/>
              </w:rPr>
            </w:pPr>
          </w:p>
          <w:p w14:paraId="1513310F" w14:textId="77777777" w:rsidR="00236AB5" w:rsidRPr="008819AF" w:rsidRDefault="00236AB5" w:rsidP="00236AB5">
            <w:pPr>
              <w:ind w:left="215" w:hanging="215"/>
              <w:rPr>
                <w:rFonts w:eastAsia="Arial"/>
                <w:lang w:bidi="cs-CZ"/>
              </w:rPr>
            </w:pPr>
          </w:p>
          <w:p w14:paraId="15133110" w14:textId="77777777" w:rsidR="00236AB5" w:rsidRPr="008819AF" w:rsidRDefault="00236AB5" w:rsidP="00236AB5">
            <w:pPr>
              <w:ind w:left="215" w:hanging="215"/>
              <w:rPr>
                <w:rFonts w:eastAsia="Arial"/>
                <w:lang w:bidi="cs-CZ"/>
              </w:rPr>
            </w:pPr>
          </w:p>
          <w:p w14:paraId="15133111" w14:textId="77777777" w:rsidR="00236AB5" w:rsidRPr="008819AF" w:rsidRDefault="00236AB5" w:rsidP="00236AB5">
            <w:pPr>
              <w:ind w:left="215" w:hanging="215"/>
              <w:rPr>
                <w:rFonts w:eastAsia="Arial"/>
                <w:lang w:bidi="cs-CZ"/>
              </w:rPr>
            </w:pPr>
          </w:p>
          <w:p w14:paraId="15133112" w14:textId="77777777" w:rsidR="00236AB5" w:rsidRPr="008819AF" w:rsidRDefault="00236AB5" w:rsidP="00236AB5">
            <w:pPr>
              <w:ind w:left="215" w:hanging="215"/>
              <w:rPr>
                <w:rFonts w:eastAsia="Arial"/>
                <w:lang w:bidi="cs-CZ"/>
              </w:rPr>
            </w:pPr>
          </w:p>
          <w:p w14:paraId="15133113" w14:textId="77777777" w:rsidR="00236AB5" w:rsidRPr="008819AF" w:rsidRDefault="00236AB5" w:rsidP="00236AB5">
            <w:pPr>
              <w:ind w:left="215" w:hanging="215"/>
              <w:rPr>
                <w:rFonts w:eastAsia="Arial"/>
                <w:lang w:bidi="cs-CZ"/>
              </w:rPr>
            </w:pPr>
          </w:p>
          <w:p w14:paraId="15133114" w14:textId="77777777" w:rsidR="00236AB5" w:rsidRPr="008819AF" w:rsidRDefault="00236AB5" w:rsidP="00236AB5">
            <w:pPr>
              <w:ind w:left="215" w:hanging="215"/>
              <w:rPr>
                <w:rFonts w:eastAsia="Arial"/>
                <w:lang w:bidi="cs-CZ"/>
              </w:rPr>
            </w:pPr>
          </w:p>
          <w:p w14:paraId="15133115" w14:textId="77777777" w:rsidR="00236AB5" w:rsidRPr="008819AF" w:rsidRDefault="00236AB5" w:rsidP="00236AB5">
            <w:pPr>
              <w:ind w:left="215" w:hanging="215"/>
              <w:rPr>
                <w:rFonts w:eastAsia="Arial"/>
                <w:lang w:bidi="cs-CZ"/>
              </w:rPr>
            </w:pPr>
          </w:p>
          <w:p w14:paraId="15133116" w14:textId="77777777" w:rsidR="00236AB5" w:rsidRPr="008819AF" w:rsidRDefault="00236AB5" w:rsidP="00236AB5">
            <w:pPr>
              <w:ind w:left="215" w:hanging="215"/>
              <w:rPr>
                <w:rFonts w:eastAsia="Arial"/>
                <w:lang w:bidi="cs-CZ"/>
              </w:rPr>
            </w:pPr>
          </w:p>
          <w:p w14:paraId="15133117" w14:textId="77777777" w:rsidR="00236AB5" w:rsidRPr="008819AF" w:rsidRDefault="00236AB5" w:rsidP="00236AB5">
            <w:pPr>
              <w:ind w:left="215" w:hanging="215"/>
              <w:rPr>
                <w:rFonts w:eastAsia="Arial"/>
                <w:lang w:bidi="cs-CZ"/>
              </w:rPr>
            </w:pPr>
          </w:p>
          <w:p w14:paraId="15133118" w14:textId="77777777" w:rsidR="00236AB5" w:rsidRPr="008819AF" w:rsidRDefault="00236AB5" w:rsidP="00236AB5">
            <w:pPr>
              <w:ind w:left="215" w:hanging="215"/>
              <w:rPr>
                <w:rFonts w:eastAsia="Arial"/>
                <w:lang w:bidi="cs-CZ"/>
              </w:rPr>
            </w:pPr>
          </w:p>
          <w:p w14:paraId="15133119" w14:textId="77777777" w:rsidR="00236AB5" w:rsidRPr="008819AF" w:rsidRDefault="00236AB5" w:rsidP="00236AB5">
            <w:pPr>
              <w:ind w:left="215" w:hanging="215"/>
              <w:rPr>
                <w:rFonts w:eastAsia="Arial"/>
                <w:lang w:bidi="cs-CZ"/>
              </w:rPr>
            </w:pPr>
          </w:p>
          <w:p w14:paraId="1513311A" w14:textId="77777777" w:rsidR="00236AB5" w:rsidRPr="008819AF" w:rsidRDefault="00236AB5" w:rsidP="00236AB5">
            <w:pPr>
              <w:ind w:left="215" w:hanging="215"/>
              <w:rPr>
                <w:rFonts w:eastAsia="Arial"/>
                <w:lang w:bidi="cs-CZ"/>
              </w:rPr>
            </w:pPr>
          </w:p>
          <w:p w14:paraId="1513311B" w14:textId="77777777" w:rsidR="00236AB5" w:rsidRPr="008819AF" w:rsidRDefault="00236AB5" w:rsidP="00236AB5">
            <w:pPr>
              <w:ind w:left="215" w:hanging="215"/>
              <w:rPr>
                <w:rFonts w:eastAsia="Arial"/>
                <w:lang w:bidi="cs-CZ"/>
              </w:rPr>
            </w:pPr>
          </w:p>
          <w:p w14:paraId="1513311C" w14:textId="77777777" w:rsidR="00236AB5" w:rsidRPr="008819AF" w:rsidRDefault="00236AB5" w:rsidP="00236AB5">
            <w:pPr>
              <w:ind w:left="215" w:hanging="215"/>
              <w:rPr>
                <w:rFonts w:eastAsia="Arial"/>
                <w:lang w:bidi="cs-CZ"/>
              </w:rPr>
            </w:pPr>
          </w:p>
          <w:p w14:paraId="1513311D" w14:textId="77777777" w:rsidR="00236AB5" w:rsidRPr="008819AF" w:rsidRDefault="00236AB5" w:rsidP="00236AB5">
            <w:pPr>
              <w:ind w:left="215" w:hanging="215"/>
              <w:rPr>
                <w:rFonts w:eastAsia="Arial"/>
                <w:lang w:bidi="cs-CZ"/>
              </w:rPr>
            </w:pPr>
          </w:p>
          <w:p w14:paraId="1513311E" w14:textId="77777777" w:rsidR="00236AB5" w:rsidRPr="008819AF" w:rsidRDefault="00236AB5" w:rsidP="00236AB5">
            <w:pPr>
              <w:ind w:left="215" w:hanging="215"/>
              <w:rPr>
                <w:rFonts w:eastAsia="Arial"/>
                <w:lang w:bidi="cs-CZ"/>
              </w:rPr>
            </w:pPr>
          </w:p>
          <w:p w14:paraId="1513311F" w14:textId="77777777" w:rsidR="00236AB5" w:rsidRPr="008819AF" w:rsidRDefault="00236AB5" w:rsidP="00236AB5">
            <w:pPr>
              <w:ind w:left="215" w:hanging="215"/>
              <w:rPr>
                <w:rFonts w:eastAsia="Arial"/>
                <w:lang w:bidi="cs-CZ"/>
              </w:rPr>
            </w:pPr>
          </w:p>
          <w:p w14:paraId="15133120" w14:textId="77777777" w:rsidR="00236AB5" w:rsidRPr="008819AF" w:rsidRDefault="00236AB5" w:rsidP="00236AB5">
            <w:pPr>
              <w:ind w:left="215" w:hanging="215"/>
              <w:rPr>
                <w:rFonts w:eastAsia="Arial"/>
                <w:lang w:bidi="cs-CZ"/>
              </w:rPr>
            </w:pPr>
          </w:p>
          <w:p w14:paraId="15133121" w14:textId="77777777" w:rsidR="00236AB5" w:rsidRPr="008819AF" w:rsidRDefault="00236AB5" w:rsidP="00236AB5">
            <w:pPr>
              <w:ind w:left="215" w:hanging="215"/>
              <w:rPr>
                <w:rFonts w:eastAsia="Arial"/>
                <w:lang w:bidi="cs-CZ"/>
              </w:rPr>
            </w:pPr>
          </w:p>
          <w:p w14:paraId="15133122" w14:textId="77777777" w:rsidR="00236AB5" w:rsidRPr="008819AF" w:rsidRDefault="00236AB5" w:rsidP="00236AB5">
            <w:pPr>
              <w:ind w:left="215" w:hanging="215"/>
              <w:rPr>
                <w:rFonts w:eastAsia="Arial"/>
                <w:lang w:bidi="cs-CZ"/>
              </w:rPr>
            </w:pPr>
            <w:r w:rsidRPr="008819AF">
              <w:rPr>
                <w:rFonts w:eastAsia="Arial"/>
                <w:lang w:bidi="cs-CZ"/>
              </w:rPr>
              <w:t>Ú</w:t>
            </w:r>
          </w:p>
          <w:p w14:paraId="15133123" w14:textId="77777777" w:rsidR="00236AB5" w:rsidRPr="008819AF" w:rsidRDefault="00236AB5" w:rsidP="00236AB5">
            <w:pPr>
              <w:ind w:left="215" w:hanging="215"/>
              <w:rPr>
                <w:rFonts w:eastAsia="Arial"/>
                <w:lang w:bidi="cs-CZ"/>
              </w:rPr>
            </w:pPr>
          </w:p>
          <w:p w14:paraId="15133124" w14:textId="77777777" w:rsidR="00236AB5" w:rsidRPr="008819AF" w:rsidRDefault="00236AB5" w:rsidP="00236AB5">
            <w:pPr>
              <w:ind w:left="215" w:hanging="215"/>
              <w:rPr>
                <w:rFonts w:eastAsia="Arial"/>
                <w:lang w:bidi="cs-CZ"/>
              </w:rPr>
            </w:pPr>
          </w:p>
          <w:p w14:paraId="15133125"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126" w14:textId="77777777" w:rsidR="00236AB5" w:rsidRPr="008819AF" w:rsidRDefault="00236AB5" w:rsidP="00236AB5">
            <w:pPr>
              <w:ind w:left="215" w:hanging="215"/>
              <w:rPr>
                <w:rFonts w:eastAsia="Arial"/>
              </w:rPr>
            </w:pPr>
          </w:p>
        </w:tc>
      </w:tr>
      <w:tr w:rsidR="00236AB5" w:rsidRPr="008819AF" w14:paraId="557B9802"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2D56C0A0" w14:textId="24B87E6E"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7428972F" w14:textId="292E61D4" w:rsidR="00236AB5" w:rsidRPr="008819AF" w:rsidRDefault="00236AB5" w:rsidP="00236AB5">
            <w:pPr>
              <w:ind w:left="215" w:hanging="215"/>
              <w:rPr>
                <w:rFonts w:eastAsia="Arial"/>
              </w:rPr>
            </w:pPr>
            <w:r w:rsidRPr="008819AF">
              <w:rPr>
                <w:rFonts w:eastAsia="Arial"/>
              </w:rPr>
              <w:t>2. Členské štáty oznámia Komisii znenie hlavných ustanovení vnútroštátnych právnych predpisov, ktoré prijmú v oblasti pôsobnosti tejto smernice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543CD6D7" w14:textId="7437880D"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3D0ADE2E" w14:textId="4F70B078" w:rsidR="00236AB5" w:rsidRPr="008819AF" w:rsidRDefault="00236AB5" w:rsidP="00236AB5">
            <w:pPr>
              <w:ind w:left="215" w:hanging="215"/>
              <w:jc w:val="center"/>
              <w:rPr>
                <w:rFonts w:eastAsia="Arial"/>
                <w:lang w:bidi="cs-CZ"/>
              </w:rPr>
            </w:pPr>
            <w:r w:rsidRPr="008819AF">
              <w:t>Z575</w:t>
            </w:r>
          </w:p>
        </w:tc>
        <w:tc>
          <w:tcPr>
            <w:tcW w:w="543" w:type="dxa"/>
            <w:tcBorders>
              <w:top w:val="single" w:sz="4" w:space="0" w:color="000000"/>
              <w:left w:val="single" w:sz="6" w:space="0" w:color="000000"/>
              <w:bottom w:val="single" w:sz="6" w:space="0" w:color="000000"/>
              <w:right w:val="single" w:sz="6" w:space="0" w:color="000000"/>
            </w:tcBorders>
          </w:tcPr>
          <w:p w14:paraId="312ECEF3" w14:textId="77777777" w:rsidR="00236AB5" w:rsidRPr="008819AF" w:rsidRDefault="00236AB5" w:rsidP="00236AB5">
            <w:r w:rsidRPr="008819AF">
              <w:t>§35</w:t>
            </w:r>
          </w:p>
          <w:p w14:paraId="64FA7003" w14:textId="6BC61492" w:rsidR="00236AB5" w:rsidRPr="008819AF" w:rsidRDefault="00236AB5" w:rsidP="00236AB5">
            <w:pPr>
              <w:pStyle w:val="BodyText21"/>
              <w:jc w:val="center"/>
              <w:rPr>
                <w:rFonts w:ascii="Times New Roman" w:hAnsi="Times New Roman" w:cs="Times New Roman"/>
              </w:rPr>
            </w:pPr>
            <w:r w:rsidRPr="008819AF">
              <w:t>O7</w:t>
            </w:r>
          </w:p>
        </w:tc>
        <w:tc>
          <w:tcPr>
            <w:tcW w:w="5664" w:type="dxa"/>
            <w:gridSpan w:val="5"/>
            <w:tcBorders>
              <w:top w:val="single" w:sz="4" w:space="0" w:color="000000"/>
              <w:left w:val="single" w:sz="6" w:space="0" w:color="000000"/>
              <w:bottom w:val="single" w:sz="6" w:space="0" w:color="000000"/>
              <w:right w:val="single" w:sz="6" w:space="0" w:color="000000"/>
            </w:tcBorders>
          </w:tcPr>
          <w:p w14:paraId="29100C24" w14:textId="77777777" w:rsidR="00236AB5" w:rsidRPr="008819AF" w:rsidRDefault="00236AB5" w:rsidP="00236AB5">
            <w:pPr>
              <w:spacing w:after="120"/>
              <w:jc w:val="both"/>
              <w:rPr>
                <w:bCs/>
              </w:rPr>
            </w:pPr>
            <w:r w:rsidRPr="008819AF">
              <w:rPr>
                <w:bCs/>
              </w:rPr>
              <w:t>Úlohy ministerstiev a ostatných ústredných orgánov štátnej správy</w:t>
            </w:r>
          </w:p>
          <w:p w14:paraId="67AE9884" w14:textId="77777777" w:rsidR="00236AB5" w:rsidRPr="008819AF" w:rsidRDefault="00236AB5" w:rsidP="00236AB5">
            <w:pPr>
              <w:spacing w:after="120"/>
              <w:jc w:val="both"/>
              <w:rPr>
                <w:bCs/>
              </w:rPr>
            </w:pPr>
            <w:r w:rsidRPr="008819AF">
              <w:rPr>
                <w:bCs/>
              </w:rPr>
              <w:t>§ 35</w:t>
            </w:r>
          </w:p>
          <w:p w14:paraId="76A8131B" w14:textId="301DFF2F" w:rsidR="00236AB5" w:rsidRPr="008819AF" w:rsidRDefault="00236AB5" w:rsidP="00236AB5">
            <w:pPr>
              <w:pStyle w:val="Nadpis6"/>
              <w:jc w:val="left"/>
              <w:rPr>
                <w:rFonts w:ascii="Times New Roman" w:hAnsi="Times New Roman" w:cs="Times New Roman"/>
                <w:b w:val="0"/>
                <w:bCs w:val="0"/>
                <w:sz w:val="20"/>
                <w:szCs w:val="20"/>
              </w:rPr>
            </w:pPr>
            <w:r w:rsidRPr="008819AF">
              <w:rPr>
                <w:rFonts w:ascii="Times New Roman" w:hAnsi="Times New Roman" w:cs="Times New Roman"/>
                <w:b w:val="0"/>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9" w:type="dxa"/>
            <w:tcBorders>
              <w:top w:val="single" w:sz="4" w:space="0" w:color="000000"/>
              <w:left w:val="single" w:sz="6" w:space="0" w:color="000000"/>
              <w:bottom w:val="single" w:sz="6" w:space="0" w:color="000000"/>
              <w:right w:val="single" w:sz="6" w:space="0" w:color="000000"/>
            </w:tcBorders>
          </w:tcPr>
          <w:p w14:paraId="28F1E1DB"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62724986" w14:textId="788BC2AE" w:rsidR="00236AB5" w:rsidRPr="008819AF" w:rsidRDefault="00236AB5" w:rsidP="00236AB5">
            <w:pPr>
              <w:ind w:left="215" w:hanging="215"/>
              <w:rPr>
                <w:rFonts w:eastAsia="Arial"/>
              </w:rPr>
            </w:pPr>
          </w:p>
        </w:tc>
      </w:tr>
      <w:tr w:rsidR="00236AB5" w:rsidRPr="008819AF" w14:paraId="15133134"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128" w14:textId="77777777" w:rsidR="00236AB5" w:rsidRPr="008819AF" w:rsidRDefault="00236AB5" w:rsidP="00236AB5">
            <w:pPr>
              <w:ind w:right="-70"/>
              <w:rPr>
                <w:rFonts w:eastAsia="Arial"/>
                <w:lang w:bidi="cs-CZ"/>
              </w:rPr>
            </w:pPr>
            <w:r w:rsidRPr="008819AF">
              <w:rPr>
                <w:rFonts w:eastAsia="Arial"/>
                <w:lang w:bidi="cs-CZ"/>
              </w:rPr>
              <w:lastRenderedPageBreak/>
              <w:t>Č:81</w:t>
            </w:r>
          </w:p>
        </w:tc>
        <w:tc>
          <w:tcPr>
            <w:tcW w:w="6227" w:type="dxa"/>
            <w:gridSpan w:val="2"/>
            <w:tcBorders>
              <w:top w:val="single" w:sz="4" w:space="0" w:color="000000"/>
              <w:left w:val="single" w:sz="6" w:space="0" w:color="000000"/>
              <w:bottom w:val="single" w:sz="6" w:space="0" w:color="000000"/>
              <w:right w:val="single" w:sz="6" w:space="0" w:color="000000"/>
            </w:tcBorders>
          </w:tcPr>
          <w:p w14:paraId="15133129" w14:textId="77777777" w:rsidR="00236AB5" w:rsidRPr="008819AF" w:rsidRDefault="00236AB5" w:rsidP="00236AB5">
            <w:pPr>
              <w:ind w:left="215" w:hanging="215"/>
              <w:rPr>
                <w:rFonts w:eastAsia="Arial"/>
              </w:rPr>
            </w:pPr>
            <w:r w:rsidRPr="008819AF">
              <w:rPr>
                <w:rFonts w:eastAsia="Arial"/>
              </w:rPr>
              <w:t>Článok 81</w:t>
            </w:r>
          </w:p>
          <w:p w14:paraId="1513312A" w14:textId="77777777" w:rsidR="00236AB5" w:rsidRPr="008819AF" w:rsidRDefault="00236AB5" w:rsidP="00236AB5">
            <w:pPr>
              <w:ind w:left="215" w:hanging="215"/>
              <w:rPr>
                <w:rFonts w:eastAsia="Arial"/>
              </w:rPr>
            </w:pPr>
            <w:r w:rsidRPr="008819AF">
              <w:rPr>
                <w:rFonts w:eastAsia="Arial"/>
              </w:rPr>
              <w:t>Zrušovacie ustanovenia</w:t>
            </w:r>
          </w:p>
          <w:p w14:paraId="1513312B" w14:textId="77777777" w:rsidR="00236AB5" w:rsidRPr="008819AF" w:rsidRDefault="00236AB5" w:rsidP="00236AB5">
            <w:pPr>
              <w:ind w:left="215" w:hanging="215"/>
              <w:rPr>
                <w:rFonts w:eastAsia="Arial"/>
              </w:rPr>
            </w:pPr>
            <w:r w:rsidRPr="008819AF">
              <w:rPr>
                <w:rFonts w:eastAsia="Arial"/>
              </w:rPr>
              <w:t>1. Smernice 78/176/EHS, 82/883/EHS, 92/112/EHS, 1999/13/ES, 2000/76/ES a 2008/1/ES, zmenené a doplnené aktmi uvedenými v prílohe IX časť A, sa zrušujú s účinnosťou od7. januára 2014 bez toho, aby tým boli dotknuté povinnosti členských štátov týkajúce sa lehôt na transpozíciu do vnútroštátneho práva a uplatňovanie smerníc, ktoré sú uvedené v prílohe IX časť B.</w:t>
            </w:r>
          </w:p>
          <w:p w14:paraId="1513312C" w14:textId="77777777" w:rsidR="00236AB5" w:rsidRPr="008819AF" w:rsidRDefault="00236AB5" w:rsidP="00236AB5">
            <w:pPr>
              <w:ind w:left="215" w:hanging="215"/>
              <w:rPr>
                <w:rFonts w:eastAsia="Arial"/>
              </w:rPr>
            </w:pPr>
            <w:r w:rsidRPr="008819AF">
              <w:rPr>
                <w:rFonts w:eastAsia="Arial"/>
              </w:rPr>
              <w:t>2. Smernica 2001/80/ES, zmenená a doplnená aktmi uvedenými v prílohe IX časť A, sa zrušuje s účinnosťou od 1. januára 2016 bez toho, aby tým boli dotknuté povinnosti členských štátov týkajúce sa lehôt na transpozíciu do vnútroštátneho práva a uplatňovanie smerníc, ktoré sú uvedené v prílohe IX časť B.3.</w:t>
            </w:r>
          </w:p>
          <w:p w14:paraId="1513312D" w14:textId="77777777" w:rsidR="00236AB5" w:rsidRPr="008819AF" w:rsidRDefault="00236AB5" w:rsidP="00236AB5">
            <w:pPr>
              <w:ind w:left="215" w:hanging="215"/>
              <w:rPr>
                <w:rFonts w:eastAsia="Arial"/>
              </w:rPr>
            </w:pPr>
            <w:r w:rsidRPr="008819AF">
              <w:rPr>
                <w:rFonts w:eastAsia="Arial"/>
              </w:rPr>
              <w:t>Odkazy na zrušené smernice sa považujú za odkazy na túto smernicu a znejú v súlade s tabuľkou zhody uvedenou v prílohe X.</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12E" w14:textId="77777777" w:rsidR="00236AB5" w:rsidRPr="008819AF" w:rsidRDefault="00236AB5" w:rsidP="00236AB5">
            <w:pPr>
              <w:ind w:left="215" w:hanging="215"/>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6" w:space="0" w:color="000000"/>
              <w:right w:val="single" w:sz="6" w:space="0" w:color="000000"/>
            </w:tcBorders>
          </w:tcPr>
          <w:p w14:paraId="1513312F"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130" w14:textId="77777777" w:rsidR="00236AB5" w:rsidRPr="008819AF" w:rsidRDefault="00236AB5" w:rsidP="00236AB5">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131"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132"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133" w14:textId="77777777" w:rsidR="00236AB5" w:rsidRPr="008819AF" w:rsidRDefault="00236AB5" w:rsidP="00236AB5">
            <w:pPr>
              <w:ind w:left="215" w:hanging="215"/>
              <w:rPr>
                <w:rFonts w:eastAsia="Arial"/>
              </w:rPr>
            </w:pPr>
          </w:p>
        </w:tc>
      </w:tr>
      <w:tr w:rsidR="00236AB5" w:rsidRPr="008819AF" w14:paraId="1513320C" w14:textId="77777777" w:rsidTr="003E351D">
        <w:trPr>
          <w:trHeight w:val="850"/>
          <w:jc w:val="center"/>
        </w:trPr>
        <w:tc>
          <w:tcPr>
            <w:tcW w:w="483" w:type="dxa"/>
            <w:vMerge w:val="restart"/>
            <w:tcBorders>
              <w:top w:val="single" w:sz="4" w:space="0" w:color="000000"/>
              <w:left w:val="single" w:sz="6" w:space="0" w:color="000000"/>
              <w:bottom w:val="single" w:sz="6" w:space="0" w:color="000000"/>
              <w:right w:val="single" w:sz="6" w:space="0" w:color="000000"/>
            </w:tcBorders>
          </w:tcPr>
          <w:p w14:paraId="15133135" w14:textId="77777777" w:rsidR="00236AB5" w:rsidRPr="008819AF" w:rsidRDefault="00236AB5" w:rsidP="00236AB5">
            <w:pPr>
              <w:ind w:right="-70"/>
              <w:rPr>
                <w:rFonts w:eastAsia="Arial"/>
                <w:lang w:bidi="cs-CZ"/>
              </w:rPr>
            </w:pPr>
            <w:r w:rsidRPr="008819AF">
              <w:rPr>
                <w:rFonts w:eastAsia="Arial"/>
                <w:lang w:bidi="cs-CZ"/>
              </w:rPr>
              <w:t>Č:82</w:t>
            </w:r>
          </w:p>
        </w:tc>
        <w:tc>
          <w:tcPr>
            <w:tcW w:w="6227" w:type="dxa"/>
            <w:gridSpan w:val="2"/>
            <w:tcBorders>
              <w:top w:val="single" w:sz="4" w:space="0" w:color="000000"/>
              <w:left w:val="single" w:sz="6" w:space="0" w:color="000000"/>
              <w:bottom w:val="single" w:sz="6" w:space="0" w:color="000000"/>
              <w:right w:val="single" w:sz="6" w:space="0" w:color="000000"/>
            </w:tcBorders>
          </w:tcPr>
          <w:p w14:paraId="15133136" w14:textId="77777777" w:rsidR="00236AB5" w:rsidRPr="008819AF" w:rsidRDefault="00236AB5" w:rsidP="00236AB5">
            <w:pPr>
              <w:ind w:left="215" w:hanging="215"/>
              <w:rPr>
                <w:rFonts w:eastAsia="Arial"/>
              </w:rPr>
            </w:pPr>
            <w:r w:rsidRPr="008819AF">
              <w:rPr>
                <w:rFonts w:eastAsia="Arial"/>
              </w:rPr>
              <w:t>Článok 82</w:t>
            </w:r>
          </w:p>
          <w:p w14:paraId="15133137" w14:textId="77777777" w:rsidR="00236AB5" w:rsidRPr="008819AF" w:rsidRDefault="00236AB5" w:rsidP="00236AB5">
            <w:pPr>
              <w:ind w:left="215" w:hanging="215"/>
              <w:rPr>
                <w:rFonts w:eastAsia="Arial"/>
              </w:rPr>
            </w:pPr>
            <w:r w:rsidRPr="008819AF">
              <w:rPr>
                <w:rFonts w:eastAsia="Arial"/>
              </w:rPr>
              <w:t>Prechodné ustanovenia</w:t>
            </w:r>
          </w:p>
          <w:p w14:paraId="15133138" w14:textId="77777777" w:rsidR="00236AB5" w:rsidRPr="008819AF" w:rsidRDefault="00236AB5" w:rsidP="00236AB5">
            <w:pPr>
              <w:ind w:left="215" w:hanging="215"/>
              <w:rPr>
                <w:rFonts w:eastAsia="Arial"/>
              </w:rPr>
            </w:pPr>
            <w:r w:rsidRPr="008819AF">
              <w:rPr>
                <w:rFonts w:eastAsia="Arial"/>
              </w:rPr>
              <w:t>1. V prípade zariadení vykonávajúcich činnosti uvedené v prílohe I, bod 1.1 pre činnosti s celkovým menovitým tepelným príkonom presahujúcim 50 MW, body 1.2 a 1.3, bod 1.4 písm. a), body 2.1 až 2.6, body 3.1 až 3.5, body 4.1 až 4.6 pre činnosti týkajúce sa výroby chemickým spracovaním, body 5.1 a 5.2 pre činnosti, na ktoré sa vzťahuje smernica 2008/1/ES, bod 5.3 písm. a) body i) a ii), bod 5.4, bod 6.1 písm. a) a b), body 6.2 a 6.3, bod 6.4 písm. a), bod 6.4 písm. b) pre činnosti, na ktoré sa vzťahuje smernica 2008/1/ES, bod 6.4 písm. c) a body 6.5 až 6.9, ktoré sú v prevádzke a majú povolenie pred 7. januárom 2013, alebo prevádzkovatelia ktorých predložili úplnú žiadosť o povolenie pred uvedeným dátumom, pokiaľ boli dané zariadenia uvedené do prevádzkovaní najneskôr do 7. januára 2014, členské štáty uplatňujú zákony, iné právne predpisy a správne opatrenia prijaté v súlade s článkom 80 ods. 1 od 7. januára 2014 s výnimkou kapitoly III a prílohy V.</w:t>
            </w:r>
          </w:p>
          <w:p w14:paraId="15133139" w14:textId="77777777" w:rsidR="00236AB5" w:rsidRPr="008819AF" w:rsidRDefault="00236AB5" w:rsidP="00236AB5">
            <w:pPr>
              <w:ind w:left="215" w:hanging="215"/>
              <w:rPr>
                <w:rFonts w:eastAsia="Arial"/>
              </w:rPr>
            </w:pPr>
          </w:p>
          <w:p w14:paraId="1513313A" w14:textId="77777777" w:rsidR="00236AB5" w:rsidRPr="008819AF" w:rsidRDefault="00236AB5" w:rsidP="00236AB5">
            <w:pPr>
              <w:ind w:left="215" w:hanging="215"/>
              <w:rPr>
                <w:rFonts w:eastAsia="Arial"/>
              </w:rPr>
            </w:pPr>
            <w:r w:rsidRPr="008819AF">
              <w:rPr>
                <w:rFonts w:eastAsia="Arial"/>
              </w:rPr>
              <w:t xml:space="preserve">2. V prípade zariadení vykonávajúcich činnosti uvedené v prílohe I, bod 1.1 pre činnosti s celkovým menovitým tepelným príkonom 50 MW, bod 1.4 písm. b), body 4.1 až 4.6 pre činnosti týkajúce sa výroby biologickým spracovaním, body 5.1 a 5.2 pre činnosti, na ktoré sa nevzťahuje smernica 2008/1/ES, bod 5.3 písm. a) body iii) až v), bod 5.3 písm. b), body 5.5 a 5.6, bod 6.1 písm. c), bod 6.4 písm. b) pre činnosti, na ktoré sa nevzťahuje smernica 2008/1/ES, a body 6.10 a 6.11, ktoré boli v </w:t>
            </w:r>
            <w:r w:rsidRPr="008819AF">
              <w:rPr>
                <w:rFonts w:eastAsia="Arial"/>
              </w:rPr>
              <w:lastRenderedPageBreak/>
              <w:t>prevádzke pred 7. januárom 2013, členské štáty uplatňujú zákony, iné právne predpisy a správne opatrenia prijaté v súlade s touto smernicou od 7. júla 2015 s výnimkou kapitol III a IV a príloh V a VI.</w:t>
            </w:r>
          </w:p>
          <w:p w14:paraId="1513313B" w14:textId="77777777" w:rsidR="00236AB5" w:rsidRPr="008819AF" w:rsidRDefault="00236AB5" w:rsidP="00236AB5">
            <w:pPr>
              <w:ind w:left="215" w:hanging="215"/>
              <w:rPr>
                <w:rFonts w:eastAsia="Arial"/>
              </w:rPr>
            </w:pPr>
          </w:p>
          <w:p w14:paraId="1513313C" w14:textId="77777777" w:rsidR="00236AB5" w:rsidRPr="008819AF" w:rsidRDefault="00236AB5" w:rsidP="00236AB5">
            <w:pPr>
              <w:ind w:left="215" w:hanging="215"/>
              <w:rPr>
                <w:rFonts w:eastAsia="Arial"/>
              </w:rPr>
            </w:pPr>
            <w:r w:rsidRPr="008819AF">
              <w:rPr>
                <w:rFonts w:eastAsia="Arial"/>
              </w:rPr>
              <w:t>3. V prípade spaľovacích zariadení uvedených v článku 30 ods. 2 uplatňujú členské štáty od 1. januára 2016 zákony, iné právne predpisy a správne opatrenia prijaté v súlade s článkom 80 ods. 1 na dodržanie kapitoly III a prílohy V.</w:t>
            </w:r>
          </w:p>
          <w:p w14:paraId="1513313D" w14:textId="77777777" w:rsidR="00236AB5" w:rsidRPr="008819AF" w:rsidRDefault="00236AB5" w:rsidP="00236AB5">
            <w:pPr>
              <w:ind w:left="215" w:hanging="215"/>
              <w:rPr>
                <w:rFonts w:eastAsia="Arial"/>
              </w:rPr>
            </w:pPr>
          </w:p>
          <w:p w14:paraId="1513313E" w14:textId="77777777" w:rsidR="00236AB5" w:rsidRPr="008819AF" w:rsidRDefault="00236AB5" w:rsidP="00236AB5">
            <w:pPr>
              <w:rPr>
                <w:rFonts w:eastAsia="Arial"/>
              </w:rPr>
            </w:pPr>
            <w:r w:rsidRPr="008819AF">
              <w:rPr>
                <w:rFonts w:eastAsia="Arial"/>
              </w:rPr>
              <w:t>4. Členské štáty v súvislosti so spaľovacími zariadeniami uvedenými v článku 30 ods. 3 už neuplatňujú smernicu 2001/80/ES od 7. januára 2013.</w:t>
            </w:r>
          </w:p>
          <w:p w14:paraId="1513313F" w14:textId="77777777" w:rsidR="00236AB5" w:rsidRPr="008819AF" w:rsidRDefault="00236AB5" w:rsidP="00236AB5">
            <w:pPr>
              <w:ind w:left="215" w:hanging="215"/>
              <w:rPr>
                <w:rFonts w:eastAsia="Arial"/>
              </w:rPr>
            </w:pPr>
          </w:p>
          <w:p w14:paraId="15133140" w14:textId="77777777" w:rsidR="00236AB5" w:rsidRPr="008819AF" w:rsidRDefault="00236AB5" w:rsidP="00236AB5">
            <w:pPr>
              <w:ind w:left="215" w:hanging="215"/>
              <w:rPr>
                <w:rFonts w:eastAsia="Arial"/>
              </w:rPr>
            </w:pPr>
            <w:r w:rsidRPr="008819AF">
              <w:rPr>
                <w:rFonts w:eastAsia="Arial"/>
              </w:rPr>
              <w:t>5. V prípade spaľovacích zariadení, ktoré spoluspaľujú odpad, sa uplatňuje príloha VI časť 4 bod 3.1 do:</w:t>
            </w:r>
          </w:p>
          <w:p w14:paraId="15133141" w14:textId="77777777" w:rsidR="00236AB5" w:rsidRPr="008819AF" w:rsidRDefault="00236AB5" w:rsidP="00236AB5">
            <w:pPr>
              <w:numPr>
                <w:ilvl w:val="0"/>
                <w:numId w:val="51"/>
              </w:numPr>
              <w:tabs>
                <w:tab w:val="left" w:pos="227"/>
              </w:tabs>
              <w:rPr>
                <w:rFonts w:eastAsia="Arial"/>
              </w:rPr>
            </w:pPr>
            <w:r w:rsidRPr="008819AF">
              <w:rPr>
                <w:rFonts w:eastAsia="Arial"/>
              </w:rPr>
              <w:t>31. decembra 2015 v prípade spaľovacích zariadení uvedených v článku 30 ods. 2;</w:t>
            </w:r>
          </w:p>
          <w:p w14:paraId="15133142" w14:textId="77777777" w:rsidR="00236AB5" w:rsidRPr="008819AF" w:rsidRDefault="00236AB5" w:rsidP="00236AB5">
            <w:pPr>
              <w:numPr>
                <w:ilvl w:val="0"/>
                <w:numId w:val="51"/>
              </w:numPr>
              <w:tabs>
                <w:tab w:val="left" w:pos="227"/>
              </w:tabs>
              <w:rPr>
                <w:rFonts w:eastAsia="Arial"/>
              </w:rPr>
            </w:pPr>
            <w:r w:rsidRPr="008819AF">
              <w:rPr>
                <w:rFonts w:eastAsia="Arial"/>
              </w:rPr>
              <w:t>6. januára 2013 v prípade spaľovacích zariadení uvedených v článku 30 ods. 3.</w:t>
            </w:r>
          </w:p>
          <w:p w14:paraId="15133143" w14:textId="77777777" w:rsidR="00236AB5" w:rsidRPr="008819AF" w:rsidRDefault="00236AB5" w:rsidP="00236AB5">
            <w:pPr>
              <w:rPr>
                <w:rFonts w:eastAsia="Arial"/>
              </w:rPr>
            </w:pPr>
          </w:p>
          <w:p w14:paraId="15133144" w14:textId="77777777" w:rsidR="00236AB5" w:rsidRPr="008819AF" w:rsidRDefault="00236AB5" w:rsidP="00236AB5">
            <w:pPr>
              <w:ind w:left="215" w:hanging="215"/>
              <w:rPr>
                <w:rFonts w:eastAsia="Arial"/>
              </w:rPr>
            </w:pPr>
            <w:r w:rsidRPr="008819AF">
              <w:rPr>
                <w:rFonts w:eastAsia="Arial"/>
              </w:rPr>
              <w:t>6. Na spaľovacie zariadenia, ktoré spoluspaľujú odpad, sa uplatňuje príloha VI časť 4 bod 3.2, a to od:</w:t>
            </w:r>
          </w:p>
          <w:p w14:paraId="15133145" w14:textId="77777777" w:rsidR="00236AB5" w:rsidRPr="008819AF" w:rsidRDefault="00236AB5" w:rsidP="00236AB5">
            <w:pPr>
              <w:numPr>
                <w:ilvl w:val="0"/>
                <w:numId w:val="52"/>
              </w:numPr>
              <w:tabs>
                <w:tab w:val="left" w:pos="227"/>
              </w:tabs>
              <w:rPr>
                <w:rFonts w:eastAsia="Arial"/>
              </w:rPr>
            </w:pPr>
            <w:r w:rsidRPr="008819AF">
              <w:rPr>
                <w:rFonts w:eastAsia="Arial"/>
              </w:rPr>
              <w:t>1. januára 2016 v prípade spaľovacích zariadení uvedených v článku 30 ods. 2;</w:t>
            </w:r>
          </w:p>
          <w:p w14:paraId="15133146" w14:textId="77777777" w:rsidR="00236AB5" w:rsidRPr="008819AF" w:rsidRDefault="00236AB5" w:rsidP="00236AB5">
            <w:pPr>
              <w:numPr>
                <w:ilvl w:val="0"/>
                <w:numId w:val="52"/>
              </w:numPr>
              <w:tabs>
                <w:tab w:val="left" w:pos="227"/>
              </w:tabs>
              <w:rPr>
                <w:rFonts w:eastAsia="Arial"/>
              </w:rPr>
            </w:pPr>
            <w:r w:rsidRPr="008819AF">
              <w:rPr>
                <w:rFonts w:eastAsia="Arial"/>
              </w:rPr>
              <w:t>7. januára 2013 v prípade spaľovacích zariadení uvedených v článku 30 ods. 3.</w:t>
            </w:r>
          </w:p>
          <w:p w14:paraId="15133147" w14:textId="77777777" w:rsidR="00236AB5" w:rsidRPr="008819AF" w:rsidRDefault="00236AB5" w:rsidP="00236AB5">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148" w14:textId="77777777" w:rsidR="00236AB5" w:rsidRPr="008819AF" w:rsidRDefault="00236AB5" w:rsidP="00236AB5">
            <w:pPr>
              <w:ind w:left="215" w:hanging="215"/>
              <w:jc w:val="center"/>
              <w:rPr>
                <w:rFonts w:eastAsia="Arial"/>
                <w:lang w:bidi="cs-CZ"/>
              </w:rPr>
            </w:pPr>
          </w:p>
          <w:p w14:paraId="15133149" w14:textId="77777777" w:rsidR="00236AB5" w:rsidRPr="008819AF" w:rsidRDefault="00236AB5" w:rsidP="00236AB5">
            <w:pPr>
              <w:ind w:left="215" w:hanging="215"/>
              <w:jc w:val="center"/>
              <w:rPr>
                <w:rFonts w:eastAsia="Arial"/>
                <w:lang w:bidi="cs-CZ"/>
              </w:rPr>
            </w:pPr>
          </w:p>
          <w:p w14:paraId="1513314A" w14:textId="77777777" w:rsidR="00236AB5" w:rsidRPr="008819AF" w:rsidRDefault="00236AB5" w:rsidP="00236AB5">
            <w:pPr>
              <w:ind w:left="215" w:hanging="215"/>
              <w:jc w:val="center"/>
              <w:rPr>
                <w:rFonts w:eastAsia="Arial"/>
                <w:lang w:bidi="cs-CZ"/>
              </w:rPr>
            </w:pPr>
          </w:p>
          <w:p w14:paraId="1513314B" w14:textId="77777777" w:rsidR="00236AB5" w:rsidRPr="008819AF" w:rsidRDefault="00236AB5" w:rsidP="00236AB5">
            <w:pPr>
              <w:ind w:left="215" w:hanging="215"/>
              <w:jc w:val="center"/>
              <w:rPr>
                <w:rFonts w:eastAsia="Arial"/>
                <w:lang w:bidi="cs-CZ"/>
              </w:rPr>
            </w:pPr>
          </w:p>
          <w:p w14:paraId="1513314C" w14:textId="77777777" w:rsidR="00236AB5" w:rsidRPr="008819AF" w:rsidRDefault="00236AB5" w:rsidP="00236AB5">
            <w:pPr>
              <w:ind w:left="215" w:hanging="215"/>
              <w:jc w:val="center"/>
              <w:rPr>
                <w:rFonts w:eastAsia="Arial"/>
                <w:lang w:bidi="cs-CZ"/>
              </w:rPr>
            </w:pPr>
          </w:p>
          <w:p w14:paraId="1513314D" w14:textId="77777777" w:rsidR="00236AB5" w:rsidRPr="008819AF" w:rsidRDefault="00236AB5" w:rsidP="00236AB5">
            <w:pPr>
              <w:ind w:left="215" w:hanging="215"/>
              <w:jc w:val="center"/>
              <w:rPr>
                <w:rFonts w:eastAsia="Arial"/>
                <w:lang w:bidi="cs-CZ"/>
              </w:rPr>
            </w:pPr>
          </w:p>
          <w:p w14:paraId="1513314E" w14:textId="77777777" w:rsidR="00236AB5" w:rsidRPr="008819AF" w:rsidRDefault="00236AB5" w:rsidP="00236AB5">
            <w:pPr>
              <w:ind w:left="215" w:hanging="215"/>
              <w:jc w:val="center"/>
              <w:rPr>
                <w:rFonts w:eastAsia="Arial"/>
                <w:lang w:bidi="cs-CZ"/>
              </w:rPr>
            </w:pPr>
          </w:p>
          <w:p w14:paraId="1513314F" w14:textId="77777777" w:rsidR="00236AB5" w:rsidRPr="008819AF" w:rsidRDefault="00236AB5" w:rsidP="00236AB5">
            <w:pPr>
              <w:ind w:left="215" w:hanging="215"/>
              <w:jc w:val="center"/>
              <w:rPr>
                <w:rFonts w:eastAsia="Arial"/>
                <w:lang w:bidi="cs-CZ"/>
              </w:rPr>
            </w:pPr>
          </w:p>
          <w:p w14:paraId="15133150" w14:textId="77777777" w:rsidR="00236AB5" w:rsidRPr="008819AF" w:rsidRDefault="00236AB5" w:rsidP="00236AB5">
            <w:pPr>
              <w:ind w:left="215" w:hanging="215"/>
              <w:jc w:val="center"/>
              <w:rPr>
                <w:rFonts w:eastAsia="Arial"/>
                <w:lang w:bidi="cs-CZ"/>
              </w:rPr>
            </w:pPr>
          </w:p>
          <w:p w14:paraId="15133151" w14:textId="77777777" w:rsidR="00236AB5" w:rsidRPr="008819AF" w:rsidRDefault="00236AB5" w:rsidP="00236AB5">
            <w:pPr>
              <w:ind w:left="215" w:hanging="215"/>
              <w:jc w:val="center"/>
              <w:rPr>
                <w:rFonts w:eastAsia="Arial"/>
                <w:lang w:bidi="cs-CZ"/>
              </w:rPr>
            </w:pPr>
          </w:p>
          <w:p w14:paraId="15133152" w14:textId="77777777" w:rsidR="00236AB5" w:rsidRPr="008819AF" w:rsidRDefault="00236AB5" w:rsidP="00236AB5">
            <w:pPr>
              <w:ind w:left="215" w:hanging="215"/>
              <w:jc w:val="center"/>
              <w:rPr>
                <w:rFonts w:eastAsia="Arial"/>
                <w:lang w:bidi="cs-CZ"/>
              </w:rPr>
            </w:pPr>
          </w:p>
          <w:p w14:paraId="15133153" w14:textId="77777777" w:rsidR="00236AB5" w:rsidRPr="008819AF" w:rsidRDefault="00236AB5" w:rsidP="00236AB5">
            <w:pPr>
              <w:ind w:left="215" w:hanging="215"/>
              <w:jc w:val="center"/>
              <w:rPr>
                <w:rFonts w:eastAsia="Arial"/>
                <w:lang w:bidi="cs-CZ"/>
              </w:rPr>
            </w:pPr>
          </w:p>
          <w:p w14:paraId="15133154" w14:textId="77777777" w:rsidR="00236AB5" w:rsidRPr="008819AF" w:rsidRDefault="00236AB5" w:rsidP="00236AB5">
            <w:pPr>
              <w:ind w:left="215" w:hanging="215"/>
              <w:jc w:val="center"/>
              <w:rPr>
                <w:rFonts w:eastAsia="Arial"/>
                <w:lang w:bidi="cs-CZ"/>
              </w:rPr>
            </w:pPr>
          </w:p>
          <w:p w14:paraId="15133155" w14:textId="77777777" w:rsidR="00236AB5" w:rsidRPr="008819AF" w:rsidRDefault="00236AB5" w:rsidP="00236AB5">
            <w:pPr>
              <w:ind w:left="215" w:hanging="215"/>
              <w:jc w:val="center"/>
              <w:rPr>
                <w:rFonts w:eastAsia="Arial"/>
                <w:lang w:bidi="cs-CZ"/>
              </w:rPr>
            </w:pPr>
          </w:p>
          <w:p w14:paraId="15133156" w14:textId="77777777" w:rsidR="00236AB5" w:rsidRPr="008819AF" w:rsidRDefault="00236AB5" w:rsidP="00236AB5">
            <w:pPr>
              <w:ind w:left="215" w:hanging="215"/>
              <w:jc w:val="center"/>
              <w:rPr>
                <w:rFonts w:eastAsia="Arial"/>
                <w:lang w:bidi="cs-CZ"/>
              </w:rPr>
            </w:pPr>
          </w:p>
          <w:p w14:paraId="15133157" w14:textId="77777777" w:rsidR="00236AB5" w:rsidRPr="008819AF" w:rsidRDefault="00236AB5" w:rsidP="00236AB5">
            <w:pPr>
              <w:ind w:left="215" w:hanging="215"/>
              <w:jc w:val="center"/>
              <w:rPr>
                <w:rFonts w:eastAsia="Arial"/>
                <w:lang w:bidi="cs-CZ"/>
              </w:rPr>
            </w:pPr>
          </w:p>
          <w:p w14:paraId="15133158" w14:textId="77777777" w:rsidR="00236AB5" w:rsidRPr="008819AF" w:rsidRDefault="00236AB5" w:rsidP="00236AB5">
            <w:pPr>
              <w:ind w:left="215" w:hanging="215"/>
              <w:jc w:val="center"/>
              <w:rPr>
                <w:rFonts w:eastAsia="Arial"/>
                <w:lang w:bidi="cs-CZ"/>
              </w:rPr>
            </w:pPr>
          </w:p>
          <w:p w14:paraId="15133159" w14:textId="77777777" w:rsidR="00236AB5" w:rsidRPr="008819AF" w:rsidRDefault="00236AB5" w:rsidP="00236AB5">
            <w:pPr>
              <w:ind w:left="215" w:hanging="215"/>
              <w:jc w:val="center"/>
              <w:rPr>
                <w:rFonts w:eastAsia="Arial"/>
                <w:lang w:bidi="cs-CZ"/>
              </w:rPr>
            </w:pPr>
          </w:p>
          <w:p w14:paraId="1513315A" w14:textId="77777777" w:rsidR="00236AB5" w:rsidRPr="008819AF" w:rsidRDefault="00236AB5" w:rsidP="00236AB5">
            <w:pPr>
              <w:ind w:left="215" w:hanging="215"/>
              <w:jc w:val="center"/>
              <w:rPr>
                <w:rFonts w:eastAsia="Arial"/>
                <w:lang w:bidi="cs-CZ"/>
              </w:rPr>
            </w:pPr>
          </w:p>
          <w:p w14:paraId="1513315B" w14:textId="77777777" w:rsidR="00236AB5" w:rsidRPr="008819AF" w:rsidRDefault="00236AB5" w:rsidP="00236AB5">
            <w:pPr>
              <w:ind w:left="215" w:hanging="215"/>
              <w:jc w:val="center"/>
              <w:rPr>
                <w:rFonts w:eastAsia="Arial"/>
                <w:lang w:bidi="cs-CZ"/>
              </w:rPr>
            </w:pPr>
          </w:p>
          <w:p w14:paraId="1513315C" w14:textId="77777777" w:rsidR="00236AB5" w:rsidRPr="008819AF" w:rsidRDefault="00236AB5" w:rsidP="00236AB5">
            <w:pPr>
              <w:ind w:left="215" w:hanging="215"/>
              <w:jc w:val="center"/>
              <w:rPr>
                <w:rFonts w:eastAsia="Arial"/>
                <w:lang w:bidi="cs-CZ"/>
              </w:rPr>
            </w:pPr>
          </w:p>
          <w:p w14:paraId="1513315D" w14:textId="77777777" w:rsidR="00236AB5" w:rsidRPr="008819AF" w:rsidRDefault="00236AB5" w:rsidP="00236AB5">
            <w:pPr>
              <w:ind w:left="215" w:hanging="215"/>
              <w:jc w:val="center"/>
              <w:rPr>
                <w:rFonts w:eastAsia="Arial"/>
                <w:lang w:bidi="cs-CZ"/>
              </w:rPr>
            </w:pPr>
          </w:p>
          <w:p w14:paraId="1513315E" w14:textId="77777777" w:rsidR="00236AB5" w:rsidRPr="008819AF" w:rsidRDefault="00236AB5" w:rsidP="00236AB5">
            <w:pPr>
              <w:ind w:left="215" w:hanging="215"/>
              <w:jc w:val="center"/>
              <w:rPr>
                <w:rFonts w:eastAsia="Arial"/>
                <w:lang w:bidi="cs-CZ"/>
              </w:rPr>
            </w:pPr>
          </w:p>
          <w:p w14:paraId="1513315F" w14:textId="77777777" w:rsidR="00236AB5" w:rsidRPr="008819AF" w:rsidRDefault="00236AB5" w:rsidP="00236AB5">
            <w:pPr>
              <w:ind w:left="215" w:hanging="215"/>
              <w:jc w:val="center"/>
              <w:rPr>
                <w:rFonts w:eastAsia="Arial"/>
                <w:lang w:bidi="cs-CZ"/>
              </w:rPr>
            </w:pPr>
          </w:p>
          <w:p w14:paraId="15133160" w14:textId="77777777" w:rsidR="00236AB5" w:rsidRPr="008819AF" w:rsidRDefault="00236AB5" w:rsidP="00236AB5">
            <w:pPr>
              <w:ind w:left="215" w:hanging="215"/>
              <w:jc w:val="center"/>
              <w:rPr>
                <w:rFonts w:eastAsia="Arial"/>
                <w:lang w:bidi="cs-CZ"/>
              </w:rPr>
            </w:pPr>
          </w:p>
          <w:p w14:paraId="15133161" w14:textId="77777777" w:rsidR="00236AB5" w:rsidRPr="008819AF" w:rsidRDefault="00236AB5" w:rsidP="00236AB5">
            <w:pPr>
              <w:ind w:left="215" w:hanging="215"/>
              <w:jc w:val="center"/>
              <w:rPr>
                <w:rFonts w:eastAsia="Arial"/>
                <w:lang w:bidi="cs-CZ"/>
              </w:rPr>
            </w:pPr>
          </w:p>
          <w:p w14:paraId="15133162" w14:textId="77777777" w:rsidR="00236AB5" w:rsidRPr="008819AF" w:rsidRDefault="00236AB5" w:rsidP="00236AB5">
            <w:pPr>
              <w:ind w:left="215" w:hanging="215"/>
              <w:jc w:val="center"/>
              <w:rPr>
                <w:rFonts w:eastAsia="Arial"/>
                <w:lang w:bidi="cs-CZ"/>
              </w:rPr>
            </w:pPr>
          </w:p>
          <w:p w14:paraId="15133163" w14:textId="77777777" w:rsidR="00236AB5" w:rsidRPr="008819AF" w:rsidRDefault="00236AB5" w:rsidP="00236AB5">
            <w:pPr>
              <w:ind w:left="215" w:hanging="215"/>
              <w:jc w:val="center"/>
              <w:rPr>
                <w:rFonts w:eastAsia="Arial"/>
                <w:lang w:bidi="cs-CZ"/>
              </w:rPr>
            </w:pPr>
          </w:p>
          <w:p w14:paraId="15133164" w14:textId="77777777" w:rsidR="00236AB5" w:rsidRPr="008819AF" w:rsidRDefault="00236AB5" w:rsidP="00236AB5">
            <w:pPr>
              <w:ind w:left="215" w:hanging="215"/>
              <w:jc w:val="center"/>
              <w:rPr>
                <w:rFonts w:eastAsia="Arial"/>
                <w:lang w:bidi="cs-CZ"/>
              </w:rPr>
            </w:pPr>
          </w:p>
          <w:p w14:paraId="15133165"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3166" w14:textId="77777777" w:rsidR="00236AB5" w:rsidRPr="008819AF" w:rsidRDefault="00236AB5" w:rsidP="00236AB5">
            <w:pPr>
              <w:ind w:left="215" w:hanging="215"/>
              <w:jc w:val="center"/>
              <w:rPr>
                <w:rFonts w:eastAsia="Arial"/>
                <w:lang w:bidi="cs-CZ"/>
              </w:rPr>
            </w:pPr>
          </w:p>
          <w:p w14:paraId="15133167" w14:textId="77777777" w:rsidR="00236AB5" w:rsidRPr="008819AF" w:rsidRDefault="00236AB5" w:rsidP="00236AB5">
            <w:pPr>
              <w:ind w:left="215" w:hanging="215"/>
              <w:jc w:val="center"/>
              <w:rPr>
                <w:rFonts w:eastAsia="Arial"/>
                <w:lang w:bidi="cs-CZ"/>
              </w:rPr>
            </w:pPr>
          </w:p>
          <w:p w14:paraId="15133168" w14:textId="77777777" w:rsidR="00236AB5" w:rsidRPr="008819AF" w:rsidRDefault="00236AB5" w:rsidP="00236AB5">
            <w:pPr>
              <w:ind w:left="215" w:hanging="215"/>
              <w:jc w:val="center"/>
              <w:rPr>
                <w:rFonts w:eastAsia="Arial"/>
                <w:lang w:bidi="cs-CZ"/>
              </w:rPr>
            </w:pPr>
          </w:p>
          <w:p w14:paraId="15133169" w14:textId="77777777" w:rsidR="00236AB5" w:rsidRPr="008819AF" w:rsidRDefault="00236AB5" w:rsidP="00236AB5">
            <w:pPr>
              <w:ind w:left="215" w:hanging="215"/>
              <w:jc w:val="center"/>
              <w:rPr>
                <w:rFonts w:eastAsia="Arial"/>
                <w:lang w:bidi="cs-CZ"/>
              </w:rPr>
            </w:pPr>
          </w:p>
          <w:p w14:paraId="1513316A" w14:textId="77777777" w:rsidR="00236AB5" w:rsidRPr="008819AF" w:rsidRDefault="00236AB5" w:rsidP="00236AB5">
            <w:pPr>
              <w:ind w:left="215" w:hanging="215"/>
              <w:jc w:val="center"/>
              <w:rPr>
                <w:rFonts w:eastAsia="Arial"/>
                <w:lang w:bidi="cs-CZ"/>
              </w:rPr>
            </w:pPr>
          </w:p>
          <w:p w14:paraId="1513316B" w14:textId="77777777" w:rsidR="00236AB5" w:rsidRPr="008819AF" w:rsidRDefault="00236AB5" w:rsidP="00236AB5">
            <w:pPr>
              <w:ind w:left="215" w:hanging="215"/>
              <w:jc w:val="center"/>
              <w:rPr>
                <w:rFonts w:eastAsia="Arial"/>
                <w:lang w:bidi="cs-CZ"/>
              </w:rPr>
            </w:pPr>
          </w:p>
          <w:p w14:paraId="1513316C" w14:textId="77777777" w:rsidR="00236AB5" w:rsidRPr="008819AF" w:rsidRDefault="00236AB5" w:rsidP="00236AB5">
            <w:pPr>
              <w:ind w:left="215" w:hanging="215"/>
              <w:jc w:val="center"/>
              <w:rPr>
                <w:rFonts w:eastAsia="Arial"/>
                <w:lang w:bidi="cs-CZ"/>
              </w:rPr>
            </w:pPr>
          </w:p>
          <w:p w14:paraId="1513316D" w14:textId="77777777" w:rsidR="00236AB5" w:rsidRPr="008819AF" w:rsidRDefault="00236AB5" w:rsidP="00236AB5">
            <w:pPr>
              <w:ind w:left="215" w:hanging="215"/>
              <w:jc w:val="center"/>
              <w:rPr>
                <w:rFonts w:eastAsia="Arial"/>
                <w:lang w:bidi="cs-CZ"/>
              </w:rPr>
            </w:pPr>
          </w:p>
          <w:p w14:paraId="1513316E" w14:textId="77777777" w:rsidR="00236AB5" w:rsidRPr="008819AF" w:rsidRDefault="00236AB5" w:rsidP="00236AB5">
            <w:pPr>
              <w:ind w:left="215" w:hanging="215"/>
              <w:jc w:val="center"/>
              <w:rPr>
                <w:rFonts w:eastAsia="Arial"/>
                <w:lang w:bidi="cs-CZ"/>
              </w:rPr>
            </w:pPr>
          </w:p>
          <w:p w14:paraId="1513316F" w14:textId="77777777" w:rsidR="00236AB5" w:rsidRPr="008819AF" w:rsidRDefault="00236AB5" w:rsidP="00236AB5">
            <w:pPr>
              <w:ind w:left="215" w:hanging="215"/>
              <w:jc w:val="center"/>
              <w:rPr>
                <w:rFonts w:eastAsia="Arial"/>
                <w:lang w:bidi="cs-CZ"/>
              </w:rPr>
            </w:pPr>
          </w:p>
          <w:p w14:paraId="15133170" w14:textId="77777777" w:rsidR="00236AB5" w:rsidRPr="008819AF" w:rsidRDefault="00236AB5" w:rsidP="00236AB5">
            <w:pPr>
              <w:ind w:left="215" w:hanging="215"/>
              <w:jc w:val="center"/>
              <w:rPr>
                <w:rFonts w:eastAsia="Arial"/>
                <w:lang w:bidi="cs-CZ"/>
              </w:rPr>
            </w:pPr>
          </w:p>
          <w:p w14:paraId="15133171" w14:textId="77777777" w:rsidR="00236AB5" w:rsidRPr="008819AF" w:rsidRDefault="00236AB5" w:rsidP="00236AB5">
            <w:pPr>
              <w:ind w:left="215" w:hanging="215"/>
              <w:jc w:val="center"/>
              <w:rPr>
                <w:rFonts w:eastAsia="Arial"/>
                <w:lang w:bidi="cs-CZ"/>
              </w:rPr>
            </w:pPr>
          </w:p>
          <w:p w14:paraId="15133172" w14:textId="77777777" w:rsidR="00236AB5" w:rsidRPr="008819AF" w:rsidRDefault="00236AB5" w:rsidP="00236AB5">
            <w:pPr>
              <w:ind w:left="215" w:hanging="215"/>
              <w:jc w:val="center"/>
              <w:rPr>
                <w:rFonts w:eastAsia="Arial"/>
                <w:lang w:bidi="cs-CZ"/>
              </w:rPr>
            </w:pPr>
          </w:p>
          <w:p w14:paraId="15133173" w14:textId="77777777" w:rsidR="00236AB5" w:rsidRPr="008819AF" w:rsidRDefault="00236AB5" w:rsidP="00236AB5">
            <w:pPr>
              <w:ind w:left="215" w:hanging="215"/>
              <w:jc w:val="center"/>
              <w:rPr>
                <w:rFonts w:eastAsia="Arial"/>
                <w:lang w:bidi="cs-CZ"/>
              </w:rPr>
            </w:pPr>
          </w:p>
          <w:p w14:paraId="15133174" w14:textId="77777777" w:rsidR="00236AB5" w:rsidRPr="008819AF" w:rsidRDefault="00236AB5" w:rsidP="00236AB5">
            <w:pPr>
              <w:ind w:left="215" w:hanging="215"/>
              <w:jc w:val="center"/>
              <w:rPr>
                <w:rFonts w:eastAsia="Arial"/>
                <w:lang w:bidi="cs-CZ"/>
              </w:rPr>
            </w:pPr>
          </w:p>
          <w:p w14:paraId="15133175"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3176"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177" w14:textId="77777777" w:rsidR="00236AB5" w:rsidRPr="008819AF" w:rsidRDefault="00236AB5" w:rsidP="00236AB5">
            <w:pPr>
              <w:ind w:left="215" w:hanging="215"/>
              <w:jc w:val="center"/>
              <w:rPr>
                <w:rFonts w:eastAsia="Arial"/>
                <w:lang w:bidi="cs-CZ"/>
              </w:rPr>
            </w:pPr>
          </w:p>
          <w:p w14:paraId="15133178" w14:textId="77777777" w:rsidR="00236AB5" w:rsidRPr="008819AF" w:rsidRDefault="00236AB5" w:rsidP="00236AB5">
            <w:pPr>
              <w:ind w:left="215" w:hanging="215"/>
              <w:jc w:val="center"/>
              <w:rPr>
                <w:rFonts w:eastAsia="Arial"/>
                <w:lang w:bidi="cs-CZ"/>
              </w:rPr>
            </w:pPr>
          </w:p>
          <w:p w14:paraId="15133179" w14:textId="77777777" w:rsidR="00236AB5" w:rsidRPr="008819AF" w:rsidRDefault="00236AB5" w:rsidP="00236AB5">
            <w:pPr>
              <w:ind w:left="215" w:hanging="215"/>
              <w:jc w:val="center"/>
              <w:rPr>
                <w:rFonts w:eastAsia="Arial"/>
                <w:lang w:bidi="cs-CZ"/>
              </w:rPr>
            </w:pPr>
          </w:p>
          <w:p w14:paraId="1513317A" w14:textId="77777777" w:rsidR="00236AB5" w:rsidRPr="008819AF" w:rsidRDefault="00236AB5" w:rsidP="00236AB5">
            <w:pPr>
              <w:ind w:left="215" w:hanging="215"/>
              <w:jc w:val="center"/>
              <w:rPr>
                <w:rFonts w:eastAsia="Arial"/>
                <w:lang w:bidi="cs-CZ"/>
              </w:rPr>
            </w:pPr>
          </w:p>
          <w:p w14:paraId="1513317B" w14:textId="77777777" w:rsidR="00236AB5" w:rsidRPr="008819AF" w:rsidRDefault="00236AB5" w:rsidP="00236AB5">
            <w:pPr>
              <w:ind w:left="215" w:hanging="215"/>
              <w:jc w:val="center"/>
              <w:rPr>
                <w:rFonts w:eastAsia="Arial"/>
                <w:lang w:bidi="cs-CZ"/>
              </w:rPr>
            </w:pPr>
          </w:p>
          <w:p w14:paraId="1513317C" w14:textId="77777777" w:rsidR="00236AB5" w:rsidRPr="008819AF" w:rsidRDefault="00236AB5" w:rsidP="00236AB5">
            <w:pPr>
              <w:ind w:left="215" w:hanging="215"/>
              <w:jc w:val="center"/>
              <w:rPr>
                <w:rFonts w:eastAsia="Arial"/>
                <w:lang w:bidi="cs-CZ"/>
              </w:rPr>
            </w:pPr>
          </w:p>
          <w:p w14:paraId="1513317D" w14:textId="77777777" w:rsidR="00236AB5" w:rsidRPr="008819AF" w:rsidRDefault="00236AB5" w:rsidP="00236AB5">
            <w:pPr>
              <w:ind w:left="215" w:hanging="215"/>
              <w:jc w:val="center"/>
              <w:rPr>
                <w:rFonts w:eastAsia="Arial"/>
                <w:lang w:bidi="cs-CZ"/>
              </w:rPr>
            </w:pPr>
          </w:p>
          <w:p w14:paraId="1513317E" w14:textId="77777777" w:rsidR="00236AB5" w:rsidRPr="008819AF" w:rsidRDefault="00236AB5" w:rsidP="00236AB5">
            <w:pPr>
              <w:ind w:left="215" w:hanging="215"/>
              <w:jc w:val="center"/>
              <w:rPr>
                <w:rFonts w:eastAsia="Arial"/>
                <w:lang w:bidi="cs-CZ"/>
              </w:rPr>
            </w:pPr>
          </w:p>
          <w:p w14:paraId="1513317F" w14:textId="77777777" w:rsidR="00236AB5" w:rsidRPr="008819AF" w:rsidRDefault="00236AB5" w:rsidP="00236AB5">
            <w:pPr>
              <w:ind w:left="215" w:hanging="215"/>
              <w:jc w:val="center"/>
              <w:rPr>
                <w:rFonts w:eastAsia="Arial"/>
                <w:lang w:bidi="cs-CZ"/>
              </w:rPr>
            </w:pPr>
          </w:p>
          <w:p w14:paraId="15133180" w14:textId="77777777" w:rsidR="00236AB5" w:rsidRPr="008819AF" w:rsidRDefault="00236AB5" w:rsidP="00236AB5">
            <w:pPr>
              <w:ind w:left="215" w:hanging="215"/>
              <w:jc w:val="center"/>
              <w:rPr>
                <w:rFonts w:eastAsia="Arial"/>
                <w:lang w:bidi="cs-CZ"/>
              </w:rPr>
            </w:pPr>
          </w:p>
          <w:p w14:paraId="15133181" w14:textId="77777777" w:rsidR="00236AB5" w:rsidRPr="008819AF" w:rsidRDefault="00236AB5" w:rsidP="00236AB5">
            <w:pPr>
              <w:ind w:left="215" w:hanging="215"/>
              <w:jc w:val="center"/>
              <w:rPr>
                <w:rFonts w:eastAsia="Arial"/>
                <w:lang w:bidi="cs-CZ"/>
              </w:rPr>
            </w:pPr>
          </w:p>
          <w:p w14:paraId="15133182" w14:textId="77777777" w:rsidR="00236AB5" w:rsidRPr="008819AF" w:rsidRDefault="00236AB5" w:rsidP="00236AB5">
            <w:pPr>
              <w:ind w:left="215" w:hanging="215"/>
              <w:jc w:val="center"/>
              <w:rPr>
                <w:rFonts w:eastAsia="Arial"/>
                <w:lang w:bidi="cs-CZ"/>
              </w:rPr>
            </w:pPr>
          </w:p>
          <w:p w14:paraId="15133183" w14:textId="77777777" w:rsidR="00236AB5" w:rsidRPr="008819AF" w:rsidRDefault="00236AB5" w:rsidP="00236AB5">
            <w:pPr>
              <w:ind w:left="215" w:hanging="215"/>
              <w:jc w:val="center"/>
              <w:rPr>
                <w:rFonts w:eastAsia="Arial"/>
                <w:lang w:bidi="cs-CZ"/>
              </w:rPr>
            </w:pPr>
          </w:p>
          <w:p w14:paraId="15133184" w14:textId="77777777" w:rsidR="00236AB5" w:rsidRPr="008819AF" w:rsidRDefault="00236AB5" w:rsidP="00236AB5">
            <w:pPr>
              <w:ind w:left="215" w:hanging="215"/>
              <w:jc w:val="center"/>
              <w:rPr>
                <w:rFonts w:eastAsia="Arial"/>
                <w:lang w:bidi="cs-CZ"/>
              </w:rPr>
            </w:pPr>
          </w:p>
          <w:p w14:paraId="15133185" w14:textId="77777777" w:rsidR="00236AB5" w:rsidRPr="008819AF" w:rsidRDefault="00236AB5" w:rsidP="00236AB5">
            <w:pPr>
              <w:ind w:left="215" w:hanging="215"/>
              <w:jc w:val="center"/>
              <w:rPr>
                <w:rFonts w:eastAsia="Arial"/>
                <w:lang w:bidi="cs-CZ"/>
              </w:rPr>
            </w:pPr>
          </w:p>
          <w:p w14:paraId="15133186" w14:textId="77777777" w:rsidR="00236AB5" w:rsidRPr="008819AF" w:rsidRDefault="00236AB5" w:rsidP="00236AB5">
            <w:pPr>
              <w:ind w:left="215" w:hanging="215"/>
              <w:jc w:val="center"/>
              <w:rPr>
                <w:rFonts w:eastAsia="Arial"/>
                <w:lang w:bidi="cs-CZ"/>
              </w:rPr>
            </w:pPr>
          </w:p>
          <w:p w14:paraId="15133187" w14:textId="77777777" w:rsidR="00236AB5" w:rsidRPr="008819AF" w:rsidRDefault="00236AB5" w:rsidP="00236AB5">
            <w:pPr>
              <w:ind w:left="215" w:hanging="215"/>
              <w:jc w:val="center"/>
              <w:rPr>
                <w:rFonts w:eastAsia="Arial"/>
                <w:lang w:bidi="cs-CZ"/>
              </w:rPr>
            </w:pPr>
          </w:p>
          <w:p w14:paraId="15133188" w14:textId="77777777" w:rsidR="00236AB5" w:rsidRPr="008819AF" w:rsidRDefault="00236AB5" w:rsidP="00236AB5">
            <w:pPr>
              <w:ind w:left="215" w:hanging="215"/>
              <w:jc w:val="center"/>
              <w:rPr>
                <w:rFonts w:eastAsia="Arial"/>
                <w:lang w:bidi="cs-CZ"/>
              </w:rPr>
            </w:pPr>
          </w:p>
          <w:p w14:paraId="15133189" w14:textId="77777777" w:rsidR="00236AB5" w:rsidRPr="008819AF" w:rsidRDefault="00236AB5" w:rsidP="00236AB5">
            <w:pPr>
              <w:ind w:left="215" w:hanging="215"/>
              <w:jc w:val="center"/>
              <w:rPr>
                <w:rFonts w:eastAsia="Arial"/>
                <w:lang w:bidi="cs-CZ"/>
              </w:rPr>
            </w:pPr>
          </w:p>
          <w:p w14:paraId="1513318A" w14:textId="77777777" w:rsidR="00236AB5" w:rsidRPr="008819AF" w:rsidRDefault="00236AB5" w:rsidP="00236AB5">
            <w:pPr>
              <w:ind w:left="215" w:hanging="215"/>
              <w:jc w:val="center"/>
              <w:rPr>
                <w:rFonts w:eastAsia="Arial"/>
                <w:lang w:bidi="cs-CZ"/>
              </w:rPr>
            </w:pPr>
          </w:p>
          <w:p w14:paraId="1513318B" w14:textId="77777777" w:rsidR="00236AB5" w:rsidRPr="008819AF" w:rsidRDefault="00236AB5" w:rsidP="00236AB5">
            <w:pPr>
              <w:ind w:left="215" w:hanging="215"/>
              <w:jc w:val="center"/>
              <w:rPr>
                <w:rFonts w:eastAsia="Arial"/>
                <w:lang w:bidi="cs-CZ"/>
              </w:rPr>
            </w:pPr>
          </w:p>
          <w:p w14:paraId="1513318C" w14:textId="77777777" w:rsidR="00236AB5" w:rsidRPr="008819AF" w:rsidRDefault="00236AB5" w:rsidP="00236AB5">
            <w:pPr>
              <w:ind w:left="215" w:hanging="215"/>
              <w:jc w:val="center"/>
              <w:rPr>
                <w:rFonts w:eastAsia="Arial"/>
                <w:lang w:bidi="cs-CZ"/>
              </w:rPr>
            </w:pPr>
          </w:p>
          <w:p w14:paraId="1513318D" w14:textId="77777777" w:rsidR="00236AB5" w:rsidRPr="008819AF" w:rsidRDefault="00236AB5" w:rsidP="00236AB5">
            <w:pPr>
              <w:ind w:left="215" w:hanging="215"/>
              <w:jc w:val="center"/>
              <w:rPr>
                <w:rFonts w:eastAsia="Arial"/>
                <w:lang w:bidi="cs-CZ"/>
              </w:rPr>
            </w:pPr>
          </w:p>
          <w:p w14:paraId="1513318E" w14:textId="77777777" w:rsidR="00236AB5" w:rsidRPr="008819AF" w:rsidRDefault="00236AB5" w:rsidP="00236AB5">
            <w:pPr>
              <w:ind w:left="215" w:hanging="215"/>
              <w:jc w:val="center"/>
              <w:rPr>
                <w:rFonts w:eastAsia="Arial"/>
                <w:lang w:bidi="cs-CZ"/>
              </w:rPr>
            </w:pPr>
          </w:p>
          <w:p w14:paraId="1513318F" w14:textId="77777777" w:rsidR="00236AB5" w:rsidRPr="008819AF" w:rsidRDefault="00236AB5" w:rsidP="00236AB5">
            <w:pPr>
              <w:ind w:left="215" w:hanging="215"/>
              <w:jc w:val="center"/>
              <w:rPr>
                <w:rFonts w:eastAsia="Arial"/>
                <w:lang w:bidi="cs-CZ"/>
              </w:rPr>
            </w:pPr>
          </w:p>
          <w:p w14:paraId="15133190" w14:textId="77777777" w:rsidR="00236AB5" w:rsidRPr="008819AF" w:rsidRDefault="00236AB5" w:rsidP="00236AB5">
            <w:pPr>
              <w:ind w:left="215" w:hanging="215"/>
              <w:jc w:val="center"/>
              <w:rPr>
                <w:rFonts w:eastAsia="Arial"/>
                <w:lang w:bidi="cs-CZ"/>
              </w:rPr>
            </w:pPr>
          </w:p>
          <w:p w14:paraId="15133191" w14:textId="77777777" w:rsidR="00236AB5" w:rsidRPr="008819AF" w:rsidRDefault="00236AB5" w:rsidP="00236AB5">
            <w:pPr>
              <w:ind w:left="215" w:hanging="215"/>
              <w:jc w:val="center"/>
              <w:rPr>
                <w:rFonts w:eastAsia="Arial"/>
                <w:lang w:bidi="cs-CZ"/>
              </w:rPr>
            </w:pPr>
          </w:p>
          <w:p w14:paraId="15133192" w14:textId="77777777" w:rsidR="00236AB5" w:rsidRPr="008819AF" w:rsidRDefault="00236AB5" w:rsidP="00236AB5">
            <w:pPr>
              <w:ind w:left="215" w:hanging="215"/>
              <w:jc w:val="center"/>
              <w:rPr>
                <w:rFonts w:eastAsia="Arial"/>
                <w:lang w:bidi="cs-CZ"/>
              </w:rPr>
            </w:pPr>
          </w:p>
          <w:p w14:paraId="15133193" w14:textId="77777777" w:rsidR="00236AB5" w:rsidRPr="008819AF" w:rsidRDefault="00236AB5" w:rsidP="00236AB5">
            <w:pPr>
              <w:ind w:left="215" w:hanging="215"/>
              <w:jc w:val="center"/>
              <w:rPr>
                <w:rFonts w:eastAsia="Arial"/>
                <w:lang w:bidi="cs-CZ"/>
              </w:rPr>
            </w:pPr>
          </w:p>
          <w:p w14:paraId="15133194" w14:textId="77777777" w:rsidR="00236AB5" w:rsidRPr="008819AF" w:rsidRDefault="00236AB5" w:rsidP="00236AB5">
            <w:pPr>
              <w:rPr>
                <w:rFonts w:eastAsia="Arial"/>
                <w:lang w:bidi="cs-CZ"/>
              </w:rPr>
            </w:pPr>
            <w:r w:rsidRPr="008819AF">
              <w:rPr>
                <w:rFonts w:eastAsia="Arial"/>
                <w:lang w:bidi="cs-CZ"/>
              </w:rPr>
              <w:t>NV2</w:t>
            </w:r>
          </w:p>
          <w:p w14:paraId="15133195" w14:textId="77777777" w:rsidR="00236AB5" w:rsidRPr="008819AF" w:rsidRDefault="00236AB5" w:rsidP="00236AB5">
            <w:pPr>
              <w:rPr>
                <w:rFonts w:eastAsia="Arial"/>
                <w:lang w:bidi="cs-CZ"/>
              </w:rPr>
            </w:pPr>
          </w:p>
          <w:p w14:paraId="15133196" w14:textId="77777777" w:rsidR="00236AB5" w:rsidRPr="008819AF" w:rsidRDefault="00236AB5" w:rsidP="00236AB5">
            <w:pPr>
              <w:rPr>
                <w:rFonts w:eastAsia="Arial"/>
                <w:lang w:bidi="cs-CZ"/>
              </w:rPr>
            </w:pPr>
          </w:p>
          <w:p w14:paraId="15133197" w14:textId="77777777" w:rsidR="00236AB5" w:rsidRPr="008819AF" w:rsidRDefault="00236AB5" w:rsidP="00236AB5">
            <w:pPr>
              <w:rPr>
                <w:rFonts w:eastAsia="Arial"/>
                <w:lang w:bidi="cs-CZ"/>
              </w:rPr>
            </w:pPr>
          </w:p>
          <w:p w14:paraId="15133198" w14:textId="77777777" w:rsidR="00236AB5" w:rsidRPr="008819AF" w:rsidRDefault="00236AB5" w:rsidP="00236AB5">
            <w:pPr>
              <w:rPr>
                <w:rFonts w:eastAsia="Arial"/>
                <w:lang w:bidi="cs-CZ"/>
              </w:rPr>
            </w:pPr>
          </w:p>
          <w:p w14:paraId="15133199" w14:textId="77777777" w:rsidR="00236AB5" w:rsidRPr="008819AF" w:rsidRDefault="00236AB5" w:rsidP="00236AB5">
            <w:pPr>
              <w:rPr>
                <w:rFonts w:eastAsia="Arial"/>
                <w:lang w:bidi="cs-CZ"/>
              </w:rPr>
            </w:pPr>
          </w:p>
          <w:p w14:paraId="1513319A" w14:textId="77777777" w:rsidR="00236AB5" w:rsidRPr="008819AF" w:rsidRDefault="00236AB5" w:rsidP="00236AB5">
            <w:pPr>
              <w:rPr>
                <w:rFonts w:eastAsia="Arial"/>
                <w:lang w:bidi="cs-CZ"/>
              </w:rPr>
            </w:pPr>
          </w:p>
          <w:p w14:paraId="1513319B" w14:textId="77777777" w:rsidR="00236AB5" w:rsidRPr="008819AF" w:rsidRDefault="00236AB5" w:rsidP="00236AB5">
            <w:pPr>
              <w:rPr>
                <w:rFonts w:eastAsia="Arial"/>
                <w:lang w:bidi="cs-CZ"/>
              </w:rPr>
            </w:pPr>
          </w:p>
          <w:p w14:paraId="1513319C" w14:textId="77777777" w:rsidR="00236AB5" w:rsidRPr="008819AF" w:rsidRDefault="00236AB5" w:rsidP="00236AB5">
            <w:pPr>
              <w:rPr>
                <w:rFonts w:eastAsia="Arial"/>
                <w:lang w:bidi="cs-CZ"/>
              </w:rPr>
            </w:pPr>
          </w:p>
          <w:p w14:paraId="1513319D" w14:textId="77777777" w:rsidR="00236AB5" w:rsidRPr="008819AF" w:rsidRDefault="00236AB5" w:rsidP="00236AB5">
            <w:pPr>
              <w:rPr>
                <w:rFonts w:eastAsia="Arial"/>
                <w:lang w:bidi="cs-CZ"/>
              </w:rPr>
            </w:pPr>
          </w:p>
          <w:p w14:paraId="1513319E" w14:textId="77777777" w:rsidR="00236AB5" w:rsidRPr="008819AF" w:rsidRDefault="00236AB5" w:rsidP="00236AB5">
            <w:pPr>
              <w:rPr>
                <w:rFonts w:eastAsia="Arial"/>
                <w:lang w:bidi="cs-CZ"/>
              </w:rPr>
            </w:pPr>
          </w:p>
          <w:p w14:paraId="1513319F" w14:textId="77777777" w:rsidR="00236AB5" w:rsidRPr="008819AF" w:rsidRDefault="00236AB5" w:rsidP="00236AB5">
            <w:pPr>
              <w:rPr>
                <w:rFonts w:eastAsia="Arial"/>
                <w:lang w:bidi="cs-CZ"/>
              </w:rPr>
            </w:pPr>
          </w:p>
          <w:p w14:paraId="151331A0" w14:textId="77777777" w:rsidR="00236AB5" w:rsidRPr="008819AF" w:rsidRDefault="00236AB5" w:rsidP="00236AB5">
            <w:pPr>
              <w:rPr>
                <w:rFonts w:eastAsia="Arial"/>
                <w:lang w:bidi="cs-CZ"/>
              </w:rPr>
            </w:pPr>
          </w:p>
          <w:p w14:paraId="151331A1" w14:textId="77777777" w:rsidR="00236AB5" w:rsidRPr="008819AF" w:rsidRDefault="00236AB5" w:rsidP="00236AB5">
            <w:pPr>
              <w:rPr>
                <w:rFonts w:eastAsia="Arial"/>
                <w:lang w:bidi="cs-CZ"/>
              </w:rPr>
            </w:pPr>
          </w:p>
          <w:p w14:paraId="151331A2" w14:textId="77777777" w:rsidR="00236AB5" w:rsidRPr="008819AF" w:rsidRDefault="00236AB5" w:rsidP="00236AB5">
            <w:pPr>
              <w:rPr>
                <w:rFonts w:eastAsia="Arial"/>
                <w:lang w:bidi="cs-CZ"/>
              </w:rPr>
            </w:pPr>
          </w:p>
          <w:p w14:paraId="151331A3" w14:textId="77777777" w:rsidR="00236AB5" w:rsidRPr="008819AF" w:rsidRDefault="00236AB5" w:rsidP="00236AB5">
            <w:pPr>
              <w:rPr>
                <w:rFonts w:eastAsia="Arial"/>
                <w:lang w:bidi="cs-CZ"/>
              </w:rPr>
            </w:pPr>
          </w:p>
          <w:p w14:paraId="151331A4" w14:textId="77777777" w:rsidR="00236AB5" w:rsidRPr="008819AF" w:rsidRDefault="00236AB5" w:rsidP="00236AB5">
            <w:pPr>
              <w:rPr>
                <w:rFonts w:eastAsia="Arial"/>
                <w:lang w:bidi="cs-CZ"/>
              </w:rPr>
            </w:pPr>
            <w:r w:rsidRPr="008819AF">
              <w:rPr>
                <w:rFonts w:eastAsia="Arial"/>
                <w:lang w:bidi="cs-CZ"/>
              </w:rPr>
              <w:t>NV2</w:t>
            </w:r>
          </w:p>
          <w:p w14:paraId="151331A5" w14:textId="77777777" w:rsidR="00236AB5" w:rsidRPr="008819AF" w:rsidRDefault="00236AB5" w:rsidP="00236AB5">
            <w:pP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1A6" w14:textId="77777777" w:rsidR="00236AB5" w:rsidRPr="008819AF" w:rsidRDefault="00236AB5" w:rsidP="00236AB5">
            <w:pPr>
              <w:pStyle w:val="BodyText21"/>
              <w:spacing w:before="0" w:line="240" w:lineRule="auto"/>
              <w:jc w:val="center"/>
              <w:rPr>
                <w:rFonts w:ascii="Times New Roman" w:hAnsi="Times New Roman" w:cs="Times New Roman"/>
              </w:rPr>
            </w:pPr>
          </w:p>
          <w:p w14:paraId="151331A7" w14:textId="77777777" w:rsidR="00236AB5" w:rsidRPr="008819AF" w:rsidRDefault="00236AB5" w:rsidP="00236AB5">
            <w:pPr>
              <w:pStyle w:val="BodyText21"/>
              <w:spacing w:before="0" w:line="240" w:lineRule="auto"/>
              <w:jc w:val="center"/>
              <w:rPr>
                <w:rFonts w:ascii="Times New Roman" w:hAnsi="Times New Roman" w:cs="Times New Roman"/>
              </w:rPr>
            </w:pPr>
          </w:p>
          <w:p w14:paraId="151331A8" w14:textId="77777777" w:rsidR="00236AB5" w:rsidRPr="008819AF" w:rsidRDefault="00236AB5" w:rsidP="00236AB5">
            <w:pPr>
              <w:pStyle w:val="BodyText21"/>
              <w:spacing w:before="0" w:line="240" w:lineRule="auto"/>
              <w:jc w:val="center"/>
              <w:rPr>
                <w:rFonts w:ascii="Times New Roman" w:hAnsi="Times New Roman" w:cs="Times New Roman"/>
              </w:rPr>
            </w:pPr>
          </w:p>
          <w:p w14:paraId="151331A9" w14:textId="77777777" w:rsidR="00236AB5" w:rsidRPr="008819AF" w:rsidRDefault="00236AB5" w:rsidP="00236AB5">
            <w:pPr>
              <w:pStyle w:val="BodyText21"/>
              <w:spacing w:before="0" w:line="240" w:lineRule="auto"/>
              <w:jc w:val="center"/>
              <w:rPr>
                <w:rFonts w:ascii="Times New Roman" w:hAnsi="Times New Roman" w:cs="Times New Roman"/>
              </w:rPr>
            </w:pPr>
          </w:p>
          <w:p w14:paraId="151331AA" w14:textId="77777777" w:rsidR="00236AB5" w:rsidRPr="008819AF" w:rsidRDefault="00236AB5" w:rsidP="00236AB5">
            <w:pPr>
              <w:pStyle w:val="BodyText21"/>
              <w:spacing w:before="0" w:line="240" w:lineRule="auto"/>
              <w:jc w:val="center"/>
              <w:rPr>
                <w:rFonts w:ascii="Times New Roman" w:hAnsi="Times New Roman" w:cs="Times New Roman"/>
              </w:rPr>
            </w:pPr>
          </w:p>
          <w:p w14:paraId="151331AB" w14:textId="77777777" w:rsidR="00236AB5" w:rsidRPr="008819AF" w:rsidRDefault="00236AB5" w:rsidP="00236AB5">
            <w:pPr>
              <w:pStyle w:val="BodyText21"/>
              <w:spacing w:before="0" w:line="240" w:lineRule="auto"/>
              <w:jc w:val="center"/>
              <w:rPr>
                <w:rFonts w:ascii="Times New Roman" w:hAnsi="Times New Roman" w:cs="Times New Roman"/>
              </w:rPr>
            </w:pPr>
          </w:p>
          <w:p w14:paraId="151331AC" w14:textId="77777777" w:rsidR="00236AB5" w:rsidRPr="008819AF" w:rsidRDefault="00236AB5" w:rsidP="00236AB5">
            <w:pPr>
              <w:pStyle w:val="BodyText21"/>
              <w:spacing w:before="0" w:line="240" w:lineRule="auto"/>
              <w:jc w:val="center"/>
              <w:rPr>
                <w:rFonts w:ascii="Times New Roman" w:hAnsi="Times New Roman" w:cs="Times New Roman"/>
              </w:rPr>
            </w:pPr>
          </w:p>
          <w:p w14:paraId="151331AD" w14:textId="77777777" w:rsidR="00236AB5" w:rsidRPr="008819AF" w:rsidRDefault="00236AB5" w:rsidP="00236AB5">
            <w:pPr>
              <w:pStyle w:val="BodyText21"/>
              <w:spacing w:before="0" w:line="240" w:lineRule="auto"/>
              <w:jc w:val="center"/>
              <w:rPr>
                <w:rFonts w:ascii="Times New Roman" w:hAnsi="Times New Roman" w:cs="Times New Roman"/>
              </w:rPr>
            </w:pPr>
          </w:p>
          <w:p w14:paraId="151331AE" w14:textId="77777777" w:rsidR="00236AB5" w:rsidRPr="008819AF" w:rsidRDefault="00236AB5" w:rsidP="00236AB5">
            <w:pPr>
              <w:pStyle w:val="BodyText21"/>
              <w:spacing w:before="0" w:line="240" w:lineRule="auto"/>
              <w:jc w:val="center"/>
              <w:rPr>
                <w:rFonts w:ascii="Times New Roman" w:hAnsi="Times New Roman" w:cs="Times New Roman"/>
              </w:rPr>
            </w:pPr>
          </w:p>
          <w:p w14:paraId="151331AF"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0"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1"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2"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3"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4"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5"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6"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7"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8"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9"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A"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B"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C"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D"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E" w14:textId="77777777" w:rsidR="00236AB5" w:rsidRPr="008819AF" w:rsidRDefault="00236AB5" w:rsidP="00236AB5">
            <w:pPr>
              <w:pStyle w:val="BodyText21"/>
              <w:spacing w:before="0" w:line="240" w:lineRule="auto"/>
              <w:jc w:val="center"/>
              <w:rPr>
                <w:rFonts w:ascii="Times New Roman" w:hAnsi="Times New Roman" w:cs="Times New Roman"/>
              </w:rPr>
            </w:pPr>
          </w:p>
          <w:p w14:paraId="151331BF"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0"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1"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2"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3" w14:textId="77777777" w:rsidR="00236AB5" w:rsidRPr="008819AF" w:rsidRDefault="00236AB5" w:rsidP="00236AB5">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10 O2</w:t>
            </w:r>
          </w:p>
          <w:p w14:paraId="151331C4"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5"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6"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7"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8"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9"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A"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B"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C"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D"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E" w14:textId="77777777" w:rsidR="00236AB5" w:rsidRPr="008819AF" w:rsidRDefault="00236AB5" w:rsidP="00236AB5">
            <w:pPr>
              <w:pStyle w:val="BodyText21"/>
              <w:spacing w:before="0" w:line="240" w:lineRule="auto"/>
              <w:jc w:val="center"/>
              <w:rPr>
                <w:rFonts w:ascii="Times New Roman" w:hAnsi="Times New Roman" w:cs="Times New Roman"/>
              </w:rPr>
            </w:pPr>
          </w:p>
          <w:p w14:paraId="151331CF" w14:textId="77777777" w:rsidR="00236AB5" w:rsidRPr="008819AF" w:rsidRDefault="00236AB5" w:rsidP="00236AB5">
            <w:pPr>
              <w:pStyle w:val="BodyText21"/>
              <w:spacing w:before="0" w:line="240" w:lineRule="auto"/>
              <w:jc w:val="center"/>
              <w:rPr>
                <w:rFonts w:ascii="Times New Roman" w:hAnsi="Times New Roman" w:cs="Times New Roman"/>
              </w:rPr>
            </w:pPr>
          </w:p>
          <w:p w14:paraId="151331D0" w14:textId="77777777" w:rsidR="00236AB5" w:rsidRPr="008819AF" w:rsidRDefault="00236AB5" w:rsidP="00236AB5">
            <w:pPr>
              <w:pStyle w:val="BodyText21"/>
              <w:spacing w:before="0" w:line="240" w:lineRule="auto"/>
              <w:jc w:val="center"/>
              <w:rPr>
                <w:rFonts w:ascii="Times New Roman" w:hAnsi="Times New Roman" w:cs="Times New Roman"/>
              </w:rPr>
            </w:pPr>
          </w:p>
          <w:p w14:paraId="151331D1" w14:textId="77777777" w:rsidR="00236AB5" w:rsidRPr="008819AF" w:rsidRDefault="00236AB5" w:rsidP="00236AB5">
            <w:pPr>
              <w:pStyle w:val="BodyText21"/>
              <w:spacing w:before="0" w:line="240" w:lineRule="auto"/>
              <w:jc w:val="center"/>
              <w:rPr>
                <w:rFonts w:ascii="Times New Roman" w:hAnsi="Times New Roman" w:cs="Times New Roman"/>
              </w:rPr>
            </w:pPr>
          </w:p>
          <w:p w14:paraId="151331D2" w14:textId="77777777" w:rsidR="00236AB5" w:rsidRPr="008819AF" w:rsidRDefault="00236AB5" w:rsidP="00236AB5">
            <w:pPr>
              <w:pStyle w:val="BodyText21"/>
              <w:spacing w:before="0" w:line="240" w:lineRule="auto"/>
              <w:ind w:left="0" w:right="-70" w:firstLine="0"/>
              <w:jc w:val="center"/>
              <w:rPr>
                <w:rFonts w:ascii="Times New Roman" w:hAnsi="Times New Roman" w:cs="Times New Roman"/>
              </w:rPr>
            </w:pPr>
            <w:r w:rsidRPr="008819AF">
              <w:rPr>
                <w:rFonts w:ascii="Times New Roman" w:hAnsi="Times New Roman" w:cs="Times New Roman"/>
              </w:rPr>
              <w:t>§ 10 O3</w:t>
            </w:r>
          </w:p>
          <w:p w14:paraId="151331D3" w14:textId="77777777" w:rsidR="00236AB5" w:rsidRPr="008819AF" w:rsidRDefault="00236AB5" w:rsidP="00236AB5">
            <w:pPr>
              <w:pStyle w:val="BodyText21"/>
              <w:spacing w:before="0" w:line="240" w:lineRule="auto"/>
              <w:jc w:val="center"/>
              <w:rPr>
                <w:rFonts w:ascii="Times New Roman" w:hAnsi="Times New Roman" w:cs="Times New Roman"/>
              </w:rPr>
            </w:pPr>
          </w:p>
          <w:p w14:paraId="151331D4" w14:textId="77777777" w:rsidR="00236AB5" w:rsidRPr="008819AF" w:rsidRDefault="00236AB5" w:rsidP="00236AB5">
            <w:pPr>
              <w:pStyle w:val="BodyText21"/>
              <w:spacing w:before="0" w:line="240" w:lineRule="auto"/>
              <w:jc w:val="center"/>
              <w:rPr>
                <w:rFonts w:ascii="Times New Roman" w:hAnsi="Times New Roman" w:cs="Times New Roman"/>
              </w:rPr>
            </w:pPr>
          </w:p>
          <w:p w14:paraId="151331D5"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Pr.5 časť IV.</w:t>
            </w:r>
          </w:p>
          <w:p w14:paraId="151331D6" w14:textId="77777777" w:rsidR="00236AB5" w:rsidRPr="008819AF" w:rsidRDefault="00236AB5" w:rsidP="00236AB5">
            <w:pPr>
              <w:pStyle w:val="BodyText21"/>
              <w:spacing w:before="0" w:line="240" w:lineRule="auto"/>
              <w:ind w:left="-70" w:firstLine="70"/>
              <w:jc w:val="center"/>
              <w:rPr>
                <w:rFonts w:ascii="Times New Roman" w:hAnsi="Times New Roman" w:cs="Times New Roman"/>
              </w:rPr>
            </w:pPr>
            <w:r w:rsidRPr="008819AF">
              <w:rPr>
                <w:rFonts w:ascii="Times New Roman" w:hAnsi="Times New Roman" w:cs="Times New Roman"/>
              </w:rPr>
              <w:t>Bod</w:t>
            </w:r>
          </w:p>
          <w:p w14:paraId="151331D7" w14:textId="77777777" w:rsidR="00236AB5" w:rsidRPr="008819AF" w:rsidRDefault="00236AB5" w:rsidP="00236AB5">
            <w:pPr>
              <w:pStyle w:val="BodyText21"/>
              <w:spacing w:before="0" w:line="240" w:lineRule="auto"/>
              <w:ind w:left="-70" w:firstLine="70"/>
              <w:jc w:val="center"/>
              <w:rPr>
                <w:rFonts w:ascii="Times New Roman" w:hAnsi="Times New Roman" w:cs="Times New Roman"/>
              </w:rPr>
            </w:pPr>
            <w:r w:rsidRPr="008819AF">
              <w:rPr>
                <w:rFonts w:ascii="Times New Roman" w:hAnsi="Times New Roman" w:cs="Times New Roman"/>
              </w:rPr>
              <w:t>3.2</w:t>
            </w:r>
          </w:p>
        </w:tc>
        <w:tc>
          <w:tcPr>
            <w:tcW w:w="5664" w:type="dxa"/>
            <w:gridSpan w:val="5"/>
            <w:tcBorders>
              <w:top w:val="single" w:sz="4" w:space="0" w:color="000000"/>
              <w:left w:val="single" w:sz="6" w:space="0" w:color="000000"/>
              <w:bottom w:val="single" w:sz="6" w:space="0" w:color="000000"/>
              <w:right w:val="single" w:sz="6" w:space="0" w:color="000000"/>
            </w:tcBorders>
          </w:tcPr>
          <w:p w14:paraId="151331D8" w14:textId="77777777" w:rsidR="00236AB5" w:rsidRPr="008819AF" w:rsidRDefault="00236AB5" w:rsidP="00236AB5">
            <w:pPr>
              <w:pStyle w:val="Nadpis6"/>
              <w:jc w:val="left"/>
              <w:rPr>
                <w:rFonts w:ascii="Times New Roman" w:hAnsi="Times New Roman" w:cs="Times New Roman"/>
                <w:b w:val="0"/>
                <w:bCs w:val="0"/>
                <w:sz w:val="20"/>
                <w:szCs w:val="20"/>
              </w:rPr>
            </w:pPr>
          </w:p>
          <w:p w14:paraId="151331D9" w14:textId="77777777" w:rsidR="00236AB5" w:rsidRPr="008819AF" w:rsidRDefault="00236AB5" w:rsidP="00236AB5">
            <w:pPr>
              <w:ind w:left="215" w:hanging="215"/>
              <w:rPr>
                <w:rFonts w:eastAsia="Arial"/>
                <w:lang w:bidi="cs-CZ"/>
              </w:rPr>
            </w:pPr>
          </w:p>
          <w:p w14:paraId="151331DA" w14:textId="77777777" w:rsidR="00236AB5" w:rsidRPr="008819AF" w:rsidRDefault="00236AB5" w:rsidP="00236AB5">
            <w:pPr>
              <w:ind w:left="215" w:hanging="215"/>
              <w:rPr>
                <w:rFonts w:eastAsia="Arial"/>
                <w:lang w:bidi="cs-CZ"/>
              </w:rPr>
            </w:pPr>
          </w:p>
          <w:p w14:paraId="151331DB" w14:textId="77777777" w:rsidR="00236AB5" w:rsidRPr="008819AF" w:rsidRDefault="00236AB5" w:rsidP="00236AB5">
            <w:pPr>
              <w:rPr>
                <w:rFonts w:eastAsia="Arial"/>
                <w:lang w:bidi="cs-CZ"/>
              </w:rPr>
            </w:pPr>
          </w:p>
          <w:p w14:paraId="151331DC" w14:textId="77777777" w:rsidR="00236AB5" w:rsidRPr="008819AF" w:rsidRDefault="00236AB5" w:rsidP="00236AB5">
            <w:pPr>
              <w:rPr>
                <w:rFonts w:eastAsia="Arial"/>
                <w:lang w:bidi="cs-CZ"/>
              </w:rPr>
            </w:pPr>
          </w:p>
          <w:p w14:paraId="151331DD" w14:textId="77777777" w:rsidR="00236AB5" w:rsidRPr="008819AF" w:rsidRDefault="00236AB5" w:rsidP="00236AB5">
            <w:pPr>
              <w:rPr>
                <w:rFonts w:eastAsia="Arial"/>
                <w:lang w:bidi="cs-CZ"/>
              </w:rPr>
            </w:pPr>
          </w:p>
          <w:p w14:paraId="151331DE" w14:textId="77777777" w:rsidR="00236AB5" w:rsidRPr="008819AF" w:rsidRDefault="00236AB5" w:rsidP="00236AB5">
            <w:pPr>
              <w:rPr>
                <w:rFonts w:eastAsia="Arial"/>
                <w:lang w:bidi="cs-CZ"/>
              </w:rPr>
            </w:pPr>
          </w:p>
          <w:p w14:paraId="151331DF" w14:textId="77777777" w:rsidR="00236AB5" w:rsidRPr="008819AF" w:rsidRDefault="00236AB5" w:rsidP="00236AB5">
            <w:pPr>
              <w:rPr>
                <w:rFonts w:eastAsia="Arial"/>
                <w:lang w:bidi="cs-CZ"/>
              </w:rPr>
            </w:pPr>
          </w:p>
          <w:p w14:paraId="151331E0" w14:textId="77777777" w:rsidR="00236AB5" w:rsidRPr="008819AF" w:rsidRDefault="00236AB5" w:rsidP="00236AB5">
            <w:pPr>
              <w:rPr>
                <w:rFonts w:eastAsia="Arial"/>
                <w:lang w:bidi="cs-CZ"/>
              </w:rPr>
            </w:pPr>
          </w:p>
          <w:p w14:paraId="151331E1" w14:textId="77777777" w:rsidR="00236AB5" w:rsidRPr="008819AF" w:rsidRDefault="00236AB5" w:rsidP="00236AB5">
            <w:pPr>
              <w:rPr>
                <w:rFonts w:eastAsia="Arial"/>
                <w:lang w:bidi="cs-CZ"/>
              </w:rPr>
            </w:pPr>
          </w:p>
          <w:p w14:paraId="151331E2" w14:textId="77777777" w:rsidR="00236AB5" w:rsidRPr="008819AF" w:rsidRDefault="00236AB5" w:rsidP="00236AB5">
            <w:pPr>
              <w:rPr>
                <w:rFonts w:eastAsia="Arial"/>
                <w:lang w:bidi="cs-CZ"/>
              </w:rPr>
            </w:pPr>
          </w:p>
          <w:p w14:paraId="151331E3" w14:textId="77777777" w:rsidR="00236AB5" w:rsidRPr="008819AF" w:rsidRDefault="00236AB5" w:rsidP="00236AB5">
            <w:pPr>
              <w:rPr>
                <w:rFonts w:eastAsia="Arial"/>
                <w:lang w:bidi="cs-CZ"/>
              </w:rPr>
            </w:pPr>
          </w:p>
          <w:p w14:paraId="151331E4" w14:textId="77777777" w:rsidR="00236AB5" w:rsidRPr="008819AF" w:rsidRDefault="00236AB5" w:rsidP="00236AB5">
            <w:pPr>
              <w:rPr>
                <w:rFonts w:eastAsia="Arial"/>
                <w:lang w:bidi="cs-CZ"/>
              </w:rPr>
            </w:pPr>
          </w:p>
          <w:p w14:paraId="151331E5" w14:textId="77777777" w:rsidR="00236AB5" w:rsidRPr="008819AF" w:rsidRDefault="00236AB5" w:rsidP="00236AB5">
            <w:pPr>
              <w:rPr>
                <w:rFonts w:eastAsia="Arial"/>
                <w:lang w:bidi="cs-CZ"/>
              </w:rPr>
            </w:pPr>
          </w:p>
          <w:p w14:paraId="151331E6" w14:textId="77777777" w:rsidR="00236AB5" w:rsidRPr="008819AF" w:rsidRDefault="00236AB5" w:rsidP="00236AB5">
            <w:pPr>
              <w:rPr>
                <w:rFonts w:eastAsia="Arial"/>
                <w:lang w:bidi="cs-CZ"/>
              </w:rPr>
            </w:pPr>
          </w:p>
          <w:p w14:paraId="151331E7" w14:textId="77777777" w:rsidR="00236AB5" w:rsidRPr="008819AF" w:rsidRDefault="00236AB5" w:rsidP="00236AB5">
            <w:pPr>
              <w:rPr>
                <w:rFonts w:eastAsia="Arial"/>
                <w:lang w:bidi="cs-CZ"/>
              </w:rPr>
            </w:pPr>
          </w:p>
          <w:p w14:paraId="151331E8" w14:textId="77777777" w:rsidR="00236AB5" w:rsidRPr="008819AF" w:rsidRDefault="00236AB5" w:rsidP="00236AB5">
            <w:pPr>
              <w:rPr>
                <w:rFonts w:eastAsia="Arial"/>
                <w:lang w:bidi="cs-CZ"/>
              </w:rPr>
            </w:pPr>
          </w:p>
          <w:p w14:paraId="151331E9" w14:textId="77777777" w:rsidR="00236AB5" w:rsidRPr="008819AF" w:rsidRDefault="00236AB5" w:rsidP="00236AB5">
            <w:pPr>
              <w:rPr>
                <w:rFonts w:eastAsia="Arial"/>
                <w:lang w:bidi="cs-CZ"/>
              </w:rPr>
            </w:pPr>
          </w:p>
          <w:p w14:paraId="151331EA" w14:textId="77777777" w:rsidR="00236AB5" w:rsidRPr="008819AF" w:rsidRDefault="00236AB5" w:rsidP="00236AB5">
            <w:pPr>
              <w:rPr>
                <w:rFonts w:eastAsia="Arial"/>
                <w:lang w:bidi="cs-CZ"/>
              </w:rPr>
            </w:pPr>
          </w:p>
          <w:p w14:paraId="151331EB" w14:textId="77777777" w:rsidR="00236AB5" w:rsidRPr="008819AF" w:rsidRDefault="00236AB5" w:rsidP="00236AB5">
            <w:pPr>
              <w:rPr>
                <w:rFonts w:eastAsia="Arial"/>
                <w:lang w:bidi="cs-CZ"/>
              </w:rPr>
            </w:pPr>
          </w:p>
          <w:p w14:paraId="151331EC" w14:textId="77777777" w:rsidR="00236AB5" w:rsidRPr="008819AF" w:rsidRDefault="00236AB5" w:rsidP="00236AB5">
            <w:pPr>
              <w:rPr>
                <w:rFonts w:eastAsia="Arial"/>
                <w:lang w:bidi="cs-CZ"/>
              </w:rPr>
            </w:pPr>
          </w:p>
          <w:p w14:paraId="151331ED" w14:textId="77777777" w:rsidR="00236AB5" w:rsidRPr="008819AF" w:rsidRDefault="00236AB5" w:rsidP="00236AB5">
            <w:pPr>
              <w:rPr>
                <w:rFonts w:eastAsia="Arial"/>
                <w:lang w:bidi="cs-CZ"/>
              </w:rPr>
            </w:pPr>
          </w:p>
          <w:p w14:paraId="151331EE" w14:textId="77777777" w:rsidR="00236AB5" w:rsidRPr="008819AF" w:rsidRDefault="00236AB5" w:rsidP="00236AB5">
            <w:pPr>
              <w:rPr>
                <w:rFonts w:eastAsia="Arial"/>
                <w:lang w:bidi="cs-CZ"/>
              </w:rPr>
            </w:pPr>
          </w:p>
          <w:p w14:paraId="151331EF" w14:textId="77777777" w:rsidR="00236AB5" w:rsidRPr="008819AF" w:rsidRDefault="00236AB5" w:rsidP="00236AB5">
            <w:pPr>
              <w:rPr>
                <w:rFonts w:eastAsia="Arial"/>
                <w:lang w:bidi="cs-CZ"/>
              </w:rPr>
            </w:pPr>
          </w:p>
          <w:p w14:paraId="151331F0" w14:textId="77777777" w:rsidR="00236AB5" w:rsidRPr="008819AF" w:rsidRDefault="00236AB5" w:rsidP="00236AB5">
            <w:pPr>
              <w:rPr>
                <w:rFonts w:eastAsia="Arial"/>
                <w:lang w:bidi="cs-CZ"/>
              </w:rPr>
            </w:pPr>
          </w:p>
          <w:p w14:paraId="151331F1" w14:textId="77777777" w:rsidR="00236AB5" w:rsidRPr="008819AF" w:rsidRDefault="00236AB5" w:rsidP="00236AB5">
            <w:pPr>
              <w:rPr>
                <w:rFonts w:eastAsia="Arial"/>
                <w:lang w:bidi="cs-CZ"/>
              </w:rPr>
            </w:pPr>
          </w:p>
          <w:p w14:paraId="151331F2" w14:textId="77777777" w:rsidR="00236AB5" w:rsidRPr="008819AF" w:rsidRDefault="00236AB5" w:rsidP="00236AB5">
            <w:pPr>
              <w:rPr>
                <w:rFonts w:eastAsia="Arial"/>
                <w:lang w:bidi="cs-CZ"/>
              </w:rPr>
            </w:pPr>
          </w:p>
          <w:p w14:paraId="151331F3" w14:textId="77777777" w:rsidR="00236AB5" w:rsidRPr="008819AF" w:rsidRDefault="00236AB5" w:rsidP="00236AB5">
            <w:pPr>
              <w:rPr>
                <w:rFonts w:eastAsia="Arial"/>
                <w:lang w:bidi="cs-CZ"/>
              </w:rPr>
            </w:pPr>
          </w:p>
          <w:p w14:paraId="151331F4" w14:textId="77777777" w:rsidR="00236AB5" w:rsidRPr="008819AF" w:rsidRDefault="00236AB5" w:rsidP="00236AB5">
            <w:pPr>
              <w:rPr>
                <w:rFonts w:eastAsia="Arial"/>
                <w:lang w:bidi="cs-CZ"/>
              </w:rPr>
            </w:pPr>
          </w:p>
          <w:p w14:paraId="151331F5" w14:textId="77777777" w:rsidR="00236AB5" w:rsidRPr="008819AF" w:rsidRDefault="00236AB5" w:rsidP="00236AB5">
            <w:pPr>
              <w:rPr>
                <w:rFonts w:eastAsia="Arial"/>
              </w:rPr>
            </w:pPr>
            <w:r w:rsidRPr="008819AF">
              <w:rPr>
                <w:rFonts w:eastAsia="Arial"/>
              </w:rPr>
              <w:t>(2)</w:t>
            </w:r>
            <w:r w:rsidRPr="008819AF">
              <w:rPr>
                <w:rFonts w:eastAsia="Arial"/>
              </w:rPr>
              <w:tab/>
              <w:t>Pre veľké spaľovacie zariadenia začlenené ako jestvujúce zariadenia platia emisné limity uvedené v prílohe č. 4 tretej časti bodoch 2 až 6 tabuľkách A, ak nie je v odseku 6 ustanovené inak.</w:t>
            </w:r>
          </w:p>
          <w:p w14:paraId="151331F6" w14:textId="77777777" w:rsidR="00236AB5" w:rsidRPr="008819AF" w:rsidRDefault="00236AB5" w:rsidP="00236AB5">
            <w:pPr>
              <w:rPr>
                <w:rFonts w:eastAsia="Arial"/>
                <w:lang w:bidi="cs-CZ"/>
              </w:rPr>
            </w:pPr>
          </w:p>
          <w:p w14:paraId="151331F7" w14:textId="77777777" w:rsidR="00236AB5" w:rsidRPr="008819AF" w:rsidRDefault="00236AB5" w:rsidP="00236AB5">
            <w:pPr>
              <w:rPr>
                <w:rFonts w:eastAsia="Arial"/>
                <w:lang w:bidi="cs-CZ"/>
              </w:rPr>
            </w:pPr>
          </w:p>
          <w:p w14:paraId="151331F8" w14:textId="77777777" w:rsidR="00236AB5" w:rsidRPr="008819AF" w:rsidRDefault="00236AB5" w:rsidP="00236AB5">
            <w:pPr>
              <w:rPr>
                <w:rFonts w:eastAsia="Arial"/>
                <w:lang w:bidi="cs-CZ"/>
              </w:rPr>
            </w:pPr>
          </w:p>
          <w:p w14:paraId="151331F9" w14:textId="77777777" w:rsidR="00236AB5" w:rsidRPr="008819AF" w:rsidRDefault="00236AB5" w:rsidP="00236AB5">
            <w:pPr>
              <w:rPr>
                <w:rFonts w:eastAsia="Arial"/>
                <w:lang w:bidi="cs-CZ"/>
              </w:rPr>
            </w:pPr>
          </w:p>
          <w:p w14:paraId="151331FA" w14:textId="77777777" w:rsidR="00236AB5" w:rsidRPr="008819AF" w:rsidRDefault="00236AB5" w:rsidP="00236AB5">
            <w:pPr>
              <w:rPr>
                <w:rFonts w:eastAsia="Arial"/>
                <w:lang w:bidi="cs-CZ"/>
              </w:rPr>
            </w:pPr>
          </w:p>
          <w:p w14:paraId="151331FB" w14:textId="77777777" w:rsidR="00236AB5" w:rsidRPr="008819AF" w:rsidRDefault="00236AB5" w:rsidP="00236AB5">
            <w:pPr>
              <w:rPr>
                <w:rFonts w:eastAsia="Arial"/>
                <w:lang w:bidi="cs-CZ"/>
              </w:rPr>
            </w:pPr>
          </w:p>
          <w:p w14:paraId="151331FC" w14:textId="77777777" w:rsidR="00236AB5" w:rsidRPr="008819AF" w:rsidRDefault="00236AB5" w:rsidP="00236AB5">
            <w:pPr>
              <w:rPr>
                <w:rFonts w:eastAsia="Arial"/>
                <w:lang w:bidi="cs-CZ"/>
              </w:rPr>
            </w:pPr>
          </w:p>
          <w:p w14:paraId="151331FD" w14:textId="77777777" w:rsidR="00236AB5" w:rsidRPr="008819AF" w:rsidRDefault="00236AB5" w:rsidP="00236AB5">
            <w:pPr>
              <w:rPr>
                <w:rFonts w:eastAsia="Arial"/>
                <w:lang w:bidi="cs-CZ"/>
              </w:rPr>
            </w:pPr>
          </w:p>
          <w:p w14:paraId="151331FE" w14:textId="77777777" w:rsidR="00236AB5" w:rsidRPr="008819AF" w:rsidRDefault="00236AB5" w:rsidP="00236AB5">
            <w:pPr>
              <w:rPr>
                <w:rFonts w:eastAsia="Arial"/>
                <w:lang w:bidi="cs-CZ"/>
              </w:rPr>
            </w:pPr>
          </w:p>
          <w:p w14:paraId="151331FF" w14:textId="77777777" w:rsidR="00236AB5" w:rsidRPr="008819AF" w:rsidRDefault="00236AB5" w:rsidP="00236AB5">
            <w:pPr>
              <w:rPr>
                <w:rFonts w:eastAsia="Arial"/>
                <w:lang w:bidi="cs-CZ"/>
              </w:rPr>
            </w:pPr>
          </w:p>
          <w:p w14:paraId="15133200" w14:textId="77777777" w:rsidR="00236AB5" w:rsidRPr="008819AF" w:rsidRDefault="00236AB5" w:rsidP="00236AB5">
            <w:pPr>
              <w:rPr>
                <w:rFonts w:eastAsia="Arial"/>
                <w:lang w:bidi="cs-CZ"/>
              </w:rPr>
            </w:pPr>
          </w:p>
          <w:p w14:paraId="15133201" w14:textId="77777777" w:rsidR="00236AB5" w:rsidRPr="008819AF" w:rsidRDefault="00236AB5" w:rsidP="00236AB5">
            <w:pPr>
              <w:rPr>
                <w:rFonts w:eastAsia="Arial"/>
                <w:lang w:bidi="cs-CZ"/>
              </w:rPr>
            </w:pPr>
          </w:p>
          <w:p w14:paraId="15133202" w14:textId="77777777" w:rsidR="00236AB5" w:rsidRPr="008819AF" w:rsidRDefault="00236AB5" w:rsidP="00236AB5">
            <w:pPr>
              <w:rPr>
                <w:rFonts w:eastAsia="Arial"/>
                <w:lang w:bidi="cs-CZ"/>
              </w:rPr>
            </w:pPr>
          </w:p>
          <w:p w14:paraId="15133203" w14:textId="77777777" w:rsidR="00236AB5" w:rsidRPr="008819AF" w:rsidRDefault="00236AB5" w:rsidP="00236AB5">
            <w:pPr>
              <w:rPr>
                <w:rFonts w:eastAsia="Arial"/>
              </w:rPr>
            </w:pPr>
            <w:r w:rsidRPr="008819AF">
              <w:rPr>
                <w:rFonts w:eastAsia="Arial"/>
              </w:rPr>
              <w:t>(3) Pre veľké spaľovacie zariadenia začlenené ako nové zariadenia  platia  emisné limity uvedené v prílohe č. 4 tretej časti bodoch 3 až 7 tabuľkách B.</w:t>
            </w:r>
          </w:p>
          <w:p w14:paraId="15133204" w14:textId="77777777" w:rsidR="00236AB5" w:rsidRPr="008819AF" w:rsidRDefault="00236AB5" w:rsidP="00236AB5">
            <w:pPr>
              <w:rPr>
                <w:rFonts w:eastAsia="Arial"/>
                <w:lang w:bidi="cs-CZ"/>
              </w:rPr>
            </w:pPr>
          </w:p>
          <w:p w14:paraId="15133205" w14:textId="77777777" w:rsidR="00236AB5" w:rsidRPr="008819AF" w:rsidRDefault="00236AB5" w:rsidP="00236AB5">
            <w:pPr>
              <w:keepNext/>
              <w:jc w:val="both"/>
              <w:rPr>
                <w:rFonts w:eastAsia="Arial"/>
              </w:rPr>
            </w:pPr>
            <w:r w:rsidRPr="008819AF">
              <w:rPr>
                <w:rFonts w:eastAsia="Arial"/>
              </w:rPr>
              <w:t xml:space="preserve">3.2 Emisné limity  </w:t>
            </w:r>
          </w:p>
          <w:p w14:paraId="15133206" w14:textId="77777777" w:rsidR="00236AB5" w:rsidRPr="008819AF" w:rsidRDefault="00236AB5" w:rsidP="00236AB5">
            <w:pPr>
              <w:jc w:val="both"/>
              <w:rPr>
                <w:rFonts w:eastAsia="Arial"/>
              </w:rPr>
            </w:pPr>
            <w:r w:rsidRPr="008819AF">
              <w:rPr>
                <w:rFonts w:eastAsia="Arial"/>
              </w:rPr>
              <w:t xml:space="preserve">Na určenie celkového MTP spaľovacieho zariadenia platia agregačné pravidlá pre spaľovacie zariadenia uvedené v prílohe č. 4 prvej časti. Emisné limity pre </w:t>
            </w:r>
          </w:p>
          <w:p w14:paraId="15133207" w14:textId="77777777" w:rsidR="00236AB5" w:rsidRPr="008819AF" w:rsidRDefault="00236AB5" w:rsidP="00236AB5">
            <w:pPr>
              <w:pStyle w:val="Odsekzoznamu1"/>
              <w:numPr>
                <w:ilvl w:val="0"/>
                <w:numId w:val="89"/>
              </w:numPr>
              <w:ind w:left="459" w:hanging="284"/>
              <w:jc w:val="both"/>
              <w:rPr>
                <w:rFonts w:eastAsia="Arial"/>
                <w:sz w:val="20"/>
                <w:szCs w:val="20"/>
                <w:lang w:bidi="sk-SK"/>
              </w:rPr>
            </w:pPr>
            <w:r w:rsidRPr="008819AF">
              <w:rPr>
                <w:rFonts w:eastAsia="Arial"/>
                <w:sz w:val="20"/>
                <w:szCs w:val="20"/>
                <w:lang w:bidi="sk-SK"/>
              </w:rPr>
              <w:t>TZL, SO</w:t>
            </w:r>
            <w:r w:rsidRPr="008819AF">
              <w:rPr>
                <w:rFonts w:eastAsia="Arial"/>
                <w:sz w:val="20"/>
                <w:szCs w:val="20"/>
                <w:vertAlign w:val="subscript"/>
                <w:lang w:bidi="sk-SK"/>
              </w:rPr>
              <w:t>2</w:t>
            </w:r>
            <w:r w:rsidRPr="008819AF">
              <w:rPr>
                <w:rFonts w:eastAsia="Arial"/>
                <w:sz w:val="20"/>
                <w:szCs w:val="20"/>
                <w:lang w:bidi="sk-SK"/>
              </w:rPr>
              <w:t xml:space="preserve"> a NO</w:t>
            </w:r>
            <w:r w:rsidRPr="008819AF">
              <w:rPr>
                <w:rFonts w:eastAsia="Arial"/>
                <w:sz w:val="20"/>
                <w:szCs w:val="20"/>
                <w:vertAlign w:val="subscript"/>
                <w:lang w:bidi="sk-SK"/>
              </w:rPr>
              <w:t>x</w:t>
            </w:r>
            <w:r w:rsidRPr="008819AF">
              <w:rPr>
                <w:rFonts w:eastAsia="Arial"/>
                <w:sz w:val="20"/>
                <w:szCs w:val="20"/>
                <w:lang w:bidi="sk-SK"/>
              </w:rPr>
              <w:t xml:space="preserve"> sa určia podľa vzťahu v bode 1 tejto časti; hodnoty C</w:t>
            </w:r>
            <w:r w:rsidRPr="008819AF">
              <w:rPr>
                <w:rFonts w:eastAsia="Arial"/>
                <w:sz w:val="20"/>
                <w:szCs w:val="20"/>
                <w:vertAlign w:val="subscript"/>
                <w:lang w:bidi="sk-SK"/>
              </w:rPr>
              <w:t>proces</w:t>
            </w:r>
            <w:r w:rsidRPr="008819AF">
              <w:rPr>
                <w:rFonts w:eastAsia="Arial"/>
                <w:sz w:val="20"/>
                <w:szCs w:val="20"/>
                <w:lang w:bidi="sk-SK"/>
              </w:rPr>
              <w:t xml:space="preserve"> na výpočet emisného limitu pre tieto znečisťujúce látky sú uvedené v bodoch 3.2.1 až 3.2.3 podľa spaľovaného paliva,</w:t>
            </w:r>
          </w:p>
          <w:p w14:paraId="15133208" w14:textId="77777777" w:rsidR="00236AB5" w:rsidRPr="008819AF" w:rsidRDefault="00236AB5" w:rsidP="00236AB5">
            <w:pPr>
              <w:pStyle w:val="Odsekzoznamu1"/>
              <w:numPr>
                <w:ilvl w:val="0"/>
                <w:numId w:val="89"/>
              </w:numPr>
              <w:ind w:left="459" w:hanging="284"/>
              <w:jc w:val="both"/>
              <w:rPr>
                <w:rFonts w:eastAsia="Arial"/>
                <w:sz w:val="20"/>
                <w:szCs w:val="20"/>
                <w:lang w:bidi="sk-SK"/>
              </w:rPr>
            </w:pPr>
            <w:r w:rsidRPr="008819AF">
              <w:rPr>
                <w:rFonts w:eastAsia="Arial"/>
                <w:sz w:val="20"/>
                <w:szCs w:val="20"/>
                <w:lang w:bidi="sk-SK"/>
              </w:rPr>
              <w:t>ťažké kovy a PCDD + PCDF sú ustanovené v bode 3.2.4.</w:t>
            </w:r>
          </w:p>
          <w:p w14:paraId="15133209" w14:textId="77777777" w:rsidR="00236AB5" w:rsidRPr="008819AF" w:rsidRDefault="00236AB5" w:rsidP="00236AB5">
            <w:pPr>
              <w:rPr>
                <w:rFonts w:eastAsia="Arial"/>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320A"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20B" w14:textId="77777777" w:rsidR="00236AB5" w:rsidRPr="008819AF" w:rsidRDefault="00236AB5" w:rsidP="00236AB5">
            <w:pPr>
              <w:ind w:left="215" w:hanging="215"/>
              <w:rPr>
                <w:rFonts w:eastAsia="Arial"/>
              </w:rPr>
            </w:pPr>
          </w:p>
        </w:tc>
      </w:tr>
      <w:tr w:rsidR="00236AB5" w:rsidRPr="008819AF" w14:paraId="15133219"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320D"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20E" w14:textId="77777777" w:rsidR="00236AB5" w:rsidRPr="008819AF" w:rsidRDefault="00236AB5" w:rsidP="00236AB5">
            <w:pPr>
              <w:ind w:left="215" w:hanging="215"/>
              <w:rPr>
                <w:rFonts w:eastAsia="Arial"/>
              </w:rPr>
            </w:pPr>
          </w:p>
          <w:p w14:paraId="1513320F" w14:textId="77777777" w:rsidR="00236AB5" w:rsidRPr="008819AF" w:rsidRDefault="00236AB5" w:rsidP="00236AB5">
            <w:pPr>
              <w:ind w:left="215" w:hanging="215"/>
              <w:rPr>
                <w:rFonts w:eastAsia="Arial"/>
              </w:rPr>
            </w:pPr>
            <w:r w:rsidRPr="008819AF">
              <w:rPr>
                <w:rFonts w:eastAsia="Arial"/>
              </w:rPr>
              <w:t xml:space="preserve">7. Článok 58 sa uplatňuje od 1. júna 2015. Do tohto dátumu sa musia látky alebo zmesi, ktorým sú z dôvodu, že ich obsah prchavých organických zlúčenín je podľa nariadenia (ES)č. 1272/2008 klasifikovaný ako karcinogénny, mutagénny alebo toxický pre reprodukciu, priradené výstražné upozornenia H340,H350, H350i, H360D alebo H360F alebo </w:t>
            </w:r>
            <w:r w:rsidRPr="008819AF">
              <w:rPr>
                <w:rFonts w:eastAsia="Arial"/>
              </w:rPr>
              <w:lastRenderedPageBreak/>
              <w:t>rizikové vety R45, R46,R49, R60 alebo R61 alebo nimi musia byť označené, nahradiť podľa možnosti čo najmenej škodlivými látkami alebo zmesami v čo najkratšom možnom čase.</w:t>
            </w:r>
          </w:p>
          <w:p w14:paraId="15133210" w14:textId="77777777" w:rsidR="00236AB5" w:rsidRPr="008819AF" w:rsidRDefault="00236AB5" w:rsidP="00236AB5">
            <w:pPr>
              <w:ind w:left="215" w:hanging="215"/>
              <w:rPr>
                <w:rFonts w:eastAsia="Arial"/>
              </w:rPr>
            </w:pPr>
          </w:p>
          <w:p w14:paraId="15133211" w14:textId="77777777" w:rsidR="00236AB5" w:rsidRPr="008819AF" w:rsidRDefault="00236AB5" w:rsidP="00236AB5">
            <w:pPr>
              <w:ind w:left="215" w:hanging="215"/>
              <w:rPr>
                <w:rFonts w:eastAsia="Arial"/>
              </w:rPr>
            </w:pPr>
            <w:r w:rsidRPr="008819AF">
              <w:rPr>
                <w:rFonts w:eastAsia="Arial"/>
              </w:rPr>
              <w:t>8. Článok 59 ods. 5 sa uplatňuje od 1. júna 2015. Do tohto dátumu emisie buď prchavých organických zlúčenín, ktorým sú priradené výstražné upozornenia H340, H350, H350i, H360Dalebo H360F alebo rizikové vety R45, R46, R49, R60 alebo R61alebo nimi musia byť označené, alebo emisie halogénovaných prchavých organických zlúčenín, ktorým sú priradené výstražné upozornenia H341 alebo H351 alebo rizikové vety R40alebo R68 alebo nimi musia byť označené, sa musia používať za riadených podmienok, pokiaľ je to z technického a ekonomického hľadiska možné, aby sa zabezpečila ochrana ľudského zdravia a životného prostredia, a nesmú prekročiť príslušné emisné limity stanovené v prílohe VII časť 4.</w:t>
            </w:r>
          </w:p>
          <w:p w14:paraId="15133212" w14:textId="77777777" w:rsidR="00236AB5" w:rsidRPr="008819AF" w:rsidRDefault="00236AB5" w:rsidP="00236AB5">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213"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214" w14:textId="77777777" w:rsidR="00236AB5" w:rsidRPr="008819AF" w:rsidRDefault="00236AB5"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215" w14:textId="77777777" w:rsidR="00236AB5" w:rsidRPr="008819AF" w:rsidRDefault="00236AB5" w:rsidP="00236AB5">
            <w:pPr>
              <w:jc w:val="cente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216" w14:textId="77777777" w:rsidR="00236AB5" w:rsidRPr="008819AF" w:rsidRDefault="00236AB5" w:rsidP="00236AB5">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3217"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218" w14:textId="77777777" w:rsidR="00236AB5" w:rsidRPr="008819AF" w:rsidRDefault="00236AB5" w:rsidP="00236AB5">
            <w:pPr>
              <w:ind w:left="215" w:hanging="215"/>
              <w:rPr>
                <w:rFonts w:eastAsia="Arial"/>
              </w:rPr>
            </w:pPr>
          </w:p>
        </w:tc>
      </w:tr>
      <w:tr w:rsidR="00236AB5" w:rsidRPr="008819AF" w14:paraId="15133222"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1513321A"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21B" w14:textId="77777777" w:rsidR="00236AB5" w:rsidRPr="008819AF" w:rsidRDefault="00236AB5" w:rsidP="00236AB5">
            <w:pPr>
              <w:ind w:left="215" w:hanging="215"/>
              <w:rPr>
                <w:rFonts w:eastAsia="Arial"/>
              </w:rPr>
            </w:pPr>
            <w:r w:rsidRPr="008819AF">
              <w:rPr>
                <w:rFonts w:eastAsia="Arial"/>
              </w:rPr>
              <w:t>9. Príloha VII časť 4 bod 2 sa uplatňuje od 1. júna 2015. Do tohto dátumu musí byť pri emisiách halogénovaných prchavých organických zlúčenín, ktorým je priradené výstražné upozornenie H341 alebo H351 alebo rizikové vety R40 alebo R68, alebo ktoré musia byť nimi označené, kde je hmotnostný prietok súčtu zlúčením, ktorý je príčinou výstražného upozornenia H341 alebo H351 alebo označenie R40 či R68, väčší ako 100 g/hod, alebo sa rovná tejto hodnote, dodržaná emisný limit20 mg/Nm3. Emisný limit sa vzťahuje na súčet hmotností jednotlivých zlúčenín.</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21C"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21D" w14:textId="77777777" w:rsidR="00236AB5" w:rsidRPr="008819AF" w:rsidRDefault="00236AB5"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21E" w14:textId="77777777" w:rsidR="00236AB5" w:rsidRPr="008819AF" w:rsidRDefault="00236AB5" w:rsidP="00236AB5">
            <w:pPr>
              <w:jc w:val="cente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21F" w14:textId="77777777" w:rsidR="00236AB5" w:rsidRPr="008819AF" w:rsidRDefault="00236AB5" w:rsidP="00236AB5">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3220"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221" w14:textId="77777777" w:rsidR="00236AB5" w:rsidRPr="008819AF" w:rsidRDefault="00236AB5" w:rsidP="00236AB5">
            <w:pPr>
              <w:ind w:left="215" w:hanging="215"/>
              <w:rPr>
                <w:rFonts w:eastAsia="Arial"/>
              </w:rPr>
            </w:pPr>
          </w:p>
        </w:tc>
      </w:tr>
      <w:tr w:rsidR="00236AB5" w:rsidRPr="008819AF" w14:paraId="1513322D"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223" w14:textId="77777777" w:rsidR="00236AB5" w:rsidRPr="008819AF" w:rsidRDefault="00236AB5" w:rsidP="00236AB5">
            <w:pPr>
              <w:ind w:right="-70"/>
              <w:rPr>
                <w:rFonts w:eastAsia="Arial"/>
                <w:lang w:bidi="cs-CZ"/>
              </w:rPr>
            </w:pPr>
            <w:r w:rsidRPr="008819AF">
              <w:rPr>
                <w:rFonts w:eastAsia="Arial"/>
                <w:lang w:bidi="cs-CZ"/>
              </w:rPr>
              <w:t>Č:83</w:t>
            </w:r>
          </w:p>
        </w:tc>
        <w:tc>
          <w:tcPr>
            <w:tcW w:w="6227" w:type="dxa"/>
            <w:gridSpan w:val="2"/>
            <w:tcBorders>
              <w:top w:val="single" w:sz="4" w:space="0" w:color="000000"/>
              <w:left w:val="single" w:sz="6" w:space="0" w:color="000000"/>
              <w:bottom w:val="single" w:sz="6" w:space="0" w:color="000000"/>
              <w:right w:val="single" w:sz="6" w:space="0" w:color="000000"/>
            </w:tcBorders>
          </w:tcPr>
          <w:p w14:paraId="15133224" w14:textId="77777777" w:rsidR="00236AB5" w:rsidRPr="008819AF" w:rsidRDefault="00236AB5" w:rsidP="00236AB5">
            <w:pPr>
              <w:ind w:left="215" w:hanging="215"/>
              <w:rPr>
                <w:rFonts w:eastAsia="Arial"/>
              </w:rPr>
            </w:pPr>
            <w:r w:rsidRPr="008819AF">
              <w:rPr>
                <w:rFonts w:eastAsia="Arial"/>
              </w:rPr>
              <w:t>Článok 83</w:t>
            </w:r>
          </w:p>
          <w:p w14:paraId="15133225" w14:textId="77777777" w:rsidR="00236AB5" w:rsidRPr="008819AF" w:rsidRDefault="00236AB5" w:rsidP="00236AB5">
            <w:pPr>
              <w:ind w:left="215" w:hanging="215"/>
              <w:rPr>
                <w:rFonts w:eastAsia="Arial"/>
              </w:rPr>
            </w:pPr>
            <w:r w:rsidRPr="008819AF">
              <w:rPr>
                <w:rFonts w:eastAsia="Arial"/>
              </w:rPr>
              <w:t>Nadobudnutie účinnosti</w:t>
            </w:r>
          </w:p>
          <w:p w14:paraId="15133226" w14:textId="77777777" w:rsidR="00236AB5" w:rsidRPr="008819AF" w:rsidRDefault="00236AB5" w:rsidP="00236AB5">
            <w:pPr>
              <w:ind w:left="215" w:hanging="1"/>
              <w:rPr>
                <w:rFonts w:eastAsia="Arial"/>
              </w:rPr>
            </w:pPr>
            <w:r w:rsidRPr="008819AF">
              <w:rPr>
                <w:rFonts w:eastAsia="Arial"/>
              </w:rPr>
              <w:t>Táto smernica nadobúda účinnosť dvadsiatym dňom po jej uverejnení v Úradnom vestníku Európskej únie.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227" w14:textId="77777777" w:rsidR="00236AB5" w:rsidRPr="008819AF" w:rsidRDefault="00236AB5" w:rsidP="00236AB5">
            <w:pPr>
              <w:ind w:left="215" w:hanging="215"/>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6" w:space="0" w:color="000000"/>
              <w:right w:val="single" w:sz="6" w:space="0" w:color="000000"/>
            </w:tcBorders>
          </w:tcPr>
          <w:p w14:paraId="15133228"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229" w14:textId="77777777" w:rsidR="00236AB5" w:rsidRPr="008819AF" w:rsidRDefault="00236AB5" w:rsidP="00236AB5">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22A"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22B"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22C" w14:textId="77777777" w:rsidR="00236AB5" w:rsidRPr="008819AF" w:rsidRDefault="00236AB5" w:rsidP="00236AB5">
            <w:pPr>
              <w:ind w:left="215" w:hanging="215"/>
              <w:rPr>
                <w:rFonts w:eastAsia="Arial"/>
              </w:rPr>
            </w:pPr>
          </w:p>
        </w:tc>
      </w:tr>
      <w:tr w:rsidR="00236AB5" w:rsidRPr="008819AF" w14:paraId="1513323F"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22E" w14:textId="77777777" w:rsidR="00236AB5" w:rsidRPr="008819AF" w:rsidRDefault="00236AB5" w:rsidP="00236AB5">
            <w:pPr>
              <w:ind w:right="-70"/>
              <w:rPr>
                <w:rFonts w:eastAsia="Arial"/>
                <w:lang w:bidi="cs-CZ"/>
              </w:rPr>
            </w:pPr>
            <w:r w:rsidRPr="008819AF">
              <w:rPr>
                <w:rFonts w:eastAsia="Arial"/>
                <w:lang w:bidi="cs-CZ"/>
              </w:rPr>
              <w:t>Č:84</w:t>
            </w:r>
          </w:p>
        </w:tc>
        <w:tc>
          <w:tcPr>
            <w:tcW w:w="6227" w:type="dxa"/>
            <w:gridSpan w:val="2"/>
            <w:tcBorders>
              <w:top w:val="single" w:sz="4" w:space="0" w:color="000000"/>
              <w:left w:val="single" w:sz="6" w:space="0" w:color="000000"/>
              <w:bottom w:val="single" w:sz="6" w:space="0" w:color="000000"/>
              <w:right w:val="single" w:sz="6" w:space="0" w:color="000000"/>
            </w:tcBorders>
          </w:tcPr>
          <w:p w14:paraId="1513322F" w14:textId="77777777" w:rsidR="00236AB5" w:rsidRPr="008819AF" w:rsidRDefault="00236AB5" w:rsidP="00236AB5">
            <w:pPr>
              <w:rPr>
                <w:rFonts w:eastAsia="Arial"/>
              </w:rPr>
            </w:pPr>
            <w:r w:rsidRPr="008819AF">
              <w:rPr>
                <w:rFonts w:eastAsia="Arial"/>
              </w:rPr>
              <w:t>Článok 84</w:t>
            </w:r>
          </w:p>
          <w:p w14:paraId="15133230" w14:textId="77777777" w:rsidR="00236AB5" w:rsidRPr="008819AF" w:rsidRDefault="00236AB5" w:rsidP="00236AB5">
            <w:pPr>
              <w:rPr>
                <w:rFonts w:eastAsia="Arial"/>
              </w:rPr>
            </w:pPr>
            <w:r w:rsidRPr="008819AF">
              <w:rPr>
                <w:rFonts w:eastAsia="Arial"/>
              </w:rPr>
              <w:t>Adresáti</w:t>
            </w:r>
          </w:p>
          <w:p w14:paraId="15133231" w14:textId="77777777" w:rsidR="00236AB5" w:rsidRPr="008819AF" w:rsidRDefault="00236AB5" w:rsidP="00236AB5">
            <w:pPr>
              <w:rPr>
                <w:rFonts w:eastAsia="Arial"/>
              </w:rPr>
            </w:pPr>
            <w:r w:rsidRPr="008819AF">
              <w:rPr>
                <w:rFonts w:eastAsia="Arial"/>
              </w:rPr>
              <w:t>Táto smernica je určená členským štátom.</w:t>
            </w:r>
          </w:p>
          <w:p w14:paraId="15133232" w14:textId="77777777" w:rsidR="00236AB5" w:rsidRPr="008819AF" w:rsidRDefault="00236AB5" w:rsidP="00236AB5">
            <w:pPr>
              <w:rPr>
                <w:rFonts w:eastAsia="Arial"/>
              </w:rPr>
            </w:pPr>
            <w:r w:rsidRPr="008819AF">
              <w:rPr>
                <w:rFonts w:eastAsia="Arial"/>
              </w:rPr>
              <w:t>V Štrasburgu 24. novembra 2010</w:t>
            </w:r>
          </w:p>
          <w:p w14:paraId="15133233" w14:textId="77777777" w:rsidR="00236AB5" w:rsidRPr="008819AF" w:rsidRDefault="00236AB5" w:rsidP="00236AB5">
            <w:pPr>
              <w:rPr>
                <w:rFonts w:eastAsia="Arial"/>
              </w:rPr>
            </w:pPr>
            <w:r w:rsidRPr="008819AF">
              <w:rPr>
                <w:rFonts w:eastAsia="Arial"/>
              </w:rPr>
              <w:t>Za Európsky parlament</w:t>
            </w:r>
          </w:p>
          <w:p w14:paraId="15133234" w14:textId="77777777" w:rsidR="00236AB5" w:rsidRPr="008819AF" w:rsidRDefault="00236AB5" w:rsidP="00236AB5">
            <w:pPr>
              <w:rPr>
                <w:rFonts w:eastAsia="Arial"/>
              </w:rPr>
            </w:pPr>
            <w:r w:rsidRPr="008819AF">
              <w:rPr>
                <w:rFonts w:eastAsia="Arial"/>
              </w:rPr>
              <w:t>predseda</w:t>
            </w:r>
          </w:p>
          <w:p w14:paraId="15133235" w14:textId="77777777" w:rsidR="00236AB5" w:rsidRPr="008819AF" w:rsidRDefault="00236AB5" w:rsidP="00236AB5">
            <w:pPr>
              <w:rPr>
                <w:rFonts w:eastAsia="Arial"/>
              </w:rPr>
            </w:pPr>
            <w:r w:rsidRPr="008819AF">
              <w:rPr>
                <w:rFonts w:eastAsia="Arial"/>
              </w:rPr>
              <w:t>J. BUZEK</w:t>
            </w:r>
          </w:p>
          <w:p w14:paraId="15133236" w14:textId="77777777" w:rsidR="00236AB5" w:rsidRPr="008819AF" w:rsidRDefault="00236AB5" w:rsidP="00236AB5">
            <w:pPr>
              <w:rPr>
                <w:rFonts w:eastAsia="Arial"/>
              </w:rPr>
            </w:pPr>
            <w:r w:rsidRPr="008819AF">
              <w:rPr>
                <w:rFonts w:eastAsia="Arial"/>
              </w:rPr>
              <w:t>Za Radu</w:t>
            </w:r>
          </w:p>
          <w:p w14:paraId="15133237" w14:textId="77777777" w:rsidR="00236AB5" w:rsidRPr="008819AF" w:rsidRDefault="00236AB5" w:rsidP="00236AB5">
            <w:pPr>
              <w:rPr>
                <w:rFonts w:eastAsia="Arial"/>
              </w:rPr>
            </w:pPr>
            <w:r w:rsidRPr="008819AF">
              <w:rPr>
                <w:rFonts w:eastAsia="Arial"/>
              </w:rPr>
              <w:t>predseda</w:t>
            </w:r>
          </w:p>
          <w:p w14:paraId="15133238" w14:textId="77777777" w:rsidR="00236AB5" w:rsidRPr="008819AF" w:rsidRDefault="00236AB5" w:rsidP="00236AB5">
            <w:pPr>
              <w:rPr>
                <w:rFonts w:eastAsia="Arial"/>
              </w:rPr>
            </w:pPr>
            <w:r w:rsidRPr="008819AF">
              <w:rPr>
                <w:rFonts w:eastAsia="Arial"/>
              </w:rPr>
              <w:t>O. CHASTEL</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239" w14:textId="77777777" w:rsidR="00236AB5" w:rsidRPr="008819AF" w:rsidRDefault="00236AB5" w:rsidP="00236AB5">
            <w:pPr>
              <w:ind w:left="215" w:hanging="215"/>
              <w:jc w:val="center"/>
              <w:rPr>
                <w:rFonts w:eastAsia="Arial"/>
                <w:lang w:bidi="cs-CZ"/>
              </w:rPr>
            </w:pPr>
            <w:r w:rsidRPr="008819AF">
              <w:rPr>
                <w:rFonts w:eastAsia="Arial"/>
                <w:lang w:bidi="cs-CZ"/>
              </w:rPr>
              <w:t>n.a.</w:t>
            </w:r>
          </w:p>
        </w:tc>
        <w:tc>
          <w:tcPr>
            <w:tcW w:w="543" w:type="dxa"/>
            <w:gridSpan w:val="2"/>
            <w:tcBorders>
              <w:top w:val="single" w:sz="4" w:space="0" w:color="000000"/>
              <w:left w:val="single" w:sz="6" w:space="0" w:color="000000"/>
              <w:bottom w:val="single" w:sz="6" w:space="0" w:color="000000"/>
              <w:right w:val="single" w:sz="6" w:space="0" w:color="000000"/>
            </w:tcBorders>
          </w:tcPr>
          <w:p w14:paraId="1513323A"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23B" w14:textId="77777777" w:rsidR="00236AB5" w:rsidRPr="008819AF" w:rsidRDefault="00236AB5" w:rsidP="00236AB5">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23C"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23D"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23E" w14:textId="77777777" w:rsidR="00236AB5" w:rsidRPr="008819AF" w:rsidRDefault="00236AB5" w:rsidP="00236AB5">
            <w:pPr>
              <w:ind w:left="215" w:hanging="215"/>
              <w:rPr>
                <w:rFonts w:eastAsia="Arial"/>
              </w:rPr>
            </w:pPr>
          </w:p>
        </w:tc>
      </w:tr>
      <w:tr w:rsidR="00236AB5" w:rsidRPr="008819AF" w14:paraId="15133248"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240" w14:textId="77777777" w:rsidR="00236AB5" w:rsidRPr="008819AF" w:rsidRDefault="00236AB5" w:rsidP="00236AB5">
            <w:pPr>
              <w:ind w:right="-70"/>
              <w:rPr>
                <w:rFonts w:eastAsia="Arial"/>
                <w:lang w:bidi="cs-CZ"/>
              </w:rPr>
            </w:pPr>
            <w:r w:rsidRPr="008819AF">
              <w:rPr>
                <w:rFonts w:eastAsia="Arial"/>
                <w:lang w:bidi="cs-CZ"/>
              </w:rPr>
              <w:lastRenderedPageBreak/>
              <w:t>PRÍLOHA I</w:t>
            </w:r>
          </w:p>
        </w:tc>
        <w:tc>
          <w:tcPr>
            <w:tcW w:w="6227" w:type="dxa"/>
            <w:gridSpan w:val="2"/>
            <w:tcBorders>
              <w:top w:val="single" w:sz="4" w:space="0" w:color="000000"/>
              <w:left w:val="single" w:sz="6" w:space="0" w:color="000000"/>
              <w:bottom w:val="single" w:sz="6" w:space="0" w:color="000000"/>
              <w:right w:val="single" w:sz="6" w:space="0" w:color="000000"/>
            </w:tcBorders>
          </w:tcPr>
          <w:p w14:paraId="15133241" w14:textId="77777777" w:rsidR="00236AB5" w:rsidRPr="008819AF" w:rsidRDefault="00236AB5" w:rsidP="00236AB5">
            <w:pPr>
              <w:rPr>
                <w:rFonts w:eastAsia="Arial"/>
                <w:b/>
                <w:bCs/>
              </w:rPr>
            </w:pPr>
            <w:r w:rsidRPr="008819AF">
              <w:rPr>
                <w:rFonts w:eastAsia="Arial"/>
                <w:b/>
                <w:bCs/>
              </w:rPr>
              <w:t>Kategórie činnosti uvedených v článku 10.</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242"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243"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244" w14:textId="77777777" w:rsidR="00236AB5" w:rsidRPr="008819AF" w:rsidRDefault="00236AB5" w:rsidP="00236AB5">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245"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246"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247" w14:textId="77777777" w:rsidR="00236AB5" w:rsidRPr="008819AF" w:rsidRDefault="00236AB5" w:rsidP="00236AB5">
            <w:pPr>
              <w:pStyle w:val="Nadpis6"/>
              <w:jc w:val="left"/>
              <w:rPr>
                <w:rFonts w:ascii="Times New Roman" w:hAnsi="Times New Roman" w:cs="Times New Roman"/>
                <w:b w:val="0"/>
                <w:bCs w:val="0"/>
                <w:sz w:val="20"/>
                <w:szCs w:val="20"/>
              </w:rPr>
            </w:pPr>
          </w:p>
        </w:tc>
      </w:tr>
      <w:tr w:rsidR="00236AB5" w:rsidRPr="008819AF" w14:paraId="151332CC"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249"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24A" w14:textId="77777777" w:rsidR="00236AB5" w:rsidRPr="008819AF" w:rsidRDefault="00236AB5" w:rsidP="00236AB5">
            <w:pPr>
              <w:rPr>
                <w:rFonts w:eastAsia="Arial"/>
              </w:rPr>
            </w:pPr>
          </w:p>
          <w:p w14:paraId="1513324B" w14:textId="77777777" w:rsidR="00236AB5" w:rsidRPr="008819AF" w:rsidRDefault="00236AB5" w:rsidP="00236AB5">
            <w:pPr>
              <w:rPr>
                <w:rFonts w:eastAsia="Arial"/>
              </w:rPr>
            </w:pPr>
            <w:r w:rsidRPr="008819AF">
              <w:rPr>
                <w:rFonts w:eastAsia="Arial"/>
              </w:rPr>
              <w:t>Ďalej uvedené prahové hodnoty sa všeobecne vzťahujú na výrobné kapacity alebo výstupy. Ak sa niekoľko činností spadajúcich do toho istého opisu činnosti s prahom vykonáva v tom istom zariadení, kapacity týchto činností sa spočítajú. V prípade činností odpadového hospodárstva sa tento výpočet použije na úrovni činností v bode 5.1, bode 5.3 písm. a) a bode 5.3 písm. b).</w:t>
            </w:r>
          </w:p>
          <w:p w14:paraId="1513324C" w14:textId="77777777" w:rsidR="00236AB5" w:rsidRPr="008819AF" w:rsidRDefault="00236AB5" w:rsidP="00236AB5">
            <w:pPr>
              <w:rPr>
                <w:rFonts w:eastAsia="Arial"/>
              </w:rPr>
            </w:pPr>
            <w:r w:rsidRPr="008819AF">
              <w:rPr>
                <w:rFonts w:eastAsia="Arial"/>
              </w:rPr>
              <w:t>Komisia stanoví usmernenia k:</w:t>
            </w:r>
          </w:p>
          <w:p w14:paraId="1513324D" w14:textId="77777777" w:rsidR="00236AB5" w:rsidRPr="008819AF" w:rsidRDefault="00236AB5" w:rsidP="00236AB5">
            <w:pPr>
              <w:numPr>
                <w:ilvl w:val="0"/>
                <w:numId w:val="53"/>
              </w:numPr>
              <w:ind w:left="405" w:hanging="360"/>
              <w:rPr>
                <w:rFonts w:eastAsia="Arial"/>
              </w:rPr>
            </w:pPr>
            <w:r w:rsidRPr="008819AF">
              <w:rPr>
                <w:rFonts w:eastAsia="Arial"/>
              </w:rPr>
              <w:t>vzťahu medzi činnosťami odpadového hospodárstva uvedenými v tejto prílohe a činnosťami uvedenými v prílohách I a II smernice 2008/98/ES; a</w:t>
            </w:r>
          </w:p>
          <w:p w14:paraId="1513324E" w14:textId="77777777" w:rsidR="00236AB5" w:rsidRPr="008819AF" w:rsidRDefault="00236AB5" w:rsidP="00236AB5">
            <w:pPr>
              <w:numPr>
                <w:ilvl w:val="0"/>
                <w:numId w:val="53"/>
              </w:numPr>
              <w:ind w:left="405" w:hanging="360"/>
              <w:rPr>
                <w:rFonts w:eastAsia="Arial"/>
              </w:rPr>
            </w:pPr>
            <w:r w:rsidRPr="008819AF">
              <w:rPr>
                <w:rFonts w:eastAsia="Arial"/>
              </w:rPr>
              <w:t>výkladu pojmu „v priemyselnom meradle“, pokiaľ ide o opis činností chemického priemyslu uvedených v tejto prílohe.</w:t>
            </w:r>
          </w:p>
          <w:p w14:paraId="1513324F" w14:textId="77777777" w:rsidR="00236AB5" w:rsidRPr="008819AF" w:rsidRDefault="00236AB5" w:rsidP="00236AB5">
            <w:pPr>
              <w:ind w:left="215" w:hanging="215"/>
              <w:rPr>
                <w:rFonts w:eastAsia="Arial"/>
              </w:rPr>
            </w:pPr>
          </w:p>
          <w:p w14:paraId="15133250" w14:textId="77777777" w:rsidR="00236AB5" w:rsidRPr="008819AF" w:rsidRDefault="00236AB5" w:rsidP="00236AB5">
            <w:pPr>
              <w:rPr>
                <w:rFonts w:eastAsia="Arial"/>
              </w:rPr>
            </w:pPr>
            <w:r w:rsidRPr="008819AF">
              <w:rPr>
                <w:rFonts w:eastAsia="Arial"/>
              </w:rPr>
              <w:t>1. Energetika</w:t>
            </w:r>
          </w:p>
          <w:p w14:paraId="15133251" w14:textId="77777777" w:rsidR="00236AB5" w:rsidRPr="008819AF" w:rsidRDefault="00236AB5" w:rsidP="00236AB5">
            <w:pPr>
              <w:rPr>
                <w:rFonts w:eastAsia="Arial"/>
              </w:rPr>
            </w:pPr>
            <w:r w:rsidRPr="008819AF">
              <w:rPr>
                <w:rFonts w:eastAsia="Arial"/>
              </w:rPr>
              <w:t>1.1. Spaľovanie palív v zariadeniach s celkovým menovitým tepelným príkonom 50 MW alebo viac</w:t>
            </w:r>
          </w:p>
          <w:p w14:paraId="15133252" w14:textId="77777777" w:rsidR="00236AB5" w:rsidRPr="008819AF" w:rsidRDefault="00236AB5" w:rsidP="00236AB5">
            <w:pPr>
              <w:rPr>
                <w:rFonts w:eastAsia="Arial"/>
              </w:rPr>
            </w:pPr>
            <w:r w:rsidRPr="008819AF">
              <w:rPr>
                <w:rFonts w:eastAsia="Arial"/>
              </w:rPr>
              <w:t>1.2. Rafinácia minerálnych olejov a plynov</w:t>
            </w:r>
          </w:p>
          <w:p w14:paraId="15133253" w14:textId="77777777" w:rsidR="00236AB5" w:rsidRPr="008819AF" w:rsidRDefault="00236AB5" w:rsidP="00236AB5">
            <w:pPr>
              <w:rPr>
                <w:rFonts w:eastAsia="Arial"/>
              </w:rPr>
            </w:pPr>
            <w:r w:rsidRPr="008819AF">
              <w:rPr>
                <w:rFonts w:eastAsia="Arial"/>
              </w:rPr>
              <w:t>1.3. Výroba koksu</w:t>
            </w:r>
          </w:p>
          <w:p w14:paraId="15133254" w14:textId="77777777" w:rsidR="00236AB5" w:rsidRPr="008819AF" w:rsidRDefault="00236AB5" w:rsidP="00236AB5">
            <w:pPr>
              <w:rPr>
                <w:rFonts w:eastAsia="Arial"/>
              </w:rPr>
            </w:pPr>
            <w:r w:rsidRPr="008819AF">
              <w:rPr>
                <w:rFonts w:eastAsia="Arial"/>
              </w:rPr>
              <w:t>1.4. Splyňovanie alebo skvapalňovanie:</w:t>
            </w:r>
          </w:p>
          <w:p w14:paraId="15133255" w14:textId="77777777" w:rsidR="00236AB5" w:rsidRPr="008819AF" w:rsidRDefault="00236AB5" w:rsidP="00236AB5">
            <w:pPr>
              <w:numPr>
                <w:ilvl w:val="0"/>
                <w:numId w:val="54"/>
              </w:numPr>
              <w:ind w:left="215" w:hanging="215"/>
              <w:rPr>
                <w:rFonts w:eastAsia="Arial"/>
              </w:rPr>
            </w:pPr>
            <w:r w:rsidRPr="008819AF">
              <w:rPr>
                <w:rFonts w:eastAsia="Arial"/>
              </w:rPr>
              <w:t>a) uhlia;</w:t>
            </w:r>
          </w:p>
          <w:p w14:paraId="15133256" w14:textId="77777777" w:rsidR="00236AB5" w:rsidRPr="008819AF" w:rsidRDefault="00236AB5" w:rsidP="00236AB5">
            <w:pPr>
              <w:numPr>
                <w:ilvl w:val="0"/>
                <w:numId w:val="54"/>
              </w:numPr>
              <w:rPr>
                <w:rFonts w:eastAsia="Arial"/>
              </w:rPr>
            </w:pPr>
            <w:r w:rsidRPr="008819AF">
              <w:rPr>
                <w:rFonts w:eastAsia="Arial"/>
              </w:rPr>
              <w:t>b) iných palív v zariadeniach s celkovým menovitým tepelným príkonom 20 MW alebo viac.</w:t>
            </w:r>
          </w:p>
          <w:p w14:paraId="15133257" w14:textId="77777777" w:rsidR="00236AB5" w:rsidRPr="008819AF" w:rsidRDefault="00236AB5" w:rsidP="00236AB5">
            <w:pPr>
              <w:ind w:left="215" w:hanging="215"/>
              <w:rPr>
                <w:rFonts w:eastAsia="Arial"/>
              </w:rPr>
            </w:pPr>
          </w:p>
          <w:p w14:paraId="15133258" w14:textId="77777777" w:rsidR="00236AB5" w:rsidRPr="008819AF" w:rsidRDefault="00236AB5" w:rsidP="00236AB5">
            <w:pPr>
              <w:rPr>
                <w:rFonts w:eastAsia="Arial"/>
              </w:rPr>
            </w:pPr>
            <w:r w:rsidRPr="008819AF">
              <w:rPr>
                <w:rFonts w:eastAsia="Arial"/>
              </w:rPr>
              <w:t>2. Výroba a spracovanie kovov</w:t>
            </w:r>
          </w:p>
          <w:p w14:paraId="15133259" w14:textId="77777777" w:rsidR="00236AB5" w:rsidRPr="008819AF" w:rsidRDefault="00236AB5" w:rsidP="00236AB5">
            <w:pPr>
              <w:rPr>
                <w:rFonts w:eastAsia="Arial"/>
              </w:rPr>
            </w:pPr>
            <w:r w:rsidRPr="008819AF">
              <w:rPr>
                <w:rFonts w:eastAsia="Arial"/>
              </w:rPr>
              <w:t>2.1. Praženie alebo spekanie kovovej rudy (vrátane sírnikovej rudy)</w:t>
            </w:r>
          </w:p>
          <w:p w14:paraId="1513325A" w14:textId="77777777" w:rsidR="00236AB5" w:rsidRPr="008819AF" w:rsidRDefault="00236AB5" w:rsidP="00236AB5">
            <w:pPr>
              <w:rPr>
                <w:rFonts w:eastAsia="Arial"/>
              </w:rPr>
            </w:pPr>
            <w:r w:rsidRPr="008819AF">
              <w:rPr>
                <w:rFonts w:eastAsia="Arial"/>
              </w:rPr>
              <w:t>2.2. Výroba surového železa alebo ocele (z prvotných alebo druhotných surovín), vrátane kontinuálneho odlievania s kapacitou presahujúcou 2,5 tony za hodinu</w:t>
            </w:r>
          </w:p>
          <w:p w14:paraId="1513325B" w14:textId="77777777" w:rsidR="00236AB5" w:rsidRPr="008819AF" w:rsidRDefault="00236AB5" w:rsidP="00236AB5">
            <w:pPr>
              <w:rPr>
                <w:rFonts w:eastAsia="Arial"/>
              </w:rPr>
            </w:pPr>
            <w:r w:rsidRPr="008819AF">
              <w:rPr>
                <w:rFonts w:eastAsia="Arial"/>
              </w:rPr>
              <w:t>2.3. Spracovanie železných kovov:</w:t>
            </w:r>
          </w:p>
          <w:p w14:paraId="1513325C" w14:textId="77777777" w:rsidR="00236AB5" w:rsidRPr="008819AF" w:rsidRDefault="00236AB5" w:rsidP="00236AB5">
            <w:pPr>
              <w:numPr>
                <w:ilvl w:val="0"/>
                <w:numId w:val="55"/>
              </w:numPr>
              <w:ind w:left="170"/>
              <w:rPr>
                <w:rFonts w:eastAsia="Arial"/>
              </w:rPr>
            </w:pPr>
            <w:r w:rsidRPr="008819AF">
              <w:rPr>
                <w:rFonts w:eastAsia="Arial"/>
              </w:rPr>
              <w:t>a) prevádzkovanie valcovní na valcovanie za tepla s kapacitou presahujúcou 20 ton surovej ocele za hodinu;</w:t>
            </w:r>
          </w:p>
          <w:p w14:paraId="1513325D" w14:textId="77777777" w:rsidR="00236AB5" w:rsidRPr="008819AF" w:rsidRDefault="00236AB5" w:rsidP="00236AB5">
            <w:pPr>
              <w:numPr>
                <w:ilvl w:val="0"/>
                <w:numId w:val="55"/>
              </w:numPr>
              <w:ind w:left="170"/>
              <w:rPr>
                <w:rFonts w:eastAsia="Arial"/>
              </w:rPr>
            </w:pPr>
            <w:r w:rsidRPr="008819AF">
              <w:rPr>
                <w:rFonts w:eastAsia="Arial"/>
              </w:rPr>
              <w:t>b) prevádzkovanie kováční s bucharmi, ktorých energia presahuje 50 kJ na jeden buchar, kde je spotreba tepelnej energie vyššia ako 20 MW;</w:t>
            </w:r>
          </w:p>
          <w:p w14:paraId="1513325E" w14:textId="77777777" w:rsidR="00236AB5" w:rsidRPr="008819AF" w:rsidRDefault="00236AB5" w:rsidP="00236AB5">
            <w:pPr>
              <w:numPr>
                <w:ilvl w:val="0"/>
                <w:numId w:val="55"/>
              </w:numPr>
              <w:ind w:left="170"/>
              <w:rPr>
                <w:rFonts w:eastAsia="Arial"/>
              </w:rPr>
            </w:pPr>
            <w:r w:rsidRPr="008819AF">
              <w:rPr>
                <w:rFonts w:eastAsia="Arial"/>
              </w:rPr>
              <w:t>c) nanášanie ochranných povlakov z roztavených kovov so spracúvaným množstvom väčším ako 2 tony surovej ocele za hodinu.</w:t>
            </w:r>
          </w:p>
          <w:p w14:paraId="1513325F" w14:textId="77777777" w:rsidR="00236AB5" w:rsidRPr="008819AF" w:rsidRDefault="00236AB5" w:rsidP="00236AB5">
            <w:pPr>
              <w:rPr>
                <w:rFonts w:eastAsia="Arial"/>
              </w:rPr>
            </w:pPr>
            <w:r w:rsidRPr="008819AF">
              <w:rPr>
                <w:rFonts w:eastAsia="Arial"/>
              </w:rPr>
              <w:t>2.4. Prevádzkovanie zlievarne železných kovov s výrobnou kapacitou presahujúcou 20 ton za deň</w:t>
            </w:r>
          </w:p>
          <w:p w14:paraId="15133260" w14:textId="77777777" w:rsidR="00236AB5" w:rsidRPr="008819AF" w:rsidRDefault="00236AB5" w:rsidP="00236AB5">
            <w:pPr>
              <w:rPr>
                <w:rFonts w:eastAsia="Arial"/>
              </w:rPr>
            </w:pPr>
            <w:r w:rsidRPr="008819AF">
              <w:rPr>
                <w:rFonts w:eastAsia="Arial"/>
              </w:rPr>
              <w:lastRenderedPageBreak/>
              <w:t>2.5. Spracovanie neželezných kovov:</w:t>
            </w:r>
          </w:p>
          <w:p w14:paraId="15133261" w14:textId="77777777" w:rsidR="00236AB5" w:rsidRPr="008819AF" w:rsidRDefault="00236AB5" w:rsidP="00236AB5">
            <w:pPr>
              <w:numPr>
                <w:ilvl w:val="0"/>
                <w:numId w:val="56"/>
              </w:numPr>
              <w:ind w:left="284" w:hanging="284"/>
              <w:rPr>
                <w:rFonts w:eastAsia="Arial"/>
              </w:rPr>
            </w:pPr>
            <w:r w:rsidRPr="008819AF">
              <w:rPr>
                <w:rFonts w:eastAsia="Arial"/>
              </w:rPr>
              <w:t>a) výroba surových neželezných kovov z rúd, koncentrátov alebo druhotných surovín metalurgickými, chemickými alebo elektrolytickými postupmi;</w:t>
            </w:r>
          </w:p>
          <w:p w14:paraId="15133262" w14:textId="77777777" w:rsidR="00236AB5" w:rsidRPr="008819AF" w:rsidRDefault="00236AB5" w:rsidP="00236AB5">
            <w:pPr>
              <w:numPr>
                <w:ilvl w:val="0"/>
                <w:numId w:val="56"/>
              </w:numPr>
              <w:ind w:left="284" w:hanging="284"/>
              <w:rPr>
                <w:rFonts w:eastAsia="Arial"/>
              </w:rPr>
            </w:pPr>
            <w:r w:rsidRPr="008819AF">
              <w:rPr>
                <w:rFonts w:eastAsia="Arial"/>
              </w:rPr>
              <w:t>b) tavenie vrátane zlievania zliatin, neželezných kovov, vrátane pretavovaných produktov a prevádzkovaní zlievarne neželezných kovov, s taviacou kapacitou presahujúcou 4 tony za deň pri olove a kadmiu alebo 20 ton za deň pri ostatných kovoch.</w:t>
            </w:r>
          </w:p>
          <w:p w14:paraId="15133263" w14:textId="77777777" w:rsidR="00236AB5" w:rsidRPr="008819AF" w:rsidRDefault="00236AB5" w:rsidP="00236AB5">
            <w:pPr>
              <w:rPr>
                <w:rFonts w:eastAsia="Arial"/>
              </w:rPr>
            </w:pPr>
            <w:r w:rsidRPr="008819AF">
              <w:rPr>
                <w:rFonts w:eastAsia="Arial"/>
              </w:rPr>
              <w:t>2.6. Povrchová úprava kovov alebo plastov pomocou elektrolytických alebo chemických postupov, ak objem používaných vaní presahuje 30 m</w:t>
            </w:r>
            <w:r w:rsidRPr="008819AF">
              <w:rPr>
                <w:rFonts w:eastAsia="Arial"/>
                <w:vertAlign w:val="superscript"/>
              </w:rPr>
              <w:t>3</w:t>
            </w:r>
            <w:r w:rsidRPr="008819AF">
              <w:rPr>
                <w:rFonts w:eastAsia="Arial"/>
              </w:rPr>
              <w:t>.</w:t>
            </w:r>
          </w:p>
          <w:p w14:paraId="15133264" w14:textId="77777777" w:rsidR="00236AB5" w:rsidRPr="008819AF" w:rsidRDefault="00236AB5" w:rsidP="00236AB5">
            <w:pPr>
              <w:rPr>
                <w:rFonts w:eastAsia="Arial"/>
              </w:rPr>
            </w:pPr>
          </w:p>
          <w:p w14:paraId="15133265" w14:textId="77777777" w:rsidR="00236AB5" w:rsidRPr="008819AF" w:rsidRDefault="00236AB5" w:rsidP="00236AB5">
            <w:pPr>
              <w:pageBreakBefore/>
              <w:rPr>
                <w:rFonts w:eastAsia="Arial"/>
              </w:rPr>
            </w:pPr>
            <w:r w:rsidRPr="008819AF">
              <w:rPr>
                <w:rFonts w:eastAsia="Arial"/>
              </w:rPr>
              <w:t>3. Priemysel spracovania nerastov</w:t>
            </w:r>
          </w:p>
          <w:p w14:paraId="15133266" w14:textId="77777777" w:rsidR="00236AB5" w:rsidRPr="008819AF" w:rsidRDefault="00236AB5" w:rsidP="00236AB5">
            <w:pPr>
              <w:pageBreakBefore/>
              <w:rPr>
                <w:rFonts w:eastAsia="Arial"/>
              </w:rPr>
            </w:pPr>
            <w:r w:rsidRPr="008819AF">
              <w:rPr>
                <w:rFonts w:eastAsia="Arial"/>
              </w:rPr>
              <w:t>3.1. Výroba cementu, vápna a oxidu horečnatého:</w:t>
            </w:r>
          </w:p>
          <w:p w14:paraId="15133267" w14:textId="77777777" w:rsidR="00236AB5" w:rsidRPr="008819AF" w:rsidRDefault="00236AB5" w:rsidP="00236AB5">
            <w:pPr>
              <w:numPr>
                <w:ilvl w:val="0"/>
                <w:numId w:val="56"/>
              </w:numPr>
              <w:ind w:left="284" w:hanging="284"/>
              <w:rPr>
                <w:rFonts w:eastAsia="Arial"/>
              </w:rPr>
            </w:pPr>
            <w:r w:rsidRPr="008819AF">
              <w:rPr>
                <w:rFonts w:eastAsia="Arial"/>
              </w:rPr>
              <w:t>a) výroba cementového slinku v rotačných peciach s výrobnou kapacitou presahujúcou 500 ton za deň alebo iných peciach s výrobnou kapacitou presahujúcou 50 ton za deň;</w:t>
            </w:r>
          </w:p>
          <w:p w14:paraId="15133268" w14:textId="77777777" w:rsidR="00236AB5" w:rsidRPr="008819AF" w:rsidRDefault="00236AB5" w:rsidP="00236AB5">
            <w:pPr>
              <w:numPr>
                <w:ilvl w:val="0"/>
                <w:numId w:val="56"/>
              </w:numPr>
              <w:ind w:left="284" w:hanging="284"/>
              <w:rPr>
                <w:rFonts w:eastAsia="Arial"/>
              </w:rPr>
            </w:pPr>
            <w:r w:rsidRPr="008819AF">
              <w:rPr>
                <w:rFonts w:eastAsia="Arial"/>
              </w:rPr>
              <w:t>b) výroba vápna v peciach s výrobnou kapacitou presahujúcou 50 ton za deň;</w:t>
            </w:r>
          </w:p>
          <w:p w14:paraId="15133269" w14:textId="77777777" w:rsidR="00236AB5" w:rsidRPr="008819AF" w:rsidRDefault="00236AB5" w:rsidP="00236AB5">
            <w:pPr>
              <w:numPr>
                <w:ilvl w:val="0"/>
                <w:numId w:val="56"/>
              </w:numPr>
              <w:ind w:left="284" w:hanging="284"/>
              <w:rPr>
                <w:rFonts w:eastAsia="Arial"/>
              </w:rPr>
            </w:pPr>
            <w:r w:rsidRPr="008819AF">
              <w:rPr>
                <w:rFonts w:eastAsia="Arial"/>
              </w:rPr>
              <w:t>c) výroba oxidu horečnatého v peciach s výrobnou kapacitou presahujúcou 50 ton za deň.</w:t>
            </w:r>
          </w:p>
          <w:p w14:paraId="1513326A" w14:textId="77777777" w:rsidR="00236AB5" w:rsidRPr="008819AF" w:rsidRDefault="00236AB5" w:rsidP="00236AB5">
            <w:pPr>
              <w:rPr>
                <w:rFonts w:eastAsia="Arial"/>
              </w:rPr>
            </w:pPr>
            <w:r w:rsidRPr="008819AF">
              <w:rPr>
                <w:rFonts w:eastAsia="Arial"/>
              </w:rPr>
              <w:t>3.2. Výroba azbestu alebo výroba výrobkov s obsahom azbestu</w:t>
            </w:r>
          </w:p>
          <w:p w14:paraId="1513326B" w14:textId="77777777" w:rsidR="00236AB5" w:rsidRPr="008819AF" w:rsidRDefault="00236AB5" w:rsidP="00236AB5">
            <w:pPr>
              <w:rPr>
                <w:rFonts w:eastAsia="Arial"/>
              </w:rPr>
            </w:pPr>
            <w:r w:rsidRPr="008819AF">
              <w:rPr>
                <w:rFonts w:eastAsia="Arial"/>
              </w:rPr>
              <w:t>3.3. Výroba skla vrátane sklených vlákien s kapacitou tavenia, ktorá presahuje 20 ton za deň</w:t>
            </w:r>
          </w:p>
          <w:p w14:paraId="1513326C" w14:textId="77777777" w:rsidR="00236AB5" w:rsidRPr="008819AF" w:rsidRDefault="00236AB5" w:rsidP="00236AB5">
            <w:pPr>
              <w:rPr>
                <w:rFonts w:eastAsia="Arial"/>
              </w:rPr>
            </w:pPr>
            <w:r w:rsidRPr="008819AF">
              <w:rPr>
                <w:rFonts w:eastAsia="Arial"/>
              </w:rPr>
              <w:t>3.4. Tavenie nerastných látok vrátane výroby minerálnych vlákien s kapacitou tavenia, ktorá presahuje 20 ton za deň</w:t>
            </w:r>
          </w:p>
          <w:p w14:paraId="1513326D" w14:textId="77777777" w:rsidR="00236AB5" w:rsidRPr="008819AF" w:rsidRDefault="00236AB5" w:rsidP="00236AB5">
            <w:pPr>
              <w:rPr>
                <w:rFonts w:eastAsia="Arial"/>
              </w:rPr>
            </w:pPr>
            <w:r w:rsidRPr="008819AF">
              <w:rPr>
                <w:rFonts w:eastAsia="Arial"/>
              </w:rPr>
              <w:t>3.5. Výroba keramických výrobkov vypaľovaním, najmä strešných škridiel, tehál, žiaruvzdorných tvárnic, obkladačiek, kameniny alebo porcelánu s výrobnou kapacitou presahujúcou 75 ton za deň a/alebo s kapacitou pece presahujúcou 4 m3 a hustotou vsádzky na jednu pec presahujúcou 300 kg/m</w:t>
            </w:r>
            <w:r w:rsidRPr="008819AF">
              <w:rPr>
                <w:rFonts w:eastAsia="Arial"/>
                <w:vertAlign w:val="superscript"/>
              </w:rPr>
              <w:t>3</w:t>
            </w:r>
          </w:p>
          <w:p w14:paraId="1513326E" w14:textId="77777777" w:rsidR="00236AB5" w:rsidRPr="008819AF" w:rsidRDefault="00236AB5" w:rsidP="00236AB5">
            <w:pPr>
              <w:rPr>
                <w:rFonts w:eastAsia="Arial"/>
              </w:rPr>
            </w:pPr>
          </w:p>
          <w:p w14:paraId="1513326F" w14:textId="77777777" w:rsidR="00236AB5" w:rsidRPr="008819AF" w:rsidRDefault="00236AB5" w:rsidP="00236AB5">
            <w:pPr>
              <w:rPr>
                <w:rFonts w:eastAsia="Arial"/>
              </w:rPr>
            </w:pPr>
            <w:r w:rsidRPr="008819AF">
              <w:rPr>
                <w:rFonts w:eastAsia="Arial"/>
              </w:rPr>
              <w:t>4. Chemický priemysel</w:t>
            </w:r>
          </w:p>
          <w:p w14:paraId="15133270" w14:textId="77777777" w:rsidR="00236AB5" w:rsidRPr="008819AF" w:rsidRDefault="00236AB5" w:rsidP="00236AB5">
            <w:pPr>
              <w:rPr>
                <w:rFonts w:eastAsia="Arial"/>
              </w:rPr>
            </w:pPr>
            <w:r w:rsidRPr="008819AF">
              <w:rPr>
                <w:rFonts w:eastAsia="Arial"/>
              </w:rPr>
              <w:t>Na účely tejto časti výroba v zmysle kategórií činností uvedených v tejto časti znamená výrobu v priemyselnom meradle na základe chemického alebo biologického spracovania látok alebo skupín látok uvedených v bodoch 4.1 až 4.6.</w:t>
            </w:r>
          </w:p>
          <w:p w14:paraId="15133271" w14:textId="77777777" w:rsidR="00236AB5" w:rsidRPr="008819AF" w:rsidRDefault="00236AB5" w:rsidP="00236AB5">
            <w:pPr>
              <w:rPr>
                <w:rFonts w:eastAsia="Arial"/>
              </w:rPr>
            </w:pPr>
            <w:r w:rsidRPr="008819AF">
              <w:rPr>
                <w:rFonts w:eastAsia="Arial"/>
              </w:rPr>
              <w:t>4.1. Výroba organických chemikálií, ako sú:</w:t>
            </w:r>
          </w:p>
          <w:p w14:paraId="15133272" w14:textId="77777777" w:rsidR="00236AB5" w:rsidRPr="008819AF" w:rsidRDefault="00236AB5" w:rsidP="00236AB5">
            <w:pPr>
              <w:numPr>
                <w:ilvl w:val="0"/>
                <w:numId w:val="56"/>
              </w:numPr>
              <w:ind w:left="284" w:hanging="284"/>
              <w:rPr>
                <w:rFonts w:eastAsia="Arial"/>
              </w:rPr>
            </w:pPr>
            <w:r w:rsidRPr="008819AF">
              <w:rPr>
                <w:rFonts w:eastAsia="Arial"/>
              </w:rPr>
              <w:t>a) jednoduché uhľovodíky (lineárne alebo cyklické, nasýtené alebo nenasýtené, alifatické alebo aromatické);</w:t>
            </w:r>
          </w:p>
          <w:p w14:paraId="15133273" w14:textId="77777777" w:rsidR="00236AB5" w:rsidRPr="008819AF" w:rsidRDefault="00236AB5" w:rsidP="00236AB5">
            <w:pPr>
              <w:numPr>
                <w:ilvl w:val="0"/>
                <w:numId w:val="56"/>
              </w:numPr>
              <w:ind w:left="284" w:hanging="284"/>
              <w:rPr>
                <w:rFonts w:eastAsia="Arial"/>
              </w:rPr>
            </w:pPr>
            <w:r w:rsidRPr="008819AF">
              <w:rPr>
                <w:rFonts w:eastAsia="Arial"/>
              </w:rPr>
              <w:t xml:space="preserve">b) uhľovodíky obsahujúce kyslík, ako sú alkoholy, aldehydy, ketóny, karboxylové kyseliny, estery a zmesi esterov, acetáty, étery, peroxidy a </w:t>
            </w:r>
            <w:r w:rsidRPr="008819AF">
              <w:rPr>
                <w:rFonts w:eastAsia="Arial"/>
              </w:rPr>
              <w:lastRenderedPageBreak/>
              <w:t>epoxidové živice;</w:t>
            </w:r>
          </w:p>
          <w:p w14:paraId="15133274" w14:textId="77777777" w:rsidR="00236AB5" w:rsidRPr="008819AF" w:rsidRDefault="00236AB5" w:rsidP="00236AB5">
            <w:pPr>
              <w:numPr>
                <w:ilvl w:val="0"/>
                <w:numId w:val="56"/>
              </w:numPr>
              <w:ind w:left="284" w:hanging="284"/>
              <w:rPr>
                <w:rFonts w:eastAsia="Arial"/>
              </w:rPr>
            </w:pPr>
            <w:r w:rsidRPr="008819AF">
              <w:rPr>
                <w:rFonts w:eastAsia="Arial"/>
              </w:rPr>
              <w:t>c) uhľovodíky obsahujúce síru;</w:t>
            </w:r>
          </w:p>
          <w:p w14:paraId="15133275" w14:textId="77777777" w:rsidR="00236AB5" w:rsidRPr="008819AF" w:rsidRDefault="00236AB5" w:rsidP="00236AB5">
            <w:pPr>
              <w:numPr>
                <w:ilvl w:val="0"/>
                <w:numId w:val="56"/>
              </w:numPr>
              <w:ind w:left="284" w:hanging="284"/>
              <w:rPr>
                <w:rFonts w:eastAsia="Arial"/>
              </w:rPr>
            </w:pPr>
            <w:r w:rsidRPr="008819AF">
              <w:rPr>
                <w:rFonts w:eastAsia="Arial"/>
              </w:rPr>
              <w:t>d) uhľovodíky obsahujúce dusík, ako sú amíny, amidy, dusíkaté zlúčeniny, nitrozlúčeniny alebo zlúčeniny dusičnanov, nitrily, kyanatany, izokyanáty;</w:t>
            </w:r>
          </w:p>
          <w:p w14:paraId="15133276" w14:textId="77777777" w:rsidR="00236AB5" w:rsidRPr="008819AF" w:rsidRDefault="00236AB5" w:rsidP="00236AB5">
            <w:pPr>
              <w:numPr>
                <w:ilvl w:val="0"/>
                <w:numId w:val="56"/>
              </w:numPr>
              <w:ind w:left="284" w:hanging="284"/>
              <w:rPr>
                <w:rFonts w:eastAsia="Arial"/>
              </w:rPr>
            </w:pPr>
            <w:r w:rsidRPr="008819AF">
              <w:rPr>
                <w:rFonts w:eastAsia="Arial"/>
              </w:rPr>
              <w:t>e) uhľovodíky obsahujúce fosfor;</w:t>
            </w:r>
          </w:p>
          <w:p w14:paraId="15133277" w14:textId="77777777" w:rsidR="00236AB5" w:rsidRPr="008819AF" w:rsidRDefault="00236AB5" w:rsidP="00236AB5">
            <w:pPr>
              <w:numPr>
                <w:ilvl w:val="0"/>
                <w:numId w:val="56"/>
              </w:numPr>
              <w:ind w:left="284" w:hanging="284"/>
              <w:rPr>
                <w:rFonts w:eastAsia="Arial"/>
              </w:rPr>
            </w:pPr>
            <w:r w:rsidRPr="008819AF">
              <w:rPr>
                <w:rFonts w:eastAsia="Arial"/>
              </w:rPr>
              <w:t>f) halogénderiváty uhľovodíkov;</w:t>
            </w:r>
          </w:p>
          <w:p w14:paraId="15133278" w14:textId="77777777" w:rsidR="00236AB5" w:rsidRPr="008819AF" w:rsidRDefault="00236AB5" w:rsidP="00236AB5">
            <w:pPr>
              <w:numPr>
                <w:ilvl w:val="0"/>
                <w:numId w:val="56"/>
              </w:numPr>
              <w:ind w:left="284" w:hanging="284"/>
              <w:rPr>
                <w:rFonts w:eastAsia="Arial"/>
              </w:rPr>
            </w:pPr>
            <w:r w:rsidRPr="008819AF">
              <w:rPr>
                <w:rFonts w:eastAsia="Arial"/>
              </w:rPr>
              <w:t>g) organokovové zlúčeniny;</w:t>
            </w:r>
          </w:p>
          <w:p w14:paraId="15133279" w14:textId="77777777" w:rsidR="00236AB5" w:rsidRPr="008819AF" w:rsidRDefault="00236AB5" w:rsidP="00236AB5">
            <w:pPr>
              <w:numPr>
                <w:ilvl w:val="0"/>
                <w:numId w:val="56"/>
              </w:numPr>
              <w:ind w:left="284" w:hanging="284"/>
              <w:rPr>
                <w:rFonts w:eastAsia="Arial"/>
              </w:rPr>
            </w:pPr>
            <w:r w:rsidRPr="008819AF">
              <w:rPr>
                <w:rFonts w:eastAsia="Arial"/>
              </w:rPr>
              <w:t>h) materiály vyrobené z plastov (polyméry, syntetické vlákna a vlákna na celulózovom základe);</w:t>
            </w:r>
          </w:p>
          <w:p w14:paraId="1513327A" w14:textId="77777777" w:rsidR="00236AB5" w:rsidRPr="008819AF" w:rsidRDefault="00236AB5" w:rsidP="00236AB5">
            <w:pPr>
              <w:numPr>
                <w:ilvl w:val="0"/>
                <w:numId w:val="56"/>
              </w:numPr>
              <w:ind w:left="284" w:hanging="284"/>
              <w:rPr>
                <w:rFonts w:eastAsia="Arial"/>
              </w:rPr>
            </w:pPr>
            <w:r w:rsidRPr="008819AF">
              <w:rPr>
                <w:rFonts w:eastAsia="Arial"/>
              </w:rPr>
              <w:t>i) syntetické kaučuky;</w:t>
            </w:r>
          </w:p>
          <w:p w14:paraId="1513327B" w14:textId="77777777" w:rsidR="00236AB5" w:rsidRPr="008819AF" w:rsidRDefault="00236AB5" w:rsidP="00236AB5">
            <w:pPr>
              <w:numPr>
                <w:ilvl w:val="0"/>
                <w:numId w:val="56"/>
              </w:numPr>
              <w:ind w:left="284" w:hanging="284"/>
              <w:rPr>
                <w:rFonts w:eastAsia="Arial"/>
              </w:rPr>
            </w:pPr>
            <w:r w:rsidRPr="008819AF">
              <w:rPr>
                <w:rFonts w:eastAsia="Arial"/>
              </w:rPr>
              <w:t>j) farby a pigmenty;</w:t>
            </w:r>
          </w:p>
          <w:p w14:paraId="1513327C" w14:textId="77777777" w:rsidR="00236AB5" w:rsidRPr="008819AF" w:rsidRDefault="00236AB5" w:rsidP="00236AB5">
            <w:pPr>
              <w:numPr>
                <w:ilvl w:val="0"/>
                <w:numId w:val="56"/>
              </w:numPr>
              <w:ind w:left="284" w:hanging="284"/>
              <w:rPr>
                <w:rFonts w:eastAsia="Arial"/>
              </w:rPr>
            </w:pPr>
            <w:r w:rsidRPr="008819AF">
              <w:rPr>
                <w:rFonts w:eastAsia="Arial"/>
              </w:rPr>
              <w:t>k) povrchovo aktívne činidlá a látky.</w:t>
            </w:r>
          </w:p>
          <w:p w14:paraId="1513327D" w14:textId="77777777" w:rsidR="00236AB5" w:rsidRPr="008819AF" w:rsidRDefault="00236AB5" w:rsidP="00236AB5">
            <w:pPr>
              <w:rPr>
                <w:rFonts w:eastAsia="Arial"/>
              </w:rPr>
            </w:pPr>
            <w:r w:rsidRPr="008819AF">
              <w:rPr>
                <w:rFonts w:eastAsia="Arial"/>
              </w:rPr>
              <w:t>4.2. Výroba anorganických chemikálií, ako sú:</w:t>
            </w:r>
          </w:p>
          <w:p w14:paraId="1513327E" w14:textId="77777777" w:rsidR="00236AB5" w:rsidRPr="008819AF" w:rsidRDefault="00236AB5" w:rsidP="00236AB5">
            <w:pPr>
              <w:numPr>
                <w:ilvl w:val="0"/>
                <w:numId w:val="56"/>
              </w:numPr>
              <w:ind w:left="284" w:hanging="284"/>
              <w:rPr>
                <w:rFonts w:eastAsia="Arial"/>
              </w:rPr>
            </w:pPr>
            <w:r w:rsidRPr="008819AF">
              <w:rPr>
                <w:rFonts w:eastAsia="Arial"/>
              </w:rPr>
              <w:t>a) plyny ako amoniak, chlór alebo chlorovodík, fluór alebo fluorovodík, oxidy uhlíka, zlúčeniny síry, oxidy dusíka, vodík, oxid siričitý, karbonylchlorid (fosgén);</w:t>
            </w:r>
          </w:p>
          <w:p w14:paraId="1513327F" w14:textId="77777777" w:rsidR="00236AB5" w:rsidRPr="008819AF" w:rsidRDefault="00236AB5" w:rsidP="00236AB5">
            <w:pPr>
              <w:numPr>
                <w:ilvl w:val="0"/>
                <w:numId w:val="56"/>
              </w:numPr>
              <w:ind w:left="284" w:hanging="284"/>
              <w:rPr>
                <w:rFonts w:eastAsia="Arial"/>
              </w:rPr>
            </w:pPr>
            <w:r w:rsidRPr="008819AF">
              <w:rPr>
                <w:rFonts w:eastAsia="Arial"/>
              </w:rPr>
              <w:t>b) kyseliny, ako kyselina chrómová, kyselina fluorovodíková, kyselina fosforečná, kyselina dusičná, kyselina chlorovodíková, kyselina sírová, oleum, kyselina siričitá;</w:t>
            </w:r>
          </w:p>
          <w:p w14:paraId="15133280" w14:textId="77777777" w:rsidR="00236AB5" w:rsidRPr="008819AF" w:rsidRDefault="00236AB5" w:rsidP="00236AB5">
            <w:pPr>
              <w:numPr>
                <w:ilvl w:val="0"/>
                <w:numId w:val="56"/>
              </w:numPr>
              <w:ind w:left="284" w:hanging="284"/>
              <w:rPr>
                <w:rFonts w:eastAsia="Arial"/>
              </w:rPr>
            </w:pPr>
            <w:r w:rsidRPr="008819AF">
              <w:rPr>
                <w:rFonts w:eastAsia="Arial"/>
              </w:rPr>
              <w:t>c) zásady ako hydroxid amónny, hydroxid draselný, hydroxid sodný;</w:t>
            </w:r>
          </w:p>
          <w:p w14:paraId="15133281" w14:textId="77777777" w:rsidR="00236AB5" w:rsidRPr="008819AF" w:rsidRDefault="00236AB5" w:rsidP="00236AB5">
            <w:pPr>
              <w:numPr>
                <w:ilvl w:val="0"/>
                <w:numId w:val="56"/>
              </w:numPr>
              <w:ind w:left="284" w:hanging="284"/>
              <w:rPr>
                <w:rFonts w:eastAsia="Arial"/>
              </w:rPr>
            </w:pPr>
            <w:r w:rsidRPr="008819AF">
              <w:rPr>
                <w:rFonts w:eastAsia="Arial"/>
              </w:rPr>
              <w:t>d) soli ako chlorid amónny, chlorečnan draselný, uhličitan draselný, uhličitan sodný, peroxoboritan, dusičnan strieborný;</w:t>
            </w:r>
          </w:p>
          <w:p w14:paraId="15133282" w14:textId="77777777" w:rsidR="00236AB5" w:rsidRPr="008819AF" w:rsidRDefault="00236AB5" w:rsidP="00236AB5">
            <w:pPr>
              <w:numPr>
                <w:ilvl w:val="0"/>
                <w:numId w:val="56"/>
              </w:numPr>
              <w:ind w:left="284" w:hanging="284"/>
              <w:rPr>
                <w:rFonts w:eastAsia="Arial"/>
              </w:rPr>
            </w:pPr>
            <w:r w:rsidRPr="008819AF">
              <w:rPr>
                <w:rFonts w:eastAsia="Arial"/>
              </w:rPr>
              <w:t>e) nekovy, oxidy kovov alebo iné anorganické zlúčeniny ako karbid vápnika, kremík, karbid kremíka.</w:t>
            </w:r>
          </w:p>
          <w:p w14:paraId="15133283" w14:textId="77777777" w:rsidR="00236AB5" w:rsidRPr="008819AF" w:rsidRDefault="00236AB5" w:rsidP="00236AB5">
            <w:pPr>
              <w:rPr>
                <w:rFonts w:eastAsia="Arial"/>
              </w:rPr>
            </w:pPr>
            <w:r w:rsidRPr="008819AF">
              <w:rPr>
                <w:rFonts w:eastAsia="Arial"/>
              </w:rPr>
              <w:t>4.3. Výroba hnojív založených na báze fosforu, dusíka alebo draslíka (jednoduché alebo kombinované hnojivá)</w:t>
            </w:r>
          </w:p>
          <w:p w14:paraId="15133284" w14:textId="77777777" w:rsidR="00236AB5" w:rsidRPr="008819AF" w:rsidRDefault="00236AB5" w:rsidP="00236AB5">
            <w:pPr>
              <w:rPr>
                <w:rFonts w:eastAsia="Arial"/>
              </w:rPr>
            </w:pPr>
            <w:r w:rsidRPr="008819AF">
              <w:rPr>
                <w:rFonts w:eastAsia="Arial"/>
              </w:rPr>
              <w:t>4.4. Výroba prípravkov na ochranu rastlín alebo výroba biocídov</w:t>
            </w:r>
          </w:p>
          <w:p w14:paraId="15133285" w14:textId="77777777" w:rsidR="00236AB5" w:rsidRPr="008819AF" w:rsidRDefault="00236AB5" w:rsidP="00236AB5">
            <w:pPr>
              <w:rPr>
                <w:rFonts w:eastAsia="Arial"/>
              </w:rPr>
            </w:pPr>
            <w:r w:rsidRPr="008819AF">
              <w:rPr>
                <w:rFonts w:eastAsia="Arial"/>
              </w:rPr>
              <w:t>4.5. Výroba farmaceutických výrobkov vrátane medziproduktov</w:t>
            </w:r>
          </w:p>
          <w:p w14:paraId="15133286" w14:textId="77777777" w:rsidR="00236AB5" w:rsidRPr="008819AF" w:rsidRDefault="00236AB5" w:rsidP="00236AB5">
            <w:pPr>
              <w:rPr>
                <w:rFonts w:eastAsia="Arial"/>
              </w:rPr>
            </w:pPr>
            <w:r w:rsidRPr="008819AF">
              <w:rPr>
                <w:rFonts w:eastAsia="Arial"/>
              </w:rPr>
              <w:t>4.6. Výroba výbušnín</w:t>
            </w:r>
          </w:p>
          <w:p w14:paraId="15133287" w14:textId="77777777" w:rsidR="00236AB5" w:rsidRPr="008819AF" w:rsidRDefault="00236AB5" w:rsidP="00236AB5">
            <w:pPr>
              <w:rPr>
                <w:rFonts w:eastAsia="Arial"/>
              </w:rPr>
            </w:pPr>
          </w:p>
          <w:p w14:paraId="15133288" w14:textId="77777777" w:rsidR="00236AB5" w:rsidRPr="008819AF" w:rsidRDefault="00236AB5" w:rsidP="00236AB5">
            <w:pPr>
              <w:rPr>
                <w:rFonts w:eastAsia="Arial"/>
              </w:rPr>
            </w:pPr>
            <w:r w:rsidRPr="008819AF">
              <w:rPr>
                <w:rFonts w:eastAsia="Arial"/>
              </w:rPr>
              <w:t>5. Zaobchádzanie s odpadmi</w:t>
            </w:r>
          </w:p>
          <w:p w14:paraId="15133289" w14:textId="77777777" w:rsidR="00236AB5" w:rsidRPr="008819AF" w:rsidRDefault="00236AB5" w:rsidP="00236AB5">
            <w:pPr>
              <w:rPr>
                <w:rFonts w:eastAsia="Arial"/>
              </w:rPr>
            </w:pPr>
            <w:r w:rsidRPr="008819AF">
              <w:rPr>
                <w:rFonts w:eastAsia="Arial"/>
              </w:rPr>
              <w:t>5.1. Zneškodňovanie alebo zhodnocovanie nebezpečných odpadov s kapacitou presahujúcou 10 ton za deň, ktorého súčasťou je jedna alebo viacero z týchto činností</w:t>
            </w:r>
          </w:p>
          <w:p w14:paraId="1513328A" w14:textId="77777777" w:rsidR="00236AB5" w:rsidRPr="008819AF" w:rsidRDefault="00236AB5" w:rsidP="00236AB5">
            <w:pPr>
              <w:numPr>
                <w:ilvl w:val="0"/>
                <w:numId w:val="56"/>
              </w:numPr>
              <w:ind w:left="284" w:hanging="284"/>
              <w:rPr>
                <w:rFonts w:eastAsia="Arial"/>
              </w:rPr>
            </w:pPr>
            <w:r w:rsidRPr="008819AF">
              <w:rPr>
                <w:rFonts w:eastAsia="Arial"/>
              </w:rPr>
              <w:t>a) biologická úprava;</w:t>
            </w:r>
          </w:p>
          <w:p w14:paraId="1513328B" w14:textId="77777777" w:rsidR="00236AB5" w:rsidRPr="008819AF" w:rsidRDefault="00236AB5" w:rsidP="00236AB5">
            <w:pPr>
              <w:numPr>
                <w:ilvl w:val="0"/>
                <w:numId w:val="56"/>
              </w:numPr>
              <w:ind w:left="284" w:hanging="284"/>
              <w:rPr>
                <w:rFonts w:eastAsia="Arial"/>
              </w:rPr>
            </w:pPr>
            <w:r w:rsidRPr="008819AF">
              <w:rPr>
                <w:rFonts w:eastAsia="Arial"/>
              </w:rPr>
              <w:t>b) fyzikálno-chemická úprava;</w:t>
            </w:r>
          </w:p>
          <w:p w14:paraId="1513328C" w14:textId="77777777" w:rsidR="00236AB5" w:rsidRPr="008819AF" w:rsidRDefault="00236AB5" w:rsidP="00236AB5">
            <w:pPr>
              <w:numPr>
                <w:ilvl w:val="0"/>
                <w:numId w:val="56"/>
              </w:numPr>
              <w:ind w:left="284" w:hanging="284"/>
              <w:rPr>
                <w:rFonts w:eastAsia="Arial"/>
              </w:rPr>
            </w:pPr>
            <w:r w:rsidRPr="008819AF">
              <w:rPr>
                <w:rFonts w:eastAsia="Arial"/>
              </w:rPr>
              <w:t>c) zmiešavanie alebo miešanie pred podstúpením ktorejkoľvek z ostatných činností uvedených v bodoch 5.1 a 5.2;</w:t>
            </w:r>
          </w:p>
          <w:p w14:paraId="1513328D" w14:textId="77777777" w:rsidR="00236AB5" w:rsidRPr="008819AF" w:rsidRDefault="00236AB5" w:rsidP="00236AB5">
            <w:pPr>
              <w:numPr>
                <w:ilvl w:val="0"/>
                <w:numId w:val="56"/>
              </w:numPr>
              <w:ind w:left="284" w:hanging="284"/>
              <w:rPr>
                <w:rFonts w:eastAsia="Arial"/>
              </w:rPr>
            </w:pPr>
            <w:r w:rsidRPr="008819AF">
              <w:rPr>
                <w:rFonts w:eastAsia="Arial"/>
              </w:rPr>
              <w:t>d) uloženie do ďalších obalov pred podstúpením ktorejkoľvek z ostatných činností uvedených v bodoch 5.1 a 5.2;</w:t>
            </w:r>
          </w:p>
          <w:p w14:paraId="1513328E" w14:textId="77777777" w:rsidR="00236AB5" w:rsidRPr="008819AF" w:rsidRDefault="00236AB5" w:rsidP="00236AB5">
            <w:pPr>
              <w:numPr>
                <w:ilvl w:val="0"/>
                <w:numId w:val="56"/>
              </w:numPr>
              <w:ind w:left="284" w:hanging="284"/>
              <w:rPr>
                <w:rFonts w:eastAsia="Arial"/>
              </w:rPr>
            </w:pPr>
            <w:r w:rsidRPr="008819AF">
              <w:rPr>
                <w:rFonts w:eastAsia="Arial"/>
              </w:rPr>
              <w:lastRenderedPageBreak/>
              <w:t>e) spätné získavanie alebo regenerácia rozpúšťadiel;</w:t>
            </w:r>
          </w:p>
          <w:p w14:paraId="1513328F" w14:textId="77777777" w:rsidR="00236AB5" w:rsidRPr="008819AF" w:rsidRDefault="00236AB5" w:rsidP="00236AB5">
            <w:pPr>
              <w:numPr>
                <w:ilvl w:val="0"/>
                <w:numId w:val="56"/>
              </w:numPr>
              <w:ind w:left="284" w:hanging="284"/>
              <w:rPr>
                <w:rFonts w:eastAsia="Arial"/>
              </w:rPr>
            </w:pPr>
            <w:r w:rsidRPr="008819AF">
              <w:rPr>
                <w:rFonts w:eastAsia="Arial"/>
              </w:rPr>
              <w:t>f) recyklácia alebo spätné získavanie anorganických materiálov iných ako kovy alebo zlúčeniny kovov;</w:t>
            </w:r>
          </w:p>
          <w:p w14:paraId="15133290" w14:textId="77777777" w:rsidR="00236AB5" w:rsidRPr="008819AF" w:rsidRDefault="00236AB5" w:rsidP="00236AB5">
            <w:pPr>
              <w:numPr>
                <w:ilvl w:val="0"/>
                <w:numId w:val="56"/>
              </w:numPr>
              <w:ind w:left="284" w:hanging="284"/>
              <w:rPr>
                <w:rFonts w:eastAsia="Arial"/>
              </w:rPr>
            </w:pPr>
            <w:r w:rsidRPr="008819AF">
              <w:rPr>
                <w:rFonts w:eastAsia="Arial"/>
              </w:rPr>
              <w:t>g) regenerácia kyselín alebo zásad;</w:t>
            </w:r>
          </w:p>
          <w:p w14:paraId="15133291" w14:textId="77777777" w:rsidR="00236AB5" w:rsidRPr="008819AF" w:rsidRDefault="00236AB5" w:rsidP="00236AB5">
            <w:pPr>
              <w:numPr>
                <w:ilvl w:val="0"/>
                <w:numId w:val="56"/>
              </w:numPr>
              <w:ind w:left="284" w:hanging="284"/>
              <w:rPr>
                <w:rFonts w:eastAsia="Arial"/>
              </w:rPr>
            </w:pPr>
            <w:r w:rsidRPr="008819AF">
              <w:rPr>
                <w:rFonts w:eastAsia="Arial"/>
              </w:rPr>
              <w:t>h) zhodnocovanie komponentov používaných pri odstraňovaní znečistenia;</w:t>
            </w:r>
          </w:p>
          <w:p w14:paraId="15133292" w14:textId="77777777" w:rsidR="00236AB5" w:rsidRPr="008819AF" w:rsidRDefault="00236AB5" w:rsidP="00236AB5">
            <w:pPr>
              <w:numPr>
                <w:ilvl w:val="0"/>
                <w:numId w:val="56"/>
              </w:numPr>
              <w:ind w:left="284" w:hanging="284"/>
              <w:rPr>
                <w:rFonts w:eastAsia="Arial"/>
              </w:rPr>
            </w:pPr>
            <w:r w:rsidRPr="008819AF">
              <w:rPr>
                <w:rFonts w:eastAsia="Arial"/>
              </w:rPr>
              <w:t>i) zhodnocovanie komponentov z katalyzátorov;</w:t>
            </w:r>
          </w:p>
          <w:p w14:paraId="15133293" w14:textId="77777777" w:rsidR="00236AB5" w:rsidRPr="008819AF" w:rsidRDefault="00236AB5" w:rsidP="00236AB5">
            <w:pPr>
              <w:numPr>
                <w:ilvl w:val="0"/>
                <w:numId w:val="56"/>
              </w:numPr>
              <w:ind w:left="284" w:hanging="284"/>
              <w:rPr>
                <w:rFonts w:eastAsia="Arial"/>
              </w:rPr>
            </w:pPr>
            <w:r w:rsidRPr="008819AF">
              <w:rPr>
                <w:rFonts w:eastAsia="Arial"/>
              </w:rPr>
              <w:t>j) prečisťovanie oleja alebo jeho iné opätovné použitie;</w:t>
            </w:r>
          </w:p>
          <w:p w14:paraId="15133294" w14:textId="77777777" w:rsidR="00236AB5" w:rsidRPr="008819AF" w:rsidRDefault="00236AB5" w:rsidP="00236AB5">
            <w:pPr>
              <w:numPr>
                <w:ilvl w:val="0"/>
                <w:numId w:val="56"/>
              </w:numPr>
              <w:ind w:left="284" w:hanging="284"/>
              <w:rPr>
                <w:rFonts w:eastAsia="Arial"/>
              </w:rPr>
            </w:pPr>
            <w:r w:rsidRPr="008819AF">
              <w:rPr>
                <w:rFonts w:eastAsia="Arial"/>
              </w:rPr>
              <w:t>k) povrchové ukladanie.</w:t>
            </w:r>
          </w:p>
          <w:p w14:paraId="15133295" w14:textId="77777777" w:rsidR="00236AB5" w:rsidRPr="008819AF" w:rsidRDefault="00236AB5" w:rsidP="00236AB5">
            <w:pPr>
              <w:numPr>
                <w:ilvl w:val="0"/>
                <w:numId w:val="57"/>
              </w:numPr>
              <w:ind w:left="215" w:hanging="215"/>
              <w:rPr>
                <w:rFonts w:eastAsia="Arial"/>
              </w:rPr>
            </w:pPr>
          </w:p>
          <w:p w14:paraId="15133296" w14:textId="77777777" w:rsidR="00236AB5" w:rsidRPr="008819AF" w:rsidRDefault="00236AB5" w:rsidP="00236AB5">
            <w:pPr>
              <w:rPr>
                <w:rFonts w:eastAsia="Arial"/>
              </w:rPr>
            </w:pPr>
            <w:r w:rsidRPr="008819AF">
              <w:rPr>
                <w:rFonts w:eastAsia="Arial"/>
              </w:rPr>
              <w:t>5.2. Zneškodňovanie alebo zhodnocovanie odpadov v spaľovniach odpadov a zariadeniach na spoluspaľovanie odpadov:</w:t>
            </w:r>
          </w:p>
          <w:p w14:paraId="15133297" w14:textId="77777777" w:rsidR="00236AB5" w:rsidRPr="008819AF" w:rsidRDefault="00236AB5" w:rsidP="00236AB5">
            <w:pPr>
              <w:numPr>
                <w:ilvl w:val="0"/>
                <w:numId w:val="56"/>
              </w:numPr>
              <w:ind w:left="284" w:hanging="284"/>
              <w:rPr>
                <w:rFonts w:eastAsia="Arial"/>
              </w:rPr>
            </w:pPr>
            <w:r w:rsidRPr="008819AF">
              <w:rPr>
                <w:rFonts w:eastAsia="Arial"/>
              </w:rPr>
              <w:t>a) v prípade odpadu neklasifikovaného ako nebezpečný s kapacitou presahujúcou 3 tony za hodinu;</w:t>
            </w:r>
          </w:p>
          <w:p w14:paraId="15133298" w14:textId="77777777" w:rsidR="00236AB5" w:rsidRPr="008819AF" w:rsidRDefault="00236AB5" w:rsidP="00236AB5">
            <w:pPr>
              <w:numPr>
                <w:ilvl w:val="0"/>
                <w:numId w:val="56"/>
              </w:numPr>
              <w:ind w:left="284" w:hanging="284"/>
              <w:rPr>
                <w:rFonts w:eastAsia="Arial"/>
              </w:rPr>
            </w:pPr>
            <w:r w:rsidRPr="008819AF">
              <w:rPr>
                <w:rFonts w:eastAsia="Arial"/>
              </w:rPr>
              <w:t>b) v prípade nebezpečného odpadu s kapacitou presahujúcou 10 ton za deň.</w:t>
            </w:r>
          </w:p>
          <w:p w14:paraId="15133299" w14:textId="77777777" w:rsidR="00236AB5" w:rsidRPr="008819AF" w:rsidRDefault="00236AB5" w:rsidP="00236AB5">
            <w:pPr>
              <w:rPr>
                <w:rFonts w:eastAsia="Arial"/>
              </w:rPr>
            </w:pPr>
            <w:r w:rsidRPr="008819AF">
              <w:rPr>
                <w:rFonts w:eastAsia="Arial"/>
              </w:rPr>
              <w:t>5.3. a) Zneškodňovanie odpadu neklasifikovaného ako nebezpečný s kapacitou presahujúcou 50 ton za deň, ktorého súčasťou je jedna alebo viacero z týchto činností okrem činností, na ktoré sa vzťahuje smernica Rady 91/271/EHS z 21. mája 1991 o čistení komunálnych odpadových vôd(1)</w:t>
            </w:r>
          </w:p>
          <w:p w14:paraId="1513329A" w14:textId="77777777" w:rsidR="00236AB5" w:rsidRPr="008819AF" w:rsidRDefault="00236AB5" w:rsidP="00236AB5">
            <w:pPr>
              <w:numPr>
                <w:ilvl w:val="0"/>
                <w:numId w:val="58"/>
              </w:numPr>
              <w:ind w:left="215" w:hanging="215"/>
              <w:rPr>
                <w:rFonts w:eastAsia="Arial"/>
              </w:rPr>
            </w:pPr>
            <w:r w:rsidRPr="008819AF">
              <w:rPr>
                <w:rFonts w:eastAsia="Arial"/>
              </w:rPr>
              <w:t>i) biologická úprava;</w:t>
            </w:r>
          </w:p>
          <w:p w14:paraId="1513329B" w14:textId="77777777" w:rsidR="00236AB5" w:rsidRPr="008819AF" w:rsidRDefault="00236AB5" w:rsidP="00236AB5">
            <w:pPr>
              <w:numPr>
                <w:ilvl w:val="0"/>
                <w:numId w:val="58"/>
              </w:numPr>
              <w:ind w:left="215" w:hanging="215"/>
              <w:rPr>
                <w:rFonts w:eastAsia="Arial"/>
              </w:rPr>
            </w:pPr>
            <w:r w:rsidRPr="008819AF">
              <w:rPr>
                <w:rFonts w:eastAsia="Arial"/>
              </w:rPr>
              <w:t>ii) fyzikálno-chemická úprava;</w:t>
            </w:r>
          </w:p>
          <w:p w14:paraId="1513329C" w14:textId="77777777" w:rsidR="00236AB5" w:rsidRPr="008819AF" w:rsidRDefault="00236AB5" w:rsidP="00236AB5">
            <w:pPr>
              <w:numPr>
                <w:ilvl w:val="0"/>
                <w:numId w:val="58"/>
              </w:numPr>
              <w:ind w:left="215" w:hanging="215"/>
              <w:rPr>
                <w:rFonts w:eastAsia="Arial"/>
              </w:rPr>
            </w:pPr>
            <w:r w:rsidRPr="008819AF">
              <w:rPr>
                <w:rFonts w:eastAsia="Arial"/>
              </w:rPr>
              <w:t>iii) predúprava odpadov na spaľovanie alebo spoluspaľovanie;</w:t>
            </w:r>
          </w:p>
          <w:p w14:paraId="1513329D" w14:textId="77777777" w:rsidR="00236AB5" w:rsidRPr="008819AF" w:rsidRDefault="00236AB5" w:rsidP="00236AB5">
            <w:pPr>
              <w:numPr>
                <w:ilvl w:val="0"/>
                <w:numId w:val="58"/>
              </w:numPr>
              <w:ind w:left="215" w:hanging="215"/>
              <w:rPr>
                <w:rFonts w:eastAsia="Arial"/>
              </w:rPr>
            </w:pPr>
            <w:r w:rsidRPr="008819AF">
              <w:rPr>
                <w:rFonts w:eastAsia="Arial"/>
              </w:rPr>
              <w:t>iv) spracovanie trosky a popola;</w:t>
            </w:r>
          </w:p>
          <w:p w14:paraId="1513329E" w14:textId="77777777" w:rsidR="00236AB5" w:rsidRPr="008819AF" w:rsidRDefault="00236AB5" w:rsidP="00236AB5">
            <w:pPr>
              <w:numPr>
                <w:ilvl w:val="0"/>
                <w:numId w:val="58"/>
              </w:numPr>
              <w:ind w:left="215" w:hanging="215"/>
              <w:rPr>
                <w:rFonts w:eastAsia="Arial"/>
              </w:rPr>
            </w:pPr>
            <w:r w:rsidRPr="008819AF">
              <w:rPr>
                <w:rFonts w:eastAsia="Arial"/>
              </w:rPr>
              <w:t>v) spracovanie kovového odpadu v drvičoch vrátane odpadu z elektrických a elektronických zariadení a vozidiel po dobe životnosti a ich súčiastok;</w:t>
            </w:r>
          </w:p>
          <w:p w14:paraId="1513329F" w14:textId="77777777" w:rsidR="00236AB5" w:rsidRPr="008819AF" w:rsidRDefault="00236AB5" w:rsidP="00236AB5">
            <w:pPr>
              <w:rPr>
                <w:rFonts w:eastAsia="Arial"/>
              </w:rPr>
            </w:pPr>
            <w:r w:rsidRPr="008819AF">
              <w:rPr>
                <w:rFonts w:eastAsia="Arial"/>
              </w:rPr>
              <w:t>b) zhodnocovanie alebo kombinácia zhodnocovania a zneškodňovania odpadu neklasifikovaného ako nebezpečný s kapacitou presahujúcou 75 ton za deň, ktoré zahŕňa jednu alebo viacero z nasledovných činností, ale nezahŕňa činnosti, na ktoré sa vzťahuje smernica 91/271/EHS:</w:t>
            </w:r>
          </w:p>
          <w:p w14:paraId="151332A0" w14:textId="77777777" w:rsidR="00236AB5" w:rsidRPr="008819AF" w:rsidRDefault="00236AB5" w:rsidP="00236AB5">
            <w:pPr>
              <w:ind w:left="215"/>
              <w:rPr>
                <w:rFonts w:eastAsia="Arial"/>
              </w:rPr>
            </w:pPr>
            <w:r w:rsidRPr="008819AF">
              <w:rPr>
                <w:rFonts w:eastAsia="Arial"/>
              </w:rPr>
              <w:t>i) biologická úprava;</w:t>
            </w:r>
          </w:p>
          <w:p w14:paraId="151332A1" w14:textId="77777777" w:rsidR="00236AB5" w:rsidRPr="008819AF" w:rsidRDefault="00236AB5" w:rsidP="00236AB5">
            <w:pPr>
              <w:ind w:left="215"/>
              <w:rPr>
                <w:rFonts w:eastAsia="Arial"/>
              </w:rPr>
            </w:pPr>
            <w:r w:rsidRPr="008819AF">
              <w:rPr>
                <w:rFonts w:eastAsia="Arial"/>
              </w:rPr>
              <w:t>ii) predúprava odpadov na spaľovanie alebo spoluspaľovanie;</w:t>
            </w:r>
          </w:p>
          <w:p w14:paraId="151332A2" w14:textId="77777777" w:rsidR="00236AB5" w:rsidRPr="008819AF" w:rsidRDefault="00236AB5" w:rsidP="00236AB5">
            <w:pPr>
              <w:ind w:left="215"/>
              <w:rPr>
                <w:rFonts w:eastAsia="Arial"/>
              </w:rPr>
            </w:pPr>
            <w:r w:rsidRPr="008819AF">
              <w:rPr>
                <w:rFonts w:eastAsia="Arial"/>
              </w:rPr>
              <w:t>iii) spracovanie trosky a popola;</w:t>
            </w:r>
          </w:p>
          <w:p w14:paraId="151332A3" w14:textId="77777777" w:rsidR="00236AB5" w:rsidRPr="008819AF" w:rsidRDefault="00236AB5" w:rsidP="00236AB5">
            <w:pPr>
              <w:ind w:left="215"/>
              <w:rPr>
                <w:rFonts w:eastAsia="Arial"/>
              </w:rPr>
            </w:pPr>
            <w:r w:rsidRPr="008819AF">
              <w:rPr>
                <w:rFonts w:eastAsia="Arial"/>
              </w:rPr>
              <w:t>iv) spracovanie kovového odpadu v drvičoch vrátane odpadu z elektrických a elektronických zariadení a vozidiel po dobe životnosti a ich súčiastok.</w:t>
            </w:r>
          </w:p>
          <w:p w14:paraId="151332A4" w14:textId="77777777" w:rsidR="00236AB5" w:rsidRPr="008819AF" w:rsidRDefault="00236AB5" w:rsidP="00236AB5">
            <w:pPr>
              <w:rPr>
                <w:rFonts w:eastAsia="Arial"/>
              </w:rPr>
            </w:pPr>
            <w:r w:rsidRPr="008819AF">
              <w:rPr>
                <w:rFonts w:eastAsia="Arial"/>
              </w:rPr>
              <w:t>Ak je jedinou činnosťou v rámci spracovania odpadu anaeróbna digescia, kapacitným prahom tejto činnosti je 100 ton za deň.</w:t>
            </w:r>
          </w:p>
          <w:p w14:paraId="151332A5" w14:textId="77777777" w:rsidR="00236AB5" w:rsidRPr="008819AF" w:rsidRDefault="00236AB5" w:rsidP="00236AB5">
            <w:pPr>
              <w:rPr>
                <w:rFonts w:eastAsia="Arial"/>
              </w:rPr>
            </w:pPr>
            <w:r w:rsidRPr="008819AF">
              <w:rPr>
                <w:rFonts w:eastAsia="Arial"/>
              </w:rPr>
              <w:t xml:space="preserve">5.4. Skládky odpadov, ako sú vymedzené v článku 2 písm. g) smernice </w:t>
            </w:r>
            <w:r w:rsidRPr="008819AF">
              <w:rPr>
                <w:rFonts w:eastAsia="Arial"/>
              </w:rPr>
              <w:lastRenderedPageBreak/>
              <w:t>Rady 1999/31/ES z 26. apríla 1999 o skládkach odpadov(1), ktoré prijímajú viac ako 10 ton odpadu za deň alebo majú celkovú kapacitu presahujúcu 25 000 ton, okrem skládok inertných odpadov</w:t>
            </w:r>
          </w:p>
          <w:p w14:paraId="151332A6" w14:textId="77777777" w:rsidR="00236AB5" w:rsidRPr="008819AF" w:rsidRDefault="00236AB5" w:rsidP="00236AB5">
            <w:pPr>
              <w:rPr>
                <w:rFonts w:eastAsia="Arial"/>
              </w:rPr>
            </w:pPr>
            <w:r w:rsidRPr="008819AF">
              <w:rPr>
                <w:rFonts w:eastAsia="Arial"/>
              </w:rPr>
              <w:t>5.5. Dočasné ukladanie nebezpečného odpadu, na ktoré sa nevzťahuje bod 5.4, pokým sa nevykonajú niektoré z činností uvedených v bodoch 5.1, 5.2, 5.4 a 5.6 s celkovou kapacitou presahujúcou 50 ton, s výnimkou dočasného ukladania na mieste vzniku odpadu, pokým sa neodvezie</w:t>
            </w:r>
          </w:p>
          <w:p w14:paraId="151332A7" w14:textId="77777777" w:rsidR="00236AB5" w:rsidRPr="008819AF" w:rsidRDefault="00236AB5" w:rsidP="00236AB5">
            <w:pPr>
              <w:rPr>
                <w:rFonts w:eastAsia="Arial"/>
              </w:rPr>
            </w:pPr>
            <w:r w:rsidRPr="008819AF">
              <w:rPr>
                <w:rFonts w:eastAsia="Arial"/>
              </w:rPr>
              <w:t>5.6. Podzemné ukladanie nebezpečného odpadu s celkovou kapacitou presahujúcou 50 ton</w:t>
            </w:r>
          </w:p>
          <w:p w14:paraId="151332A8" w14:textId="77777777" w:rsidR="00236AB5" w:rsidRPr="008819AF" w:rsidRDefault="00236AB5" w:rsidP="00236AB5">
            <w:pPr>
              <w:rPr>
                <w:rFonts w:eastAsia="Arial"/>
              </w:rPr>
            </w:pPr>
          </w:p>
          <w:p w14:paraId="151332A9" w14:textId="77777777" w:rsidR="00236AB5" w:rsidRPr="008819AF" w:rsidRDefault="00236AB5" w:rsidP="00236AB5">
            <w:pPr>
              <w:rPr>
                <w:rFonts w:eastAsia="Arial"/>
              </w:rPr>
            </w:pPr>
            <w:r w:rsidRPr="008819AF">
              <w:rPr>
                <w:rFonts w:eastAsia="Arial"/>
              </w:rPr>
              <w:t>6. Ostatné činnosti</w:t>
            </w:r>
          </w:p>
          <w:p w14:paraId="151332AA" w14:textId="77777777" w:rsidR="00236AB5" w:rsidRPr="008819AF" w:rsidRDefault="00236AB5" w:rsidP="00236AB5">
            <w:pPr>
              <w:rPr>
                <w:rFonts w:eastAsia="Arial"/>
              </w:rPr>
            </w:pPr>
            <w:r w:rsidRPr="008819AF">
              <w:rPr>
                <w:rFonts w:eastAsia="Arial"/>
              </w:rPr>
              <w:t>6.1. Výroba v priemyselných zariadeniach:</w:t>
            </w:r>
          </w:p>
          <w:p w14:paraId="151332AB" w14:textId="77777777" w:rsidR="00236AB5" w:rsidRPr="008819AF" w:rsidRDefault="00236AB5" w:rsidP="00236AB5">
            <w:pPr>
              <w:numPr>
                <w:ilvl w:val="0"/>
                <w:numId w:val="59"/>
              </w:numPr>
              <w:ind w:left="215" w:hanging="215"/>
              <w:rPr>
                <w:rFonts w:eastAsia="Arial"/>
              </w:rPr>
            </w:pPr>
            <w:r w:rsidRPr="008819AF">
              <w:rPr>
                <w:rFonts w:eastAsia="Arial"/>
              </w:rPr>
              <w:t>a) buničiny z dreva alebo iných vláknitých materiálov;</w:t>
            </w:r>
          </w:p>
          <w:p w14:paraId="151332AC" w14:textId="77777777" w:rsidR="00236AB5" w:rsidRPr="008819AF" w:rsidRDefault="00236AB5" w:rsidP="00236AB5">
            <w:pPr>
              <w:numPr>
                <w:ilvl w:val="0"/>
                <w:numId w:val="59"/>
              </w:numPr>
              <w:ind w:left="215" w:hanging="215"/>
              <w:rPr>
                <w:rFonts w:eastAsia="Arial"/>
              </w:rPr>
            </w:pPr>
            <w:r w:rsidRPr="008819AF">
              <w:rPr>
                <w:rFonts w:eastAsia="Arial"/>
              </w:rPr>
              <w:t>b) papiera alebo lepenky s výrobnou kapacitou presahujúcou 20 ton za deň;</w:t>
            </w:r>
          </w:p>
          <w:p w14:paraId="151332AD" w14:textId="77777777" w:rsidR="00236AB5" w:rsidRPr="008819AF" w:rsidRDefault="00236AB5" w:rsidP="00236AB5">
            <w:pPr>
              <w:numPr>
                <w:ilvl w:val="0"/>
                <w:numId w:val="59"/>
              </w:numPr>
              <w:ind w:left="215" w:hanging="215"/>
              <w:rPr>
                <w:rFonts w:eastAsia="Arial"/>
              </w:rPr>
            </w:pPr>
            <w:r w:rsidRPr="008819AF">
              <w:rPr>
                <w:rFonts w:eastAsia="Arial"/>
              </w:rPr>
              <w:t>c) jedného alebo viacerých z týchto druhov dosiek na báze dreva: lisované dosky z orientovaných mikrodýh, drevotrieskové alebo drevovláknité dosky s výrobnou kapacitou presahujúcou 600 m</w:t>
            </w:r>
            <w:r w:rsidRPr="008819AF">
              <w:rPr>
                <w:rFonts w:eastAsia="Arial"/>
                <w:vertAlign w:val="superscript"/>
              </w:rPr>
              <w:t>3</w:t>
            </w:r>
            <w:r w:rsidRPr="008819AF">
              <w:rPr>
                <w:rFonts w:eastAsia="Arial"/>
              </w:rPr>
              <w:t xml:space="preserve"> za deň.</w:t>
            </w:r>
          </w:p>
          <w:p w14:paraId="151332AE" w14:textId="77777777" w:rsidR="00236AB5" w:rsidRPr="008819AF" w:rsidRDefault="00236AB5" w:rsidP="00236AB5">
            <w:pPr>
              <w:rPr>
                <w:rFonts w:eastAsia="Arial"/>
              </w:rPr>
            </w:pPr>
          </w:p>
          <w:p w14:paraId="151332AF" w14:textId="77777777" w:rsidR="00236AB5" w:rsidRPr="008819AF" w:rsidRDefault="00236AB5" w:rsidP="00236AB5">
            <w:pPr>
              <w:rPr>
                <w:rFonts w:eastAsia="Arial"/>
              </w:rPr>
            </w:pPr>
            <w:r w:rsidRPr="008819AF">
              <w:rPr>
                <w:rFonts w:eastAsia="Arial"/>
              </w:rPr>
              <w:t>6.2. Predpríprava (činnosti ako sú pranie, bielenie, mercerizácia) alebo farbenie textilných vlákien alebo textílií s kapacitou spracovania presahujúcou 10 ton za deň</w:t>
            </w:r>
          </w:p>
          <w:p w14:paraId="151332B0" w14:textId="77777777" w:rsidR="00236AB5" w:rsidRPr="008819AF" w:rsidRDefault="00236AB5" w:rsidP="00236AB5">
            <w:pPr>
              <w:rPr>
                <w:rFonts w:eastAsia="Arial"/>
              </w:rPr>
            </w:pPr>
            <w:r w:rsidRPr="008819AF">
              <w:rPr>
                <w:rFonts w:eastAsia="Arial"/>
              </w:rPr>
              <w:t>6.3. Vyčiňovanie koží a kožušín s kapacitou spracovania presahujúcou 12 ton hotových výrobkov za deň</w:t>
            </w:r>
          </w:p>
          <w:p w14:paraId="151332B1" w14:textId="77777777" w:rsidR="00236AB5" w:rsidRPr="008819AF" w:rsidRDefault="00236AB5" w:rsidP="00236AB5">
            <w:pPr>
              <w:rPr>
                <w:rFonts w:eastAsia="Arial"/>
              </w:rPr>
            </w:pPr>
            <w:r w:rsidRPr="008819AF">
              <w:rPr>
                <w:rFonts w:eastAsia="Arial"/>
              </w:rPr>
              <w:t>6.4. a)  Prevádzka bitúnkov s kapacitou zabitia presahujúcou 50 ton za deň</w:t>
            </w:r>
          </w:p>
          <w:p w14:paraId="151332B2" w14:textId="77777777" w:rsidR="00236AB5" w:rsidRPr="008819AF" w:rsidRDefault="00236AB5" w:rsidP="00236AB5">
            <w:pPr>
              <w:rPr>
                <w:rFonts w:eastAsia="Arial"/>
              </w:rPr>
            </w:pPr>
            <w:r w:rsidRPr="008819AF">
              <w:rPr>
                <w:rFonts w:eastAsia="Arial"/>
              </w:rPr>
              <w:t>b) Úprava a spracovanie nasledujúcich surovín s výnimkou prípadov, keď ide výlučne o balenie týchto surovín, bez ohľadu na to, či predtým boli, alebo neboli spracované, ktoré sú určené na výrobu potravín alebo krmív z:</w:t>
            </w:r>
          </w:p>
          <w:p w14:paraId="151332B3" w14:textId="77777777" w:rsidR="00236AB5" w:rsidRPr="008819AF" w:rsidRDefault="00236AB5" w:rsidP="00236AB5">
            <w:pPr>
              <w:ind w:left="215"/>
              <w:rPr>
                <w:rFonts w:eastAsia="Arial"/>
              </w:rPr>
            </w:pPr>
            <w:r w:rsidRPr="008819AF">
              <w:rPr>
                <w:rFonts w:eastAsia="Arial"/>
              </w:rPr>
              <w:t>i) iba zo surovín živočíšneho pôvodu (s výnimkou prípadov, keď ide výlučne o mlieko) s výrobnou kapacitou hotových výrobkov presahujúcou 75 ton za deň;</w:t>
            </w:r>
          </w:p>
          <w:p w14:paraId="151332B4" w14:textId="77777777" w:rsidR="00236AB5" w:rsidRPr="008819AF" w:rsidRDefault="00236AB5" w:rsidP="00236AB5">
            <w:pPr>
              <w:ind w:left="215"/>
              <w:rPr>
                <w:rFonts w:eastAsia="Arial"/>
              </w:rPr>
            </w:pPr>
            <w:r w:rsidRPr="008819AF">
              <w:rPr>
                <w:rFonts w:eastAsia="Arial"/>
              </w:rPr>
              <w:t>ii) iba zo surovín rastlinného pôvodu s výrobnou kapacitou hotových výrobkov presahujúcou 300 ton za deň alebo 600 ton za deň, ak zariadenie nie je v prevádzke viac ako 90 po sebe nasledujúcich dní v roku;</w:t>
            </w:r>
          </w:p>
          <w:p w14:paraId="151332B5" w14:textId="77777777" w:rsidR="00236AB5" w:rsidRPr="008819AF" w:rsidRDefault="00236AB5" w:rsidP="00236AB5">
            <w:pPr>
              <w:ind w:left="215"/>
              <w:rPr>
                <w:rFonts w:eastAsia="Arial"/>
              </w:rPr>
            </w:pPr>
            <w:r w:rsidRPr="008819AF">
              <w:rPr>
                <w:rFonts w:eastAsia="Arial"/>
              </w:rPr>
              <w:t>iii) zo surovín živočíšneho a rastlinného pôvodu v kombinovaných alebo oddelených výrobkoch s výrobnou kapacitou hotových výrobkov v tonách za deň presahujúcou:</w:t>
            </w:r>
          </w:p>
          <w:p w14:paraId="151332B6" w14:textId="77777777" w:rsidR="00236AB5" w:rsidRPr="008819AF" w:rsidRDefault="00236AB5" w:rsidP="00236AB5">
            <w:pPr>
              <w:rPr>
                <w:rFonts w:eastAsia="Arial"/>
              </w:rPr>
            </w:pPr>
            <w:r w:rsidRPr="008819AF">
              <w:rPr>
                <w:rFonts w:eastAsia="Arial"/>
              </w:rPr>
              <w:t>— 75 ak A sa rovná 10 alebo viac; alebo</w:t>
            </w:r>
          </w:p>
          <w:p w14:paraId="151332B7" w14:textId="77777777" w:rsidR="00236AB5" w:rsidRPr="008819AF" w:rsidRDefault="00236AB5" w:rsidP="00236AB5">
            <w:pPr>
              <w:rPr>
                <w:rFonts w:eastAsia="Arial"/>
              </w:rPr>
            </w:pPr>
            <w:r w:rsidRPr="008819AF">
              <w:rPr>
                <w:rFonts w:eastAsia="Arial"/>
              </w:rPr>
              <w:t>— [300 – (22,5 × A)] vo všetkých ostatných prípadoch;</w:t>
            </w:r>
          </w:p>
          <w:p w14:paraId="151332B8" w14:textId="77777777" w:rsidR="00236AB5" w:rsidRPr="008819AF" w:rsidRDefault="00236AB5" w:rsidP="00236AB5">
            <w:pPr>
              <w:rPr>
                <w:rFonts w:eastAsia="Arial"/>
              </w:rPr>
            </w:pPr>
            <w:r w:rsidRPr="008819AF">
              <w:rPr>
                <w:rFonts w:eastAsia="Arial"/>
              </w:rPr>
              <w:t xml:space="preserve">kde „A“ predstavuje podiel materiálu živočíšneho pôvodu (v percentách </w:t>
            </w:r>
            <w:r w:rsidRPr="008819AF">
              <w:rPr>
                <w:rFonts w:eastAsia="Arial"/>
              </w:rPr>
              <w:lastRenderedPageBreak/>
              <w:t>hmotnosti) výrobnej kapacity hotových výrobkov.</w:t>
            </w:r>
          </w:p>
          <w:p w14:paraId="151332B9" w14:textId="77777777" w:rsidR="00236AB5" w:rsidRPr="008819AF" w:rsidRDefault="00236AB5" w:rsidP="00236AB5">
            <w:pPr>
              <w:rPr>
                <w:rFonts w:eastAsia="Arial"/>
              </w:rPr>
            </w:pPr>
            <w:r w:rsidRPr="008819AF">
              <w:rPr>
                <w:rFonts w:eastAsia="Arial"/>
              </w:rPr>
              <w:t>Obal sa do konečnej hmotnosti výrobku nepočíta.</w:t>
            </w:r>
          </w:p>
          <w:p w14:paraId="151332BA" w14:textId="77777777" w:rsidR="00236AB5" w:rsidRPr="008819AF" w:rsidRDefault="00236AB5" w:rsidP="00236AB5">
            <w:pPr>
              <w:rPr>
                <w:rFonts w:eastAsia="Arial"/>
              </w:rPr>
            </w:pPr>
            <w:r w:rsidRPr="008819AF">
              <w:rPr>
                <w:rFonts w:eastAsia="Arial"/>
              </w:rPr>
              <w:t>Tento bod sa neuplatňuje, ak je surovinou výlučne mlieko.</w:t>
            </w:r>
          </w:p>
          <w:p w14:paraId="151332BB" w14:textId="77777777" w:rsidR="00236AB5" w:rsidRPr="008819AF" w:rsidRDefault="00236AB5" w:rsidP="00236AB5">
            <w:pPr>
              <w:rPr>
                <w:rFonts w:eastAsia="Arial"/>
              </w:rPr>
            </w:pPr>
            <w:r w:rsidRPr="008819AF">
              <w:rPr>
                <w:rFonts w:eastAsia="Arial"/>
              </w:rPr>
              <w:t>c) Výlučne spracovanie a úprava mlieka, ak je množstvo odoberaného mlieka vyššie ako 200 ton za deň (priemerná hodnota vyrátaná za rok).</w:t>
            </w:r>
          </w:p>
          <w:p w14:paraId="151332BC" w14:textId="77777777" w:rsidR="00236AB5" w:rsidRPr="008819AF" w:rsidRDefault="00236AB5" w:rsidP="00236AB5">
            <w:pPr>
              <w:rPr>
                <w:rFonts w:eastAsia="Arial"/>
              </w:rPr>
            </w:pPr>
          </w:p>
          <w:p w14:paraId="151332BD" w14:textId="77777777" w:rsidR="00236AB5" w:rsidRPr="008819AF" w:rsidRDefault="00236AB5" w:rsidP="00236AB5">
            <w:pPr>
              <w:rPr>
                <w:rFonts w:eastAsia="Arial"/>
              </w:rPr>
            </w:pPr>
            <w:r w:rsidRPr="008819AF">
              <w:rPr>
                <w:rFonts w:eastAsia="Arial"/>
              </w:rPr>
              <w:t>6.5. Odstraňovanie alebo spracovanie mŕtvych tiel zvierat alebo živočíšneho odpadu s kapacitou spracovania presahujúcou 10 ton za deň</w:t>
            </w:r>
          </w:p>
          <w:p w14:paraId="151332BE" w14:textId="77777777" w:rsidR="00236AB5" w:rsidRPr="008819AF" w:rsidRDefault="00236AB5" w:rsidP="00236AB5">
            <w:pPr>
              <w:rPr>
                <w:rFonts w:eastAsia="Arial"/>
              </w:rPr>
            </w:pPr>
            <w:r w:rsidRPr="008819AF">
              <w:rPr>
                <w:rFonts w:eastAsia="Arial"/>
              </w:rPr>
              <w:t>6.6. Intenzívny chov hydiny alebo ošípaných:</w:t>
            </w:r>
          </w:p>
          <w:p w14:paraId="151332BF" w14:textId="77777777" w:rsidR="00236AB5" w:rsidRPr="008819AF" w:rsidRDefault="00236AB5" w:rsidP="00236AB5">
            <w:pPr>
              <w:numPr>
                <w:ilvl w:val="0"/>
                <w:numId w:val="60"/>
              </w:numPr>
              <w:ind w:left="215" w:hanging="215"/>
              <w:rPr>
                <w:rFonts w:eastAsia="Arial"/>
              </w:rPr>
            </w:pPr>
            <w:r w:rsidRPr="008819AF">
              <w:rPr>
                <w:rFonts w:eastAsia="Arial"/>
              </w:rPr>
              <w:t>a) s miestom pre viac ako 40 000 kusov hydiny;</w:t>
            </w:r>
          </w:p>
          <w:p w14:paraId="151332C0" w14:textId="77777777" w:rsidR="00236AB5" w:rsidRPr="008819AF" w:rsidRDefault="00236AB5" w:rsidP="00236AB5">
            <w:pPr>
              <w:ind w:left="215" w:hanging="215"/>
              <w:rPr>
                <w:rFonts w:eastAsia="Arial"/>
              </w:rPr>
            </w:pPr>
            <w:r w:rsidRPr="008819AF">
              <w:rPr>
                <w:rFonts w:eastAsia="Arial"/>
              </w:rPr>
              <w:t>b) s miestom pre viac ako 2 000 kusov ošípaných (nad 30 kg) aleboc) s miestom pre viac ako 750 kusov prasníc.</w:t>
            </w:r>
          </w:p>
          <w:p w14:paraId="151332C1" w14:textId="77777777" w:rsidR="00236AB5" w:rsidRPr="008819AF" w:rsidRDefault="00236AB5" w:rsidP="00236AB5">
            <w:pPr>
              <w:rPr>
                <w:rFonts w:eastAsia="Arial"/>
              </w:rPr>
            </w:pPr>
            <w:r w:rsidRPr="008819AF">
              <w:rPr>
                <w:rFonts w:eastAsia="Arial"/>
              </w:rPr>
              <w:t>6.7. Povrchová úprava látok, predmetov alebo výrobkov s použitím organických rozpúšťadiel, najmä apretácia, tlač, poťahovanie, odmasťovanie, vodovzdorná úprava, lepenie, nanášanie náterov, čistenie alebo impregnovanie s kapacitou spotreby organického rozpúšťadla presahujúcou 150 kg za hodinu alebo 200 ton za rok</w:t>
            </w:r>
          </w:p>
          <w:p w14:paraId="151332C2" w14:textId="77777777" w:rsidR="00236AB5" w:rsidRPr="008819AF" w:rsidRDefault="00236AB5" w:rsidP="00236AB5">
            <w:pPr>
              <w:rPr>
                <w:rFonts w:eastAsia="Arial"/>
              </w:rPr>
            </w:pPr>
            <w:r w:rsidRPr="008819AF">
              <w:rPr>
                <w:rFonts w:eastAsia="Arial"/>
              </w:rPr>
              <w:t>6.8. Výroba uhlíka (uhlie pálené pri vysokej teplote) alebo elektrografitu vypaľovaním alebo grafitizáciou</w:t>
            </w:r>
          </w:p>
          <w:p w14:paraId="151332C3" w14:textId="77777777" w:rsidR="00236AB5" w:rsidRPr="008819AF" w:rsidRDefault="00236AB5" w:rsidP="00236AB5">
            <w:pPr>
              <w:rPr>
                <w:rFonts w:eastAsia="Arial"/>
              </w:rPr>
            </w:pPr>
            <w:r w:rsidRPr="008819AF">
              <w:rPr>
                <w:rFonts w:eastAsia="Arial"/>
              </w:rPr>
              <w:t>6.9. Zachytávanie toku CO</w:t>
            </w:r>
            <w:r w:rsidRPr="008819AF">
              <w:rPr>
                <w:rFonts w:eastAsia="Arial"/>
                <w:vertAlign w:val="subscript"/>
              </w:rPr>
              <w:t>2</w:t>
            </w:r>
            <w:r w:rsidRPr="008819AF">
              <w:rPr>
                <w:rFonts w:eastAsia="Arial"/>
              </w:rPr>
              <w:t xml:space="preserve"> zo zariadenia, na ktoré sa vzťahuje táto smernica, na účely geologického ukladania podľa smernice 2009/31/ES</w:t>
            </w:r>
          </w:p>
          <w:p w14:paraId="151332C4" w14:textId="77777777" w:rsidR="00236AB5" w:rsidRPr="008819AF" w:rsidRDefault="00236AB5" w:rsidP="00236AB5">
            <w:pPr>
              <w:rPr>
                <w:rFonts w:eastAsia="Arial"/>
              </w:rPr>
            </w:pPr>
            <w:r w:rsidRPr="008819AF">
              <w:rPr>
                <w:rFonts w:eastAsia="Arial"/>
              </w:rPr>
              <w:t>6.10. Konzervovanie dreva a výrobkov z dreva chemickými látkami s výrobnou kapacitou presahujúcou 75 m3 za deň, s výnimkou výlučného ošetrenia proti plesni</w:t>
            </w:r>
          </w:p>
          <w:p w14:paraId="151332C5" w14:textId="77777777" w:rsidR="00236AB5" w:rsidRPr="008819AF" w:rsidRDefault="00236AB5" w:rsidP="00236AB5">
            <w:pPr>
              <w:ind w:left="215" w:hanging="215"/>
              <w:rPr>
                <w:rFonts w:eastAsia="Arial"/>
              </w:rPr>
            </w:pPr>
            <w:r w:rsidRPr="008819AF">
              <w:rPr>
                <w:rFonts w:eastAsia="Arial"/>
              </w:rPr>
              <w:t>6.11. Nezávisle prevádzkované čistenie odpadových vôd, na ktoré sa nevzťahuje smernica 91/271/EHS a ktoré sa vypúšťajú zo zariadenia, na ktoré sa vzťahuje kapitola II“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2C6"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2C7"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2C8" w14:textId="77777777" w:rsidR="00236AB5" w:rsidRPr="008819AF" w:rsidRDefault="00236AB5" w:rsidP="00236AB5">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2C9" w14:textId="77777777" w:rsidR="00236AB5" w:rsidRPr="008819AF" w:rsidRDefault="00236AB5" w:rsidP="00236AB5">
            <w:pPr>
              <w:ind w:left="215" w:hanging="215"/>
              <w:rPr>
                <w:rFonts w:eastAsia="Arial"/>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32CA" w14:textId="77777777" w:rsidR="00236AB5" w:rsidRPr="008819AF" w:rsidRDefault="00236AB5" w:rsidP="00236AB5">
            <w:pPr>
              <w:pStyle w:val="Nomal"/>
              <w:rPr>
                <w:rFonts w:ascii="Times New Roman" w:hAnsi="Times New Roman" w:cs="Times New Roman"/>
                <w:color w:val="auto"/>
                <w:sz w:val="20"/>
                <w:szCs w:val="20"/>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2CB" w14:textId="77777777" w:rsidR="00236AB5" w:rsidRPr="008819AF" w:rsidRDefault="00236AB5" w:rsidP="00236AB5">
            <w:pPr>
              <w:pStyle w:val="Nomal"/>
              <w:rPr>
                <w:rFonts w:ascii="Times New Roman" w:hAnsi="Times New Roman" w:cs="Times New Roman"/>
                <w:color w:val="auto"/>
                <w:sz w:val="20"/>
                <w:szCs w:val="20"/>
              </w:rPr>
            </w:pPr>
          </w:p>
        </w:tc>
      </w:tr>
      <w:tr w:rsidR="00236AB5" w:rsidRPr="008819AF" w14:paraId="151332D5"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2CD" w14:textId="77777777" w:rsidR="00236AB5" w:rsidRPr="008819AF" w:rsidRDefault="00236AB5" w:rsidP="00236AB5">
            <w:pPr>
              <w:ind w:right="-70"/>
              <w:rPr>
                <w:rFonts w:eastAsia="Arial"/>
                <w:i/>
                <w:iCs/>
                <w:lang w:bidi="cs-CZ"/>
              </w:rPr>
            </w:pPr>
            <w:r w:rsidRPr="008819AF">
              <w:rPr>
                <w:rFonts w:eastAsia="Arial"/>
                <w:i/>
                <w:iCs/>
                <w:lang w:bidi="cs-CZ"/>
              </w:rPr>
              <w:lastRenderedPageBreak/>
              <w:t>PRÍLOHA II</w:t>
            </w:r>
          </w:p>
        </w:tc>
        <w:tc>
          <w:tcPr>
            <w:tcW w:w="6227" w:type="dxa"/>
            <w:gridSpan w:val="2"/>
            <w:tcBorders>
              <w:top w:val="single" w:sz="4" w:space="0" w:color="000000"/>
              <w:left w:val="single" w:sz="6" w:space="0" w:color="000000"/>
              <w:bottom w:val="single" w:sz="6" w:space="0" w:color="000000"/>
              <w:right w:val="single" w:sz="6" w:space="0" w:color="000000"/>
            </w:tcBorders>
          </w:tcPr>
          <w:p w14:paraId="151332CE" w14:textId="77777777" w:rsidR="00236AB5" w:rsidRPr="008819AF" w:rsidRDefault="00236AB5" w:rsidP="00236AB5">
            <w:pPr>
              <w:ind w:left="215" w:hanging="215"/>
              <w:rPr>
                <w:rFonts w:eastAsia="Arial"/>
                <w:b/>
                <w:bCs/>
              </w:rPr>
            </w:pPr>
            <w:r w:rsidRPr="008819AF">
              <w:rPr>
                <w:rFonts w:eastAsia="Arial"/>
                <w:b/>
                <w:bCs/>
              </w:rPr>
              <w:t>Zoznam znečisťujúcich látok</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2CF"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2D0"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2D1" w14:textId="77777777" w:rsidR="00236AB5" w:rsidRPr="008819AF" w:rsidRDefault="00236AB5" w:rsidP="00236AB5">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2D2"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2D3"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2D4" w14:textId="77777777" w:rsidR="00236AB5" w:rsidRPr="008819AF" w:rsidRDefault="00236AB5" w:rsidP="00236AB5">
            <w:pPr>
              <w:pStyle w:val="Nadpis6"/>
              <w:jc w:val="left"/>
              <w:rPr>
                <w:rFonts w:ascii="Times New Roman" w:hAnsi="Times New Roman" w:cs="Times New Roman"/>
                <w:b w:val="0"/>
                <w:bCs w:val="0"/>
                <w:sz w:val="20"/>
                <w:szCs w:val="20"/>
              </w:rPr>
            </w:pPr>
          </w:p>
        </w:tc>
      </w:tr>
      <w:tr w:rsidR="00236AB5" w:rsidRPr="008819AF" w14:paraId="151332FA"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2D6" w14:textId="77777777" w:rsidR="00236AB5" w:rsidRPr="008819AF" w:rsidRDefault="00236AB5" w:rsidP="00236AB5">
            <w:pPr>
              <w:ind w:right="-70"/>
              <w:rPr>
                <w:rFonts w:eastAsia="Arial"/>
                <w:i/>
                <w:iCs/>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2D7" w14:textId="77777777" w:rsidR="00236AB5" w:rsidRPr="008819AF" w:rsidRDefault="00236AB5" w:rsidP="00236AB5">
            <w:pPr>
              <w:rPr>
                <w:rFonts w:eastAsia="Arial"/>
              </w:rPr>
            </w:pPr>
            <w:r w:rsidRPr="008819AF">
              <w:rPr>
                <w:rFonts w:eastAsia="Arial"/>
              </w:rPr>
              <w:t>OVZDUŠIE</w:t>
            </w:r>
          </w:p>
          <w:p w14:paraId="151332D8" w14:textId="77777777" w:rsidR="00236AB5" w:rsidRPr="008819AF" w:rsidRDefault="00236AB5" w:rsidP="00236AB5">
            <w:pPr>
              <w:spacing w:before="120"/>
              <w:rPr>
                <w:rFonts w:eastAsia="Arial"/>
              </w:rPr>
            </w:pPr>
            <w:r w:rsidRPr="008819AF">
              <w:rPr>
                <w:rFonts w:eastAsia="Arial"/>
              </w:rPr>
              <w:t>1. Oxid siričitý a ostatné zlúčeniny síry</w:t>
            </w:r>
          </w:p>
          <w:p w14:paraId="151332D9" w14:textId="77777777" w:rsidR="00236AB5" w:rsidRPr="008819AF" w:rsidRDefault="00236AB5" w:rsidP="00236AB5">
            <w:pPr>
              <w:spacing w:before="120"/>
              <w:rPr>
                <w:rFonts w:eastAsia="Arial"/>
              </w:rPr>
            </w:pPr>
            <w:r w:rsidRPr="008819AF">
              <w:rPr>
                <w:rFonts w:eastAsia="Arial"/>
              </w:rPr>
              <w:t>2. Oxidy dusíka a ostatné zlúčeniny dusíka</w:t>
            </w:r>
          </w:p>
          <w:p w14:paraId="151332DA" w14:textId="77777777" w:rsidR="00236AB5" w:rsidRPr="008819AF" w:rsidRDefault="00236AB5" w:rsidP="00236AB5">
            <w:pPr>
              <w:spacing w:before="120"/>
              <w:rPr>
                <w:rFonts w:eastAsia="Arial"/>
              </w:rPr>
            </w:pPr>
            <w:r w:rsidRPr="008819AF">
              <w:rPr>
                <w:rFonts w:eastAsia="Arial"/>
              </w:rPr>
              <w:t>3. Oxid uhoľnatý</w:t>
            </w:r>
          </w:p>
          <w:p w14:paraId="151332DB" w14:textId="77777777" w:rsidR="00236AB5" w:rsidRPr="008819AF" w:rsidRDefault="00236AB5" w:rsidP="00236AB5">
            <w:pPr>
              <w:spacing w:before="120"/>
              <w:rPr>
                <w:rFonts w:eastAsia="Arial"/>
              </w:rPr>
            </w:pPr>
            <w:r w:rsidRPr="008819AF">
              <w:rPr>
                <w:rFonts w:eastAsia="Arial"/>
              </w:rPr>
              <w:t>4. Prchavé organické zlúčeniny</w:t>
            </w:r>
          </w:p>
          <w:p w14:paraId="151332DC" w14:textId="77777777" w:rsidR="00236AB5" w:rsidRPr="008819AF" w:rsidRDefault="00236AB5" w:rsidP="00236AB5">
            <w:pPr>
              <w:spacing w:before="120"/>
              <w:rPr>
                <w:rFonts w:eastAsia="Arial"/>
              </w:rPr>
            </w:pPr>
            <w:r w:rsidRPr="008819AF">
              <w:rPr>
                <w:rFonts w:eastAsia="Arial"/>
              </w:rPr>
              <w:t>5. Kovy a ich zlúčeniny</w:t>
            </w:r>
          </w:p>
          <w:p w14:paraId="151332DD" w14:textId="77777777" w:rsidR="00236AB5" w:rsidRPr="008819AF" w:rsidRDefault="00236AB5" w:rsidP="00236AB5">
            <w:pPr>
              <w:spacing w:before="120"/>
              <w:rPr>
                <w:rFonts w:eastAsia="Arial"/>
              </w:rPr>
            </w:pPr>
            <w:r w:rsidRPr="008819AF">
              <w:rPr>
                <w:rFonts w:eastAsia="Arial"/>
              </w:rPr>
              <w:t>6. Tuhé znečisťujúce látky vrátane jemných častíc</w:t>
            </w:r>
          </w:p>
          <w:p w14:paraId="151332DE" w14:textId="77777777" w:rsidR="00236AB5" w:rsidRPr="008819AF" w:rsidRDefault="00236AB5" w:rsidP="00236AB5">
            <w:pPr>
              <w:spacing w:before="120"/>
              <w:rPr>
                <w:rFonts w:eastAsia="Arial"/>
              </w:rPr>
            </w:pPr>
            <w:r w:rsidRPr="008819AF">
              <w:rPr>
                <w:rFonts w:eastAsia="Arial"/>
              </w:rPr>
              <w:lastRenderedPageBreak/>
              <w:t>7. Azbest (suspendované častice, vlákna)</w:t>
            </w:r>
          </w:p>
          <w:p w14:paraId="151332DF" w14:textId="77777777" w:rsidR="00236AB5" w:rsidRPr="008819AF" w:rsidRDefault="00236AB5" w:rsidP="00236AB5">
            <w:pPr>
              <w:spacing w:before="120"/>
              <w:rPr>
                <w:rFonts w:eastAsia="Arial"/>
              </w:rPr>
            </w:pPr>
            <w:r w:rsidRPr="008819AF">
              <w:rPr>
                <w:rFonts w:eastAsia="Arial"/>
              </w:rPr>
              <w:t>8. Chlór a jeho zlúčeniny</w:t>
            </w:r>
          </w:p>
          <w:p w14:paraId="151332E0" w14:textId="77777777" w:rsidR="00236AB5" w:rsidRPr="008819AF" w:rsidRDefault="00236AB5" w:rsidP="00236AB5">
            <w:pPr>
              <w:spacing w:before="120"/>
              <w:rPr>
                <w:rFonts w:eastAsia="Arial"/>
              </w:rPr>
            </w:pPr>
            <w:r w:rsidRPr="008819AF">
              <w:rPr>
                <w:rFonts w:eastAsia="Arial"/>
              </w:rPr>
              <w:t>9. Fluór a jeho zlúčeniny</w:t>
            </w:r>
          </w:p>
          <w:p w14:paraId="151332E1" w14:textId="77777777" w:rsidR="00236AB5" w:rsidRPr="008819AF" w:rsidRDefault="00236AB5" w:rsidP="00236AB5">
            <w:pPr>
              <w:spacing w:before="120"/>
              <w:rPr>
                <w:rFonts w:eastAsia="Arial"/>
              </w:rPr>
            </w:pPr>
            <w:r w:rsidRPr="008819AF">
              <w:rPr>
                <w:rFonts w:eastAsia="Arial"/>
              </w:rPr>
              <w:t>10. Arzén a jeho zlúčeniny</w:t>
            </w:r>
          </w:p>
          <w:p w14:paraId="151332E2" w14:textId="77777777" w:rsidR="00236AB5" w:rsidRPr="008819AF" w:rsidRDefault="00236AB5" w:rsidP="00236AB5">
            <w:pPr>
              <w:spacing w:before="120"/>
              <w:rPr>
                <w:rFonts w:eastAsia="Arial"/>
              </w:rPr>
            </w:pPr>
            <w:r w:rsidRPr="008819AF">
              <w:rPr>
                <w:rFonts w:eastAsia="Arial"/>
              </w:rPr>
              <w:t>11. Kyanidy</w:t>
            </w:r>
          </w:p>
          <w:p w14:paraId="151332E3" w14:textId="77777777" w:rsidR="00236AB5" w:rsidRPr="008819AF" w:rsidRDefault="00236AB5" w:rsidP="00236AB5">
            <w:pPr>
              <w:spacing w:before="120"/>
              <w:rPr>
                <w:rFonts w:eastAsia="Arial"/>
              </w:rPr>
            </w:pPr>
            <w:r w:rsidRPr="008819AF">
              <w:rPr>
                <w:rFonts w:eastAsia="Arial"/>
              </w:rPr>
              <w:t>12. Látky a zmesi, pri ktorých bolo dokázané, že pri prenose vzduchom majú karcinogénne alebo mutagénne účinky alebo vlastnosti, ktoré môžu ovplyvniť reprodukciu</w:t>
            </w:r>
          </w:p>
          <w:p w14:paraId="151332E4" w14:textId="77777777" w:rsidR="00236AB5" w:rsidRPr="008819AF" w:rsidRDefault="00236AB5" w:rsidP="00236AB5">
            <w:pPr>
              <w:spacing w:before="120"/>
              <w:rPr>
                <w:rFonts w:eastAsia="Arial"/>
              </w:rPr>
            </w:pPr>
            <w:r w:rsidRPr="008819AF">
              <w:rPr>
                <w:rFonts w:eastAsia="Arial"/>
              </w:rPr>
              <w:t>13. Polychlórované dibenzodioxíny a polychlórované dibenzofurány</w:t>
            </w:r>
          </w:p>
          <w:p w14:paraId="151332E5" w14:textId="77777777" w:rsidR="00236AB5" w:rsidRPr="008819AF" w:rsidRDefault="00236AB5" w:rsidP="00236AB5">
            <w:pPr>
              <w:rPr>
                <w:rFonts w:eastAsia="Arial"/>
              </w:rPr>
            </w:pPr>
          </w:p>
          <w:p w14:paraId="151332E6" w14:textId="77777777" w:rsidR="00236AB5" w:rsidRPr="008819AF" w:rsidRDefault="00236AB5" w:rsidP="00236AB5">
            <w:pPr>
              <w:rPr>
                <w:rFonts w:eastAsia="Arial"/>
              </w:rPr>
            </w:pPr>
            <w:r w:rsidRPr="008819AF">
              <w:rPr>
                <w:rFonts w:eastAsia="Arial"/>
              </w:rPr>
              <w:t>VODA</w:t>
            </w:r>
          </w:p>
          <w:p w14:paraId="151332E7" w14:textId="77777777" w:rsidR="00236AB5" w:rsidRPr="008819AF" w:rsidRDefault="00236AB5" w:rsidP="00236AB5">
            <w:pPr>
              <w:spacing w:before="120"/>
              <w:rPr>
                <w:rFonts w:eastAsia="Arial"/>
              </w:rPr>
            </w:pPr>
            <w:r w:rsidRPr="008819AF">
              <w:rPr>
                <w:rFonts w:eastAsia="Arial"/>
              </w:rPr>
              <w:t>1. Organické zlúčeniny halogénov a látky, ktoré môžu vo vodnom prostredí takéto zlúčeniny vytvárať</w:t>
            </w:r>
          </w:p>
          <w:p w14:paraId="151332E8" w14:textId="77777777" w:rsidR="00236AB5" w:rsidRPr="008819AF" w:rsidRDefault="00236AB5" w:rsidP="00236AB5">
            <w:pPr>
              <w:spacing w:before="120"/>
              <w:rPr>
                <w:rFonts w:eastAsia="Arial"/>
              </w:rPr>
            </w:pPr>
            <w:r w:rsidRPr="008819AF">
              <w:rPr>
                <w:rFonts w:eastAsia="Arial"/>
              </w:rPr>
              <w:t>2. Organické zlúčeniny fosforu</w:t>
            </w:r>
          </w:p>
          <w:p w14:paraId="151332E9" w14:textId="77777777" w:rsidR="00236AB5" w:rsidRPr="008819AF" w:rsidRDefault="00236AB5" w:rsidP="00236AB5">
            <w:pPr>
              <w:spacing w:before="120"/>
              <w:rPr>
                <w:rFonts w:eastAsia="Arial"/>
              </w:rPr>
            </w:pPr>
            <w:r w:rsidRPr="008819AF">
              <w:rPr>
                <w:rFonts w:eastAsia="Arial"/>
              </w:rPr>
              <w:t>3. Organické zlúčeniny cínu</w:t>
            </w:r>
          </w:p>
          <w:p w14:paraId="151332EA" w14:textId="77777777" w:rsidR="00236AB5" w:rsidRPr="008819AF" w:rsidRDefault="00236AB5" w:rsidP="00236AB5">
            <w:pPr>
              <w:spacing w:before="120"/>
              <w:rPr>
                <w:rFonts w:eastAsia="Arial"/>
              </w:rPr>
            </w:pPr>
            <w:r w:rsidRPr="008819AF">
              <w:rPr>
                <w:rFonts w:eastAsia="Arial"/>
              </w:rPr>
              <w:t>4. Látky a zmesi, pri ktorých bolo dokázané, že vo vodnom prostredí alebo pri prenose vodným prostredím majú karcinogénne alebo mutagénne účinky alebo vlastnosti, ktoré môžu ovplyvniť reprodukciu</w:t>
            </w:r>
          </w:p>
          <w:p w14:paraId="151332EB" w14:textId="77777777" w:rsidR="00236AB5" w:rsidRPr="008819AF" w:rsidRDefault="00236AB5" w:rsidP="00236AB5">
            <w:pPr>
              <w:spacing w:before="120"/>
              <w:rPr>
                <w:rFonts w:eastAsia="Arial"/>
              </w:rPr>
            </w:pPr>
            <w:r w:rsidRPr="008819AF">
              <w:rPr>
                <w:rFonts w:eastAsia="Arial"/>
              </w:rPr>
              <w:t>5. Perzistentné uhľovodíky a perzistentné a bioakumulovateľné toxické organické látky</w:t>
            </w:r>
          </w:p>
          <w:p w14:paraId="151332EC" w14:textId="77777777" w:rsidR="00236AB5" w:rsidRPr="008819AF" w:rsidRDefault="00236AB5" w:rsidP="00236AB5">
            <w:pPr>
              <w:spacing w:before="120"/>
              <w:rPr>
                <w:rFonts w:eastAsia="Arial"/>
              </w:rPr>
            </w:pPr>
            <w:r w:rsidRPr="008819AF">
              <w:rPr>
                <w:rFonts w:eastAsia="Arial"/>
              </w:rPr>
              <w:t>6. Kyanidy</w:t>
            </w:r>
          </w:p>
          <w:p w14:paraId="151332ED" w14:textId="77777777" w:rsidR="00236AB5" w:rsidRPr="008819AF" w:rsidRDefault="00236AB5" w:rsidP="00236AB5">
            <w:pPr>
              <w:spacing w:before="120"/>
              <w:rPr>
                <w:rFonts w:eastAsia="Arial"/>
              </w:rPr>
            </w:pPr>
            <w:r w:rsidRPr="008819AF">
              <w:rPr>
                <w:rFonts w:eastAsia="Arial"/>
              </w:rPr>
              <w:t>7. Kovy a ich zlúčeniny</w:t>
            </w:r>
          </w:p>
          <w:p w14:paraId="151332EE" w14:textId="77777777" w:rsidR="00236AB5" w:rsidRPr="008819AF" w:rsidRDefault="00236AB5" w:rsidP="00236AB5">
            <w:pPr>
              <w:spacing w:before="120"/>
              <w:rPr>
                <w:rFonts w:eastAsia="Arial"/>
              </w:rPr>
            </w:pPr>
            <w:r w:rsidRPr="008819AF">
              <w:rPr>
                <w:rFonts w:eastAsia="Arial"/>
              </w:rPr>
              <w:t>8. Arzén a jeho zlúčeniny</w:t>
            </w:r>
          </w:p>
          <w:p w14:paraId="151332EF" w14:textId="77777777" w:rsidR="00236AB5" w:rsidRPr="008819AF" w:rsidRDefault="00236AB5" w:rsidP="00236AB5">
            <w:pPr>
              <w:spacing w:before="120"/>
              <w:rPr>
                <w:rFonts w:eastAsia="Arial"/>
              </w:rPr>
            </w:pPr>
            <w:r w:rsidRPr="008819AF">
              <w:rPr>
                <w:rFonts w:eastAsia="Arial"/>
              </w:rPr>
              <w:t>9. Biocídy a prípravky na ochranu rastlín</w:t>
            </w:r>
          </w:p>
          <w:p w14:paraId="151332F0" w14:textId="77777777" w:rsidR="00236AB5" w:rsidRPr="008819AF" w:rsidRDefault="00236AB5" w:rsidP="00236AB5">
            <w:pPr>
              <w:spacing w:before="120"/>
              <w:rPr>
                <w:rFonts w:eastAsia="Arial"/>
              </w:rPr>
            </w:pPr>
            <w:r w:rsidRPr="008819AF">
              <w:rPr>
                <w:rFonts w:eastAsia="Arial"/>
              </w:rPr>
              <w:t>10. Rozptýlené materiály</w:t>
            </w:r>
          </w:p>
          <w:p w14:paraId="151332F1" w14:textId="77777777" w:rsidR="00236AB5" w:rsidRPr="008819AF" w:rsidRDefault="00236AB5" w:rsidP="00236AB5">
            <w:pPr>
              <w:spacing w:before="120"/>
              <w:rPr>
                <w:rFonts w:eastAsia="Arial"/>
              </w:rPr>
            </w:pPr>
            <w:r w:rsidRPr="008819AF">
              <w:rPr>
                <w:rFonts w:eastAsia="Arial"/>
              </w:rPr>
              <w:t>11. Látky prispievajúce k eutrofizácii (hlavne dusičnany a fosfáty)</w:t>
            </w:r>
          </w:p>
          <w:p w14:paraId="151332F2" w14:textId="77777777" w:rsidR="00236AB5" w:rsidRPr="008819AF" w:rsidRDefault="00236AB5" w:rsidP="00236AB5">
            <w:pPr>
              <w:spacing w:before="120"/>
              <w:rPr>
                <w:rFonts w:eastAsia="Arial"/>
              </w:rPr>
            </w:pPr>
            <w:r w:rsidRPr="008819AF">
              <w:rPr>
                <w:rFonts w:eastAsia="Arial"/>
              </w:rPr>
              <w:t>12. Látky s nepriaznivým vplyvom na kyslíkovú bilanciu (ktoré možno merať pomocou ukazovateľov ako sú BSK, CHSK atď.)</w:t>
            </w:r>
          </w:p>
          <w:p w14:paraId="151332F3" w14:textId="77777777" w:rsidR="00236AB5" w:rsidRPr="008819AF" w:rsidRDefault="00236AB5" w:rsidP="00236AB5">
            <w:pPr>
              <w:spacing w:before="120"/>
              <w:ind w:left="215" w:hanging="215"/>
              <w:rPr>
                <w:rFonts w:eastAsia="Arial"/>
              </w:rPr>
            </w:pPr>
            <w:r w:rsidRPr="008819AF">
              <w:rPr>
                <w:rFonts w:eastAsia="Arial"/>
              </w:rPr>
              <w:t>13. Látky uvedené v prílohe X k smernici 2000/60/ES</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2F4"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2F5"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2F6" w14:textId="77777777" w:rsidR="00236AB5" w:rsidRPr="008819AF" w:rsidRDefault="00236AB5" w:rsidP="00236AB5">
            <w:pPr>
              <w:pStyle w:val="BodyText21"/>
              <w:ind w:left="0" w:firstLine="0"/>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2F7"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2F8"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2F9" w14:textId="77777777" w:rsidR="00236AB5" w:rsidRPr="008819AF" w:rsidRDefault="00236AB5" w:rsidP="00236AB5">
            <w:pPr>
              <w:ind w:left="215" w:hanging="215"/>
              <w:rPr>
                <w:rFonts w:eastAsia="Arial"/>
                <w:lang w:bidi="cs-CZ"/>
              </w:rPr>
            </w:pPr>
          </w:p>
        </w:tc>
      </w:tr>
      <w:tr w:rsidR="00236AB5" w:rsidRPr="008819AF" w14:paraId="15133303"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2FB" w14:textId="77777777" w:rsidR="00236AB5" w:rsidRPr="008819AF" w:rsidRDefault="00236AB5" w:rsidP="00236AB5">
            <w:pPr>
              <w:ind w:right="-70"/>
              <w:rPr>
                <w:rFonts w:eastAsia="Arial"/>
                <w:i/>
                <w:iCs/>
                <w:lang w:bidi="cs-CZ"/>
              </w:rPr>
            </w:pPr>
            <w:r w:rsidRPr="008819AF">
              <w:rPr>
                <w:rFonts w:eastAsia="Arial"/>
                <w:i/>
                <w:iCs/>
                <w:lang w:bidi="cs-CZ"/>
              </w:rPr>
              <w:lastRenderedPageBreak/>
              <w:t>PRÍLOHA III</w:t>
            </w:r>
          </w:p>
        </w:tc>
        <w:tc>
          <w:tcPr>
            <w:tcW w:w="6227" w:type="dxa"/>
            <w:gridSpan w:val="2"/>
            <w:tcBorders>
              <w:top w:val="single" w:sz="4" w:space="0" w:color="000000"/>
              <w:left w:val="single" w:sz="6" w:space="0" w:color="000000"/>
              <w:bottom w:val="single" w:sz="6" w:space="0" w:color="000000"/>
              <w:right w:val="single" w:sz="6" w:space="0" w:color="000000"/>
            </w:tcBorders>
          </w:tcPr>
          <w:p w14:paraId="151332FC" w14:textId="77777777" w:rsidR="00236AB5" w:rsidRPr="008819AF" w:rsidRDefault="00236AB5" w:rsidP="00236AB5">
            <w:pPr>
              <w:ind w:left="215" w:hanging="215"/>
              <w:rPr>
                <w:rFonts w:eastAsia="Arial"/>
                <w:b/>
                <w:bCs/>
              </w:rPr>
            </w:pPr>
            <w:r w:rsidRPr="008819AF">
              <w:rPr>
                <w:rFonts w:eastAsia="Arial"/>
                <w:b/>
                <w:bCs/>
              </w:rPr>
              <w:t>Kritériá určovania najlepších dostupných techník</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2FD"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2FE"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2FF" w14:textId="77777777" w:rsidR="00236AB5" w:rsidRPr="008819AF" w:rsidRDefault="00236AB5" w:rsidP="00236AB5">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300"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301"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302" w14:textId="77777777" w:rsidR="00236AB5" w:rsidRPr="008819AF" w:rsidRDefault="00236AB5" w:rsidP="00236AB5">
            <w:pPr>
              <w:pStyle w:val="Nadpis6"/>
              <w:jc w:val="left"/>
              <w:rPr>
                <w:rFonts w:ascii="Times New Roman" w:hAnsi="Times New Roman" w:cs="Times New Roman"/>
                <w:b w:val="0"/>
                <w:bCs w:val="0"/>
                <w:sz w:val="20"/>
                <w:szCs w:val="20"/>
              </w:rPr>
            </w:pPr>
          </w:p>
        </w:tc>
      </w:tr>
      <w:tr w:rsidR="00236AB5" w:rsidRPr="008819AF" w14:paraId="15133318"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304"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305" w14:textId="77777777" w:rsidR="00236AB5" w:rsidRPr="008819AF" w:rsidRDefault="00236AB5" w:rsidP="00236AB5">
            <w:pPr>
              <w:spacing w:before="120"/>
              <w:rPr>
                <w:rFonts w:eastAsia="Arial"/>
              </w:rPr>
            </w:pPr>
            <w:r w:rsidRPr="008819AF">
              <w:rPr>
                <w:rFonts w:eastAsia="Arial"/>
              </w:rPr>
              <w:t>1. Používanie nízkoodpadovej technológie;</w:t>
            </w:r>
          </w:p>
          <w:p w14:paraId="15133306" w14:textId="77777777" w:rsidR="00236AB5" w:rsidRPr="008819AF" w:rsidRDefault="00236AB5" w:rsidP="00236AB5">
            <w:pPr>
              <w:spacing w:before="120"/>
              <w:rPr>
                <w:rFonts w:eastAsia="Arial"/>
              </w:rPr>
            </w:pPr>
            <w:r w:rsidRPr="008819AF">
              <w:rPr>
                <w:rFonts w:eastAsia="Arial"/>
              </w:rPr>
              <w:t>2. používanie menej nebezpečných látok;</w:t>
            </w:r>
          </w:p>
          <w:p w14:paraId="15133307" w14:textId="77777777" w:rsidR="00236AB5" w:rsidRPr="008819AF" w:rsidRDefault="00236AB5" w:rsidP="00236AB5">
            <w:pPr>
              <w:spacing w:before="120"/>
              <w:rPr>
                <w:rFonts w:eastAsia="Arial"/>
              </w:rPr>
            </w:pPr>
            <w:r w:rsidRPr="008819AF">
              <w:rPr>
                <w:rFonts w:eastAsia="Arial"/>
              </w:rPr>
              <w:t>3. podpora zhodnocovania a recyklácie látok vznikajúcich a používaných v technologickom procese a zhodnocovania a recyklácie odpadov, kde je to primerané;</w:t>
            </w:r>
          </w:p>
          <w:p w14:paraId="15133308" w14:textId="77777777" w:rsidR="00236AB5" w:rsidRPr="008819AF" w:rsidRDefault="00236AB5" w:rsidP="00236AB5">
            <w:pPr>
              <w:spacing w:before="120"/>
              <w:rPr>
                <w:rFonts w:eastAsia="Arial"/>
              </w:rPr>
            </w:pPr>
            <w:r w:rsidRPr="008819AF">
              <w:rPr>
                <w:rFonts w:eastAsia="Arial"/>
              </w:rPr>
              <w:t>4. porovnateľné procesy, zariadenia alebo prevádzkové metódy, ktoré už boli úspešne vyskúšané v priemyselnom meradle;</w:t>
            </w:r>
          </w:p>
          <w:p w14:paraId="15133309" w14:textId="77777777" w:rsidR="00236AB5" w:rsidRPr="008819AF" w:rsidRDefault="00236AB5" w:rsidP="00236AB5">
            <w:pPr>
              <w:spacing w:before="120"/>
              <w:rPr>
                <w:rFonts w:eastAsia="Arial"/>
              </w:rPr>
            </w:pPr>
            <w:r w:rsidRPr="008819AF">
              <w:rPr>
                <w:rFonts w:eastAsia="Arial"/>
              </w:rPr>
              <w:t>5. technický pokrok a vývoj vedeckých poznatkov a ich interpretácia;</w:t>
            </w:r>
          </w:p>
          <w:p w14:paraId="1513330A" w14:textId="77777777" w:rsidR="00236AB5" w:rsidRPr="008819AF" w:rsidRDefault="00236AB5" w:rsidP="00236AB5">
            <w:pPr>
              <w:spacing w:before="120"/>
              <w:rPr>
                <w:rFonts w:eastAsia="Arial"/>
              </w:rPr>
            </w:pPr>
            <w:r w:rsidRPr="008819AF">
              <w:rPr>
                <w:rFonts w:eastAsia="Arial"/>
              </w:rPr>
              <w:t>6. charakter, účinky a množstvo príslušných emisií;</w:t>
            </w:r>
          </w:p>
          <w:p w14:paraId="1513330B" w14:textId="77777777" w:rsidR="00236AB5" w:rsidRPr="008819AF" w:rsidRDefault="00236AB5" w:rsidP="00236AB5">
            <w:pPr>
              <w:spacing w:before="120"/>
              <w:rPr>
                <w:rFonts w:eastAsia="Arial"/>
              </w:rPr>
            </w:pPr>
            <w:r w:rsidRPr="008819AF">
              <w:rPr>
                <w:rFonts w:eastAsia="Arial"/>
              </w:rPr>
              <w:t>7. dátumy uvádzania nových alebo existujúcich zariadení do činnosti;</w:t>
            </w:r>
          </w:p>
          <w:p w14:paraId="1513330C" w14:textId="77777777" w:rsidR="00236AB5" w:rsidRPr="008819AF" w:rsidRDefault="00236AB5" w:rsidP="00236AB5">
            <w:pPr>
              <w:rPr>
                <w:rFonts w:eastAsia="Arial"/>
              </w:rPr>
            </w:pPr>
            <w:r w:rsidRPr="008819AF">
              <w:rPr>
                <w:rFonts w:eastAsia="Arial"/>
              </w:rPr>
              <w:t>8. čas potrebný na zavedenie najlepšej dostupnej techniky;</w:t>
            </w:r>
          </w:p>
          <w:p w14:paraId="1513330D" w14:textId="77777777" w:rsidR="00236AB5" w:rsidRPr="008819AF" w:rsidRDefault="00236AB5" w:rsidP="00236AB5">
            <w:pPr>
              <w:spacing w:before="120"/>
              <w:rPr>
                <w:rFonts w:eastAsia="Arial"/>
              </w:rPr>
            </w:pPr>
            <w:r w:rsidRPr="008819AF">
              <w:rPr>
                <w:rFonts w:eastAsia="Arial"/>
              </w:rPr>
              <w:t>9. spotreba a druh surovín (vrátane vody) používaných v procese a energetická účinnosť;</w:t>
            </w:r>
          </w:p>
          <w:p w14:paraId="1513330E" w14:textId="77777777" w:rsidR="00236AB5" w:rsidRPr="008819AF" w:rsidRDefault="00236AB5" w:rsidP="00236AB5">
            <w:pPr>
              <w:spacing w:before="120"/>
              <w:rPr>
                <w:rFonts w:eastAsia="Arial"/>
              </w:rPr>
            </w:pPr>
            <w:r w:rsidRPr="008819AF">
              <w:rPr>
                <w:rFonts w:eastAsia="Arial"/>
              </w:rPr>
              <w:t>10. požiadavka prevencie alebo zníženia celkových účinkov emisií na životné prostredie na minimum a z toho vyplývajúcich rizík pre životné prostredie;</w:t>
            </w:r>
          </w:p>
          <w:p w14:paraId="1513330F" w14:textId="77777777" w:rsidR="00236AB5" w:rsidRPr="008819AF" w:rsidRDefault="00236AB5" w:rsidP="00236AB5">
            <w:pPr>
              <w:spacing w:before="120"/>
              <w:rPr>
                <w:rFonts w:eastAsia="Arial"/>
              </w:rPr>
            </w:pPr>
            <w:r w:rsidRPr="008819AF">
              <w:rPr>
                <w:rFonts w:eastAsia="Arial"/>
              </w:rPr>
              <w:t>11. požiadavka prevencie havárií a minimalizácia ich následkov na životné prostredie;</w:t>
            </w:r>
          </w:p>
          <w:p w14:paraId="15133310" w14:textId="77777777" w:rsidR="00236AB5" w:rsidRPr="008819AF" w:rsidRDefault="00236AB5" w:rsidP="00236AB5">
            <w:pPr>
              <w:spacing w:before="120"/>
              <w:ind w:left="215" w:hanging="215"/>
              <w:rPr>
                <w:rFonts w:eastAsia="Arial"/>
              </w:rPr>
            </w:pPr>
            <w:r w:rsidRPr="008819AF">
              <w:rPr>
                <w:rFonts w:eastAsia="Arial"/>
              </w:rPr>
              <w:t>12. informácie uverejňované verejnými medzinárodnými organizáciami.</w:t>
            </w:r>
          </w:p>
          <w:p w14:paraId="15133311" w14:textId="77777777" w:rsidR="00236AB5" w:rsidRPr="008819AF" w:rsidRDefault="00236AB5" w:rsidP="00236AB5">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312"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313"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314" w14:textId="77777777" w:rsidR="00236AB5" w:rsidRPr="008819AF" w:rsidRDefault="00236AB5" w:rsidP="00236AB5">
            <w:pPr>
              <w:pStyle w:val="BodyText21"/>
              <w:spacing w:before="0"/>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315"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316" w14:textId="77777777" w:rsidR="00236AB5" w:rsidRPr="008819AF" w:rsidRDefault="00236AB5" w:rsidP="00236AB5">
            <w:pPr>
              <w:pStyle w:val="Nomal"/>
              <w:ind w:left="360"/>
              <w:rPr>
                <w:rFonts w:ascii="Times New Roman" w:hAnsi="Times New Roman" w:cs="Times New Roman"/>
                <w:color w:val="auto"/>
                <w:sz w:val="20"/>
                <w:szCs w:val="20"/>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317" w14:textId="77777777" w:rsidR="00236AB5" w:rsidRPr="008819AF" w:rsidRDefault="00236AB5" w:rsidP="00236AB5">
            <w:pPr>
              <w:pStyle w:val="Nomal"/>
              <w:ind w:left="356"/>
              <w:rPr>
                <w:rFonts w:ascii="Times New Roman" w:hAnsi="Times New Roman" w:cs="Times New Roman"/>
                <w:color w:val="auto"/>
                <w:sz w:val="20"/>
                <w:szCs w:val="20"/>
              </w:rPr>
            </w:pPr>
          </w:p>
        </w:tc>
      </w:tr>
      <w:tr w:rsidR="00236AB5" w:rsidRPr="008819AF" w14:paraId="15133321"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319" w14:textId="77777777" w:rsidR="00236AB5" w:rsidRPr="008819AF" w:rsidRDefault="00236AB5" w:rsidP="00236AB5">
            <w:pPr>
              <w:ind w:right="-70"/>
              <w:rPr>
                <w:rFonts w:eastAsia="Arial"/>
                <w:lang w:bidi="cs-CZ"/>
              </w:rPr>
            </w:pPr>
            <w:r w:rsidRPr="008819AF">
              <w:rPr>
                <w:rFonts w:eastAsia="Arial"/>
                <w:i/>
                <w:iCs/>
                <w:lang w:bidi="cs-CZ"/>
              </w:rPr>
              <w:t xml:space="preserve">PRÍLOHA </w:t>
            </w:r>
            <w:r w:rsidRPr="008819AF">
              <w:rPr>
                <w:rFonts w:eastAsia="Arial"/>
                <w:lang w:bidi="cs-CZ"/>
              </w:rPr>
              <w:t>IV</w:t>
            </w:r>
          </w:p>
        </w:tc>
        <w:tc>
          <w:tcPr>
            <w:tcW w:w="6227" w:type="dxa"/>
            <w:gridSpan w:val="2"/>
            <w:tcBorders>
              <w:top w:val="single" w:sz="4" w:space="0" w:color="000000"/>
              <w:left w:val="single" w:sz="6" w:space="0" w:color="000000"/>
              <w:bottom w:val="single" w:sz="6" w:space="0" w:color="000000"/>
              <w:right w:val="single" w:sz="6" w:space="0" w:color="000000"/>
            </w:tcBorders>
          </w:tcPr>
          <w:p w14:paraId="1513331A" w14:textId="77777777" w:rsidR="00236AB5" w:rsidRPr="008819AF" w:rsidRDefault="00236AB5" w:rsidP="00236AB5">
            <w:pPr>
              <w:ind w:left="215" w:hanging="215"/>
              <w:rPr>
                <w:rFonts w:eastAsia="Arial"/>
                <w:b/>
                <w:bCs/>
              </w:rPr>
            </w:pPr>
            <w:r w:rsidRPr="008819AF">
              <w:rPr>
                <w:rFonts w:eastAsia="Arial"/>
                <w:b/>
                <w:bCs/>
              </w:rPr>
              <w:t>Účasť verejnosti na rozhodovaní</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31B"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31C"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31D" w14:textId="77777777" w:rsidR="00236AB5" w:rsidRPr="008819AF" w:rsidRDefault="00236AB5" w:rsidP="00236AB5">
            <w:pPr>
              <w:pStyle w:val="BodyText21"/>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31E"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31F"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320" w14:textId="77777777" w:rsidR="00236AB5" w:rsidRPr="008819AF" w:rsidRDefault="00236AB5" w:rsidP="00236AB5">
            <w:pPr>
              <w:pStyle w:val="Nadpis6"/>
              <w:jc w:val="left"/>
              <w:rPr>
                <w:rFonts w:ascii="Times New Roman" w:hAnsi="Times New Roman" w:cs="Times New Roman"/>
                <w:b w:val="0"/>
                <w:bCs w:val="0"/>
                <w:sz w:val="20"/>
                <w:szCs w:val="20"/>
              </w:rPr>
            </w:pPr>
          </w:p>
        </w:tc>
      </w:tr>
      <w:tr w:rsidR="00236AB5" w:rsidRPr="008819AF" w14:paraId="1513333C"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322"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323" w14:textId="77777777" w:rsidR="00236AB5" w:rsidRPr="008819AF" w:rsidRDefault="00236AB5" w:rsidP="00236AB5">
            <w:pPr>
              <w:rPr>
                <w:rFonts w:eastAsia="Arial"/>
              </w:rPr>
            </w:pPr>
          </w:p>
          <w:p w14:paraId="15133324" w14:textId="77777777" w:rsidR="00236AB5" w:rsidRPr="008819AF" w:rsidRDefault="00236AB5" w:rsidP="00236AB5">
            <w:pPr>
              <w:rPr>
                <w:rFonts w:eastAsia="Arial"/>
              </w:rPr>
            </w:pPr>
            <w:r w:rsidRPr="008819AF">
              <w:rPr>
                <w:rFonts w:eastAsia="Arial"/>
              </w:rPr>
              <w:t>1. Verejnosť musí byť informovaná (prostredníctvom verejných oznamov alebo inými vhodnými prostriedkami ako sú elektronické médiá, ak sú k dispozícii) v ranom štádiu procesu prijímania rozhodnutia alebo najneskôr, hneď ako možno informácie primerane poskytnúť, o týchto záležitostiach:</w:t>
            </w:r>
          </w:p>
          <w:p w14:paraId="15133325" w14:textId="77777777" w:rsidR="00236AB5" w:rsidRPr="008819AF" w:rsidRDefault="00236AB5" w:rsidP="00236AB5">
            <w:pPr>
              <w:spacing w:after="211"/>
              <w:rPr>
                <w:rFonts w:eastAsia="Arial"/>
              </w:rPr>
            </w:pPr>
            <w:r w:rsidRPr="008819AF">
              <w:rPr>
                <w:rFonts w:eastAsia="Arial"/>
              </w:rPr>
              <w:t xml:space="preserve">a) žiadosť o povolenie alebo prípadne návrh na aktualizáciu povolenia alebo podmienok povolenia v súlade s článkom 21 vrátane opisu prvkov </w:t>
            </w:r>
            <w:r w:rsidRPr="008819AF">
              <w:rPr>
                <w:rFonts w:eastAsia="Arial"/>
              </w:rPr>
              <w:lastRenderedPageBreak/>
              <w:t>uvedených v článku 12 ods. 1;</w:t>
            </w:r>
          </w:p>
          <w:p w14:paraId="15133326" w14:textId="77777777" w:rsidR="00236AB5" w:rsidRPr="008819AF" w:rsidRDefault="00236AB5" w:rsidP="00236AB5">
            <w:pPr>
              <w:spacing w:after="211"/>
              <w:rPr>
                <w:rFonts w:eastAsia="Arial"/>
              </w:rPr>
            </w:pPr>
            <w:r w:rsidRPr="008819AF">
              <w:rPr>
                <w:rFonts w:eastAsia="Arial"/>
              </w:rPr>
              <w:t>b) v prípade potreby skutočnosť, že rozhodnutie podlieha procesu vnútroštátneho alebo cezhraničného posudzovania vplyvov na životné prostredie alebo konzultáciám medzi členskými štátmi v súlade s článkom 26;</w:t>
            </w:r>
          </w:p>
          <w:p w14:paraId="15133327" w14:textId="77777777" w:rsidR="00236AB5" w:rsidRPr="008819AF" w:rsidRDefault="00236AB5" w:rsidP="00236AB5">
            <w:pPr>
              <w:numPr>
                <w:ilvl w:val="0"/>
                <w:numId w:val="52"/>
              </w:numPr>
              <w:tabs>
                <w:tab w:val="left" w:pos="227"/>
              </w:tabs>
              <w:spacing w:after="211"/>
              <w:rPr>
                <w:rFonts w:eastAsia="Arial"/>
              </w:rPr>
            </w:pPr>
            <w:r w:rsidRPr="008819AF">
              <w:rPr>
                <w:rFonts w:eastAsia="Arial"/>
              </w:rPr>
              <w:t>podrobnosti o príslušných orgánoch zodpovedných za prijatie rozhodnutia, o orgánoch, od ktorých sa dajú získať relevantné informácie, alebo o orgánoch, ktorým sa môžu zasielať pripomienky alebo otázky, a údaje o lehotách na zasielanie pripomienok alebo otázok;</w:t>
            </w:r>
          </w:p>
          <w:p w14:paraId="15133328" w14:textId="77777777" w:rsidR="00236AB5" w:rsidRPr="008819AF" w:rsidRDefault="00236AB5" w:rsidP="00236AB5">
            <w:pPr>
              <w:numPr>
                <w:ilvl w:val="0"/>
                <w:numId w:val="52"/>
              </w:numPr>
              <w:tabs>
                <w:tab w:val="left" w:pos="227"/>
              </w:tabs>
              <w:spacing w:after="211"/>
              <w:ind w:left="0" w:firstLine="0"/>
              <w:rPr>
                <w:rFonts w:eastAsia="Arial"/>
              </w:rPr>
            </w:pPr>
            <w:r w:rsidRPr="008819AF">
              <w:rPr>
                <w:rFonts w:eastAsia="Arial"/>
              </w:rPr>
              <w:t>povaha možných rozhodnutí alebo návrh rozhodnutia, ak existuje;</w:t>
            </w:r>
          </w:p>
          <w:p w14:paraId="15133329" w14:textId="77777777" w:rsidR="00236AB5" w:rsidRPr="008819AF" w:rsidRDefault="00236AB5" w:rsidP="00236AB5">
            <w:pPr>
              <w:numPr>
                <w:ilvl w:val="0"/>
                <w:numId w:val="52"/>
              </w:numPr>
              <w:tabs>
                <w:tab w:val="left" w:pos="227"/>
              </w:tabs>
              <w:spacing w:after="211"/>
              <w:ind w:left="0" w:firstLine="0"/>
              <w:rPr>
                <w:rFonts w:eastAsia="Arial"/>
              </w:rPr>
            </w:pPr>
            <w:r w:rsidRPr="008819AF">
              <w:rPr>
                <w:rFonts w:eastAsia="Arial"/>
              </w:rPr>
              <w:t>v prípade potreby podrobnosti týkajúce sa návrhu na aktualizáciu povolenia alebo podmienok povolenia;</w:t>
            </w:r>
          </w:p>
          <w:p w14:paraId="1513332A" w14:textId="77777777" w:rsidR="00236AB5" w:rsidRPr="008819AF" w:rsidRDefault="00236AB5" w:rsidP="00236AB5">
            <w:pPr>
              <w:numPr>
                <w:ilvl w:val="0"/>
                <w:numId w:val="52"/>
              </w:numPr>
              <w:tabs>
                <w:tab w:val="left" w:pos="227"/>
              </w:tabs>
              <w:spacing w:after="211"/>
              <w:ind w:left="0" w:firstLine="0"/>
              <w:rPr>
                <w:rFonts w:eastAsia="Arial"/>
              </w:rPr>
            </w:pPr>
            <w:r w:rsidRPr="008819AF">
              <w:rPr>
                <w:rFonts w:eastAsia="Arial"/>
              </w:rPr>
              <w:t>informácie o tom, kedy, kde a ako sa relevantné informácie sprístupnia;</w:t>
            </w:r>
          </w:p>
          <w:p w14:paraId="1513332B" w14:textId="77777777" w:rsidR="00236AB5" w:rsidRPr="008819AF" w:rsidRDefault="00236AB5" w:rsidP="00236AB5">
            <w:pPr>
              <w:numPr>
                <w:ilvl w:val="0"/>
                <w:numId w:val="52"/>
              </w:numPr>
              <w:tabs>
                <w:tab w:val="left" w:pos="227"/>
              </w:tabs>
              <w:ind w:left="0" w:firstLine="0"/>
              <w:rPr>
                <w:rFonts w:eastAsia="Arial"/>
              </w:rPr>
            </w:pPr>
            <w:r w:rsidRPr="008819AF">
              <w:rPr>
                <w:rFonts w:eastAsia="Arial"/>
              </w:rPr>
              <w:t>podrobnosti o účasti verejnosti a konzultáciách podľa bodu 5.</w:t>
            </w:r>
          </w:p>
          <w:p w14:paraId="1513332C" w14:textId="77777777" w:rsidR="00236AB5" w:rsidRPr="008819AF" w:rsidRDefault="00236AB5" w:rsidP="00236AB5">
            <w:pPr>
              <w:rPr>
                <w:rFonts w:eastAsia="Arial"/>
              </w:rPr>
            </w:pPr>
          </w:p>
          <w:p w14:paraId="1513332D" w14:textId="77777777" w:rsidR="00236AB5" w:rsidRPr="008819AF" w:rsidRDefault="00236AB5" w:rsidP="00236AB5">
            <w:pPr>
              <w:rPr>
                <w:rFonts w:eastAsia="Arial"/>
              </w:rPr>
            </w:pPr>
            <w:r w:rsidRPr="008819AF">
              <w:rPr>
                <w:rFonts w:eastAsia="Arial"/>
              </w:rPr>
              <w:t>2. Členské štáty zaistia, aby dotknutá verejnosť mala v primeraných lehotách k dispozícii tieto informácie:</w:t>
            </w:r>
          </w:p>
          <w:p w14:paraId="1513332E" w14:textId="77777777" w:rsidR="00236AB5" w:rsidRPr="008819AF" w:rsidRDefault="00236AB5" w:rsidP="00236AB5">
            <w:pPr>
              <w:numPr>
                <w:ilvl w:val="0"/>
                <w:numId w:val="61"/>
              </w:numPr>
              <w:spacing w:after="211"/>
              <w:ind w:left="360" w:hanging="360"/>
              <w:rPr>
                <w:rFonts w:eastAsia="Arial"/>
              </w:rPr>
            </w:pPr>
            <w:r w:rsidRPr="008819AF">
              <w:rPr>
                <w:rFonts w:eastAsia="Arial"/>
              </w:rPr>
              <w:t>v súlade s vnútroštátnym právom hlavné správy a odporúčania adresované príslušnému orgánu alebo príslušným orgánom v čase, keď je dotknutá verejnosť informovaná v súlade s bodom 1;</w:t>
            </w:r>
          </w:p>
          <w:p w14:paraId="1513332F" w14:textId="77777777" w:rsidR="00236AB5" w:rsidRPr="008819AF" w:rsidRDefault="00236AB5" w:rsidP="00236AB5">
            <w:pPr>
              <w:rPr>
                <w:rFonts w:eastAsia="Arial"/>
              </w:rPr>
            </w:pPr>
            <w:r w:rsidRPr="008819AF">
              <w:rPr>
                <w:rFonts w:eastAsia="Arial"/>
              </w:rPr>
              <w:t>b) v súlade so smernicou 2003/4/ES informácie neuvedené v bode 1, ktoré sú relevantné pre rozhodnutie v súlade s článkom 5 tejto smernice a ktoré sa stanú dostupnými po informovaní dotknutej verejnosti v súlade s bodom 1.</w:t>
            </w:r>
          </w:p>
          <w:p w14:paraId="15133330" w14:textId="77777777" w:rsidR="00236AB5" w:rsidRPr="008819AF" w:rsidRDefault="00236AB5" w:rsidP="00236AB5">
            <w:pPr>
              <w:rPr>
                <w:rFonts w:eastAsia="Arial"/>
              </w:rPr>
            </w:pPr>
          </w:p>
          <w:p w14:paraId="15133331" w14:textId="77777777" w:rsidR="00236AB5" w:rsidRPr="008819AF" w:rsidRDefault="00236AB5" w:rsidP="00236AB5">
            <w:pPr>
              <w:rPr>
                <w:rFonts w:eastAsia="Arial"/>
              </w:rPr>
            </w:pPr>
            <w:r w:rsidRPr="008819AF">
              <w:rPr>
                <w:rFonts w:eastAsia="Arial"/>
              </w:rPr>
              <w:t>3. Dotknutá verejnosť je oprávnená vyjadriť príslušnému orgánu pripomienky a stanoviská pred prijatím rozhodnutia.</w:t>
            </w:r>
          </w:p>
          <w:p w14:paraId="15133332" w14:textId="77777777" w:rsidR="00236AB5" w:rsidRPr="008819AF" w:rsidRDefault="00236AB5" w:rsidP="00236AB5">
            <w:pPr>
              <w:rPr>
                <w:rFonts w:eastAsia="Arial"/>
              </w:rPr>
            </w:pPr>
          </w:p>
          <w:p w14:paraId="15133333" w14:textId="77777777" w:rsidR="00236AB5" w:rsidRPr="008819AF" w:rsidRDefault="00236AB5" w:rsidP="00236AB5">
            <w:pPr>
              <w:rPr>
                <w:rFonts w:eastAsia="Arial"/>
              </w:rPr>
            </w:pPr>
            <w:r w:rsidRPr="008819AF">
              <w:rPr>
                <w:rFonts w:eastAsia="Arial"/>
              </w:rPr>
              <w:t>4. Výsledky konzultácií uskutočnených podľa tejto prílohy sa musia pri prijímaní rozhodnutia riadne zohľadniť.</w:t>
            </w:r>
          </w:p>
          <w:p w14:paraId="15133334" w14:textId="77777777" w:rsidR="00236AB5" w:rsidRPr="008819AF" w:rsidRDefault="00236AB5" w:rsidP="00236AB5">
            <w:pPr>
              <w:rPr>
                <w:rFonts w:eastAsia="Arial"/>
              </w:rPr>
            </w:pPr>
          </w:p>
          <w:p w14:paraId="15133335" w14:textId="77777777" w:rsidR="00236AB5" w:rsidRPr="008819AF" w:rsidRDefault="00236AB5" w:rsidP="00236AB5">
            <w:pPr>
              <w:rPr>
                <w:rFonts w:eastAsia="Arial"/>
              </w:rPr>
            </w:pPr>
            <w:r w:rsidRPr="008819AF">
              <w:rPr>
                <w:rFonts w:eastAsia="Arial"/>
              </w:rPr>
              <w:t xml:space="preserve">5. Podrobné podmienky informovania verejnosti (napríklad vývesiek v okruhu určitej oblasti alebo zverejnenie v miestnej tlači) a konzultácií s dotknutou verejnosťou (napríklad písomným vyjadrením alebo prostredníctvom verejnej ankety) určia členské štáty. Pre rozličné fázy sa </w:t>
            </w:r>
            <w:r w:rsidRPr="008819AF">
              <w:rPr>
                <w:rFonts w:eastAsia="Arial"/>
              </w:rPr>
              <w:lastRenderedPageBreak/>
              <w:t>určia primerané lehoty tak, aby sa poskytol dostatočný čas na informovanie verejnosti a aby dotknutá verejnosť mala dosť času na prípravu a efektívnu účasť na rozhodovaní vo veciach týkajúcich sa životného prostredia, ktoré sú predmetom tejto prílohy.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336" w14:textId="77777777" w:rsidR="00236AB5" w:rsidRPr="008819AF" w:rsidRDefault="00236AB5" w:rsidP="00236AB5">
            <w:pPr>
              <w:ind w:hanging="6"/>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337" w14:textId="77777777" w:rsidR="00236AB5" w:rsidRPr="008819AF" w:rsidRDefault="00236AB5" w:rsidP="00236AB5">
            <w:pPr>
              <w:ind w:hanging="6"/>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338" w14:textId="77777777" w:rsidR="00236AB5" w:rsidRPr="008819AF" w:rsidRDefault="00236AB5" w:rsidP="00236AB5">
            <w:pPr>
              <w:pStyle w:val="BodyText21"/>
              <w:spacing w:before="0" w:line="240" w:lineRule="auto"/>
              <w:ind w:left="0" w:hanging="6"/>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339" w14:textId="77777777" w:rsidR="00236AB5" w:rsidRPr="008819AF" w:rsidRDefault="00236AB5" w:rsidP="00236AB5">
            <w:pPr>
              <w:pStyle w:val="Nomal"/>
              <w:rPr>
                <w:rFonts w:ascii="Times New Roman" w:hAnsi="Times New Roman" w:cs="Times New Roman"/>
                <w:color w:val="auto"/>
                <w:sz w:val="20"/>
                <w:szCs w:val="20"/>
              </w:rPr>
            </w:pPr>
          </w:p>
        </w:tc>
        <w:tc>
          <w:tcPr>
            <w:tcW w:w="429" w:type="dxa"/>
            <w:tcBorders>
              <w:top w:val="single" w:sz="4" w:space="0" w:color="000000"/>
              <w:left w:val="single" w:sz="6" w:space="0" w:color="000000"/>
              <w:bottom w:val="single" w:sz="6" w:space="0" w:color="000000"/>
              <w:right w:val="single" w:sz="6" w:space="0" w:color="000000"/>
            </w:tcBorders>
          </w:tcPr>
          <w:p w14:paraId="1513333A" w14:textId="77777777" w:rsidR="00236AB5" w:rsidRPr="008819AF" w:rsidRDefault="00236AB5" w:rsidP="00236AB5">
            <w:pPr>
              <w:pStyle w:val="Nomal"/>
              <w:rPr>
                <w:rFonts w:ascii="Times New Roman" w:hAnsi="Times New Roman" w:cs="Times New Roman"/>
                <w:color w:val="auto"/>
                <w:sz w:val="20"/>
                <w:szCs w:val="20"/>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33B" w14:textId="77777777" w:rsidR="00236AB5" w:rsidRPr="008819AF" w:rsidRDefault="00236AB5" w:rsidP="00236AB5">
            <w:pPr>
              <w:pStyle w:val="Nomal"/>
              <w:rPr>
                <w:rFonts w:ascii="Times New Roman" w:hAnsi="Times New Roman" w:cs="Times New Roman"/>
                <w:color w:val="auto"/>
                <w:sz w:val="20"/>
                <w:szCs w:val="20"/>
              </w:rPr>
            </w:pPr>
          </w:p>
        </w:tc>
      </w:tr>
      <w:tr w:rsidR="00236AB5" w:rsidRPr="008819AF" w14:paraId="15133345"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33D" w14:textId="77777777" w:rsidR="00236AB5" w:rsidRPr="008819AF" w:rsidRDefault="00236AB5" w:rsidP="00236AB5">
            <w:pPr>
              <w:pStyle w:val="Default"/>
              <w:ind w:right="-70"/>
              <w:rPr>
                <w:rFonts w:ascii="Times New Roman" w:eastAsia="Arial" w:hAnsi="Times New Roman" w:cs="Times New Roman"/>
                <w:color w:val="auto"/>
                <w:sz w:val="20"/>
                <w:szCs w:val="20"/>
              </w:rPr>
            </w:pPr>
            <w:r w:rsidRPr="008819AF">
              <w:rPr>
                <w:rFonts w:ascii="Times New Roman" w:eastAsia="Arial" w:hAnsi="Times New Roman" w:cs="Times New Roman"/>
                <w:i/>
                <w:iCs/>
                <w:color w:val="auto"/>
                <w:sz w:val="20"/>
                <w:szCs w:val="20"/>
              </w:rPr>
              <w:lastRenderedPageBreak/>
              <w:t>PRÍLOHA V</w:t>
            </w:r>
          </w:p>
        </w:tc>
        <w:tc>
          <w:tcPr>
            <w:tcW w:w="6227" w:type="dxa"/>
            <w:gridSpan w:val="2"/>
            <w:tcBorders>
              <w:top w:val="single" w:sz="4" w:space="0" w:color="000000"/>
              <w:left w:val="single" w:sz="6" w:space="0" w:color="000000"/>
              <w:bottom w:val="single" w:sz="6" w:space="0" w:color="000000"/>
              <w:right w:val="single" w:sz="6" w:space="0" w:color="000000"/>
            </w:tcBorders>
          </w:tcPr>
          <w:p w14:paraId="1513333E" w14:textId="77777777" w:rsidR="00236AB5" w:rsidRPr="008819AF" w:rsidRDefault="00236AB5" w:rsidP="00236AB5">
            <w:pPr>
              <w:ind w:left="215" w:hanging="215"/>
              <w:rPr>
                <w:rFonts w:eastAsia="Arial"/>
              </w:rPr>
            </w:pPr>
            <w:r w:rsidRPr="008819AF">
              <w:rPr>
                <w:rFonts w:eastAsia="Arial"/>
                <w:b/>
                <w:bCs/>
                <w:lang w:bidi="cs-CZ"/>
              </w:rPr>
              <w:t>Technické ustanovenia pre spaľovacie zariadenia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33F"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340"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341" w14:textId="77777777" w:rsidR="00236AB5" w:rsidRPr="008819AF" w:rsidRDefault="00236AB5" w:rsidP="00236AB5">
            <w:pPr>
              <w:jc w:val="center"/>
            </w:pPr>
            <w:r w:rsidRPr="008819AF">
              <w:t>Pr.4</w:t>
            </w:r>
          </w:p>
        </w:tc>
        <w:tc>
          <w:tcPr>
            <w:tcW w:w="5664" w:type="dxa"/>
            <w:gridSpan w:val="5"/>
            <w:tcBorders>
              <w:top w:val="single" w:sz="4" w:space="0" w:color="000000"/>
              <w:left w:val="single" w:sz="6" w:space="0" w:color="000000"/>
              <w:bottom w:val="single" w:sz="6" w:space="0" w:color="000000"/>
              <w:right w:val="single" w:sz="6" w:space="0" w:color="000000"/>
            </w:tcBorders>
          </w:tcPr>
          <w:p w14:paraId="15133342" w14:textId="77777777" w:rsidR="00236AB5" w:rsidRPr="008819AF" w:rsidRDefault="00236AB5" w:rsidP="00236AB5">
            <w:pPr>
              <w:pStyle w:val="Nadpis1"/>
              <w:keepNext w:val="0"/>
              <w:spacing w:before="0"/>
              <w:ind w:left="0" w:firstLine="0"/>
              <w:jc w:val="both"/>
              <w:rPr>
                <w:rFonts w:ascii="Times New Roman" w:hAnsi="Times New Roman" w:cs="Times New Roman"/>
              </w:rPr>
            </w:pPr>
            <w:r w:rsidRPr="008819AF">
              <w:rPr>
                <w:rFonts w:ascii="Times New Roman" w:hAnsi="Times New Roman" w:cs="Times New Roman"/>
                <w:b w:val="0"/>
                <w:sz w:val="20"/>
                <w:szCs w:val="20"/>
              </w:rPr>
              <w:t>ŠPECIFICKÉ POŽIADAVKY NA SPAĽOVACIE ZARIADENIA</w:t>
            </w:r>
          </w:p>
        </w:tc>
        <w:tc>
          <w:tcPr>
            <w:tcW w:w="429" w:type="dxa"/>
            <w:tcBorders>
              <w:top w:val="single" w:sz="4" w:space="0" w:color="000000"/>
              <w:left w:val="single" w:sz="6" w:space="0" w:color="000000"/>
              <w:bottom w:val="single" w:sz="6" w:space="0" w:color="000000"/>
              <w:right w:val="single" w:sz="6" w:space="0" w:color="000000"/>
            </w:tcBorders>
          </w:tcPr>
          <w:p w14:paraId="15133343"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344" w14:textId="77777777" w:rsidR="00236AB5" w:rsidRPr="008819AF" w:rsidRDefault="00236AB5" w:rsidP="00236AB5">
            <w:pPr>
              <w:ind w:left="215" w:hanging="215"/>
              <w:rPr>
                <w:rFonts w:eastAsia="Arial"/>
              </w:rPr>
            </w:pPr>
          </w:p>
        </w:tc>
      </w:tr>
      <w:tr w:rsidR="00236AB5" w:rsidRPr="008819AF" w14:paraId="1513334F"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346"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347" w14:textId="77777777" w:rsidR="00236AB5" w:rsidRPr="008819AF" w:rsidRDefault="00236AB5" w:rsidP="00236AB5">
            <w:pPr>
              <w:ind w:left="215" w:hanging="215"/>
              <w:rPr>
                <w:rFonts w:eastAsia="Arial"/>
                <w:lang w:bidi="cs-CZ"/>
              </w:rPr>
            </w:pPr>
            <w:r w:rsidRPr="008819AF">
              <w:rPr>
                <w:rFonts w:eastAsia="Arial"/>
                <w:lang w:bidi="cs-CZ"/>
              </w:rPr>
              <w:t>ČASŤ 1</w:t>
            </w:r>
          </w:p>
          <w:p w14:paraId="15133348" w14:textId="77777777" w:rsidR="00236AB5" w:rsidRPr="008819AF" w:rsidRDefault="00236AB5" w:rsidP="00236AB5">
            <w:pPr>
              <w:rPr>
                <w:rFonts w:eastAsia="Arial"/>
              </w:rPr>
            </w:pPr>
            <w:r w:rsidRPr="008819AF">
              <w:rPr>
                <w:rFonts w:eastAsia="Arial"/>
                <w:i/>
                <w:iCs/>
                <w:lang w:bidi="cs-CZ"/>
              </w:rPr>
              <w:t>Emisné limity pre spaľovacie zariadenia uvedené v článku 30 ods. 2</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349"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34A"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34B" w14:textId="77777777" w:rsidR="00236AB5" w:rsidRPr="008819AF" w:rsidRDefault="00236AB5" w:rsidP="00236AB5">
            <w:pPr>
              <w:ind w:left="215" w:hanging="215"/>
              <w:jc w:val="center"/>
              <w:rPr>
                <w:rFonts w:eastAsia="Arial"/>
                <w:lang w:bidi="cs-CZ"/>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34C" w14:textId="77777777" w:rsidR="00236AB5" w:rsidRPr="008819AF" w:rsidRDefault="00236AB5" w:rsidP="00236AB5">
            <w:pPr>
              <w:ind w:left="215" w:hanging="215"/>
              <w:rPr>
                <w:rFonts w:eastAsia="Arial"/>
                <w:b/>
                <w:bCs/>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334D"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34E" w14:textId="77777777" w:rsidR="00236AB5" w:rsidRPr="008819AF" w:rsidRDefault="00236AB5" w:rsidP="00236AB5">
            <w:pPr>
              <w:ind w:left="215" w:hanging="215"/>
              <w:rPr>
                <w:rFonts w:eastAsia="Arial"/>
              </w:rPr>
            </w:pPr>
          </w:p>
        </w:tc>
      </w:tr>
      <w:tr w:rsidR="00236AB5" w:rsidRPr="008819AF" w14:paraId="151335AD"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350"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351" w14:textId="77777777" w:rsidR="00236AB5" w:rsidRPr="008819AF" w:rsidRDefault="00236AB5" w:rsidP="00236AB5">
            <w:pPr>
              <w:ind w:left="214" w:hanging="214"/>
              <w:rPr>
                <w:rFonts w:eastAsia="Arial"/>
                <w:lang w:bidi="cs-CZ"/>
              </w:rPr>
            </w:pPr>
            <w:r w:rsidRPr="008819AF">
              <w:rPr>
                <w:rFonts w:eastAsia="Arial"/>
                <w:lang w:bidi="cs-CZ"/>
              </w:rPr>
              <w:t>1. Všetky emisné limity sa vypočítajú pri teplote 273,15 K, tlaku 101,3 kPa a po korekcii obsahu vodných pár v odpadových plynoch a pri referenčnom obsahu kyslíka, ktorý predstavuje 6 % pre tuhé palivá, 3 % pre spaľovacie zariadenia s výnimkou plynových turbín a plynových motorov používajúcich kvapalné a plynné palivá, a 15 % pre plynové turbíny a plynové motory.</w:t>
            </w:r>
          </w:p>
          <w:p w14:paraId="15133352" w14:textId="77777777" w:rsidR="00236AB5" w:rsidRPr="008819AF" w:rsidRDefault="00236AB5" w:rsidP="00236AB5">
            <w:pPr>
              <w:pStyle w:val="Default"/>
              <w:ind w:left="214" w:hanging="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 Emisné limity (mg/Nm</w:t>
            </w:r>
            <w:r w:rsidRPr="008819AF">
              <w:rPr>
                <w:rFonts w:ascii="Times New Roman" w:eastAsia="Arial" w:hAnsi="Times New Roman" w:cs="Times New Roman"/>
                <w:color w:val="auto"/>
                <w:sz w:val="20"/>
                <w:szCs w:val="20"/>
                <w:vertAlign w:val="superscript"/>
              </w:rPr>
              <w:t>3</w:t>
            </w:r>
            <w:r w:rsidRPr="008819AF">
              <w:rPr>
                <w:rFonts w:ascii="Times New Roman" w:eastAsia="Arial" w:hAnsi="Times New Roman" w:cs="Times New Roman"/>
                <w:color w:val="auto"/>
                <w:sz w:val="20"/>
                <w:szCs w:val="20"/>
              </w:rPr>
              <w:t>) pre SO</w:t>
            </w:r>
            <w:r w:rsidRPr="008819AF">
              <w:rPr>
                <w:rFonts w:ascii="Times New Roman" w:eastAsia="Arial" w:hAnsi="Times New Roman" w:cs="Times New Roman"/>
                <w:color w:val="auto"/>
                <w:sz w:val="20"/>
                <w:szCs w:val="20"/>
                <w:vertAlign w:val="subscript"/>
              </w:rPr>
              <w:t>2</w:t>
            </w:r>
            <w:r w:rsidRPr="008819AF">
              <w:rPr>
                <w:rFonts w:ascii="Times New Roman" w:eastAsia="Arial" w:hAnsi="Times New Roman" w:cs="Times New Roman"/>
                <w:color w:val="auto"/>
                <w:sz w:val="20"/>
                <w:szCs w:val="20"/>
              </w:rPr>
              <w:t xml:space="preserve"> pre spaľovacie zariadenia používajúce tuhé alebo kvapalné palivá s výnimkou plynových turbín a plynových motorov</w:t>
            </w: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753"/>
              <w:gridCol w:w="935"/>
              <w:gridCol w:w="1231"/>
              <w:gridCol w:w="973"/>
            </w:tblGrid>
            <w:tr w:rsidR="00236AB5" w:rsidRPr="008819AF" w14:paraId="15133358" w14:textId="77777777">
              <w:trPr>
                <w:trHeight w:val="260"/>
                <w:jc w:val="center"/>
              </w:trPr>
              <w:tc>
                <w:tcPr>
                  <w:tcW w:w="973" w:type="dxa"/>
                  <w:tcBorders>
                    <w:top w:val="single" w:sz="4" w:space="0" w:color="000000"/>
                    <w:left w:val="single" w:sz="4" w:space="0" w:color="000000"/>
                    <w:bottom w:val="single" w:sz="4" w:space="0" w:color="000000"/>
                    <w:right w:val="single" w:sz="4" w:space="0" w:color="000000"/>
                  </w:tcBorders>
                </w:tcPr>
                <w:p w14:paraId="1513335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Celkový menovitý tepelný príkon (MWth)</w:t>
                  </w:r>
                </w:p>
              </w:tc>
              <w:tc>
                <w:tcPr>
                  <w:tcW w:w="753" w:type="dxa"/>
                  <w:tcBorders>
                    <w:top w:val="single" w:sz="4" w:space="0" w:color="000000"/>
                    <w:left w:val="single" w:sz="4" w:space="0" w:color="000000"/>
                    <w:bottom w:val="single" w:sz="4" w:space="0" w:color="000000"/>
                    <w:right w:val="single" w:sz="4" w:space="0" w:color="000000"/>
                  </w:tcBorders>
                </w:tcPr>
                <w:p w14:paraId="1513335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Čierne a hnedé uhlie a iné tuhé palivá</w:t>
                  </w:r>
                </w:p>
              </w:tc>
              <w:tc>
                <w:tcPr>
                  <w:tcW w:w="935" w:type="dxa"/>
                  <w:tcBorders>
                    <w:top w:val="single" w:sz="4" w:space="0" w:color="000000"/>
                    <w:left w:val="single" w:sz="4" w:space="0" w:color="000000"/>
                    <w:bottom w:val="single" w:sz="4" w:space="0" w:color="000000"/>
                    <w:right w:val="single" w:sz="4" w:space="0" w:color="000000"/>
                  </w:tcBorders>
                </w:tcPr>
                <w:p w14:paraId="1513335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Biomasa</w:t>
                  </w:r>
                </w:p>
              </w:tc>
              <w:tc>
                <w:tcPr>
                  <w:tcW w:w="1231" w:type="dxa"/>
                  <w:tcBorders>
                    <w:top w:val="single" w:sz="4" w:space="0" w:color="000000"/>
                    <w:left w:val="single" w:sz="4" w:space="0" w:color="000000"/>
                    <w:bottom w:val="single" w:sz="4" w:space="0" w:color="000000"/>
                    <w:right w:val="single" w:sz="4" w:space="0" w:color="000000"/>
                  </w:tcBorders>
                </w:tcPr>
                <w:p w14:paraId="1513335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Rašelina</w:t>
                  </w:r>
                </w:p>
              </w:tc>
              <w:tc>
                <w:tcPr>
                  <w:tcW w:w="973" w:type="dxa"/>
                  <w:tcBorders>
                    <w:top w:val="single" w:sz="4" w:space="0" w:color="000000"/>
                    <w:left w:val="single" w:sz="4" w:space="0" w:color="000000"/>
                    <w:bottom w:val="single" w:sz="4" w:space="0" w:color="000000"/>
                    <w:right w:val="single" w:sz="4" w:space="0" w:color="000000"/>
                  </w:tcBorders>
                </w:tcPr>
                <w:p w14:paraId="1513335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Kvapalné palivá</w:t>
                  </w:r>
                </w:p>
              </w:tc>
            </w:tr>
            <w:tr w:rsidR="00236AB5" w:rsidRPr="008819AF" w14:paraId="1513335E" w14:textId="77777777">
              <w:trPr>
                <w:trHeight w:val="103"/>
                <w:jc w:val="center"/>
              </w:trPr>
              <w:tc>
                <w:tcPr>
                  <w:tcW w:w="973" w:type="dxa"/>
                  <w:tcBorders>
                    <w:top w:val="single" w:sz="4" w:space="0" w:color="000000"/>
                    <w:left w:val="single" w:sz="4" w:space="0" w:color="000000"/>
                    <w:bottom w:val="single" w:sz="4" w:space="0" w:color="000000"/>
                    <w:right w:val="single" w:sz="4" w:space="0" w:color="000000"/>
                  </w:tcBorders>
                </w:tcPr>
                <w:p w14:paraId="1513335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50-100</w:t>
                  </w:r>
                </w:p>
              </w:tc>
              <w:tc>
                <w:tcPr>
                  <w:tcW w:w="753" w:type="dxa"/>
                  <w:tcBorders>
                    <w:top w:val="single" w:sz="4" w:space="0" w:color="000000"/>
                    <w:left w:val="single" w:sz="4" w:space="0" w:color="000000"/>
                    <w:bottom w:val="single" w:sz="4" w:space="0" w:color="000000"/>
                    <w:right w:val="single" w:sz="4" w:space="0" w:color="000000"/>
                  </w:tcBorders>
                </w:tcPr>
                <w:p w14:paraId="1513335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400</w:t>
                  </w:r>
                </w:p>
              </w:tc>
              <w:tc>
                <w:tcPr>
                  <w:tcW w:w="935" w:type="dxa"/>
                  <w:tcBorders>
                    <w:top w:val="single" w:sz="4" w:space="0" w:color="000000"/>
                    <w:left w:val="single" w:sz="4" w:space="0" w:color="000000"/>
                    <w:bottom w:val="single" w:sz="4" w:space="0" w:color="000000"/>
                    <w:right w:val="single" w:sz="4" w:space="0" w:color="000000"/>
                  </w:tcBorders>
                </w:tcPr>
                <w:p w14:paraId="1513335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231" w:type="dxa"/>
                  <w:tcBorders>
                    <w:top w:val="single" w:sz="4" w:space="0" w:color="000000"/>
                    <w:left w:val="single" w:sz="4" w:space="0" w:color="000000"/>
                    <w:bottom w:val="single" w:sz="4" w:space="0" w:color="000000"/>
                    <w:right w:val="single" w:sz="4" w:space="0" w:color="000000"/>
                  </w:tcBorders>
                </w:tcPr>
                <w:p w14:paraId="1513335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tc>
              <w:tc>
                <w:tcPr>
                  <w:tcW w:w="973" w:type="dxa"/>
                  <w:tcBorders>
                    <w:top w:val="single" w:sz="4" w:space="0" w:color="000000"/>
                    <w:left w:val="single" w:sz="4" w:space="0" w:color="000000"/>
                    <w:bottom w:val="single" w:sz="4" w:space="0" w:color="000000"/>
                    <w:right w:val="single" w:sz="4" w:space="0" w:color="000000"/>
                  </w:tcBorders>
                </w:tcPr>
                <w:p w14:paraId="1513335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350</w:t>
                  </w:r>
                </w:p>
              </w:tc>
            </w:tr>
            <w:tr w:rsidR="00236AB5" w:rsidRPr="008819AF" w14:paraId="15133364" w14:textId="77777777">
              <w:trPr>
                <w:trHeight w:val="103"/>
                <w:jc w:val="center"/>
              </w:trPr>
              <w:tc>
                <w:tcPr>
                  <w:tcW w:w="973" w:type="dxa"/>
                  <w:tcBorders>
                    <w:top w:val="single" w:sz="4" w:space="0" w:color="000000"/>
                    <w:left w:val="single" w:sz="4" w:space="0" w:color="000000"/>
                    <w:bottom w:val="single" w:sz="4" w:space="0" w:color="000000"/>
                    <w:right w:val="single" w:sz="4" w:space="0" w:color="000000"/>
                  </w:tcBorders>
                </w:tcPr>
                <w:p w14:paraId="1513335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100-300</w:t>
                  </w:r>
                </w:p>
              </w:tc>
              <w:tc>
                <w:tcPr>
                  <w:tcW w:w="753" w:type="dxa"/>
                  <w:tcBorders>
                    <w:top w:val="single" w:sz="4" w:space="0" w:color="000000"/>
                    <w:left w:val="single" w:sz="4" w:space="0" w:color="000000"/>
                    <w:bottom w:val="single" w:sz="4" w:space="0" w:color="000000"/>
                    <w:right w:val="single" w:sz="4" w:space="0" w:color="000000"/>
                  </w:tcBorders>
                </w:tcPr>
                <w:p w14:paraId="1513336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250</w:t>
                  </w:r>
                </w:p>
              </w:tc>
              <w:tc>
                <w:tcPr>
                  <w:tcW w:w="935" w:type="dxa"/>
                  <w:tcBorders>
                    <w:top w:val="single" w:sz="4" w:space="0" w:color="000000"/>
                    <w:left w:val="single" w:sz="4" w:space="0" w:color="000000"/>
                    <w:bottom w:val="single" w:sz="4" w:space="0" w:color="000000"/>
                    <w:right w:val="single" w:sz="4" w:space="0" w:color="000000"/>
                  </w:tcBorders>
                </w:tcPr>
                <w:p w14:paraId="1513336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231" w:type="dxa"/>
                  <w:tcBorders>
                    <w:top w:val="single" w:sz="4" w:space="0" w:color="000000"/>
                    <w:left w:val="single" w:sz="4" w:space="0" w:color="000000"/>
                    <w:bottom w:val="single" w:sz="4" w:space="0" w:color="000000"/>
                    <w:right w:val="single" w:sz="4" w:space="0" w:color="000000"/>
                  </w:tcBorders>
                </w:tcPr>
                <w:p w14:paraId="1513336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tc>
              <w:tc>
                <w:tcPr>
                  <w:tcW w:w="973" w:type="dxa"/>
                  <w:tcBorders>
                    <w:top w:val="single" w:sz="4" w:space="0" w:color="000000"/>
                    <w:left w:val="single" w:sz="4" w:space="0" w:color="000000"/>
                    <w:bottom w:val="single" w:sz="4" w:space="0" w:color="000000"/>
                    <w:right w:val="single" w:sz="4" w:space="0" w:color="000000"/>
                  </w:tcBorders>
                </w:tcPr>
                <w:p w14:paraId="1513336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250</w:t>
                  </w:r>
                </w:p>
              </w:tc>
            </w:tr>
            <w:tr w:rsidR="00236AB5" w:rsidRPr="008819AF" w14:paraId="1513336A" w14:textId="77777777">
              <w:trPr>
                <w:trHeight w:val="103"/>
                <w:jc w:val="center"/>
              </w:trPr>
              <w:tc>
                <w:tcPr>
                  <w:tcW w:w="973" w:type="dxa"/>
                  <w:tcBorders>
                    <w:top w:val="single" w:sz="4" w:space="0" w:color="000000"/>
                    <w:left w:val="single" w:sz="4" w:space="0" w:color="000000"/>
                    <w:bottom w:val="single" w:sz="4" w:space="0" w:color="000000"/>
                    <w:right w:val="single" w:sz="4" w:space="0" w:color="000000"/>
                  </w:tcBorders>
                </w:tcPr>
                <w:p w14:paraId="1513336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w:t>
                  </w:r>
                </w:p>
              </w:tc>
              <w:tc>
                <w:tcPr>
                  <w:tcW w:w="753" w:type="dxa"/>
                  <w:tcBorders>
                    <w:top w:val="single" w:sz="4" w:space="0" w:color="000000"/>
                    <w:left w:val="single" w:sz="4" w:space="0" w:color="000000"/>
                    <w:bottom w:val="single" w:sz="4" w:space="0" w:color="000000"/>
                    <w:right w:val="single" w:sz="4" w:space="0" w:color="000000"/>
                  </w:tcBorders>
                </w:tcPr>
                <w:p w14:paraId="1513336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935" w:type="dxa"/>
                  <w:tcBorders>
                    <w:top w:val="single" w:sz="4" w:space="0" w:color="000000"/>
                    <w:left w:val="single" w:sz="4" w:space="0" w:color="000000"/>
                    <w:bottom w:val="single" w:sz="4" w:space="0" w:color="000000"/>
                    <w:right w:val="single" w:sz="4" w:space="0" w:color="000000"/>
                  </w:tcBorders>
                </w:tcPr>
                <w:p w14:paraId="1513336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231" w:type="dxa"/>
                  <w:tcBorders>
                    <w:top w:val="single" w:sz="4" w:space="0" w:color="000000"/>
                    <w:left w:val="single" w:sz="4" w:space="0" w:color="000000"/>
                    <w:bottom w:val="single" w:sz="4" w:space="0" w:color="000000"/>
                    <w:right w:val="single" w:sz="4" w:space="0" w:color="000000"/>
                  </w:tcBorders>
                </w:tcPr>
                <w:p w14:paraId="1513336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973" w:type="dxa"/>
                  <w:tcBorders>
                    <w:top w:val="single" w:sz="4" w:space="0" w:color="000000"/>
                    <w:left w:val="single" w:sz="4" w:space="0" w:color="000000"/>
                    <w:bottom w:val="single" w:sz="4" w:space="0" w:color="000000"/>
                    <w:right w:val="single" w:sz="4" w:space="0" w:color="000000"/>
                  </w:tcBorders>
                </w:tcPr>
                <w:p w14:paraId="1513336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bl>
          <w:p w14:paraId="1513336B" w14:textId="77777777" w:rsidR="00236AB5" w:rsidRPr="008819AF" w:rsidRDefault="00236AB5" w:rsidP="00236AB5">
            <w:pPr>
              <w:pStyle w:val="Default"/>
              <w:ind w:left="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Emisný limit pre spaľovacie zariadenia používajúce tuhé palivá, ktorým bolo vydané povolenie pred 27. novembrom 2002 alebo ktorých prevádzkovatelia predložili úplnú žiadosť o povolenie pred týmto dátumom, za predpokladu, že sa zariadenie spustilo do prevádzkovaní najneskôr 27. novembra 2003, a ktoré nie sú v prevádzke viac ako1 500 prevádzkových hodín ročne ako plávajúci priemer za päť rokov, je pre SO2 stanovená na 800 mg/Nm</w:t>
            </w:r>
            <w:r w:rsidRPr="008819AF">
              <w:rPr>
                <w:rFonts w:ascii="Times New Roman" w:eastAsia="Arial" w:hAnsi="Times New Roman" w:cs="Times New Roman"/>
                <w:color w:val="auto"/>
                <w:sz w:val="20"/>
                <w:szCs w:val="20"/>
                <w:vertAlign w:val="superscript"/>
              </w:rPr>
              <w:t>3</w:t>
            </w:r>
            <w:r w:rsidRPr="008819AF">
              <w:rPr>
                <w:rFonts w:ascii="Times New Roman" w:eastAsia="Arial" w:hAnsi="Times New Roman" w:cs="Times New Roman"/>
                <w:color w:val="auto"/>
                <w:sz w:val="20"/>
                <w:szCs w:val="20"/>
              </w:rPr>
              <w:t>.</w:t>
            </w:r>
          </w:p>
          <w:p w14:paraId="1513336C" w14:textId="77777777" w:rsidR="00236AB5" w:rsidRPr="008819AF" w:rsidRDefault="00236AB5" w:rsidP="00236AB5">
            <w:pPr>
              <w:pStyle w:val="Default"/>
              <w:ind w:left="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Emisný limit pre spaľovacie zariadenia používajúce kvapalné palivá, ktorým bolo vydané povolenie pred 27. novembrom 2002 alebo ktorých prevádzkovatelia predložili úplnú žiadosť o povolenie pred týmto dátumom, za predpokladu, že sa zariadenie spustilo do prevádzkovaní </w:t>
            </w:r>
            <w:r w:rsidRPr="008819AF">
              <w:rPr>
                <w:rFonts w:ascii="Times New Roman" w:eastAsia="Arial" w:hAnsi="Times New Roman" w:cs="Times New Roman"/>
                <w:color w:val="auto"/>
                <w:sz w:val="20"/>
                <w:szCs w:val="20"/>
              </w:rPr>
              <w:lastRenderedPageBreak/>
              <w:t>najneskôr 27. novembra 2003, a ktoré nie sú v prevádzke viac ako1 500 prevádzkových hodín ročne ako plávajúci priemer za päť rokov, je pre SO2 stanovená na 850 mg/Nm</w:t>
            </w:r>
            <w:r w:rsidRPr="008819AF">
              <w:rPr>
                <w:rFonts w:ascii="Times New Roman" w:eastAsia="Arial" w:hAnsi="Times New Roman" w:cs="Times New Roman"/>
                <w:color w:val="auto"/>
                <w:sz w:val="20"/>
                <w:szCs w:val="20"/>
                <w:vertAlign w:val="superscript"/>
              </w:rPr>
              <w:t>3</w:t>
            </w:r>
            <w:r w:rsidRPr="008819AF">
              <w:rPr>
                <w:rFonts w:ascii="Times New Roman" w:eastAsia="Arial" w:hAnsi="Times New Roman" w:cs="Times New Roman"/>
                <w:color w:val="auto"/>
                <w:sz w:val="20"/>
                <w:szCs w:val="20"/>
              </w:rPr>
              <w:t xml:space="preserve"> v prípade zariadení s celkovým menovitým tepelným príkonom nepresahujúcim 300 MW a na 400 mg/Nm</w:t>
            </w:r>
            <w:r w:rsidRPr="008819AF">
              <w:rPr>
                <w:rFonts w:ascii="Times New Roman" w:eastAsia="Arial" w:hAnsi="Times New Roman" w:cs="Times New Roman"/>
                <w:color w:val="auto"/>
                <w:sz w:val="20"/>
                <w:szCs w:val="20"/>
                <w:vertAlign w:val="superscript"/>
              </w:rPr>
              <w:t>3</w:t>
            </w:r>
            <w:r w:rsidRPr="008819AF">
              <w:rPr>
                <w:rFonts w:ascii="Times New Roman" w:eastAsia="Arial" w:hAnsi="Times New Roman" w:cs="Times New Roman"/>
                <w:color w:val="auto"/>
                <w:sz w:val="20"/>
                <w:szCs w:val="20"/>
              </w:rPr>
              <w:t xml:space="preserve"> v prípade zariadení s celkovým menovitým tepelným príkonom nad 300 MW.</w:t>
            </w:r>
          </w:p>
          <w:p w14:paraId="1513336D" w14:textId="77777777" w:rsidR="00236AB5" w:rsidRPr="008819AF" w:rsidRDefault="00236AB5" w:rsidP="00236AB5">
            <w:pPr>
              <w:ind w:left="214" w:hanging="214"/>
              <w:rPr>
                <w:rFonts w:eastAsia="Arial"/>
                <w:lang w:bidi="cs-CZ"/>
              </w:rPr>
            </w:pPr>
            <w:r w:rsidRPr="008819AF">
              <w:rPr>
                <w:rFonts w:eastAsia="Arial"/>
                <w:lang w:bidi="cs-CZ"/>
              </w:rPr>
              <w:t>Časť spaľovacieho zariadenia, ktorá vypúšťa odpadové plyny jednou alebo viacerými oddelenými spalinovodmi v spoločnom komíne a ktorá nie je v prevádzke viac ako 1 500 prevádzkových hodín ročne ako plávajúci priemer za päť rokov, môže podliehať emisným limitám stanoveným v predchádzajúcich dvoch odsekoch vo vzťahu k celkovému menovitému tepelnému príkonu celého spaľovacieho zariadenia. V takých prípadoch sa emisie každou z týchto spalinovodov monitorujú oddelene.</w:t>
            </w:r>
          </w:p>
          <w:p w14:paraId="1513336E" w14:textId="77777777" w:rsidR="00236AB5" w:rsidRPr="008819AF" w:rsidRDefault="00236AB5" w:rsidP="00236AB5">
            <w:pPr>
              <w:ind w:left="214" w:hanging="214"/>
              <w:rPr>
                <w:rFonts w:eastAsia="Arial"/>
                <w:lang w:bidi="cs-CZ"/>
              </w:rPr>
            </w:pPr>
          </w:p>
          <w:p w14:paraId="1513336F" w14:textId="77777777" w:rsidR="00236AB5" w:rsidRPr="008819AF" w:rsidRDefault="00236AB5" w:rsidP="00236AB5">
            <w:pPr>
              <w:ind w:left="214" w:hanging="214"/>
              <w:rPr>
                <w:rFonts w:eastAsia="Arial"/>
                <w:lang w:bidi="cs-CZ"/>
              </w:rPr>
            </w:pPr>
            <w:r w:rsidRPr="008819AF">
              <w:rPr>
                <w:rFonts w:eastAsia="Arial"/>
                <w:lang w:bidi="cs-CZ"/>
              </w:rPr>
              <w:t>3. Emisné limity (mg/Nm</w:t>
            </w:r>
            <w:r w:rsidRPr="008819AF">
              <w:rPr>
                <w:rFonts w:eastAsia="Arial"/>
                <w:vertAlign w:val="superscript"/>
                <w:lang w:bidi="cs-CZ"/>
              </w:rPr>
              <w:t>3</w:t>
            </w:r>
            <w:r w:rsidRPr="008819AF">
              <w:rPr>
                <w:rFonts w:eastAsia="Arial"/>
                <w:lang w:bidi="cs-CZ"/>
              </w:rPr>
              <w:t>) pre SO2 pre spaľovacie zariadenia používajúce plynné palivá s výnimkou plynových turbín a plynových motorov</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1"/>
              <w:gridCol w:w="1062"/>
            </w:tblGrid>
            <w:tr w:rsidR="00236AB5" w:rsidRPr="008819AF" w14:paraId="15133372" w14:textId="77777777">
              <w:trPr>
                <w:trHeight w:val="103"/>
              </w:trPr>
              <w:tc>
                <w:tcPr>
                  <w:tcW w:w="4041" w:type="dxa"/>
                  <w:tcBorders>
                    <w:top w:val="single" w:sz="4" w:space="0" w:color="000000"/>
                    <w:left w:val="single" w:sz="4" w:space="0" w:color="000000"/>
                    <w:bottom w:val="single" w:sz="4" w:space="0" w:color="000000"/>
                    <w:right w:val="single" w:sz="4" w:space="0" w:color="000000"/>
                  </w:tcBorders>
                </w:tcPr>
                <w:p w14:paraId="1513337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Všeobecne</w:t>
                  </w:r>
                </w:p>
              </w:tc>
              <w:tc>
                <w:tcPr>
                  <w:tcW w:w="1062" w:type="dxa"/>
                  <w:tcBorders>
                    <w:top w:val="single" w:sz="4" w:space="0" w:color="000000"/>
                    <w:left w:val="single" w:sz="4" w:space="0" w:color="000000"/>
                    <w:bottom w:val="single" w:sz="4" w:space="0" w:color="000000"/>
                    <w:right w:val="single" w:sz="4" w:space="0" w:color="000000"/>
                  </w:tcBorders>
                </w:tcPr>
                <w:p w14:paraId="1513337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35</w:t>
                  </w:r>
                </w:p>
              </w:tc>
            </w:tr>
            <w:tr w:rsidR="00236AB5" w:rsidRPr="008819AF" w14:paraId="15133375" w14:textId="77777777">
              <w:trPr>
                <w:trHeight w:val="103"/>
              </w:trPr>
              <w:tc>
                <w:tcPr>
                  <w:tcW w:w="4041" w:type="dxa"/>
                  <w:tcBorders>
                    <w:top w:val="single" w:sz="4" w:space="0" w:color="000000"/>
                    <w:left w:val="single" w:sz="4" w:space="0" w:color="000000"/>
                    <w:bottom w:val="single" w:sz="4" w:space="0" w:color="000000"/>
                    <w:right w:val="single" w:sz="4" w:space="0" w:color="000000"/>
                  </w:tcBorders>
                </w:tcPr>
                <w:p w14:paraId="1513337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Skvapalnený plyn</w:t>
                  </w:r>
                </w:p>
              </w:tc>
              <w:tc>
                <w:tcPr>
                  <w:tcW w:w="1062" w:type="dxa"/>
                  <w:tcBorders>
                    <w:top w:val="single" w:sz="4" w:space="0" w:color="000000"/>
                    <w:left w:val="single" w:sz="4" w:space="0" w:color="000000"/>
                    <w:bottom w:val="single" w:sz="4" w:space="0" w:color="000000"/>
                    <w:right w:val="single" w:sz="4" w:space="0" w:color="000000"/>
                  </w:tcBorders>
                </w:tcPr>
                <w:p w14:paraId="1513337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w:t>
                  </w:r>
                </w:p>
              </w:tc>
            </w:tr>
            <w:tr w:rsidR="00236AB5" w:rsidRPr="008819AF" w14:paraId="15133378" w14:textId="77777777">
              <w:trPr>
                <w:trHeight w:val="103"/>
              </w:trPr>
              <w:tc>
                <w:tcPr>
                  <w:tcW w:w="4041" w:type="dxa"/>
                  <w:tcBorders>
                    <w:top w:val="single" w:sz="4" w:space="0" w:color="000000"/>
                    <w:left w:val="single" w:sz="4" w:space="0" w:color="000000"/>
                    <w:bottom w:val="single" w:sz="4" w:space="0" w:color="000000"/>
                    <w:right w:val="single" w:sz="4" w:space="0" w:color="000000"/>
                  </w:tcBorders>
                </w:tcPr>
                <w:p w14:paraId="1513337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Nízkovýhrevné plyny z koksárenských pecí</w:t>
                  </w:r>
                </w:p>
              </w:tc>
              <w:tc>
                <w:tcPr>
                  <w:tcW w:w="1062" w:type="dxa"/>
                  <w:tcBorders>
                    <w:top w:val="single" w:sz="4" w:space="0" w:color="000000"/>
                    <w:left w:val="single" w:sz="4" w:space="0" w:color="000000"/>
                    <w:bottom w:val="single" w:sz="4" w:space="0" w:color="000000"/>
                    <w:right w:val="single" w:sz="4" w:space="0" w:color="000000"/>
                  </w:tcBorders>
                </w:tcPr>
                <w:p w14:paraId="1513337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400</w:t>
                  </w:r>
                </w:p>
              </w:tc>
            </w:tr>
            <w:tr w:rsidR="00236AB5" w:rsidRPr="008819AF" w14:paraId="1513337B" w14:textId="77777777">
              <w:trPr>
                <w:trHeight w:val="103"/>
              </w:trPr>
              <w:tc>
                <w:tcPr>
                  <w:tcW w:w="4041" w:type="dxa"/>
                  <w:tcBorders>
                    <w:top w:val="single" w:sz="4" w:space="0" w:color="000000"/>
                    <w:left w:val="single" w:sz="4" w:space="0" w:color="000000"/>
                    <w:bottom w:val="single" w:sz="4" w:space="0" w:color="000000"/>
                    <w:right w:val="single" w:sz="4" w:space="0" w:color="000000"/>
                  </w:tcBorders>
                </w:tcPr>
                <w:p w14:paraId="1513337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Nízkovýhrevné plyny z vysokých pecí</w:t>
                  </w:r>
                </w:p>
              </w:tc>
              <w:tc>
                <w:tcPr>
                  <w:tcW w:w="1062" w:type="dxa"/>
                  <w:tcBorders>
                    <w:top w:val="single" w:sz="4" w:space="0" w:color="000000"/>
                    <w:left w:val="single" w:sz="4" w:space="0" w:color="000000"/>
                    <w:bottom w:val="single" w:sz="4" w:space="0" w:color="000000"/>
                    <w:right w:val="single" w:sz="4" w:space="0" w:color="000000"/>
                  </w:tcBorders>
                </w:tcPr>
                <w:p w14:paraId="1513337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bl>
          <w:p w14:paraId="1513337C" w14:textId="77777777" w:rsidR="00236AB5" w:rsidRPr="008819AF" w:rsidRDefault="00236AB5" w:rsidP="00236AB5">
            <w:pPr>
              <w:ind w:left="214" w:hanging="214"/>
              <w:rPr>
                <w:rFonts w:eastAsia="Arial"/>
                <w:lang w:bidi="cs-CZ"/>
              </w:rPr>
            </w:pPr>
          </w:p>
          <w:p w14:paraId="1513337D" w14:textId="77777777" w:rsidR="00236AB5" w:rsidRPr="008819AF" w:rsidRDefault="00236AB5" w:rsidP="00236AB5">
            <w:pPr>
              <w:ind w:left="214" w:hanging="214"/>
              <w:rPr>
                <w:rFonts w:eastAsia="Arial"/>
                <w:lang w:bidi="cs-CZ"/>
              </w:rPr>
            </w:pPr>
            <w:r w:rsidRPr="008819AF">
              <w:rPr>
                <w:rFonts w:eastAsia="Arial"/>
                <w:lang w:bidi="cs-CZ"/>
              </w:rPr>
              <w:t>Emisný limit pre spaľovacie zariadenia spaľujúce nízkovýhrevné plyny zo splyňovania rafinérskych zvyškov, ktorým bolo vydané povolenie pred 27. novembrom 2002 alebo prevádzkovatelia ktorých predložili úplnú žiadosť o povolenie pred týmto dátumom, za predpokladu, že zariadenie sa uviedlo do prevádzkovaní najneskôr 27. novembra 2003, je pre SO2 stanovená na 800 mg/Nm</w:t>
            </w:r>
            <w:r w:rsidRPr="008819AF">
              <w:rPr>
                <w:rFonts w:eastAsia="Arial"/>
                <w:vertAlign w:val="superscript"/>
                <w:lang w:bidi="cs-CZ"/>
              </w:rPr>
              <w:t>3</w:t>
            </w:r>
            <w:r w:rsidRPr="008819AF">
              <w:rPr>
                <w:rFonts w:eastAsia="Arial"/>
                <w:lang w:bidi="cs-CZ"/>
              </w:rPr>
              <w:t>.</w:t>
            </w:r>
          </w:p>
          <w:p w14:paraId="1513337E" w14:textId="77777777" w:rsidR="00236AB5" w:rsidRPr="008819AF" w:rsidRDefault="00236AB5" w:rsidP="00236AB5">
            <w:pPr>
              <w:ind w:left="214" w:hanging="214"/>
              <w:rPr>
                <w:rFonts w:eastAsia="Arial"/>
                <w:lang w:bidi="cs-CZ"/>
              </w:rPr>
            </w:pPr>
            <w:r w:rsidRPr="008819AF">
              <w:rPr>
                <w:rFonts w:eastAsia="Arial"/>
                <w:lang w:bidi="cs-CZ"/>
              </w:rPr>
              <w:t>4. Emisné limity (mg/Nm3) pre NOx pre spaľovacie zariadenia používajúce tuhé alebo kvapalné palivá s výnimkou plynových turbín a plynových motorov</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2268"/>
              <w:gridCol w:w="851"/>
              <w:gridCol w:w="930"/>
            </w:tblGrid>
            <w:tr w:rsidR="00236AB5" w:rsidRPr="008819AF" w14:paraId="15133383" w14:textId="77777777">
              <w:trPr>
                <w:trHeight w:val="260"/>
              </w:trPr>
              <w:tc>
                <w:tcPr>
                  <w:tcW w:w="1059" w:type="dxa"/>
                  <w:tcBorders>
                    <w:top w:val="single" w:sz="4" w:space="0" w:color="000000"/>
                    <w:left w:val="single" w:sz="4" w:space="0" w:color="000000"/>
                    <w:bottom w:val="single" w:sz="4" w:space="0" w:color="000000"/>
                    <w:right w:val="single" w:sz="4" w:space="0" w:color="000000"/>
                  </w:tcBorders>
                </w:tcPr>
                <w:p w14:paraId="1513337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Celkový menovitý tepelný príkon (MW)</w:t>
                  </w:r>
                </w:p>
              </w:tc>
              <w:tc>
                <w:tcPr>
                  <w:tcW w:w="2268" w:type="dxa"/>
                  <w:tcBorders>
                    <w:top w:val="single" w:sz="4" w:space="0" w:color="000000"/>
                    <w:left w:val="single" w:sz="4" w:space="0" w:color="000000"/>
                    <w:bottom w:val="single" w:sz="4" w:space="0" w:color="000000"/>
                    <w:right w:val="single" w:sz="4" w:space="0" w:color="000000"/>
                  </w:tcBorders>
                </w:tcPr>
                <w:p w14:paraId="1513338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Čierne a hnedé uhlie a iné tuhé palivá</w:t>
                  </w:r>
                </w:p>
              </w:tc>
              <w:tc>
                <w:tcPr>
                  <w:tcW w:w="851" w:type="dxa"/>
                  <w:tcBorders>
                    <w:top w:val="single" w:sz="4" w:space="0" w:color="000000"/>
                    <w:left w:val="single" w:sz="4" w:space="0" w:color="000000"/>
                    <w:bottom w:val="single" w:sz="4" w:space="0" w:color="000000"/>
                    <w:right w:val="single" w:sz="4" w:space="0" w:color="000000"/>
                  </w:tcBorders>
                </w:tcPr>
                <w:p w14:paraId="1513338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Biomasa a rašelina</w:t>
                  </w:r>
                </w:p>
              </w:tc>
              <w:tc>
                <w:tcPr>
                  <w:tcW w:w="930" w:type="dxa"/>
                  <w:tcBorders>
                    <w:top w:val="single" w:sz="4" w:space="0" w:color="000000"/>
                    <w:left w:val="single" w:sz="4" w:space="0" w:color="000000"/>
                    <w:bottom w:val="single" w:sz="4" w:space="0" w:color="000000"/>
                    <w:right w:val="single" w:sz="4" w:space="0" w:color="000000"/>
                  </w:tcBorders>
                </w:tcPr>
                <w:p w14:paraId="1513338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Kvapalné palivá</w:t>
                  </w:r>
                </w:p>
              </w:tc>
            </w:tr>
            <w:tr w:rsidR="00236AB5" w:rsidRPr="008819AF" w14:paraId="15133389" w14:textId="77777777">
              <w:trPr>
                <w:trHeight w:val="262"/>
              </w:trPr>
              <w:tc>
                <w:tcPr>
                  <w:tcW w:w="1059" w:type="dxa"/>
                  <w:tcBorders>
                    <w:top w:val="single" w:sz="4" w:space="0" w:color="000000"/>
                    <w:left w:val="single" w:sz="4" w:space="0" w:color="000000"/>
                    <w:bottom w:val="single" w:sz="4" w:space="0" w:color="000000"/>
                    <w:right w:val="single" w:sz="4" w:space="0" w:color="000000"/>
                  </w:tcBorders>
                </w:tcPr>
                <w:p w14:paraId="1513338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50-100</w:t>
                  </w:r>
                </w:p>
              </w:tc>
              <w:tc>
                <w:tcPr>
                  <w:tcW w:w="2268" w:type="dxa"/>
                  <w:tcBorders>
                    <w:top w:val="single" w:sz="4" w:space="0" w:color="000000"/>
                    <w:left w:val="single" w:sz="4" w:space="0" w:color="000000"/>
                    <w:bottom w:val="single" w:sz="4" w:space="0" w:color="000000"/>
                    <w:right w:val="single" w:sz="4" w:space="0" w:color="000000"/>
                  </w:tcBorders>
                </w:tcPr>
                <w:p w14:paraId="1513338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p w14:paraId="1513338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450 v prípade spaľovania práškového hnedého uhlia</w:t>
                  </w:r>
                </w:p>
              </w:tc>
              <w:tc>
                <w:tcPr>
                  <w:tcW w:w="851" w:type="dxa"/>
                  <w:tcBorders>
                    <w:top w:val="single" w:sz="4" w:space="0" w:color="000000"/>
                    <w:left w:val="single" w:sz="4" w:space="0" w:color="000000"/>
                    <w:bottom w:val="single" w:sz="4" w:space="0" w:color="000000"/>
                    <w:right w:val="single" w:sz="4" w:space="0" w:color="000000"/>
                  </w:tcBorders>
                </w:tcPr>
                <w:p w14:paraId="1513338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tc>
              <w:tc>
                <w:tcPr>
                  <w:tcW w:w="930" w:type="dxa"/>
                  <w:tcBorders>
                    <w:top w:val="single" w:sz="4" w:space="0" w:color="000000"/>
                    <w:left w:val="single" w:sz="4" w:space="0" w:color="000000"/>
                    <w:bottom w:val="single" w:sz="4" w:space="0" w:color="000000"/>
                    <w:right w:val="single" w:sz="4" w:space="0" w:color="000000"/>
                  </w:tcBorders>
                </w:tcPr>
                <w:p w14:paraId="1513338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450</w:t>
                  </w:r>
                </w:p>
              </w:tc>
            </w:tr>
            <w:tr w:rsidR="00236AB5" w:rsidRPr="008819AF" w14:paraId="1513338E" w14:textId="77777777">
              <w:trPr>
                <w:trHeight w:val="103"/>
              </w:trPr>
              <w:tc>
                <w:tcPr>
                  <w:tcW w:w="1059" w:type="dxa"/>
                  <w:tcBorders>
                    <w:top w:val="single" w:sz="4" w:space="0" w:color="000000"/>
                    <w:left w:val="single" w:sz="4" w:space="0" w:color="000000"/>
                    <w:bottom w:val="single" w:sz="4" w:space="0" w:color="000000"/>
                    <w:right w:val="single" w:sz="4" w:space="0" w:color="000000"/>
                  </w:tcBorders>
                </w:tcPr>
                <w:p w14:paraId="1513338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100-300</w:t>
                  </w:r>
                </w:p>
              </w:tc>
              <w:tc>
                <w:tcPr>
                  <w:tcW w:w="2268" w:type="dxa"/>
                  <w:tcBorders>
                    <w:top w:val="single" w:sz="4" w:space="0" w:color="000000"/>
                    <w:left w:val="single" w:sz="4" w:space="0" w:color="000000"/>
                    <w:bottom w:val="single" w:sz="4" w:space="0" w:color="000000"/>
                    <w:right w:val="single" w:sz="4" w:space="0" w:color="000000"/>
                  </w:tcBorders>
                </w:tcPr>
                <w:p w14:paraId="1513338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851" w:type="dxa"/>
                  <w:tcBorders>
                    <w:top w:val="single" w:sz="4" w:space="0" w:color="000000"/>
                    <w:left w:val="single" w:sz="4" w:space="0" w:color="000000"/>
                    <w:bottom w:val="single" w:sz="4" w:space="0" w:color="000000"/>
                    <w:right w:val="single" w:sz="4" w:space="0" w:color="000000"/>
                  </w:tcBorders>
                </w:tcPr>
                <w:p w14:paraId="1513338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250</w:t>
                  </w:r>
                </w:p>
              </w:tc>
              <w:tc>
                <w:tcPr>
                  <w:tcW w:w="930" w:type="dxa"/>
                  <w:tcBorders>
                    <w:top w:val="single" w:sz="4" w:space="0" w:color="000000"/>
                    <w:left w:val="single" w:sz="4" w:space="0" w:color="000000"/>
                    <w:bottom w:val="single" w:sz="4" w:space="0" w:color="000000"/>
                    <w:right w:val="single" w:sz="4" w:space="0" w:color="000000"/>
                  </w:tcBorders>
                </w:tcPr>
                <w:p w14:paraId="1513338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 (</w:t>
                  </w:r>
                  <w:r w:rsidRPr="008819AF">
                    <w:rPr>
                      <w:rFonts w:ascii="Times New Roman" w:eastAsia="Arial" w:hAnsi="Times New Roman" w:cs="Times New Roman"/>
                      <w:color w:val="auto"/>
                      <w:sz w:val="20"/>
                      <w:szCs w:val="20"/>
                      <w:vertAlign w:val="superscript"/>
                    </w:rPr>
                    <w:t>1</w:t>
                  </w:r>
                  <w:r w:rsidRPr="008819AF">
                    <w:rPr>
                      <w:rFonts w:ascii="Times New Roman" w:eastAsia="Arial" w:hAnsi="Times New Roman" w:cs="Times New Roman"/>
                      <w:color w:val="auto"/>
                      <w:sz w:val="20"/>
                      <w:szCs w:val="20"/>
                    </w:rPr>
                    <w:t>)</w:t>
                  </w:r>
                </w:p>
              </w:tc>
            </w:tr>
            <w:tr w:rsidR="00236AB5" w:rsidRPr="008819AF" w14:paraId="15133393" w14:textId="77777777">
              <w:trPr>
                <w:trHeight w:val="103"/>
              </w:trPr>
              <w:tc>
                <w:tcPr>
                  <w:tcW w:w="1059" w:type="dxa"/>
                  <w:tcBorders>
                    <w:top w:val="single" w:sz="4" w:space="0" w:color="000000"/>
                    <w:left w:val="single" w:sz="4" w:space="0" w:color="000000"/>
                    <w:bottom w:val="single" w:sz="4" w:space="0" w:color="000000"/>
                    <w:right w:val="single" w:sz="4" w:space="0" w:color="000000"/>
                  </w:tcBorders>
                </w:tcPr>
                <w:p w14:paraId="1513338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&gt; 300</w:t>
                  </w:r>
                </w:p>
              </w:tc>
              <w:tc>
                <w:tcPr>
                  <w:tcW w:w="2268" w:type="dxa"/>
                  <w:tcBorders>
                    <w:top w:val="single" w:sz="4" w:space="0" w:color="000000"/>
                    <w:left w:val="single" w:sz="4" w:space="0" w:color="000000"/>
                    <w:bottom w:val="single" w:sz="4" w:space="0" w:color="000000"/>
                    <w:right w:val="single" w:sz="4" w:space="0" w:color="000000"/>
                  </w:tcBorders>
                </w:tcPr>
                <w:p w14:paraId="1513339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851" w:type="dxa"/>
                  <w:tcBorders>
                    <w:top w:val="single" w:sz="4" w:space="0" w:color="000000"/>
                    <w:left w:val="single" w:sz="4" w:space="0" w:color="000000"/>
                    <w:bottom w:val="single" w:sz="4" w:space="0" w:color="000000"/>
                    <w:right w:val="single" w:sz="4" w:space="0" w:color="000000"/>
                  </w:tcBorders>
                </w:tcPr>
                <w:p w14:paraId="1513339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930" w:type="dxa"/>
                  <w:tcBorders>
                    <w:top w:val="single" w:sz="4" w:space="0" w:color="000000"/>
                    <w:left w:val="single" w:sz="4" w:space="0" w:color="000000"/>
                    <w:bottom w:val="single" w:sz="4" w:space="0" w:color="000000"/>
                    <w:right w:val="single" w:sz="4" w:space="0" w:color="000000"/>
                  </w:tcBorders>
                </w:tcPr>
                <w:p w14:paraId="1513339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 (</w:t>
                  </w:r>
                  <w:r w:rsidRPr="008819AF">
                    <w:rPr>
                      <w:rFonts w:ascii="Times New Roman" w:eastAsia="Arial" w:hAnsi="Times New Roman" w:cs="Times New Roman"/>
                      <w:color w:val="auto"/>
                      <w:sz w:val="20"/>
                      <w:szCs w:val="20"/>
                      <w:vertAlign w:val="superscript"/>
                    </w:rPr>
                    <w:t>1</w:t>
                  </w:r>
                  <w:r w:rsidRPr="008819AF">
                    <w:rPr>
                      <w:rFonts w:ascii="Times New Roman" w:eastAsia="Arial" w:hAnsi="Times New Roman" w:cs="Times New Roman"/>
                      <w:color w:val="auto"/>
                      <w:sz w:val="20"/>
                      <w:szCs w:val="20"/>
                    </w:rPr>
                    <w:t>)</w:t>
                  </w:r>
                </w:p>
              </w:tc>
            </w:tr>
          </w:tbl>
          <w:p w14:paraId="15133394" w14:textId="77777777" w:rsidR="00236AB5" w:rsidRPr="008819AF" w:rsidRDefault="00236AB5" w:rsidP="00236AB5">
            <w:pPr>
              <w:rPr>
                <w:rFonts w:eastAsia="Arial"/>
                <w:i/>
                <w:iCs/>
              </w:rPr>
            </w:pPr>
            <w:r w:rsidRPr="008819AF">
              <w:rPr>
                <w:rFonts w:eastAsia="Arial"/>
                <w:i/>
                <w:iCs/>
              </w:rPr>
              <w:t>Poznámka</w:t>
            </w:r>
          </w:p>
          <w:p w14:paraId="15133395" w14:textId="77777777" w:rsidR="00236AB5" w:rsidRPr="008819AF" w:rsidRDefault="00236AB5" w:rsidP="00236AB5">
            <w:pPr>
              <w:ind w:left="215" w:hanging="215"/>
              <w:rPr>
                <w:rFonts w:eastAsia="Arial"/>
                <w:lang w:bidi="cs-CZ"/>
              </w:rPr>
            </w:pPr>
            <w:r w:rsidRPr="008819AF">
              <w:rPr>
                <w:rFonts w:eastAsia="Arial"/>
                <w:lang w:bidi="cs-CZ"/>
              </w:rPr>
              <w:t>(1)  Emisné limity pre spaľovanie zvyškov z destilácie a konverzie z rafinácie ropy pre vlastnú spotrebu v spaľovacích zariadeniach s celkovým menovitým tepelným príkonom neprekračujúcim 500 MW, ktorým bolo vydané povolenie pred 27. novembrom 2002, alebo prevádzkovatelia ktorých predložili úplnú žiadosť o povolenie pred týmto dátumom, za predpokladu, že zariadenie sa uviedlo do prevádzkovaní najneskôr 27. novembra 2003, je 450 mg/Nm3.</w:t>
            </w:r>
          </w:p>
          <w:p w14:paraId="15133396" w14:textId="77777777" w:rsidR="00236AB5" w:rsidRPr="008819AF" w:rsidRDefault="00236AB5" w:rsidP="00236AB5">
            <w:pPr>
              <w:ind w:left="284" w:hanging="284"/>
              <w:rPr>
                <w:rFonts w:eastAsia="Arial"/>
              </w:rPr>
            </w:pPr>
            <w:r w:rsidRPr="008819AF">
              <w:rPr>
                <w:rFonts w:eastAsia="Arial"/>
              </w:rPr>
              <w:t>-----------------------------------------------------------------------------</w:t>
            </w:r>
          </w:p>
          <w:p w14:paraId="15133397" w14:textId="77777777" w:rsidR="00236AB5" w:rsidRPr="008819AF" w:rsidRDefault="00236AB5" w:rsidP="00236AB5">
            <w:pPr>
              <w:ind w:left="214" w:hanging="215"/>
              <w:rPr>
                <w:rFonts w:eastAsia="Arial"/>
              </w:rPr>
            </w:pPr>
          </w:p>
          <w:p w14:paraId="15133398" w14:textId="77777777" w:rsidR="00236AB5" w:rsidRPr="008819AF" w:rsidRDefault="00236AB5" w:rsidP="00236AB5">
            <w:pPr>
              <w:ind w:left="214"/>
              <w:rPr>
                <w:rFonts w:eastAsia="Arial"/>
              </w:rPr>
            </w:pPr>
            <w:r w:rsidRPr="008819AF">
              <w:rPr>
                <w:rFonts w:eastAsia="Arial"/>
              </w:rPr>
              <w:t>Emisný limit pre spaľovacie zariadenia v chemických zariadeniach, ktoré používajú kvapalné zvyšky z výroby ako nekomerčné palivo pre vlastnú spotrebu s celkovým menovitým tepelným príkonom neprekračujúcim 500 MW, ktorým bolo vydané povolenie pred 27. novembrom 2002 alebo prevádzkovatelia ktorých predložili úplnú žiadosť o povolenie pred týmto dátumom, za predpokladu, že zariadenie sa uviedlo do prevádzkovaní najneskôr 27. novembra 2003, je pre NOx stanovená na 450 mg/Nm3.</w:t>
            </w:r>
          </w:p>
          <w:p w14:paraId="15133399" w14:textId="77777777" w:rsidR="00236AB5" w:rsidRPr="008819AF" w:rsidRDefault="00236AB5" w:rsidP="00236AB5">
            <w:pPr>
              <w:ind w:left="214"/>
              <w:rPr>
                <w:rFonts w:eastAsia="Arial"/>
              </w:rPr>
            </w:pPr>
            <w:r w:rsidRPr="008819AF">
              <w:rPr>
                <w:rFonts w:eastAsia="Arial"/>
              </w:rPr>
              <w:t>Emisný limit pre spaľovacie zariadenia používajúce tuhé alebo kvapalné palivá s celkovým menovitým tepelným príkonom neprekračujúcim 500 MW, ktorým bolo vydané povolenie pred 27. novembrom 2002, alebo ktorých prevádzkovatelia predložili úplnú žiadosť o povolenie pred týmto dátumom, za predpokladu, že sa zariadenie uviedlo do prevádzkovaní najneskôr 27. novembra 2003, a ktoré nie sú v prevádzke viac ako 1500 prevádzkových hodín ročne ako plávajúci priemer za päť rokov, je pre NOx stanovená na 450 mg/Nm3.</w:t>
            </w:r>
          </w:p>
          <w:p w14:paraId="1513339A" w14:textId="77777777" w:rsidR="00236AB5" w:rsidRPr="008819AF" w:rsidRDefault="00236AB5" w:rsidP="00236AB5">
            <w:pPr>
              <w:ind w:left="214"/>
              <w:rPr>
                <w:rFonts w:eastAsia="Arial"/>
              </w:rPr>
            </w:pPr>
            <w:r w:rsidRPr="008819AF">
              <w:rPr>
                <w:rFonts w:eastAsia="Arial"/>
              </w:rPr>
              <w:t>Emisný limit pre spaľovacie zariadenia používajúce tuhé palivá s celkovým menovitým tepelným príkonom nad 500 MW, ktorým bolo vydané povolenie pred 1. júlom 1987 a ktoré nie sú v prevádzke viac ako 1500 prevádzkových hodín ročne ako plávajúci priemer za päť rokov, je pre NOx stanovená na 450 mg/Nm3.</w:t>
            </w:r>
          </w:p>
          <w:p w14:paraId="1513339B" w14:textId="77777777" w:rsidR="00236AB5" w:rsidRPr="008819AF" w:rsidRDefault="00236AB5" w:rsidP="00236AB5">
            <w:pPr>
              <w:ind w:left="214"/>
              <w:rPr>
                <w:rFonts w:eastAsia="Arial"/>
              </w:rPr>
            </w:pPr>
            <w:r w:rsidRPr="008819AF">
              <w:rPr>
                <w:rFonts w:eastAsia="Arial"/>
              </w:rPr>
              <w:t>Emisný limit pre spaľovacie zariadenia používajúce kvapalné palivá s celkovým menovitým tepelným príkonom nad 500 MW, ktorým bolo vydané povolenie pred 27. novembrom 2002 alebo ktorých prevádzkovatelia predložili úplnú žiadosť o povolenie pred týmto dátumom, za predpokladu, že sa zariadenie spustilo do prevádzkovaní najneskôr 27. novembra 2003, a ktoré nie sú v prevádzke viac ako 1500 prevádzkových hodín ročne ako plávajúci priemer za päť rokov, je pre NOx stanovená na 400 mg/Nm3.</w:t>
            </w:r>
          </w:p>
          <w:p w14:paraId="1513339C" w14:textId="77777777" w:rsidR="00236AB5" w:rsidRPr="008819AF" w:rsidRDefault="00236AB5" w:rsidP="00236AB5">
            <w:pPr>
              <w:ind w:left="215" w:hanging="215"/>
              <w:rPr>
                <w:rFonts w:eastAsia="Arial"/>
                <w:lang w:bidi="cs-CZ"/>
              </w:rPr>
            </w:pPr>
            <w:r w:rsidRPr="008819AF">
              <w:rPr>
                <w:rFonts w:eastAsia="Arial"/>
              </w:rPr>
              <w:t xml:space="preserve">Časť spaľovacieho zariadenia, ktorá vypúšťa odpadové plyny jednou alebo </w:t>
            </w:r>
            <w:r w:rsidRPr="008819AF">
              <w:rPr>
                <w:rFonts w:eastAsia="Arial"/>
              </w:rPr>
              <w:lastRenderedPageBreak/>
              <w:t>viacerými oddelenými spalinovodmi v spoločnom komíne a ktorá nie je v prevádzke viac ako 1500 prevádzkových hodín ročne ako plávajúci priemer za päť rokov, môže podliehať emisným limitám stanoveným v predchádzajúcich troch odsekoch vo vzťahu k celkovému menovitému tepelnému príkonu celého spaľovacieho zariadenia. V takých prípadoch sa emisie každou z týchto spalinovodov monitorujú oddelene.</w:t>
            </w:r>
          </w:p>
          <w:p w14:paraId="1513339D" w14:textId="77777777" w:rsidR="00236AB5" w:rsidRPr="008819AF" w:rsidRDefault="00236AB5" w:rsidP="00236AB5">
            <w:pPr>
              <w:ind w:left="215" w:hanging="215"/>
              <w:rPr>
                <w:rFonts w:eastAsia="Arial"/>
                <w:lang w:bidi="cs-CZ"/>
              </w:rPr>
            </w:pPr>
            <w:r w:rsidRPr="008819AF">
              <w:rPr>
                <w:rFonts w:eastAsia="Arial"/>
                <w:lang w:bidi="cs-CZ"/>
              </w:rPr>
              <w:t>5. Emisný limit pre plynové turbíny (vrátane plynových turbín s kombinovaným cyklom (CCGT)), ktoré ako kvapalné palivo používajú ľahké a stredné destiláty, je pre NOx stanovená na 90 mg/Nm3 a pre CO na 100 mg/Nm3.</w:t>
            </w:r>
          </w:p>
          <w:p w14:paraId="1513339E" w14:textId="77777777" w:rsidR="00236AB5" w:rsidRPr="008819AF" w:rsidRDefault="00236AB5" w:rsidP="00236AB5">
            <w:pPr>
              <w:ind w:left="214"/>
              <w:rPr>
                <w:rFonts w:eastAsia="Arial"/>
                <w:lang w:bidi="cs-CZ"/>
              </w:rPr>
            </w:pPr>
            <w:r w:rsidRPr="008819AF">
              <w:rPr>
                <w:rFonts w:eastAsia="Arial"/>
                <w:lang w:bidi="cs-CZ"/>
              </w:rPr>
              <w:t>Na plynové turbíny používané na núdzovú prevádzku, ktoré sú v prevádzke menej ako 500 prevádzkových hodín ročne, sa neuplatňujú  emisné limity stanovené v tomto bode. Prevádzkovateľ takéhoto zariadenia zaznamenáva využité prevádzkové hodiny.</w:t>
            </w:r>
          </w:p>
          <w:p w14:paraId="1513339F" w14:textId="77777777" w:rsidR="00236AB5" w:rsidRPr="008819AF" w:rsidRDefault="00236AB5" w:rsidP="00236AB5">
            <w:pPr>
              <w:ind w:left="214" w:hanging="214"/>
              <w:rPr>
                <w:rFonts w:eastAsia="Arial"/>
                <w:lang w:bidi="cs-CZ"/>
              </w:rPr>
            </w:pPr>
            <w:r w:rsidRPr="008819AF">
              <w:rPr>
                <w:rFonts w:eastAsia="Arial"/>
                <w:lang w:bidi="cs-CZ"/>
              </w:rPr>
              <w:t>6. Emisné limity (mg/Nm3) NOx a CO pre spaľovacie zariadenia spaľujúce plyn</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993"/>
              <w:gridCol w:w="783"/>
            </w:tblGrid>
            <w:tr w:rsidR="00236AB5" w:rsidRPr="008819AF" w14:paraId="151333A3" w14:textId="77777777">
              <w:trPr>
                <w:trHeight w:val="99"/>
              </w:trPr>
              <w:tc>
                <w:tcPr>
                  <w:tcW w:w="3327" w:type="dxa"/>
                  <w:tcBorders>
                    <w:top w:val="single" w:sz="4" w:space="0" w:color="000000"/>
                    <w:left w:val="single" w:sz="4" w:space="0" w:color="000000"/>
                    <w:bottom w:val="single" w:sz="4" w:space="0" w:color="000000"/>
                    <w:right w:val="single" w:sz="4" w:space="0" w:color="000000"/>
                  </w:tcBorders>
                </w:tcPr>
                <w:p w14:paraId="151333A0" w14:textId="77777777" w:rsidR="00236AB5" w:rsidRPr="008819AF" w:rsidRDefault="00236AB5" w:rsidP="00236AB5">
                  <w:pPr>
                    <w:pStyle w:val="Default"/>
                    <w:rPr>
                      <w:rFonts w:ascii="Times New Roman" w:eastAsia="Arial"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51333A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NOx</w:t>
                  </w:r>
                </w:p>
              </w:tc>
              <w:tc>
                <w:tcPr>
                  <w:tcW w:w="783" w:type="dxa"/>
                  <w:tcBorders>
                    <w:top w:val="single" w:sz="4" w:space="0" w:color="000000"/>
                    <w:left w:val="single" w:sz="4" w:space="0" w:color="000000"/>
                    <w:bottom w:val="single" w:sz="4" w:space="0" w:color="000000"/>
                    <w:right w:val="single" w:sz="4" w:space="0" w:color="000000"/>
                  </w:tcBorders>
                </w:tcPr>
                <w:p w14:paraId="151333A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CO</w:t>
                  </w:r>
                </w:p>
              </w:tc>
            </w:tr>
            <w:tr w:rsidR="00236AB5" w:rsidRPr="008819AF" w14:paraId="151333A7" w14:textId="77777777">
              <w:trPr>
                <w:trHeight w:val="199"/>
              </w:trPr>
              <w:tc>
                <w:tcPr>
                  <w:tcW w:w="3327" w:type="dxa"/>
                  <w:tcBorders>
                    <w:top w:val="single" w:sz="4" w:space="0" w:color="000000"/>
                    <w:left w:val="single" w:sz="4" w:space="0" w:color="000000"/>
                    <w:bottom w:val="single" w:sz="4" w:space="0" w:color="000000"/>
                    <w:right w:val="single" w:sz="4" w:space="0" w:color="000000"/>
                  </w:tcBorders>
                </w:tcPr>
                <w:p w14:paraId="151333A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Spaľovacie zariadenia spaľujúce zemný plyn s výnimkou plynových turbín a plynových motorov</w:t>
                  </w:r>
                </w:p>
              </w:tc>
              <w:tc>
                <w:tcPr>
                  <w:tcW w:w="993" w:type="dxa"/>
                  <w:tcBorders>
                    <w:top w:val="single" w:sz="4" w:space="0" w:color="000000"/>
                    <w:left w:val="single" w:sz="4" w:space="0" w:color="000000"/>
                    <w:bottom w:val="single" w:sz="4" w:space="0" w:color="000000"/>
                    <w:right w:val="single" w:sz="4" w:space="0" w:color="000000"/>
                  </w:tcBorders>
                </w:tcPr>
                <w:p w14:paraId="151333A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tc>
              <w:tc>
                <w:tcPr>
                  <w:tcW w:w="783" w:type="dxa"/>
                  <w:tcBorders>
                    <w:top w:val="single" w:sz="4" w:space="0" w:color="000000"/>
                    <w:left w:val="single" w:sz="4" w:space="0" w:color="000000"/>
                    <w:bottom w:val="single" w:sz="4" w:space="0" w:color="000000"/>
                    <w:right w:val="single" w:sz="4" w:space="0" w:color="000000"/>
                  </w:tcBorders>
                </w:tcPr>
                <w:p w14:paraId="151333A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tc>
            </w:tr>
            <w:tr w:rsidR="00236AB5" w:rsidRPr="008819AF" w14:paraId="151333AB" w14:textId="77777777">
              <w:trPr>
                <w:trHeight w:val="294"/>
              </w:trPr>
              <w:tc>
                <w:tcPr>
                  <w:tcW w:w="3327" w:type="dxa"/>
                  <w:tcBorders>
                    <w:top w:val="single" w:sz="4" w:space="0" w:color="000000"/>
                    <w:left w:val="single" w:sz="4" w:space="0" w:color="000000"/>
                    <w:bottom w:val="single" w:sz="4" w:space="0" w:color="000000"/>
                    <w:right w:val="single" w:sz="4" w:space="0" w:color="000000"/>
                  </w:tcBorders>
                </w:tcPr>
                <w:p w14:paraId="151333A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Spaľovacie zariadenia spaľujúce plyny z vysokých pecí, plyn koksárenských pecí alebo nízkovýhrevné plyny zo splyňovania rafinérskych zvyškov s výnimkou plynových turbín a plynových motorov</w:t>
                  </w:r>
                </w:p>
              </w:tc>
              <w:tc>
                <w:tcPr>
                  <w:tcW w:w="993" w:type="dxa"/>
                  <w:tcBorders>
                    <w:top w:val="single" w:sz="4" w:space="0" w:color="000000"/>
                    <w:left w:val="single" w:sz="4" w:space="0" w:color="000000"/>
                    <w:bottom w:val="single" w:sz="4" w:space="0" w:color="000000"/>
                    <w:right w:val="single" w:sz="4" w:space="0" w:color="000000"/>
                  </w:tcBorders>
                </w:tcPr>
                <w:p w14:paraId="151333A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 (4)</w:t>
                  </w:r>
                </w:p>
              </w:tc>
              <w:tc>
                <w:tcPr>
                  <w:tcW w:w="783" w:type="dxa"/>
                  <w:tcBorders>
                    <w:top w:val="single" w:sz="4" w:space="0" w:color="000000"/>
                    <w:left w:val="single" w:sz="4" w:space="0" w:color="000000"/>
                    <w:bottom w:val="single" w:sz="4" w:space="0" w:color="000000"/>
                    <w:right w:val="single" w:sz="4" w:space="0" w:color="000000"/>
                  </w:tcBorders>
                </w:tcPr>
                <w:p w14:paraId="151333A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r>
            <w:tr w:rsidR="00236AB5" w:rsidRPr="008819AF" w14:paraId="151333AF" w14:textId="77777777">
              <w:trPr>
                <w:trHeight w:val="199"/>
              </w:trPr>
              <w:tc>
                <w:tcPr>
                  <w:tcW w:w="3327" w:type="dxa"/>
                  <w:tcBorders>
                    <w:top w:val="single" w:sz="4" w:space="0" w:color="000000"/>
                    <w:left w:val="single" w:sz="4" w:space="0" w:color="000000"/>
                    <w:bottom w:val="single" w:sz="4" w:space="0" w:color="000000"/>
                    <w:right w:val="single" w:sz="4" w:space="0" w:color="000000"/>
                  </w:tcBorders>
                </w:tcPr>
                <w:p w14:paraId="151333A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Spaľovacie zariadenia spaľujúce iné plyny s výnimkou plynových turbín a plynových motorov</w:t>
                  </w:r>
                </w:p>
              </w:tc>
              <w:tc>
                <w:tcPr>
                  <w:tcW w:w="993" w:type="dxa"/>
                  <w:tcBorders>
                    <w:top w:val="single" w:sz="4" w:space="0" w:color="000000"/>
                    <w:left w:val="single" w:sz="4" w:space="0" w:color="000000"/>
                    <w:bottom w:val="single" w:sz="4" w:space="0" w:color="000000"/>
                    <w:right w:val="single" w:sz="4" w:space="0" w:color="000000"/>
                  </w:tcBorders>
                </w:tcPr>
                <w:p w14:paraId="151333A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 (4)</w:t>
                  </w:r>
                </w:p>
              </w:tc>
              <w:tc>
                <w:tcPr>
                  <w:tcW w:w="783" w:type="dxa"/>
                  <w:tcBorders>
                    <w:top w:val="single" w:sz="4" w:space="0" w:color="000000"/>
                    <w:left w:val="single" w:sz="4" w:space="0" w:color="000000"/>
                    <w:bottom w:val="single" w:sz="4" w:space="0" w:color="000000"/>
                    <w:right w:val="single" w:sz="4" w:space="0" w:color="000000"/>
                  </w:tcBorders>
                </w:tcPr>
                <w:p w14:paraId="151333A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r>
            <w:tr w:rsidR="00236AB5" w:rsidRPr="008819AF" w14:paraId="151333B3" w14:textId="77777777">
              <w:trPr>
                <w:trHeight w:val="199"/>
              </w:trPr>
              <w:tc>
                <w:tcPr>
                  <w:tcW w:w="3327" w:type="dxa"/>
                  <w:tcBorders>
                    <w:top w:val="single" w:sz="4" w:space="0" w:color="000000"/>
                    <w:left w:val="single" w:sz="4" w:space="0" w:color="000000"/>
                    <w:bottom w:val="single" w:sz="4" w:space="0" w:color="000000"/>
                    <w:right w:val="single" w:sz="4" w:space="0" w:color="000000"/>
                  </w:tcBorders>
                </w:tcPr>
                <w:p w14:paraId="151333B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Plynové turbíny (vrátane CCGT), ktoré ako palivo používajú zemný plyn (1)</w:t>
                  </w:r>
                </w:p>
              </w:tc>
              <w:tc>
                <w:tcPr>
                  <w:tcW w:w="993" w:type="dxa"/>
                  <w:tcBorders>
                    <w:top w:val="single" w:sz="4" w:space="0" w:color="000000"/>
                    <w:left w:val="single" w:sz="4" w:space="0" w:color="000000"/>
                    <w:bottom w:val="single" w:sz="4" w:space="0" w:color="000000"/>
                    <w:right w:val="single" w:sz="4" w:space="0" w:color="000000"/>
                  </w:tcBorders>
                </w:tcPr>
                <w:p w14:paraId="151333B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(2) (3)</w:t>
                  </w:r>
                </w:p>
              </w:tc>
              <w:tc>
                <w:tcPr>
                  <w:tcW w:w="783" w:type="dxa"/>
                  <w:tcBorders>
                    <w:top w:val="single" w:sz="4" w:space="0" w:color="000000"/>
                    <w:left w:val="single" w:sz="4" w:space="0" w:color="000000"/>
                    <w:bottom w:val="single" w:sz="4" w:space="0" w:color="000000"/>
                    <w:right w:val="single" w:sz="4" w:space="0" w:color="000000"/>
                  </w:tcBorders>
                </w:tcPr>
                <w:p w14:paraId="151333B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tc>
            </w:tr>
            <w:tr w:rsidR="00236AB5" w:rsidRPr="008819AF" w14:paraId="151333B7" w14:textId="77777777">
              <w:trPr>
                <w:trHeight w:val="103"/>
              </w:trPr>
              <w:tc>
                <w:tcPr>
                  <w:tcW w:w="3327" w:type="dxa"/>
                  <w:tcBorders>
                    <w:top w:val="single" w:sz="4" w:space="0" w:color="000000"/>
                    <w:left w:val="single" w:sz="4" w:space="0" w:color="000000"/>
                    <w:bottom w:val="single" w:sz="4" w:space="0" w:color="000000"/>
                    <w:right w:val="single" w:sz="4" w:space="0" w:color="000000"/>
                  </w:tcBorders>
                </w:tcPr>
                <w:p w14:paraId="151333B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Plynové turbíny (vrátane CCGT), ktoré ako palivo používajú iné plyny</w:t>
                  </w:r>
                </w:p>
              </w:tc>
              <w:tc>
                <w:tcPr>
                  <w:tcW w:w="993" w:type="dxa"/>
                  <w:tcBorders>
                    <w:top w:val="single" w:sz="4" w:space="0" w:color="000000"/>
                    <w:left w:val="single" w:sz="4" w:space="0" w:color="000000"/>
                    <w:bottom w:val="single" w:sz="4" w:space="0" w:color="000000"/>
                    <w:right w:val="single" w:sz="4" w:space="0" w:color="000000"/>
                  </w:tcBorders>
                </w:tcPr>
                <w:p w14:paraId="151333B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120</w:t>
                  </w:r>
                </w:p>
              </w:tc>
              <w:tc>
                <w:tcPr>
                  <w:tcW w:w="783" w:type="dxa"/>
                  <w:tcBorders>
                    <w:top w:val="single" w:sz="4" w:space="0" w:color="000000"/>
                    <w:left w:val="single" w:sz="4" w:space="0" w:color="000000"/>
                    <w:bottom w:val="single" w:sz="4" w:space="0" w:color="000000"/>
                    <w:right w:val="single" w:sz="4" w:space="0" w:color="000000"/>
                  </w:tcBorders>
                </w:tcPr>
                <w:p w14:paraId="151333B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r>
            <w:tr w:rsidR="00236AB5" w:rsidRPr="008819AF" w14:paraId="151333BB" w14:textId="77777777">
              <w:trPr>
                <w:trHeight w:val="103"/>
              </w:trPr>
              <w:tc>
                <w:tcPr>
                  <w:tcW w:w="3327" w:type="dxa"/>
                  <w:tcBorders>
                    <w:top w:val="single" w:sz="4" w:space="0" w:color="000000"/>
                    <w:left w:val="single" w:sz="4" w:space="0" w:color="000000"/>
                    <w:bottom w:val="single" w:sz="4" w:space="0" w:color="000000"/>
                    <w:right w:val="single" w:sz="4" w:space="0" w:color="000000"/>
                  </w:tcBorders>
                </w:tcPr>
                <w:p w14:paraId="151333B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Plynové motory</w:t>
                  </w:r>
                </w:p>
              </w:tc>
              <w:tc>
                <w:tcPr>
                  <w:tcW w:w="993" w:type="dxa"/>
                  <w:tcBorders>
                    <w:top w:val="single" w:sz="4" w:space="0" w:color="000000"/>
                    <w:left w:val="single" w:sz="4" w:space="0" w:color="000000"/>
                    <w:bottom w:val="single" w:sz="4" w:space="0" w:color="000000"/>
                    <w:right w:val="single" w:sz="4" w:space="0" w:color="000000"/>
                  </w:tcBorders>
                </w:tcPr>
                <w:p w14:paraId="151333B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tc>
              <w:tc>
                <w:tcPr>
                  <w:tcW w:w="783" w:type="dxa"/>
                  <w:tcBorders>
                    <w:top w:val="single" w:sz="4" w:space="0" w:color="000000"/>
                    <w:left w:val="single" w:sz="4" w:space="0" w:color="000000"/>
                    <w:bottom w:val="single" w:sz="4" w:space="0" w:color="000000"/>
                    <w:right w:val="single" w:sz="4" w:space="0" w:color="000000"/>
                  </w:tcBorders>
                </w:tcPr>
                <w:p w14:paraId="151333B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tc>
            </w:tr>
          </w:tbl>
          <w:p w14:paraId="151333BC" w14:textId="77777777" w:rsidR="00236AB5" w:rsidRPr="008819AF" w:rsidRDefault="00236AB5" w:rsidP="00236AB5">
            <w:pPr>
              <w:ind w:left="215" w:hanging="215"/>
              <w:rPr>
                <w:rFonts w:eastAsia="Arial"/>
                <w:i/>
                <w:iCs/>
                <w:lang w:bidi="cs-CZ"/>
              </w:rPr>
            </w:pPr>
            <w:r w:rsidRPr="008819AF">
              <w:rPr>
                <w:rFonts w:eastAsia="Arial"/>
                <w:i/>
                <w:iCs/>
                <w:lang w:bidi="cs-CZ"/>
              </w:rPr>
              <w:t>Poznámky:</w:t>
            </w:r>
          </w:p>
          <w:p w14:paraId="151333BD" w14:textId="77777777" w:rsidR="00236AB5" w:rsidRPr="008819AF" w:rsidRDefault="00236AB5" w:rsidP="00236AB5">
            <w:pPr>
              <w:pStyle w:val="Default"/>
              <w:ind w:left="214" w:hanging="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Zemný plyn je prirodzene sa vyskytujúci metán, ktorý neobsahuje viac ako 20 objemových percent vzácnych plynov a iných zložiek. (2)</w:t>
            </w:r>
          </w:p>
          <w:p w14:paraId="151333BE" w14:textId="77777777" w:rsidR="00236AB5" w:rsidRPr="008819AF" w:rsidRDefault="00236AB5" w:rsidP="00236AB5">
            <w:pPr>
              <w:pStyle w:val="Default"/>
              <w:ind w:left="214" w:hanging="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(2) 75 mg/Nm3 v týchto prípadoch, keď je účinnosť plynových turbín </w:t>
            </w:r>
            <w:r w:rsidRPr="008819AF">
              <w:rPr>
                <w:rFonts w:ascii="Times New Roman" w:eastAsia="Arial" w:hAnsi="Times New Roman" w:cs="Times New Roman"/>
                <w:color w:val="auto"/>
                <w:sz w:val="20"/>
                <w:szCs w:val="20"/>
              </w:rPr>
              <w:lastRenderedPageBreak/>
              <w:t>určená podmienkami základného zaťaženia podľa ISO:</w:t>
            </w:r>
          </w:p>
          <w:p w14:paraId="151333BF" w14:textId="77777777" w:rsidR="00236AB5" w:rsidRPr="008819AF" w:rsidRDefault="00236AB5" w:rsidP="00236AB5">
            <w:pPr>
              <w:pStyle w:val="Default"/>
              <w:ind w:left="356" w:hanging="142"/>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i) plynové turbíny používané v kombinovaných systémoch výroby tepla a elektrickej energie, ktoré majú celkovú účinnosť vyššiu ako 75 %;</w:t>
            </w:r>
          </w:p>
          <w:p w14:paraId="151333C0" w14:textId="77777777" w:rsidR="00236AB5" w:rsidRPr="008819AF" w:rsidRDefault="00236AB5" w:rsidP="00236AB5">
            <w:pPr>
              <w:pStyle w:val="Default"/>
              <w:ind w:left="356" w:hanging="142"/>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ii) plynové turbíny používané v zariadeniach s kombinovanými cyklami, ktoré majú ročný priemer celkovej elektrickej účinnosti vyšší ako 55 %;</w:t>
            </w:r>
          </w:p>
          <w:p w14:paraId="151333C1" w14:textId="77777777" w:rsidR="00236AB5" w:rsidRPr="008819AF" w:rsidRDefault="00236AB5" w:rsidP="00236AB5">
            <w:pPr>
              <w:pStyle w:val="Default"/>
              <w:ind w:left="356" w:hanging="142"/>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iii) plynové turbíny na účel mechanického pohonu.</w:t>
            </w:r>
          </w:p>
          <w:p w14:paraId="151333C2" w14:textId="77777777" w:rsidR="00236AB5" w:rsidRPr="008819AF" w:rsidRDefault="00236AB5" w:rsidP="00236AB5">
            <w:pPr>
              <w:pStyle w:val="Default"/>
              <w:ind w:left="142" w:hanging="142"/>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 Pre jednocyklové plynové turbíny, ktoré nepatria do žiadnej z kategórií uvedených v poznámke (2), ale majú účinnosť vyššiu ako 35 % – určenú za podmienok základného zaťaženia podľa ISO – je emisný limit pre NOx za podmienok základného zaťaženia podľa ISO 50x</w:t>
            </w:r>
            <w:r w:rsidRPr="008819AF">
              <w:rPr>
                <w:rFonts w:ascii="Times New Roman" w:eastAsia="Arial Greek" w:hAnsi="Times New Roman" w:cs="Times New Roman"/>
                <w:color w:val="auto"/>
                <w:sz w:val="20"/>
                <w:szCs w:val="20"/>
              </w:rPr>
              <w:t xml:space="preserve">η/35, kde η je </w:t>
            </w:r>
            <w:r w:rsidRPr="008819AF">
              <w:rPr>
                <w:rFonts w:ascii="Times New Roman" w:eastAsia="Arial" w:hAnsi="Times New Roman" w:cs="Times New Roman"/>
                <w:color w:val="auto"/>
                <w:sz w:val="20"/>
                <w:szCs w:val="20"/>
              </w:rPr>
              <w:t>účinnosť plynovej turbíny vyjadrená v percentách.</w:t>
            </w:r>
          </w:p>
          <w:p w14:paraId="151333C3" w14:textId="77777777" w:rsidR="00236AB5" w:rsidRPr="008819AF" w:rsidRDefault="00236AB5" w:rsidP="00236AB5">
            <w:pPr>
              <w:pStyle w:val="Default"/>
              <w:ind w:left="142" w:hanging="142"/>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 300 mg/Nm3 v prípade spaľovacích zaiadení s celkovým menovitým tepelným príkonom neprekračujúcim 500 MW, ktorým bolo vydané povolenie pred 27. novembrom 2002, alebo ktorých prevádzkovatelia predložili úplnú žiadosť o povolenie pred týmto dátumom, za predpokladu, že zariadenie sa uviedlo do prevádzkovaní najneskôr 27.</w:t>
            </w:r>
          </w:p>
          <w:p w14:paraId="151333C4" w14:textId="77777777" w:rsidR="00236AB5" w:rsidRPr="008819AF" w:rsidRDefault="00236AB5" w:rsidP="00236AB5">
            <w:pPr>
              <w:ind w:left="215" w:hanging="215"/>
              <w:rPr>
                <w:rFonts w:eastAsia="Arial"/>
              </w:rPr>
            </w:pPr>
            <w:r w:rsidRPr="008819AF">
              <w:rPr>
                <w:rFonts w:eastAsia="Arial"/>
              </w:rPr>
              <w:t>-------------------------------------------------------------------------</w:t>
            </w:r>
          </w:p>
          <w:p w14:paraId="151333C5" w14:textId="77777777" w:rsidR="00236AB5" w:rsidRPr="008819AF" w:rsidRDefault="00236AB5" w:rsidP="00236AB5">
            <w:pPr>
              <w:ind w:left="214"/>
              <w:rPr>
                <w:rFonts w:eastAsia="Arial"/>
                <w:lang w:bidi="cs-CZ"/>
              </w:rPr>
            </w:pPr>
            <w:r w:rsidRPr="008819AF">
              <w:rPr>
                <w:rFonts w:eastAsia="Arial"/>
                <w:lang w:bidi="cs-CZ"/>
              </w:rPr>
              <w:t>Pre plynové turbíny (vrátane CCGT) sa emisné limity NOx a CO stanovené v tabuľke uvedenej v tomto bode uplatňujú len pri záťaži nad 70 %.</w:t>
            </w:r>
          </w:p>
          <w:p w14:paraId="151333C6" w14:textId="77777777" w:rsidR="00236AB5" w:rsidRPr="008819AF" w:rsidRDefault="00236AB5" w:rsidP="00236AB5">
            <w:pPr>
              <w:ind w:left="214" w:hanging="214"/>
              <w:rPr>
                <w:rFonts w:eastAsia="Arial"/>
                <w:lang w:bidi="cs-CZ"/>
              </w:rPr>
            </w:pPr>
            <w:r w:rsidRPr="008819AF">
              <w:rPr>
                <w:rFonts w:eastAsia="Arial"/>
                <w:lang w:bidi="cs-CZ"/>
              </w:rPr>
              <w:t>Emisný limit pre plynové turbíny (vrátane CCGT), ktorým bolo vydané povolenie pred 27. novembrom 2002 alebo ktorých prevádzkovatelia predložili úplnú žiadosť o povolenie pred týmto dátumom, za predpokladu, že zariadenie sa uviedlo do prevádzkovaní najneskôr 27. novembra 2003, a ktoré nie sú v prevádzke viac ako 1 500 prevádzkových hodín ročne ako plávajúci priemer za päť rokov, je pre NOx stanovená na 150 mg/Nm3v prípade spaľovania zemného plynu a 200 mg/Nm3 v prípade spaľovania iných plynov alebo kvapalných palív.</w:t>
            </w:r>
          </w:p>
          <w:p w14:paraId="151333C7" w14:textId="77777777" w:rsidR="00236AB5" w:rsidRPr="008819AF" w:rsidRDefault="00236AB5" w:rsidP="00236AB5">
            <w:pPr>
              <w:ind w:left="214"/>
              <w:rPr>
                <w:rFonts w:eastAsia="Arial"/>
                <w:lang w:bidi="cs-CZ"/>
              </w:rPr>
            </w:pPr>
            <w:r w:rsidRPr="008819AF">
              <w:rPr>
                <w:rFonts w:eastAsia="Arial"/>
                <w:lang w:bidi="cs-CZ"/>
              </w:rPr>
              <w:t>Časť spaľovacieho zariadenia, ktorá vypúšťa odpadové plyny jednou alebo viacerými oddelenými spalinovodmi v spoločnom komíne a ktorá nie je v prevádzke viac ako 1 500 prevádzkových hodín ročne ako plávajúci priemer za päť rokov, môže podliehať emisným limitám stanoveným v predchádzajúcom odseku vo vzťahu k celkovému menovitému tepelnému príkonu celého spaľovacieho zariadenia. V takýchto prípadoch sa emisie z každej z týchto spalinovodov monitorujú oddelene.</w:t>
            </w:r>
          </w:p>
          <w:p w14:paraId="151333C8" w14:textId="77777777" w:rsidR="00236AB5" w:rsidRPr="008819AF" w:rsidRDefault="00236AB5" w:rsidP="00236AB5">
            <w:pPr>
              <w:pStyle w:val="Default"/>
              <w:ind w:left="142" w:hanging="142"/>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Na plynové turbíny a plynové motory používané na núdzovú prevádzku, ktoré sú v prevádzke menej ako 500 prevádzkových hodín ročne, sa nevzťahujú emisné limity stanovené v tomto bode. Prevádzkovateľ takéhoto zariadenia zaznamenáva využité prevádzkové hodiny.</w:t>
            </w:r>
          </w:p>
          <w:p w14:paraId="151333C9" w14:textId="77777777" w:rsidR="00236AB5" w:rsidRPr="008819AF" w:rsidRDefault="00236AB5" w:rsidP="00236AB5">
            <w:pPr>
              <w:ind w:left="215" w:hanging="215"/>
              <w:rPr>
                <w:rFonts w:eastAsia="Arial"/>
                <w:lang w:bidi="cs-CZ"/>
              </w:rPr>
            </w:pPr>
            <w:r w:rsidRPr="008819AF">
              <w:rPr>
                <w:rFonts w:eastAsia="Arial"/>
                <w:lang w:bidi="cs-CZ"/>
              </w:rPr>
              <w:lastRenderedPageBreak/>
              <w:t>7. Emisné limity (mg/Nm3) pre prach pre spaľovacie zariadenia používajúce tuhé alebo kvapalné palivá s výnimkou plynových turbín a plynových motorov</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1276"/>
              <w:gridCol w:w="1134"/>
              <w:gridCol w:w="1350"/>
            </w:tblGrid>
            <w:tr w:rsidR="00236AB5" w:rsidRPr="008819AF" w14:paraId="151333CE" w14:textId="77777777">
              <w:trPr>
                <w:trHeight w:val="175"/>
              </w:trPr>
              <w:tc>
                <w:tcPr>
                  <w:tcW w:w="1343" w:type="dxa"/>
                  <w:tcBorders>
                    <w:top w:val="single" w:sz="4" w:space="0" w:color="000000"/>
                    <w:left w:val="single" w:sz="4" w:space="0" w:color="000000"/>
                    <w:bottom w:val="single" w:sz="4" w:space="0" w:color="000000"/>
                    <w:right w:val="single" w:sz="4" w:space="0" w:color="000000"/>
                  </w:tcBorders>
                </w:tcPr>
                <w:p w14:paraId="151333C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Celkový menovitý tepelný príkon (MW)</w:t>
                  </w:r>
                </w:p>
              </w:tc>
              <w:tc>
                <w:tcPr>
                  <w:tcW w:w="1276" w:type="dxa"/>
                  <w:tcBorders>
                    <w:top w:val="single" w:sz="4" w:space="0" w:color="000000"/>
                    <w:left w:val="single" w:sz="4" w:space="0" w:color="000000"/>
                    <w:bottom w:val="single" w:sz="4" w:space="0" w:color="000000"/>
                    <w:right w:val="single" w:sz="4" w:space="0" w:color="000000"/>
                  </w:tcBorders>
                </w:tcPr>
                <w:p w14:paraId="151333C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Čierne a hnedé uhlie a iné tuhé palivá</w:t>
                  </w:r>
                </w:p>
              </w:tc>
              <w:tc>
                <w:tcPr>
                  <w:tcW w:w="1134" w:type="dxa"/>
                  <w:tcBorders>
                    <w:top w:val="single" w:sz="4" w:space="0" w:color="000000"/>
                    <w:left w:val="single" w:sz="4" w:space="0" w:color="000000"/>
                    <w:bottom w:val="single" w:sz="4" w:space="0" w:color="000000"/>
                    <w:right w:val="single" w:sz="4" w:space="0" w:color="000000"/>
                  </w:tcBorders>
                </w:tcPr>
                <w:p w14:paraId="151333C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Biomasa a rašelina</w:t>
                  </w:r>
                </w:p>
              </w:tc>
              <w:tc>
                <w:tcPr>
                  <w:tcW w:w="1350" w:type="dxa"/>
                  <w:tcBorders>
                    <w:top w:val="single" w:sz="4" w:space="0" w:color="000000"/>
                    <w:left w:val="single" w:sz="4" w:space="0" w:color="000000"/>
                    <w:bottom w:val="single" w:sz="4" w:space="0" w:color="000000"/>
                    <w:right w:val="single" w:sz="4" w:space="0" w:color="000000"/>
                  </w:tcBorders>
                </w:tcPr>
                <w:p w14:paraId="151333C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Kvapalné palivá (1)</w:t>
                  </w:r>
                </w:p>
              </w:tc>
            </w:tr>
            <w:tr w:rsidR="00236AB5" w:rsidRPr="008819AF" w14:paraId="151333D3" w14:textId="77777777">
              <w:trPr>
                <w:trHeight w:val="103"/>
              </w:trPr>
              <w:tc>
                <w:tcPr>
                  <w:tcW w:w="1343" w:type="dxa"/>
                  <w:tcBorders>
                    <w:top w:val="single" w:sz="4" w:space="0" w:color="000000"/>
                    <w:left w:val="single" w:sz="4" w:space="0" w:color="000000"/>
                    <w:bottom w:val="single" w:sz="4" w:space="0" w:color="000000"/>
                    <w:right w:val="single" w:sz="4" w:space="0" w:color="000000"/>
                  </w:tcBorders>
                </w:tcPr>
                <w:p w14:paraId="151333C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50-100</w:t>
                  </w:r>
                </w:p>
              </w:tc>
              <w:tc>
                <w:tcPr>
                  <w:tcW w:w="1276" w:type="dxa"/>
                  <w:tcBorders>
                    <w:top w:val="single" w:sz="4" w:space="0" w:color="000000"/>
                    <w:left w:val="single" w:sz="4" w:space="0" w:color="000000"/>
                    <w:bottom w:val="single" w:sz="4" w:space="0" w:color="000000"/>
                    <w:right w:val="single" w:sz="4" w:space="0" w:color="000000"/>
                  </w:tcBorders>
                </w:tcPr>
                <w:p w14:paraId="151333D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14:paraId="151333D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c>
                <w:tcPr>
                  <w:tcW w:w="1350" w:type="dxa"/>
                  <w:tcBorders>
                    <w:top w:val="single" w:sz="4" w:space="0" w:color="000000"/>
                    <w:left w:val="single" w:sz="4" w:space="0" w:color="000000"/>
                    <w:bottom w:val="single" w:sz="4" w:space="0" w:color="000000"/>
                    <w:right w:val="single" w:sz="4" w:space="0" w:color="000000"/>
                  </w:tcBorders>
                </w:tcPr>
                <w:p w14:paraId="151333D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r>
            <w:tr w:rsidR="00236AB5" w:rsidRPr="008819AF" w14:paraId="151333D8" w14:textId="77777777">
              <w:trPr>
                <w:trHeight w:val="103"/>
              </w:trPr>
              <w:tc>
                <w:tcPr>
                  <w:tcW w:w="1343" w:type="dxa"/>
                  <w:tcBorders>
                    <w:top w:val="single" w:sz="4" w:space="0" w:color="000000"/>
                    <w:left w:val="single" w:sz="4" w:space="0" w:color="000000"/>
                    <w:bottom w:val="single" w:sz="4" w:space="0" w:color="000000"/>
                    <w:right w:val="single" w:sz="4" w:space="0" w:color="000000"/>
                  </w:tcBorders>
                </w:tcPr>
                <w:p w14:paraId="151333D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100-300</w:t>
                  </w:r>
                </w:p>
              </w:tc>
              <w:tc>
                <w:tcPr>
                  <w:tcW w:w="1276" w:type="dxa"/>
                  <w:tcBorders>
                    <w:top w:val="single" w:sz="4" w:space="0" w:color="000000"/>
                    <w:left w:val="single" w:sz="4" w:space="0" w:color="000000"/>
                    <w:bottom w:val="single" w:sz="4" w:space="0" w:color="000000"/>
                    <w:right w:val="single" w:sz="4" w:space="0" w:color="000000"/>
                  </w:tcBorders>
                </w:tcPr>
                <w:p w14:paraId="151333D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w:t>
                  </w:r>
                </w:p>
              </w:tc>
              <w:tc>
                <w:tcPr>
                  <w:tcW w:w="1134" w:type="dxa"/>
                  <w:tcBorders>
                    <w:top w:val="single" w:sz="4" w:space="0" w:color="000000"/>
                    <w:left w:val="single" w:sz="4" w:space="0" w:color="000000"/>
                    <w:bottom w:val="single" w:sz="4" w:space="0" w:color="000000"/>
                    <w:right w:val="single" w:sz="4" w:space="0" w:color="000000"/>
                  </w:tcBorders>
                </w:tcPr>
                <w:p w14:paraId="151333D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350" w:type="dxa"/>
                  <w:tcBorders>
                    <w:top w:val="single" w:sz="4" w:space="0" w:color="000000"/>
                    <w:left w:val="single" w:sz="4" w:space="0" w:color="000000"/>
                    <w:bottom w:val="single" w:sz="4" w:space="0" w:color="000000"/>
                    <w:right w:val="single" w:sz="4" w:space="0" w:color="000000"/>
                  </w:tcBorders>
                </w:tcPr>
                <w:p w14:paraId="151333D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w:t>
                  </w:r>
                </w:p>
              </w:tc>
            </w:tr>
            <w:tr w:rsidR="00236AB5" w:rsidRPr="008819AF" w14:paraId="151333DD" w14:textId="77777777">
              <w:trPr>
                <w:trHeight w:val="103"/>
              </w:trPr>
              <w:tc>
                <w:tcPr>
                  <w:tcW w:w="1343" w:type="dxa"/>
                  <w:tcBorders>
                    <w:top w:val="single" w:sz="4" w:space="0" w:color="000000"/>
                    <w:left w:val="single" w:sz="4" w:space="0" w:color="000000"/>
                    <w:bottom w:val="single" w:sz="4" w:space="0" w:color="000000"/>
                    <w:right w:val="single" w:sz="4" w:space="0" w:color="000000"/>
                  </w:tcBorders>
                </w:tcPr>
                <w:p w14:paraId="151333D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w:t>
                  </w:r>
                </w:p>
              </w:tc>
              <w:tc>
                <w:tcPr>
                  <w:tcW w:w="1276" w:type="dxa"/>
                  <w:tcBorders>
                    <w:top w:val="single" w:sz="4" w:space="0" w:color="000000"/>
                    <w:left w:val="single" w:sz="4" w:space="0" w:color="000000"/>
                    <w:bottom w:val="single" w:sz="4" w:space="0" w:color="000000"/>
                    <w:right w:val="single" w:sz="4" w:space="0" w:color="000000"/>
                  </w:tcBorders>
                </w:tcPr>
                <w:p w14:paraId="151333D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14:paraId="151333D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350" w:type="dxa"/>
                  <w:tcBorders>
                    <w:top w:val="single" w:sz="4" w:space="0" w:color="000000"/>
                    <w:left w:val="single" w:sz="4" w:space="0" w:color="000000"/>
                    <w:bottom w:val="single" w:sz="4" w:space="0" w:color="000000"/>
                    <w:right w:val="single" w:sz="4" w:space="0" w:color="000000"/>
                  </w:tcBorders>
                </w:tcPr>
                <w:p w14:paraId="151333D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r>
          </w:tbl>
          <w:p w14:paraId="151333DE" w14:textId="77777777" w:rsidR="00236AB5" w:rsidRPr="008819AF" w:rsidRDefault="00236AB5" w:rsidP="00236AB5">
            <w:pPr>
              <w:ind w:left="215" w:hanging="215"/>
              <w:rPr>
                <w:rFonts w:eastAsia="Arial"/>
                <w:lang w:bidi="cs-CZ"/>
              </w:rPr>
            </w:pPr>
            <w:r w:rsidRPr="008819AF">
              <w:rPr>
                <w:rFonts w:eastAsia="Arial"/>
                <w:lang w:bidi="cs-CZ"/>
              </w:rPr>
              <w:t>Poznámka</w:t>
            </w:r>
          </w:p>
          <w:p w14:paraId="151333DF" w14:textId="77777777" w:rsidR="00236AB5" w:rsidRPr="008819AF" w:rsidRDefault="00236AB5" w:rsidP="00236AB5">
            <w:pPr>
              <w:numPr>
                <w:ilvl w:val="0"/>
                <w:numId w:val="62"/>
              </w:numPr>
              <w:tabs>
                <w:tab w:val="left" w:pos="312"/>
              </w:tabs>
              <w:ind w:left="215" w:hanging="215"/>
              <w:rPr>
                <w:rFonts w:eastAsia="Arial"/>
                <w:lang w:bidi="cs-CZ"/>
              </w:rPr>
            </w:pPr>
            <w:r w:rsidRPr="008819AF">
              <w:rPr>
                <w:rFonts w:eastAsia="Arial"/>
                <w:lang w:bidi="cs-CZ"/>
              </w:rPr>
              <w:t>Emisný limit pre spaľovanie zvyškov z destilácie a konverzie z rafinácie ropy pre vlastnú spotrebu v spaľovacích zariadeniach, ktorým bolo vydané povolenie pred 27. novembrom 2002 alebo prevádzkovatelia ktorých predložili úplnú žiadosť o povolenie pred týmto dátumom, za predpokladu, že zariadenie sa uviedlo do prevádzkovaní najneskôr 27. novembra 2003, je 50 mg/Nm</w:t>
            </w:r>
            <w:r w:rsidRPr="008819AF">
              <w:rPr>
                <w:rFonts w:eastAsia="Arial"/>
                <w:vertAlign w:val="superscript"/>
                <w:lang w:bidi="cs-CZ"/>
              </w:rPr>
              <w:t>3</w:t>
            </w:r>
            <w:r w:rsidRPr="008819AF">
              <w:rPr>
                <w:rFonts w:eastAsia="Arial"/>
                <w:lang w:bidi="cs-CZ"/>
              </w:rPr>
              <w:t>.</w:t>
            </w:r>
          </w:p>
          <w:p w14:paraId="151333E0" w14:textId="77777777" w:rsidR="00236AB5" w:rsidRPr="008819AF" w:rsidRDefault="00236AB5" w:rsidP="00236AB5">
            <w:pPr>
              <w:ind w:left="215" w:hanging="215"/>
              <w:rPr>
                <w:rFonts w:eastAsia="Arial"/>
                <w:lang w:bidi="cs-CZ"/>
              </w:rPr>
            </w:pPr>
            <w:r w:rsidRPr="008819AF">
              <w:rPr>
                <w:rFonts w:eastAsia="Arial"/>
                <w:lang w:bidi="cs-CZ"/>
              </w:rPr>
              <w:t>8. Emisné limity (mg/Nm3) pre prach pre spaľovacie zariadenia používajúce plynné palivá s výnimkou plynových turbín a plynových motorov</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067"/>
            </w:tblGrid>
            <w:tr w:rsidR="00236AB5" w:rsidRPr="008819AF" w14:paraId="151333E3" w14:textId="77777777">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3E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Všeobecne</w:t>
                  </w:r>
                </w:p>
              </w:tc>
              <w:tc>
                <w:tcPr>
                  <w:tcW w:w="1067" w:type="dxa"/>
                  <w:tcBorders>
                    <w:top w:val="single" w:sz="4" w:space="0" w:color="000000"/>
                    <w:left w:val="single" w:sz="4" w:space="0" w:color="000000"/>
                    <w:bottom w:val="single" w:sz="4" w:space="0" w:color="000000"/>
                    <w:right w:val="single" w:sz="4" w:space="0" w:color="000000"/>
                  </w:tcBorders>
                </w:tcPr>
                <w:p w14:paraId="151333E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w:t>
                  </w:r>
                </w:p>
              </w:tc>
            </w:tr>
            <w:tr w:rsidR="00236AB5" w:rsidRPr="008819AF" w14:paraId="151333E6" w14:textId="77777777">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3E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Vysokopecný plyn</w:t>
                  </w:r>
                </w:p>
              </w:tc>
              <w:tc>
                <w:tcPr>
                  <w:tcW w:w="1067" w:type="dxa"/>
                  <w:tcBorders>
                    <w:top w:val="single" w:sz="4" w:space="0" w:color="000000"/>
                    <w:left w:val="single" w:sz="4" w:space="0" w:color="000000"/>
                    <w:bottom w:val="single" w:sz="4" w:space="0" w:color="000000"/>
                    <w:right w:val="single" w:sz="4" w:space="0" w:color="000000"/>
                  </w:tcBorders>
                </w:tcPr>
                <w:p w14:paraId="151333E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r>
            <w:tr w:rsidR="00236AB5" w:rsidRPr="008819AF" w14:paraId="151333E9" w14:textId="77777777">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3E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Plyny vznikajúce v oceliarskom priemysle, ktoré sa môžu použiť inde</w:t>
                  </w:r>
                </w:p>
              </w:tc>
              <w:tc>
                <w:tcPr>
                  <w:tcW w:w="1067" w:type="dxa"/>
                  <w:tcBorders>
                    <w:top w:val="single" w:sz="4" w:space="0" w:color="000000"/>
                    <w:left w:val="single" w:sz="4" w:space="0" w:color="000000"/>
                    <w:bottom w:val="single" w:sz="4" w:space="0" w:color="000000"/>
                    <w:right w:val="single" w:sz="4" w:space="0" w:color="000000"/>
                  </w:tcBorders>
                </w:tcPr>
                <w:p w14:paraId="151333E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r>
          </w:tbl>
          <w:p w14:paraId="151333EA" w14:textId="77777777" w:rsidR="00236AB5" w:rsidRPr="008819AF" w:rsidRDefault="00236AB5" w:rsidP="00236AB5">
            <w:pPr>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3EB"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3EC"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3ED" w14:textId="77777777" w:rsidR="00236AB5" w:rsidRPr="008819AF" w:rsidRDefault="00236AB5" w:rsidP="00236AB5">
            <w:pPr>
              <w:jc w:val="center"/>
            </w:pPr>
            <w:r w:rsidRPr="008819AF">
              <w:t>Pr.4</w:t>
            </w:r>
          </w:p>
          <w:p w14:paraId="151333EE" w14:textId="77777777" w:rsidR="00236AB5" w:rsidRPr="008819AF" w:rsidRDefault="00236AB5" w:rsidP="00236AB5">
            <w:pPr>
              <w:jc w:val="center"/>
            </w:pPr>
            <w:r w:rsidRPr="008819AF">
              <w:t>Časť III.</w:t>
            </w:r>
          </w:p>
        </w:tc>
        <w:tc>
          <w:tcPr>
            <w:tcW w:w="5664" w:type="dxa"/>
            <w:gridSpan w:val="5"/>
            <w:tcBorders>
              <w:top w:val="single" w:sz="4" w:space="0" w:color="000000"/>
              <w:left w:val="single" w:sz="6" w:space="0" w:color="000000"/>
              <w:bottom w:val="single" w:sz="6" w:space="0" w:color="000000"/>
              <w:right w:val="single" w:sz="6" w:space="0" w:color="000000"/>
            </w:tcBorders>
          </w:tcPr>
          <w:p w14:paraId="151333EF" w14:textId="77777777" w:rsidR="00236AB5" w:rsidRPr="008819AF" w:rsidRDefault="00236AB5" w:rsidP="00236AB5">
            <w:pPr>
              <w:pStyle w:val="Odsekzoznamu1"/>
              <w:ind w:left="175" w:hanging="175"/>
              <w:rPr>
                <w:sz w:val="20"/>
                <w:szCs w:val="20"/>
              </w:rPr>
            </w:pPr>
            <w:r w:rsidRPr="008819AF">
              <w:rPr>
                <w:sz w:val="20"/>
                <w:szCs w:val="20"/>
                <w:lang w:bidi="cs-CZ"/>
              </w:rPr>
              <w:t xml:space="preserve">1. </w:t>
            </w:r>
            <w:r w:rsidRPr="008819AF">
              <w:rPr>
                <w:sz w:val="20"/>
                <w:szCs w:val="20"/>
              </w:rPr>
              <w:t>Členenie veľkých spaľovacích zariadení vo vzťahu k uplatňovaniu emisných limitov</w:t>
            </w:r>
          </w:p>
          <w:p w14:paraId="151333F0" w14:textId="77777777" w:rsidR="00236AB5" w:rsidRPr="008819AF" w:rsidRDefault="00236AB5" w:rsidP="00236AB5">
            <w:pPr>
              <w:ind w:left="175"/>
              <w:jc w:val="both"/>
            </w:pPr>
            <w:r w:rsidRPr="008819AF">
              <w:t>Podľa dátumu vydaného prvého stavebného povolenia sa spaľovacie zariadenie začleňuje takto:</w:t>
            </w:r>
          </w:p>
          <w:p w14:paraId="151333F1" w14:textId="77777777" w:rsidR="00236AB5" w:rsidRPr="008819AF" w:rsidRDefault="00236AB5" w:rsidP="00236AB5">
            <w:pPr>
              <w:ind w:left="34"/>
              <w:jc w:val="both"/>
            </w:pPr>
          </w:p>
          <w:tbl>
            <w:tblPr>
              <w:tblStyle w:val="Mriekatabuky"/>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19"/>
            </w:tblGrid>
            <w:tr w:rsidR="00236AB5" w:rsidRPr="008819AF" w14:paraId="151333F4" w14:textId="77777777" w:rsidTr="008D1FBC">
              <w:tc>
                <w:tcPr>
                  <w:tcW w:w="562" w:type="dxa"/>
                  <w:vAlign w:val="center"/>
                </w:tcPr>
                <w:p w14:paraId="151333F2" w14:textId="77777777" w:rsidR="00236AB5" w:rsidRPr="008819AF" w:rsidRDefault="00236AB5" w:rsidP="00236AB5">
                  <w:pPr>
                    <w:jc w:val="both"/>
                  </w:pPr>
                  <w:r w:rsidRPr="008819AF">
                    <w:rPr>
                      <w:rFonts w:cs="Times New Roman"/>
                      <w:sz w:val="20"/>
                      <w:szCs w:val="20"/>
                    </w:rPr>
                    <w:t>Z1</w:t>
                  </w:r>
                </w:p>
              </w:tc>
              <w:tc>
                <w:tcPr>
                  <w:tcW w:w="4819" w:type="dxa"/>
                </w:tcPr>
                <w:p w14:paraId="151333F3" w14:textId="77777777" w:rsidR="00236AB5" w:rsidRPr="008819AF" w:rsidRDefault="00236AB5" w:rsidP="00236AB5">
                  <w:pPr>
                    <w:jc w:val="both"/>
                  </w:pPr>
                  <w:r w:rsidRPr="008819AF">
                    <w:rPr>
                      <w:rFonts w:cs="Times New Roman"/>
                      <w:sz w:val="20"/>
                      <w:szCs w:val="20"/>
                    </w:rPr>
                    <w:t xml:space="preserve">spaľovacie zariadenie, ktoré zahŕňa spaľovacie jednotky, ktorým bolo vydané </w:t>
                  </w:r>
                  <w:r w:rsidRPr="008819AF">
                    <w:rPr>
                      <w:sz w:val="20"/>
                      <w:szCs w:val="20"/>
                    </w:rPr>
                    <w:t>prvé s</w:t>
                  </w:r>
                  <w:r w:rsidRPr="008819AF">
                    <w:rPr>
                      <w:rFonts w:cs="Times New Roman"/>
                      <w:sz w:val="20"/>
                      <w:szCs w:val="20"/>
                    </w:rPr>
                    <w:t xml:space="preserve">tavebné </w:t>
                  </w:r>
                  <w:r w:rsidRPr="008819AF">
                    <w:rPr>
                      <w:sz w:val="20"/>
                      <w:szCs w:val="20"/>
                    </w:rPr>
                    <w:t>povolenie</w:t>
                  </w:r>
                  <w:r w:rsidRPr="008819AF">
                    <w:rPr>
                      <w:rFonts w:cs="Times New Roman"/>
                      <w:sz w:val="20"/>
                      <w:szCs w:val="20"/>
                    </w:rPr>
                    <w:t>, alebo ak také nie je, povolenie na užívanie pred 1. júlom 1987</w:t>
                  </w:r>
                </w:p>
              </w:tc>
            </w:tr>
            <w:tr w:rsidR="00236AB5" w:rsidRPr="008819AF" w14:paraId="151333F7" w14:textId="77777777" w:rsidTr="008D1FBC">
              <w:tc>
                <w:tcPr>
                  <w:tcW w:w="562" w:type="dxa"/>
                  <w:vAlign w:val="center"/>
                </w:tcPr>
                <w:p w14:paraId="151333F5" w14:textId="77777777" w:rsidR="00236AB5" w:rsidRPr="008819AF" w:rsidRDefault="00236AB5" w:rsidP="00236AB5">
                  <w:pPr>
                    <w:jc w:val="both"/>
                  </w:pPr>
                  <w:r w:rsidRPr="008819AF">
                    <w:rPr>
                      <w:rFonts w:cs="Times New Roman"/>
                      <w:sz w:val="20"/>
                      <w:szCs w:val="20"/>
                    </w:rPr>
                    <w:t>Z2</w:t>
                  </w:r>
                </w:p>
              </w:tc>
              <w:tc>
                <w:tcPr>
                  <w:tcW w:w="4819" w:type="dxa"/>
                </w:tcPr>
                <w:p w14:paraId="151333F6" w14:textId="77777777" w:rsidR="00236AB5" w:rsidRPr="008819AF" w:rsidRDefault="00236AB5" w:rsidP="00236AB5">
                  <w:pPr>
                    <w:jc w:val="both"/>
                  </w:pPr>
                  <w:r w:rsidRPr="008819AF">
                    <w:rPr>
                      <w:rFonts w:cs="Times New Roman"/>
                      <w:sz w:val="20"/>
                      <w:szCs w:val="20"/>
                    </w:rPr>
                    <w:t xml:space="preserve">spaľovacie zariadenie, ktoré zahŕňa spaľovacie jednotky, ktorým bolo vydané </w:t>
                  </w:r>
                  <w:r w:rsidRPr="008819AF">
                    <w:rPr>
                      <w:sz w:val="20"/>
                      <w:szCs w:val="20"/>
                    </w:rPr>
                    <w:t xml:space="preserve">prvé </w:t>
                  </w:r>
                  <w:r w:rsidRPr="008819AF">
                    <w:rPr>
                      <w:rFonts w:cs="Times New Roman"/>
                      <w:sz w:val="20"/>
                      <w:szCs w:val="20"/>
                    </w:rPr>
                    <w:t xml:space="preserve">stavebné </w:t>
                  </w:r>
                  <w:r w:rsidRPr="008819AF">
                    <w:rPr>
                      <w:sz w:val="20"/>
                      <w:szCs w:val="20"/>
                    </w:rPr>
                    <w:t>povolenie</w:t>
                  </w:r>
                  <w:r w:rsidRPr="008819AF">
                    <w:rPr>
                      <w:rFonts w:cs="Times New Roman"/>
                      <w:sz w:val="20"/>
                      <w:szCs w:val="20"/>
                    </w:rPr>
                    <w:t xml:space="preserve"> v období od 1. júla 1987 najneskôr 26. novembra 2002, ak zariadenie bolo uvedené do prevádzky najneskôr 27. novembra 2003 </w:t>
                  </w:r>
                </w:p>
              </w:tc>
            </w:tr>
            <w:tr w:rsidR="00236AB5" w:rsidRPr="008819AF" w14:paraId="151333FA" w14:textId="77777777" w:rsidTr="008D1FBC">
              <w:tc>
                <w:tcPr>
                  <w:tcW w:w="562" w:type="dxa"/>
                  <w:vAlign w:val="center"/>
                </w:tcPr>
                <w:p w14:paraId="151333F8" w14:textId="77777777" w:rsidR="00236AB5" w:rsidRPr="008819AF" w:rsidRDefault="00236AB5" w:rsidP="00236AB5">
                  <w:pPr>
                    <w:jc w:val="both"/>
                  </w:pPr>
                  <w:r w:rsidRPr="008819AF">
                    <w:rPr>
                      <w:rFonts w:cs="Times New Roman"/>
                      <w:sz w:val="20"/>
                      <w:szCs w:val="20"/>
                    </w:rPr>
                    <w:t>Z3</w:t>
                  </w:r>
                </w:p>
              </w:tc>
              <w:tc>
                <w:tcPr>
                  <w:tcW w:w="4819" w:type="dxa"/>
                </w:tcPr>
                <w:p w14:paraId="151333F9" w14:textId="77777777" w:rsidR="00236AB5" w:rsidRPr="008819AF" w:rsidRDefault="00236AB5" w:rsidP="00236AB5">
                  <w:pPr>
                    <w:jc w:val="both"/>
                  </w:pPr>
                  <w:r w:rsidRPr="008819AF">
                    <w:rPr>
                      <w:rFonts w:cs="Times New Roman"/>
                      <w:sz w:val="20"/>
                      <w:szCs w:val="20"/>
                    </w:rPr>
                    <w:t xml:space="preserve">spaľovacie zariadenie, ktoré zahŕňa spaľovacie jednotky, ktorým bolo vydané </w:t>
                  </w:r>
                  <w:r w:rsidRPr="008819AF">
                    <w:rPr>
                      <w:sz w:val="20"/>
                      <w:szCs w:val="20"/>
                    </w:rPr>
                    <w:t xml:space="preserve">prvé </w:t>
                  </w:r>
                  <w:r w:rsidRPr="008819AF">
                    <w:rPr>
                      <w:rFonts w:cs="Times New Roman"/>
                      <w:sz w:val="20"/>
                      <w:szCs w:val="20"/>
                    </w:rPr>
                    <w:t xml:space="preserve">stavebné </w:t>
                  </w:r>
                  <w:r w:rsidRPr="008819AF">
                    <w:rPr>
                      <w:sz w:val="20"/>
                      <w:szCs w:val="20"/>
                    </w:rPr>
                    <w:t>povolenie</w:t>
                  </w:r>
                  <w:r w:rsidRPr="008819AF">
                    <w:rPr>
                      <w:rFonts w:cs="Times New Roman"/>
                      <w:sz w:val="20"/>
                      <w:szCs w:val="20"/>
                    </w:rPr>
                    <w:t xml:space="preserve"> v období od 27. novembra 2002 najneskôr  6. januára 2013, alebo ak prevádzkovateľ predložil úplnú žiadosť o </w:t>
                  </w:r>
                  <w:r w:rsidRPr="008819AF">
                    <w:rPr>
                      <w:sz w:val="20"/>
                      <w:szCs w:val="20"/>
                    </w:rPr>
                    <w:t>stavebné</w:t>
                  </w:r>
                  <w:r w:rsidRPr="008819AF">
                    <w:rPr>
                      <w:rFonts w:cs="Times New Roman"/>
                      <w:sz w:val="20"/>
                      <w:szCs w:val="20"/>
                    </w:rPr>
                    <w:t xml:space="preserve"> p</w:t>
                  </w:r>
                  <w:r w:rsidRPr="008819AF">
                    <w:rPr>
                      <w:sz w:val="20"/>
                      <w:szCs w:val="20"/>
                    </w:rPr>
                    <w:t>ovolenie</w:t>
                  </w:r>
                  <w:r w:rsidRPr="008819AF">
                    <w:rPr>
                      <w:rFonts w:cs="Times New Roman"/>
                      <w:sz w:val="20"/>
                      <w:szCs w:val="20"/>
                    </w:rPr>
                    <w:t xml:space="preserve"> pred uvedeným dátumom a dané zariadenia sa uvedie do prevádzky najneskôr 6. januára 2014</w:t>
                  </w:r>
                </w:p>
              </w:tc>
            </w:tr>
            <w:tr w:rsidR="00236AB5" w:rsidRPr="008819AF" w14:paraId="151333FD" w14:textId="77777777" w:rsidTr="008D1FBC">
              <w:tc>
                <w:tcPr>
                  <w:tcW w:w="562" w:type="dxa"/>
                  <w:vAlign w:val="center"/>
                </w:tcPr>
                <w:p w14:paraId="151333FB" w14:textId="77777777" w:rsidR="00236AB5" w:rsidRPr="008819AF" w:rsidRDefault="00236AB5" w:rsidP="00236AB5">
                  <w:pPr>
                    <w:jc w:val="both"/>
                  </w:pPr>
                  <w:r w:rsidRPr="008819AF">
                    <w:rPr>
                      <w:rFonts w:cs="Times New Roman"/>
                      <w:sz w:val="20"/>
                      <w:szCs w:val="20"/>
                    </w:rPr>
                    <w:t>Z4</w:t>
                  </w:r>
                </w:p>
              </w:tc>
              <w:tc>
                <w:tcPr>
                  <w:tcW w:w="4819" w:type="dxa"/>
                </w:tcPr>
                <w:p w14:paraId="151333FC" w14:textId="77777777" w:rsidR="00236AB5" w:rsidRPr="008819AF" w:rsidRDefault="00236AB5" w:rsidP="00236AB5">
                  <w:pPr>
                    <w:jc w:val="both"/>
                  </w:pPr>
                  <w:r w:rsidRPr="008819AF">
                    <w:rPr>
                      <w:rFonts w:cs="Times New Roman"/>
                      <w:sz w:val="20"/>
                      <w:szCs w:val="20"/>
                    </w:rPr>
                    <w:t>veľké spaľovacie zariadenie, ktoré nie je uvedené ako jestvujúce zariadenie.</w:t>
                  </w:r>
                </w:p>
              </w:tc>
            </w:tr>
          </w:tbl>
          <w:p w14:paraId="151333FE" w14:textId="77777777" w:rsidR="00236AB5" w:rsidRPr="008819AF" w:rsidRDefault="00236AB5" w:rsidP="00236AB5">
            <w:pPr>
              <w:ind w:left="34"/>
              <w:jc w:val="both"/>
            </w:pPr>
          </w:p>
          <w:p w14:paraId="151333FF" w14:textId="77777777" w:rsidR="00236AB5" w:rsidRPr="008819AF" w:rsidRDefault="00236AB5" w:rsidP="00236AB5">
            <w:pPr>
              <w:pStyle w:val="Odsekzoznamu1"/>
              <w:spacing w:after="120"/>
              <w:ind w:left="0"/>
              <w:jc w:val="both"/>
              <w:rPr>
                <w:sz w:val="20"/>
                <w:szCs w:val="20"/>
              </w:rPr>
            </w:pPr>
            <w:r w:rsidRPr="008819AF">
              <w:rPr>
                <w:sz w:val="20"/>
                <w:szCs w:val="20"/>
              </w:rPr>
              <w:t xml:space="preserve">2.  Spaľovanie tuhých palív </w:t>
            </w:r>
          </w:p>
          <w:p w14:paraId="15133400" w14:textId="77777777" w:rsidR="00236AB5" w:rsidRPr="008819AF" w:rsidRDefault="00236AB5" w:rsidP="00236AB5">
            <w:pPr>
              <w:spacing w:after="120"/>
            </w:pPr>
            <w:r w:rsidRPr="008819AF">
              <w:t xml:space="preserve">A. Emisné limity pre zariadenia Z1 – Z3 </w:t>
            </w:r>
          </w:p>
          <w:tbl>
            <w:tblPr>
              <w:tblStyle w:val="Mriekatabuky"/>
              <w:tblW w:w="550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338"/>
            </w:tblGrid>
            <w:tr w:rsidR="00236AB5" w:rsidRPr="008819AF" w14:paraId="15133403" w14:textId="77777777" w:rsidTr="00016D01">
              <w:trPr>
                <w:jc w:val="center"/>
              </w:trPr>
              <w:tc>
                <w:tcPr>
                  <w:tcW w:w="1163" w:type="dxa"/>
                  <w:vMerge w:val="restart"/>
                  <w:vAlign w:val="center"/>
                </w:tcPr>
                <w:p w14:paraId="15133401" w14:textId="77777777" w:rsidR="00236AB5" w:rsidRPr="008819AF" w:rsidRDefault="00236AB5" w:rsidP="00236AB5">
                  <w:pPr>
                    <w:jc w:val="center"/>
                  </w:pPr>
                  <w:r w:rsidRPr="008819AF">
                    <w:rPr>
                      <w:rFonts w:cs="Times New Roman"/>
                      <w:b/>
                      <w:sz w:val="18"/>
                      <w:szCs w:val="18"/>
                    </w:rPr>
                    <w:t>Podmienky platnosti EL</w:t>
                  </w:r>
                </w:p>
              </w:tc>
              <w:tc>
                <w:tcPr>
                  <w:tcW w:w="4338" w:type="dxa"/>
                  <w:vAlign w:val="center"/>
                </w:tcPr>
                <w:p w14:paraId="15133402" w14:textId="77777777" w:rsidR="00236AB5" w:rsidRPr="008819AF" w:rsidRDefault="00236AB5" w:rsidP="00236AB5">
                  <w:r w:rsidRPr="008819AF">
                    <w:rPr>
                      <w:rFonts w:cs="Times New Roman"/>
                      <w:sz w:val="18"/>
                      <w:szCs w:val="18"/>
                    </w:rPr>
                    <w:t>Štandardné stavové podmienky, suchý plyn, O</w:t>
                  </w:r>
                  <w:r w:rsidRPr="008819AF">
                    <w:rPr>
                      <w:rFonts w:cs="Times New Roman"/>
                      <w:sz w:val="18"/>
                      <w:szCs w:val="18"/>
                      <w:vertAlign w:val="subscript"/>
                    </w:rPr>
                    <w:t>2 ref</w:t>
                  </w:r>
                  <w:r w:rsidRPr="008819AF">
                    <w:rPr>
                      <w:rFonts w:cs="Times New Roman"/>
                      <w:sz w:val="18"/>
                      <w:szCs w:val="18"/>
                    </w:rPr>
                    <w:t>: 6 % objemu</w:t>
                  </w:r>
                </w:p>
              </w:tc>
            </w:tr>
            <w:tr w:rsidR="00236AB5" w:rsidRPr="008819AF" w14:paraId="15133406" w14:textId="77777777" w:rsidTr="00016D01">
              <w:trPr>
                <w:jc w:val="center"/>
              </w:trPr>
              <w:tc>
                <w:tcPr>
                  <w:tcW w:w="1163" w:type="dxa"/>
                  <w:vMerge/>
                </w:tcPr>
                <w:p w14:paraId="15133404" w14:textId="77777777" w:rsidR="00236AB5" w:rsidRPr="008819AF" w:rsidRDefault="00236AB5" w:rsidP="00236AB5"/>
              </w:tc>
              <w:tc>
                <w:tcPr>
                  <w:tcW w:w="4338" w:type="dxa"/>
                </w:tcPr>
                <w:p w14:paraId="15133405" w14:textId="77777777" w:rsidR="00236AB5" w:rsidRPr="008819AF" w:rsidRDefault="00236AB5" w:rsidP="00236AB5">
                  <w:r w:rsidRPr="008819AF">
                    <w:rPr>
                      <w:rFonts w:cs="Times New Roman"/>
                      <w:sz w:val="18"/>
                      <w:szCs w:val="18"/>
                    </w:rPr>
                    <w:t xml:space="preserve">Emisný limit vyjadrený ako stupeň odsírenia možno uplatniť   výlučne na domáce tuhé palivo podľa § 10 ods. 4.  </w:t>
                  </w:r>
                </w:p>
              </w:tc>
            </w:tr>
            <w:tr w:rsidR="00236AB5" w:rsidRPr="008819AF" w14:paraId="15133409" w14:textId="77777777" w:rsidTr="00016D01">
              <w:trPr>
                <w:jc w:val="center"/>
              </w:trPr>
              <w:tc>
                <w:tcPr>
                  <w:tcW w:w="1163" w:type="dxa"/>
                  <w:vMerge/>
                </w:tcPr>
                <w:p w14:paraId="15133407" w14:textId="77777777" w:rsidR="00236AB5" w:rsidRPr="008819AF" w:rsidRDefault="00236AB5" w:rsidP="00236AB5"/>
              </w:tc>
              <w:tc>
                <w:tcPr>
                  <w:tcW w:w="4338" w:type="dxa"/>
                </w:tcPr>
                <w:p w14:paraId="15133408" w14:textId="77777777" w:rsidR="00236AB5" w:rsidRPr="008819AF" w:rsidRDefault="00236AB5" w:rsidP="00236AB5">
                  <w:r w:rsidRPr="008819AF">
                    <w:rPr>
                      <w:rFonts w:cs="Times New Roman"/>
                      <w:sz w:val="18"/>
                      <w:szCs w:val="18"/>
                    </w:rPr>
                    <w:t xml:space="preserve">Emisné limity pre ďalšie ZL sa neustanovujú a neuplatňujú sa ani všeobecné emisné limity. Pritom treba využiť </w:t>
                  </w:r>
                  <w:r w:rsidRPr="008819AF">
                    <w:rPr>
                      <w:rFonts w:cs="Times New Roman"/>
                      <w:sz w:val="18"/>
                      <w:szCs w:val="18"/>
                    </w:rPr>
                    <w:lastRenderedPageBreak/>
                    <w:t>dostupné opatrenia s ohľadom na primeranosť nákladov na obmedzenie ich emisií.</w:t>
                  </w:r>
                </w:p>
              </w:tc>
            </w:tr>
          </w:tbl>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45"/>
              <w:gridCol w:w="631"/>
              <w:gridCol w:w="858"/>
              <w:gridCol w:w="572"/>
              <w:gridCol w:w="614"/>
              <w:gridCol w:w="958"/>
              <w:gridCol w:w="859"/>
              <w:gridCol w:w="507"/>
            </w:tblGrid>
            <w:tr w:rsidR="00236AB5" w:rsidRPr="008819AF" w14:paraId="1513340E" w14:textId="77777777" w:rsidTr="00C657B6">
              <w:trPr>
                <w:trHeight w:val="340"/>
                <w:jc w:val="center"/>
              </w:trPr>
              <w:tc>
                <w:tcPr>
                  <w:tcW w:w="1165" w:type="dxa"/>
                  <w:gridSpan w:val="2"/>
                  <w:vAlign w:val="center"/>
                </w:tcPr>
                <w:p w14:paraId="1513340A" w14:textId="77777777" w:rsidR="00236AB5" w:rsidRPr="008819AF" w:rsidRDefault="00236AB5" w:rsidP="00236AB5">
                  <w:pPr>
                    <w:rPr>
                      <w:b/>
                      <w:sz w:val="18"/>
                      <w:szCs w:val="18"/>
                    </w:rPr>
                  </w:pPr>
                  <w:r w:rsidRPr="008819AF">
                    <w:rPr>
                      <w:b/>
                      <w:sz w:val="18"/>
                      <w:szCs w:val="18"/>
                    </w:rPr>
                    <w:lastRenderedPageBreak/>
                    <w:t>MTP    [MW]</w:t>
                  </w:r>
                </w:p>
              </w:tc>
              <w:tc>
                <w:tcPr>
                  <w:tcW w:w="850" w:type="dxa"/>
                  <w:vMerge w:val="restart"/>
                  <w:vAlign w:val="center"/>
                </w:tcPr>
                <w:p w14:paraId="1513340B" w14:textId="77777777" w:rsidR="00236AB5" w:rsidRPr="008819AF" w:rsidRDefault="00236AB5" w:rsidP="00236AB5">
                  <w:pPr>
                    <w:jc w:val="center"/>
                    <w:rPr>
                      <w:b/>
                      <w:sz w:val="18"/>
                      <w:szCs w:val="18"/>
                    </w:rPr>
                  </w:pPr>
                  <w:r w:rsidRPr="008819AF">
                    <w:rPr>
                      <w:b/>
                      <w:sz w:val="18"/>
                      <w:szCs w:val="18"/>
                    </w:rPr>
                    <w:t xml:space="preserve">Palivo/ </w:t>
                  </w:r>
                </w:p>
                <w:p w14:paraId="1513340C" w14:textId="77777777" w:rsidR="00236AB5" w:rsidRPr="008819AF" w:rsidRDefault="00236AB5" w:rsidP="00236AB5">
                  <w:pPr>
                    <w:jc w:val="center"/>
                    <w:rPr>
                      <w:b/>
                      <w:sz w:val="18"/>
                      <w:szCs w:val="18"/>
                    </w:rPr>
                  </w:pPr>
                  <w:r w:rsidRPr="008819AF">
                    <w:rPr>
                      <w:b/>
                      <w:sz w:val="18"/>
                      <w:szCs w:val="18"/>
                    </w:rPr>
                    <w:t>Prev.  režim</w:t>
                  </w:r>
                </w:p>
              </w:tc>
              <w:tc>
                <w:tcPr>
                  <w:tcW w:w="3480" w:type="dxa"/>
                  <w:gridSpan w:val="5"/>
                  <w:vAlign w:val="center"/>
                </w:tcPr>
                <w:p w14:paraId="1513340D" w14:textId="77777777" w:rsidR="00236AB5" w:rsidRPr="008819AF" w:rsidRDefault="00236AB5" w:rsidP="00236AB5">
                  <w:pPr>
                    <w:jc w:val="center"/>
                    <w:rPr>
                      <w:b/>
                      <w:sz w:val="18"/>
                      <w:szCs w:val="18"/>
                    </w:rPr>
                  </w:pPr>
                  <w:r w:rsidRPr="008819AF">
                    <w:rPr>
                      <w:b/>
                      <w:sz w:val="18"/>
                      <w:szCs w:val="18"/>
                    </w:rPr>
                    <w:t>Emisný limit    [mg/m</w:t>
                  </w:r>
                  <w:r w:rsidRPr="008819AF">
                    <w:rPr>
                      <w:b/>
                      <w:sz w:val="18"/>
                      <w:szCs w:val="18"/>
                      <w:vertAlign w:val="superscript"/>
                    </w:rPr>
                    <w:t>3</w:t>
                  </w:r>
                  <w:r w:rsidRPr="008819AF">
                    <w:rPr>
                      <w:b/>
                      <w:sz w:val="18"/>
                      <w:szCs w:val="18"/>
                    </w:rPr>
                    <w:t>]</w:t>
                  </w:r>
                </w:p>
              </w:tc>
            </w:tr>
            <w:tr w:rsidR="00236AB5" w:rsidRPr="008819AF" w14:paraId="15133417" w14:textId="77777777" w:rsidTr="00C657B6">
              <w:trPr>
                <w:trHeight w:val="340"/>
                <w:jc w:val="center"/>
              </w:trPr>
              <w:tc>
                <w:tcPr>
                  <w:tcW w:w="540" w:type="dxa"/>
                  <w:vAlign w:val="center"/>
                </w:tcPr>
                <w:p w14:paraId="1513340F" w14:textId="77777777" w:rsidR="00236AB5" w:rsidRPr="008819AF" w:rsidRDefault="00236AB5" w:rsidP="00236AB5">
                  <w:pPr>
                    <w:jc w:val="center"/>
                    <w:rPr>
                      <w:b/>
                      <w:sz w:val="18"/>
                      <w:szCs w:val="18"/>
                    </w:rPr>
                  </w:pPr>
                  <w:r w:rsidRPr="008819AF">
                    <w:rPr>
                      <w:b/>
                      <w:sz w:val="18"/>
                      <w:szCs w:val="18"/>
                    </w:rPr>
                    <w:t>od</w:t>
                  </w:r>
                </w:p>
              </w:tc>
              <w:tc>
                <w:tcPr>
                  <w:tcW w:w="625" w:type="dxa"/>
                  <w:vAlign w:val="center"/>
                </w:tcPr>
                <w:p w14:paraId="15133410" w14:textId="77777777" w:rsidR="00236AB5" w:rsidRPr="008819AF" w:rsidRDefault="00236AB5" w:rsidP="00236AB5">
                  <w:pPr>
                    <w:jc w:val="center"/>
                    <w:rPr>
                      <w:b/>
                      <w:sz w:val="18"/>
                      <w:szCs w:val="18"/>
                    </w:rPr>
                  </w:pPr>
                  <w:r w:rsidRPr="008819AF">
                    <w:rPr>
                      <w:b/>
                      <w:sz w:val="18"/>
                      <w:szCs w:val="18"/>
                    </w:rPr>
                    <w:t>do</w:t>
                  </w:r>
                </w:p>
              </w:tc>
              <w:tc>
                <w:tcPr>
                  <w:tcW w:w="850" w:type="dxa"/>
                  <w:vMerge/>
                  <w:vAlign w:val="center"/>
                </w:tcPr>
                <w:p w14:paraId="15133411" w14:textId="77777777" w:rsidR="00236AB5" w:rsidRPr="008819AF" w:rsidRDefault="00236AB5" w:rsidP="00236AB5">
                  <w:pPr>
                    <w:jc w:val="center"/>
                    <w:rPr>
                      <w:b/>
                      <w:sz w:val="18"/>
                      <w:szCs w:val="18"/>
                    </w:rPr>
                  </w:pPr>
                </w:p>
              </w:tc>
              <w:tc>
                <w:tcPr>
                  <w:tcW w:w="567" w:type="dxa"/>
                  <w:vAlign w:val="center"/>
                </w:tcPr>
                <w:p w14:paraId="15133412" w14:textId="77777777" w:rsidR="00236AB5" w:rsidRPr="008819AF" w:rsidRDefault="00236AB5" w:rsidP="00236AB5">
                  <w:pPr>
                    <w:jc w:val="center"/>
                    <w:rPr>
                      <w:b/>
                      <w:sz w:val="18"/>
                      <w:szCs w:val="18"/>
                    </w:rPr>
                  </w:pPr>
                  <w:r w:rsidRPr="008819AF">
                    <w:rPr>
                      <w:b/>
                      <w:sz w:val="18"/>
                      <w:szCs w:val="18"/>
                    </w:rPr>
                    <w:t>TZL</w:t>
                  </w:r>
                </w:p>
              </w:tc>
              <w:tc>
                <w:tcPr>
                  <w:tcW w:w="609" w:type="dxa"/>
                  <w:vAlign w:val="center"/>
                </w:tcPr>
                <w:p w14:paraId="15133413" w14:textId="77777777" w:rsidR="00236AB5" w:rsidRPr="008819AF" w:rsidRDefault="00236AB5" w:rsidP="00236AB5">
                  <w:pPr>
                    <w:jc w:val="center"/>
                    <w:rPr>
                      <w:b/>
                      <w:sz w:val="18"/>
                      <w:szCs w:val="18"/>
                      <w:vertAlign w:val="subscript"/>
                    </w:rPr>
                  </w:pPr>
                  <w:r w:rsidRPr="008819AF">
                    <w:rPr>
                      <w:b/>
                      <w:sz w:val="18"/>
                      <w:szCs w:val="18"/>
                    </w:rPr>
                    <w:t>SO</w:t>
                  </w:r>
                  <w:r w:rsidRPr="008819AF">
                    <w:rPr>
                      <w:b/>
                      <w:sz w:val="18"/>
                      <w:szCs w:val="18"/>
                      <w:vertAlign w:val="subscript"/>
                    </w:rPr>
                    <w:t>2</w:t>
                  </w:r>
                </w:p>
              </w:tc>
              <w:tc>
                <w:tcPr>
                  <w:tcW w:w="950" w:type="dxa"/>
                  <w:vAlign w:val="center"/>
                </w:tcPr>
                <w:p w14:paraId="15133414" w14:textId="77777777" w:rsidR="00236AB5" w:rsidRPr="008819AF" w:rsidRDefault="00236AB5" w:rsidP="00236AB5">
                  <w:pPr>
                    <w:jc w:val="center"/>
                    <w:rPr>
                      <w:b/>
                      <w:sz w:val="18"/>
                      <w:szCs w:val="18"/>
                    </w:rPr>
                  </w:pPr>
                  <w:r w:rsidRPr="008819AF">
                    <w:rPr>
                      <w:b/>
                      <w:sz w:val="18"/>
                      <w:szCs w:val="18"/>
                    </w:rPr>
                    <w:t>NO</w:t>
                  </w:r>
                  <w:r w:rsidRPr="008819AF">
                    <w:rPr>
                      <w:b/>
                      <w:sz w:val="18"/>
                      <w:szCs w:val="18"/>
                      <w:vertAlign w:val="subscript"/>
                    </w:rPr>
                    <w:t>X</w:t>
                  </w:r>
                </w:p>
              </w:tc>
              <w:tc>
                <w:tcPr>
                  <w:tcW w:w="851" w:type="dxa"/>
                  <w:vAlign w:val="center"/>
                </w:tcPr>
                <w:p w14:paraId="15133415" w14:textId="77777777" w:rsidR="00236AB5" w:rsidRPr="008819AF" w:rsidRDefault="00236AB5" w:rsidP="00236AB5">
                  <w:pPr>
                    <w:jc w:val="center"/>
                    <w:rPr>
                      <w:b/>
                      <w:sz w:val="18"/>
                      <w:szCs w:val="18"/>
                    </w:rPr>
                  </w:pPr>
                  <w:r w:rsidRPr="008819AF">
                    <w:rPr>
                      <w:b/>
                      <w:sz w:val="18"/>
                      <w:szCs w:val="18"/>
                    </w:rPr>
                    <w:t>CO</w:t>
                  </w:r>
                </w:p>
              </w:tc>
              <w:tc>
                <w:tcPr>
                  <w:tcW w:w="503" w:type="dxa"/>
                  <w:vAlign w:val="center"/>
                </w:tcPr>
                <w:p w14:paraId="15133416" w14:textId="77777777" w:rsidR="00236AB5" w:rsidRPr="008819AF" w:rsidRDefault="00236AB5" w:rsidP="00236AB5">
                  <w:pPr>
                    <w:ind w:left="-107" w:right="-30"/>
                    <w:jc w:val="center"/>
                    <w:rPr>
                      <w:b/>
                      <w:sz w:val="18"/>
                      <w:szCs w:val="18"/>
                    </w:rPr>
                  </w:pPr>
                  <w:r w:rsidRPr="008819AF">
                    <w:rPr>
                      <w:b/>
                      <w:sz w:val="18"/>
                      <w:szCs w:val="18"/>
                    </w:rPr>
                    <w:t>TOC</w:t>
                  </w:r>
                </w:p>
              </w:tc>
            </w:tr>
            <w:tr w:rsidR="00236AB5" w:rsidRPr="008819AF" w14:paraId="15133420" w14:textId="77777777" w:rsidTr="00C657B6">
              <w:trPr>
                <w:trHeight w:val="340"/>
                <w:jc w:val="center"/>
              </w:trPr>
              <w:tc>
                <w:tcPr>
                  <w:tcW w:w="540" w:type="dxa"/>
                  <w:vMerge w:val="restart"/>
                  <w:vAlign w:val="center"/>
                </w:tcPr>
                <w:p w14:paraId="15133418" w14:textId="77777777" w:rsidR="00236AB5" w:rsidRPr="008819AF" w:rsidRDefault="00236AB5" w:rsidP="00236AB5">
                  <w:pPr>
                    <w:ind w:right="-20"/>
                    <w:rPr>
                      <w:sz w:val="18"/>
                      <w:szCs w:val="18"/>
                    </w:rPr>
                  </w:pPr>
                  <w:r w:rsidRPr="008819AF">
                    <w:rPr>
                      <w:sz w:val="18"/>
                      <w:szCs w:val="18"/>
                    </w:rPr>
                    <w:t>≥ 50</w:t>
                  </w:r>
                </w:p>
              </w:tc>
              <w:tc>
                <w:tcPr>
                  <w:tcW w:w="625" w:type="dxa"/>
                  <w:vMerge w:val="restart"/>
                  <w:vAlign w:val="center"/>
                </w:tcPr>
                <w:p w14:paraId="15133419" w14:textId="77777777" w:rsidR="00236AB5" w:rsidRPr="008819AF" w:rsidRDefault="00236AB5" w:rsidP="00236AB5">
                  <w:pPr>
                    <w:ind w:right="-108"/>
                    <w:rPr>
                      <w:sz w:val="18"/>
                      <w:szCs w:val="18"/>
                    </w:rPr>
                  </w:pPr>
                  <w:r w:rsidRPr="008819AF">
                    <w:rPr>
                      <w:sz w:val="18"/>
                      <w:szCs w:val="18"/>
                    </w:rPr>
                    <w:t>&lt; 100</w:t>
                  </w:r>
                </w:p>
              </w:tc>
              <w:tc>
                <w:tcPr>
                  <w:tcW w:w="850" w:type="dxa"/>
                  <w:vAlign w:val="center"/>
                </w:tcPr>
                <w:p w14:paraId="1513341A" w14:textId="77777777" w:rsidR="00236AB5" w:rsidRPr="008819AF" w:rsidRDefault="00236AB5" w:rsidP="00236AB5">
                  <w:pPr>
                    <w:ind w:right="-108" w:hanging="112"/>
                    <w:jc w:val="center"/>
                    <w:rPr>
                      <w:sz w:val="18"/>
                      <w:szCs w:val="18"/>
                    </w:rPr>
                  </w:pPr>
                  <w:r w:rsidRPr="008819AF">
                    <w:rPr>
                      <w:sz w:val="18"/>
                      <w:szCs w:val="18"/>
                    </w:rPr>
                    <w:t>všeobecne</w:t>
                  </w:r>
                </w:p>
              </w:tc>
              <w:tc>
                <w:tcPr>
                  <w:tcW w:w="567" w:type="dxa"/>
                  <w:vMerge w:val="restart"/>
                  <w:vAlign w:val="center"/>
                </w:tcPr>
                <w:p w14:paraId="1513341B" w14:textId="77777777" w:rsidR="00236AB5" w:rsidRPr="008819AF" w:rsidRDefault="00236AB5" w:rsidP="00236AB5">
                  <w:pPr>
                    <w:jc w:val="center"/>
                    <w:rPr>
                      <w:sz w:val="18"/>
                      <w:szCs w:val="18"/>
                    </w:rPr>
                  </w:pPr>
                  <w:r w:rsidRPr="008819AF">
                    <w:rPr>
                      <w:sz w:val="18"/>
                      <w:szCs w:val="18"/>
                    </w:rPr>
                    <w:t>30</w:t>
                  </w:r>
                </w:p>
              </w:tc>
              <w:tc>
                <w:tcPr>
                  <w:tcW w:w="609" w:type="dxa"/>
                  <w:vAlign w:val="center"/>
                </w:tcPr>
                <w:p w14:paraId="1513341C" w14:textId="77777777" w:rsidR="00236AB5" w:rsidRPr="008819AF" w:rsidRDefault="00236AB5" w:rsidP="00236AB5">
                  <w:pPr>
                    <w:jc w:val="center"/>
                    <w:rPr>
                      <w:sz w:val="18"/>
                      <w:szCs w:val="18"/>
                    </w:rPr>
                  </w:pPr>
                  <w:r w:rsidRPr="008819AF">
                    <w:rPr>
                      <w:sz w:val="18"/>
                      <w:szCs w:val="18"/>
                    </w:rPr>
                    <w:t>400</w:t>
                  </w:r>
                </w:p>
              </w:tc>
              <w:tc>
                <w:tcPr>
                  <w:tcW w:w="950" w:type="dxa"/>
                  <w:vAlign w:val="center"/>
                </w:tcPr>
                <w:p w14:paraId="1513341D" w14:textId="77777777" w:rsidR="00236AB5" w:rsidRPr="008819AF" w:rsidRDefault="00236AB5" w:rsidP="00236AB5">
                  <w:pPr>
                    <w:jc w:val="center"/>
                    <w:rPr>
                      <w:sz w:val="18"/>
                      <w:szCs w:val="18"/>
                      <w:vertAlign w:val="superscript"/>
                    </w:rPr>
                  </w:pPr>
                  <w:r w:rsidRPr="008819AF">
                    <w:rPr>
                      <w:sz w:val="18"/>
                      <w:szCs w:val="18"/>
                    </w:rPr>
                    <w:t>300, 450</w:t>
                  </w:r>
                  <w:r w:rsidRPr="008819AF">
                    <w:rPr>
                      <w:sz w:val="18"/>
                      <w:szCs w:val="18"/>
                      <w:vertAlign w:val="superscript"/>
                    </w:rPr>
                    <w:t>1)</w:t>
                  </w:r>
                </w:p>
              </w:tc>
              <w:tc>
                <w:tcPr>
                  <w:tcW w:w="851" w:type="dxa"/>
                  <w:vMerge w:val="restart"/>
                  <w:vAlign w:val="center"/>
                </w:tcPr>
                <w:p w14:paraId="1513341E" w14:textId="77777777" w:rsidR="00236AB5" w:rsidRPr="008819AF" w:rsidRDefault="00236AB5" w:rsidP="00236AB5">
                  <w:pPr>
                    <w:jc w:val="center"/>
                    <w:rPr>
                      <w:sz w:val="18"/>
                      <w:szCs w:val="18"/>
                    </w:rPr>
                  </w:pPr>
                  <w:r w:rsidRPr="008819AF">
                    <w:rPr>
                      <w:sz w:val="18"/>
                      <w:szCs w:val="18"/>
                    </w:rPr>
                    <w:t>250</w:t>
                  </w:r>
                </w:p>
              </w:tc>
              <w:tc>
                <w:tcPr>
                  <w:tcW w:w="503" w:type="dxa"/>
                </w:tcPr>
                <w:p w14:paraId="1513341F" w14:textId="77777777" w:rsidR="00236AB5" w:rsidRPr="008819AF" w:rsidRDefault="00236AB5" w:rsidP="00236AB5">
                  <w:pPr>
                    <w:jc w:val="center"/>
                    <w:rPr>
                      <w:sz w:val="18"/>
                      <w:szCs w:val="18"/>
                    </w:rPr>
                  </w:pPr>
                  <w:r w:rsidRPr="008819AF">
                    <w:rPr>
                      <w:sz w:val="18"/>
                      <w:szCs w:val="18"/>
                    </w:rPr>
                    <w:t>-</w:t>
                  </w:r>
                </w:p>
              </w:tc>
            </w:tr>
            <w:tr w:rsidR="00236AB5" w:rsidRPr="008819AF" w14:paraId="15133429" w14:textId="77777777" w:rsidTr="00C657B6">
              <w:trPr>
                <w:trHeight w:val="340"/>
                <w:jc w:val="center"/>
              </w:trPr>
              <w:tc>
                <w:tcPr>
                  <w:tcW w:w="540" w:type="dxa"/>
                  <w:vMerge/>
                  <w:vAlign w:val="center"/>
                </w:tcPr>
                <w:p w14:paraId="15133421" w14:textId="77777777" w:rsidR="00236AB5" w:rsidRPr="008819AF" w:rsidRDefault="00236AB5" w:rsidP="00236AB5">
                  <w:pPr>
                    <w:rPr>
                      <w:sz w:val="18"/>
                      <w:szCs w:val="18"/>
                    </w:rPr>
                  </w:pPr>
                </w:p>
              </w:tc>
              <w:tc>
                <w:tcPr>
                  <w:tcW w:w="625" w:type="dxa"/>
                  <w:vMerge/>
                  <w:vAlign w:val="center"/>
                </w:tcPr>
                <w:p w14:paraId="15133422" w14:textId="77777777" w:rsidR="00236AB5" w:rsidRPr="008819AF" w:rsidRDefault="00236AB5" w:rsidP="00236AB5">
                  <w:pPr>
                    <w:rPr>
                      <w:sz w:val="18"/>
                      <w:szCs w:val="18"/>
                    </w:rPr>
                  </w:pPr>
                </w:p>
              </w:tc>
              <w:tc>
                <w:tcPr>
                  <w:tcW w:w="850" w:type="dxa"/>
                  <w:vAlign w:val="center"/>
                </w:tcPr>
                <w:p w14:paraId="15133423" w14:textId="77777777" w:rsidR="00236AB5" w:rsidRPr="008819AF" w:rsidRDefault="00236AB5" w:rsidP="00236AB5">
                  <w:pPr>
                    <w:ind w:right="-108" w:hanging="112"/>
                    <w:jc w:val="center"/>
                    <w:rPr>
                      <w:sz w:val="18"/>
                      <w:szCs w:val="18"/>
                    </w:rPr>
                  </w:pPr>
                  <w:r w:rsidRPr="008819AF">
                    <w:rPr>
                      <w:sz w:val="18"/>
                      <w:szCs w:val="18"/>
                    </w:rPr>
                    <w:t>OPR</w:t>
                  </w:r>
                </w:p>
              </w:tc>
              <w:tc>
                <w:tcPr>
                  <w:tcW w:w="567" w:type="dxa"/>
                  <w:vMerge/>
                  <w:vAlign w:val="center"/>
                </w:tcPr>
                <w:p w14:paraId="15133424" w14:textId="77777777" w:rsidR="00236AB5" w:rsidRPr="008819AF" w:rsidRDefault="00236AB5" w:rsidP="00236AB5">
                  <w:pPr>
                    <w:rPr>
                      <w:sz w:val="18"/>
                      <w:szCs w:val="18"/>
                    </w:rPr>
                  </w:pPr>
                </w:p>
              </w:tc>
              <w:tc>
                <w:tcPr>
                  <w:tcW w:w="609" w:type="dxa"/>
                  <w:vAlign w:val="center"/>
                </w:tcPr>
                <w:p w14:paraId="15133425" w14:textId="77777777" w:rsidR="00236AB5" w:rsidRPr="008819AF" w:rsidRDefault="00236AB5" w:rsidP="00236AB5">
                  <w:pPr>
                    <w:jc w:val="center"/>
                    <w:rPr>
                      <w:sz w:val="18"/>
                      <w:szCs w:val="18"/>
                    </w:rPr>
                  </w:pPr>
                  <w:r w:rsidRPr="008819AF">
                    <w:rPr>
                      <w:sz w:val="18"/>
                      <w:szCs w:val="18"/>
                    </w:rPr>
                    <w:t>800</w:t>
                  </w:r>
                  <w:r w:rsidRPr="008819AF">
                    <w:rPr>
                      <w:sz w:val="18"/>
                      <w:szCs w:val="18"/>
                      <w:vertAlign w:val="superscript"/>
                    </w:rPr>
                    <w:t>2</w:t>
                  </w:r>
                  <w:r w:rsidRPr="008819AF">
                    <w:rPr>
                      <w:sz w:val="18"/>
                      <w:szCs w:val="18"/>
                    </w:rPr>
                    <w:t>)</w:t>
                  </w:r>
                </w:p>
              </w:tc>
              <w:tc>
                <w:tcPr>
                  <w:tcW w:w="950" w:type="dxa"/>
                  <w:vAlign w:val="center"/>
                </w:tcPr>
                <w:p w14:paraId="15133426" w14:textId="77777777" w:rsidR="00236AB5" w:rsidRPr="008819AF" w:rsidRDefault="00236AB5" w:rsidP="00236AB5">
                  <w:pPr>
                    <w:jc w:val="center"/>
                    <w:rPr>
                      <w:sz w:val="18"/>
                      <w:szCs w:val="18"/>
                    </w:rPr>
                  </w:pPr>
                  <w:r w:rsidRPr="008819AF">
                    <w:rPr>
                      <w:sz w:val="18"/>
                      <w:szCs w:val="18"/>
                    </w:rPr>
                    <w:t>450</w:t>
                  </w:r>
                  <w:r w:rsidRPr="008819AF">
                    <w:rPr>
                      <w:sz w:val="18"/>
                      <w:szCs w:val="18"/>
                      <w:vertAlign w:val="superscript"/>
                    </w:rPr>
                    <w:t>2</w:t>
                  </w:r>
                  <w:r w:rsidRPr="008819AF">
                    <w:rPr>
                      <w:sz w:val="18"/>
                      <w:szCs w:val="18"/>
                    </w:rPr>
                    <w:t>)</w:t>
                  </w:r>
                </w:p>
              </w:tc>
              <w:tc>
                <w:tcPr>
                  <w:tcW w:w="851" w:type="dxa"/>
                  <w:vMerge/>
                  <w:vAlign w:val="center"/>
                </w:tcPr>
                <w:p w14:paraId="15133427" w14:textId="77777777" w:rsidR="00236AB5" w:rsidRPr="008819AF" w:rsidRDefault="00236AB5" w:rsidP="00236AB5">
                  <w:pPr>
                    <w:jc w:val="center"/>
                    <w:rPr>
                      <w:sz w:val="18"/>
                      <w:szCs w:val="18"/>
                    </w:rPr>
                  </w:pPr>
                </w:p>
              </w:tc>
              <w:tc>
                <w:tcPr>
                  <w:tcW w:w="503" w:type="dxa"/>
                </w:tcPr>
                <w:p w14:paraId="15133428" w14:textId="77777777" w:rsidR="00236AB5" w:rsidRPr="008819AF" w:rsidRDefault="00236AB5" w:rsidP="00236AB5">
                  <w:pPr>
                    <w:jc w:val="center"/>
                    <w:rPr>
                      <w:sz w:val="18"/>
                      <w:szCs w:val="18"/>
                    </w:rPr>
                  </w:pPr>
                  <w:r w:rsidRPr="008819AF">
                    <w:rPr>
                      <w:sz w:val="18"/>
                      <w:szCs w:val="18"/>
                    </w:rPr>
                    <w:t>-</w:t>
                  </w:r>
                </w:p>
              </w:tc>
            </w:tr>
            <w:tr w:rsidR="00236AB5" w:rsidRPr="008819AF" w14:paraId="15133432" w14:textId="77777777" w:rsidTr="00C657B6">
              <w:trPr>
                <w:trHeight w:val="340"/>
                <w:jc w:val="center"/>
              </w:trPr>
              <w:tc>
                <w:tcPr>
                  <w:tcW w:w="540" w:type="dxa"/>
                  <w:vMerge/>
                  <w:vAlign w:val="center"/>
                </w:tcPr>
                <w:p w14:paraId="1513342A" w14:textId="77777777" w:rsidR="00236AB5" w:rsidRPr="008819AF" w:rsidRDefault="00236AB5" w:rsidP="00236AB5">
                  <w:pPr>
                    <w:rPr>
                      <w:sz w:val="18"/>
                      <w:szCs w:val="18"/>
                    </w:rPr>
                  </w:pPr>
                </w:p>
              </w:tc>
              <w:tc>
                <w:tcPr>
                  <w:tcW w:w="625" w:type="dxa"/>
                  <w:vMerge/>
                  <w:vAlign w:val="center"/>
                </w:tcPr>
                <w:p w14:paraId="1513342B" w14:textId="77777777" w:rsidR="00236AB5" w:rsidRPr="008819AF" w:rsidRDefault="00236AB5" w:rsidP="00236AB5">
                  <w:pPr>
                    <w:rPr>
                      <w:sz w:val="18"/>
                      <w:szCs w:val="18"/>
                    </w:rPr>
                  </w:pPr>
                </w:p>
              </w:tc>
              <w:tc>
                <w:tcPr>
                  <w:tcW w:w="850" w:type="dxa"/>
                  <w:vAlign w:val="center"/>
                </w:tcPr>
                <w:p w14:paraId="1513342C" w14:textId="77777777" w:rsidR="00236AB5" w:rsidRPr="008819AF" w:rsidRDefault="00236AB5" w:rsidP="00236AB5">
                  <w:pPr>
                    <w:ind w:right="-108" w:hanging="112"/>
                    <w:jc w:val="center"/>
                    <w:rPr>
                      <w:sz w:val="18"/>
                      <w:szCs w:val="18"/>
                    </w:rPr>
                  </w:pPr>
                  <w:r w:rsidRPr="008819AF">
                    <w:rPr>
                      <w:sz w:val="18"/>
                      <w:szCs w:val="18"/>
                    </w:rPr>
                    <w:t>biomasa</w:t>
                  </w:r>
                </w:p>
              </w:tc>
              <w:tc>
                <w:tcPr>
                  <w:tcW w:w="567" w:type="dxa"/>
                  <w:vMerge/>
                  <w:vAlign w:val="center"/>
                </w:tcPr>
                <w:p w14:paraId="1513342D" w14:textId="77777777" w:rsidR="00236AB5" w:rsidRPr="008819AF" w:rsidRDefault="00236AB5" w:rsidP="00236AB5">
                  <w:pPr>
                    <w:rPr>
                      <w:sz w:val="18"/>
                      <w:szCs w:val="18"/>
                    </w:rPr>
                  </w:pPr>
                </w:p>
              </w:tc>
              <w:tc>
                <w:tcPr>
                  <w:tcW w:w="609" w:type="dxa"/>
                  <w:vAlign w:val="center"/>
                </w:tcPr>
                <w:p w14:paraId="1513342E" w14:textId="77777777" w:rsidR="00236AB5" w:rsidRPr="008819AF" w:rsidRDefault="00236AB5" w:rsidP="00236AB5">
                  <w:pPr>
                    <w:jc w:val="center"/>
                    <w:rPr>
                      <w:sz w:val="18"/>
                      <w:szCs w:val="18"/>
                    </w:rPr>
                  </w:pPr>
                  <w:r w:rsidRPr="008819AF">
                    <w:rPr>
                      <w:sz w:val="18"/>
                      <w:szCs w:val="18"/>
                    </w:rPr>
                    <w:t>200</w:t>
                  </w:r>
                </w:p>
              </w:tc>
              <w:tc>
                <w:tcPr>
                  <w:tcW w:w="950" w:type="dxa"/>
                  <w:vAlign w:val="center"/>
                </w:tcPr>
                <w:p w14:paraId="1513342F" w14:textId="77777777" w:rsidR="00236AB5" w:rsidRPr="008819AF" w:rsidRDefault="00236AB5" w:rsidP="00236AB5">
                  <w:pPr>
                    <w:jc w:val="center"/>
                    <w:rPr>
                      <w:sz w:val="18"/>
                      <w:szCs w:val="18"/>
                    </w:rPr>
                  </w:pPr>
                  <w:r w:rsidRPr="008819AF">
                    <w:rPr>
                      <w:sz w:val="18"/>
                      <w:szCs w:val="18"/>
                    </w:rPr>
                    <w:t>300</w:t>
                  </w:r>
                </w:p>
              </w:tc>
              <w:tc>
                <w:tcPr>
                  <w:tcW w:w="851" w:type="dxa"/>
                  <w:vMerge/>
                  <w:vAlign w:val="center"/>
                </w:tcPr>
                <w:p w14:paraId="15133430" w14:textId="77777777" w:rsidR="00236AB5" w:rsidRPr="008819AF" w:rsidRDefault="00236AB5" w:rsidP="00236AB5">
                  <w:pPr>
                    <w:jc w:val="center"/>
                    <w:rPr>
                      <w:sz w:val="18"/>
                      <w:szCs w:val="18"/>
                    </w:rPr>
                  </w:pPr>
                </w:p>
              </w:tc>
              <w:tc>
                <w:tcPr>
                  <w:tcW w:w="503" w:type="dxa"/>
                </w:tcPr>
                <w:p w14:paraId="15133431" w14:textId="77777777" w:rsidR="00236AB5" w:rsidRPr="008819AF" w:rsidRDefault="00236AB5" w:rsidP="00236AB5">
                  <w:pPr>
                    <w:jc w:val="center"/>
                    <w:rPr>
                      <w:sz w:val="18"/>
                      <w:szCs w:val="18"/>
                    </w:rPr>
                  </w:pPr>
                  <w:r w:rsidRPr="008819AF">
                    <w:rPr>
                      <w:sz w:val="18"/>
                      <w:szCs w:val="18"/>
                    </w:rPr>
                    <w:t>50</w:t>
                  </w:r>
                </w:p>
              </w:tc>
            </w:tr>
            <w:tr w:rsidR="00236AB5" w:rsidRPr="008819AF" w14:paraId="1513343B" w14:textId="77777777" w:rsidTr="00C657B6">
              <w:trPr>
                <w:trHeight w:val="340"/>
                <w:jc w:val="center"/>
              </w:trPr>
              <w:tc>
                <w:tcPr>
                  <w:tcW w:w="540" w:type="dxa"/>
                  <w:vMerge/>
                  <w:vAlign w:val="center"/>
                </w:tcPr>
                <w:p w14:paraId="15133433" w14:textId="77777777" w:rsidR="00236AB5" w:rsidRPr="008819AF" w:rsidRDefault="00236AB5" w:rsidP="00236AB5">
                  <w:pPr>
                    <w:rPr>
                      <w:sz w:val="18"/>
                      <w:szCs w:val="18"/>
                    </w:rPr>
                  </w:pPr>
                </w:p>
              </w:tc>
              <w:tc>
                <w:tcPr>
                  <w:tcW w:w="625" w:type="dxa"/>
                  <w:vMerge/>
                  <w:vAlign w:val="center"/>
                </w:tcPr>
                <w:p w14:paraId="15133434" w14:textId="77777777" w:rsidR="00236AB5" w:rsidRPr="008819AF" w:rsidRDefault="00236AB5" w:rsidP="00236AB5">
                  <w:pPr>
                    <w:rPr>
                      <w:sz w:val="18"/>
                      <w:szCs w:val="18"/>
                    </w:rPr>
                  </w:pPr>
                </w:p>
              </w:tc>
              <w:tc>
                <w:tcPr>
                  <w:tcW w:w="850" w:type="dxa"/>
                  <w:vAlign w:val="center"/>
                </w:tcPr>
                <w:p w14:paraId="15133435" w14:textId="77777777" w:rsidR="00236AB5" w:rsidRPr="008819AF" w:rsidRDefault="00236AB5" w:rsidP="00236AB5">
                  <w:pPr>
                    <w:ind w:right="-108" w:hanging="112"/>
                    <w:jc w:val="center"/>
                    <w:rPr>
                      <w:sz w:val="18"/>
                      <w:szCs w:val="18"/>
                    </w:rPr>
                  </w:pPr>
                  <w:r w:rsidRPr="008819AF">
                    <w:rPr>
                      <w:sz w:val="18"/>
                      <w:szCs w:val="18"/>
                    </w:rPr>
                    <w:t>rašelina</w:t>
                  </w:r>
                </w:p>
              </w:tc>
              <w:tc>
                <w:tcPr>
                  <w:tcW w:w="567" w:type="dxa"/>
                  <w:vMerge/>
                  <w:vAlign w:val="center"/>
                </w:tcPr>
                <w:p w14:paraId="15133436" w14:textId="77777777" w:rsidR="00236AB5" w:rsidRPr="008819AF" w:rsidRDefault="00236AB5" w:rsidP="00236AB5">
                  <w:pPr>
                    <w:rPr>
                      <w:sz w:val="18"/>
                      <w:szCs w:val="18"/>
                    </w:rPr>
                  </w:pPr>
                </w:p>
              </w:tc>
              <w:tc>
                <w:tcPr>
                  <w:tcW w:w="609" w:type="dxa"/>
                  <w:vAlign w:val="center"/>
                </w:tcPr>
                <w:p w14:paraId="15133437" w14:textId="77777777" w:rsidR="00236AB5" w:rsidRPr="008819AF" w:rsidRDefault="00236AB5" w:rsidP="00236AB5">
                  <w:pPr>
                    <w:jc w:val="center"/>
                    <w:rPr>
                      <w:sz w:val="18"/>
                      <w:szCs w:val="18"/>
                    </w:rPr>
                  </w:pPr>
                  <w:r w:rsidRPr="008819AF">
                    <w:rPr>
                      <w:sz w:val="18"/>
                      <w:szCs w:val="18"/>
                    </w:rPr>
                    <w:t>300</w:t>
                  </w:r>
                </w:p>
              </w:tc>
              <w:tc>
                <w:tcPr>
                  <w:tcW w:w="950" w:type="dxa"/>
                  <w:vAlign w:val="center"/>
                </w:tcPr>
                <w:p w14:paraId="15133438" w14:textId="77777777" w:rsidR="00236AB5" w:rsidRPr="008819AF" w:rsidRDefault="00236AB5" w:rsidP="00236AB5">
                  <w:pPr>
                    <w:jc w:val="center"/>
                    <w:rPr>
                      <w:sz w:val="18"/>
                      <w:szCs w:val="18"/>
                    </w:rPr>
                  </w:pPr>
                  <w:r w:rsidRPr="008819AF">
                    <w:rPr>
                      <w:sz w:val="18"/>
                      <w:szCs w:val="18"/>
                    </w:rPr>
                    <w:t>300</w:t>
                  </w:r>
                </w:p>
              </w:tc>
              <w:tc>
                <w:tcPr>
                  <w:tcW w:w="851" w:type="dxa"/>
                  <w:vMerge/>
                  <w:vAlign w:val="center"/>
                </w:tcPr>
                <w:p w14:paraId="15133439" w14:textId="77777777" w:rsidR="00236AB5" w:rsidRPr="008819AF" w:rsidRDefault="00236AB5" w:rsidP="00236AB5">
                  <w:pPr>
                    <w:jc w:val="center"/>
                    <w:rPr>
                      <w:sz w:val="18"/>
                      <w:szCs w:val="18"/>
                    </w:rPr>
                  </w:pPr>
                </w:p>
              </w:tc>
              <w:tc>
                <w:tcPr>
                  <w:tcW w:w="503" w:type="dxa"/>
                </w:tcPr>
                <w:p w14:paraId="1513343A" w14:textId="77777777" w:rsidR="00236AB5" w:rsidRPr="008819AF" w:rsidRDefault="00236AB5" w:rsidP="00236AB5">
                  <w:pPr>
                    <w:jc w:val="center"/>
                    <w:rPr>
                      <w:sz w:val="18"/>
                      <w:szCs w:val="18"/>
                    </w:rPr>
                  </w:pPr>
                  <w:r w:rsidRPr="008819AF">
                    <w:rPr>
                      <w:sz w:val="18"/>
                      <w:szCs w:val="18"/>
                    </w:rPr>
                    <w:t>-</w:t>
                  </w:r>
                </w:p>
              </w:tc>
            </w:tr>
            <w:tr w:rsidR="00236AB5" w:rsidRPr="008819AF" w14:paraId="15133444" w14:textId="77777777" w:rsidTr="00C657B6">
              <w:trPr>
                <w:trHeight w:val="340"/>
                <w:jc w:val="center"/>
              </w:trPr>
              <w:tc>
                <w:tcPr>
                  <w:tcW w:w="540" w:type="dxa"/>
                  <w:vMerge w:val="restart"/>
                  <w:vAlign w:val="center"/>
                </w:tcPr>
                <w:p w14:paraId="1513343C" w14:textId="77777777" w:rsidR="00236AB5" w:rsidRPr="008819AF" w:rsidRDefault="00236AB5" w:rsidP="00236AB5">
                  <w:pPr>
                    <w:ind w:right="-108"/>
                    <w:rPr>
                      <w:sz w:val="18"/>
                      <w:szCs w:val="18"/>
                    </w:rPr>
                  </w:pPr>
                  <w:r w:rsidRPr="008819AF">
                    <w:rPr>
                      <w:sz w:val="18"/>
                      <w:szCs w:val="18"/>
                    </w:rPr>
                    <w:t>≥ 100</w:t>
                  </w:r>
                </w:p>
              </w:tc>
              <w:tc>
                <w:tcPr>
                  <w:tcW w:w="625" w:type="dxa"/>
                  <w:vMerge w:val="restart"/>
                  <w:vAlign w:val="center"/>
                </w:tcPr>
                <w:p w14:paraId="1513343D" w14:textId="77777777" w:rsidR="00236AB5" w:rsidRPr="008819AF" w:rsidRDefault="00236AB5" w:rsidP="00236AB5">
                  <w:pPr>
                    <w:ind w:right="-108"/>
                    <w:rPr>
                      <w:sz w:val="18"/>
                      <w:szCs w:val="18"/>
                    </w:rPr>
                  </w:pPr>
                  <w:r w:rsidRPr="008819AF">
                    <w:rPr>
                      <w:sz w:val="18"/>
                      <w:szCs w:val="18"/>
                    </w:rPr>
                    <w:t>≤ 300</w:t>
                  </w:r>
                </w:p>
              </w:tc>
              <w:tc>
                <w:tcPr>
                  <w:tcW w:w="850" w:type="dxa"/>
                  <w:vAlign w:val="center"/>
                </w:tcPr>
                <w:p w14:paraId="1513343E" w14:textId="77777777" w:rsidR="00236AB5" w:rsidRPr="008819AF" w:rsidRDefault="00236AB5" w:rsidP="00236AB5">
                  <w:pPr>
                    <w:ind w:right="-108" w:hanging="112"/>
                    <w:jc w:val="center"/>
                    <w:rPr>
                      <w:sz w:val="18"/>
                      <w:szCs w:val="18"/>
                    </w:rPr>
                  </w:pPr>
                  <w:r w:rsidRPr="008819AF">
                    <w:rPr>
                      <w:sz w:val="18"/>
                      <w:szCs w:val="18"/>
                    </w:rPr>
                    <w:t>všeobecne</w:t>
                  </w:r>
                </w:p>
              </w:tc>
              <w:tc>
                <w:tcPr>
                  <w:tcW w:w="567" w:type="dxa"/>
                  <w:vMerge w:val="restart"/>
                  <w:vAlign w:val="center"/>
                </w:tcPr>
                <w:p w14:paraId="1513343F" w14:textId="77777777" w:rsidR="00236AB5" w:rsidRPr="008819AF" w:rsidRDefault="00236AB5" w:rsidP="00236AB5">
                  <w:pPr>
                    <w:jc w:val="center"/>
                    <w:rPr>
                      <w:sz w:val="18"/>
                      <w:szCs w:val="18"/>
                    </w:rPr>
                  </w:pPr>
                  <w:r w:rsidRPr="008819AF">
                    <w:rPr>
                      <w:sz w:val="18"/>
                      <w:szCs w:val="18"/>
                    </w:rPr>
                    <w:t>25</w:t>
                  </w:r>
                </w:p>
              </w:tc>
              <w:tc>
                <w:tcPr>
                  <w:tcW w:w="609" w:type="dxa"/>
                  <w:vAlign w:val="center"/>
                </w:tcPr>
                <w:p w14:paraId="15133440" w14:textId="77777777" w:rsidR="00236AB5" w:rsidRPr="008819AF" w:rsidRDefault="00236AB5" w:rsidP="00236AB5">
                  <w:pPr>
                    <w:jc w:val="center"/>
                    <w:rPr>
                      <w:sz w:val="18"/>
                      <w:szCs w:val="18"/>
                    </w:rPr>
                  </w:pPr>
                  <w:r w:rsidRPr="008819AF">
                    <w:rPr>
                      <w:sz w:val="18"/>
                      <w:szCs w:val="18"/>
                    </w:rPr>
                    <w:t>250</w:t>
                  </w:r>
                </w:p>
              </w:tc>
              <w:tc>
                <w:tcPr>
                  <w:tcW w:w="950" w:type="dxa"/>
                  <w:vAlign w:val="center"/>
                </w:tcPr>
                <w:p w14:paraId="15133441" w14:textId="77777777" w:rsidR="00236AB5" w:rsidRPr="008819AF" w:rsidRDefault="00236AB5" w:rsidP="00236AB5">
                  <w:pPr>
                    <w:jc w:val="center"/>
                    <w:rPr>
                      <w:sz w:val="18"/>
                      <w:szCs w:val="18"/>
                    </w:rPr>
                  </w:pPr>
                  <w:r w:rsidRPr="008819AF">
                    <w:rPr>
                      <w:sz w:val="18"/>
                      <w:szCs w:val="18"/>
                    </w:rPr>
                    <w:t>200</w:t>
                  </w:r>
                </w:p>
              </w:tc>
              <w:tc>
                <w:tcPr>
                  <w:tcW w:w="851" w:type="dxa"/>
                  <w:vMerge w:val="restart"/>
                  <w:vAlign w:val="center"/>
                </w:tcPr>
                <w:p w14:paraId="15133442" w14:textId="77777777" w:rsidR="00236AB5" w:rsidRPr="008819AF" w:rsidRDefault="00236AB5" w:rsidP="00236AB5">
                  <w:pPr>
                    <w:jc w:val="center"/>
                    <w:rPr>
                      <w:sz w:val="18"/>
                      <w:szCs w:val="18"/>
                    </w:rPr>
                  </w:pPr>
                  <w:r w:rsidRPr="008819AF">
                    <w:rPr>
                      <w:sz w:val="18"/>
                      <w:szCs w:val="18"/>
                    </w:rPr>
                    <w:t>250</w:t>
                  </w:r>
                </w:p>
              </w:tc>
              <w:tc>
                <w:tcPr>
                  <w:tcW w:w="503" w:type="dxa"/>
                </w:tcPr>
                <w:p w14:paraId="15133443" w14:textId="77777777" w:rsidR="00236AB5" w:rsidRPr="008819AF" w:rsidRDefault="00236AB5" w:rsidP="00236AB5">
                  <w:pPr>
                    <w:jc w:val="center"/>
                    <w:rPr>
                      <w:sz w:val="18"/>
                      <w:szCs w:val="18"/>
                    </w:rPr>
                  </w:pPr>
                  <w:r w:rsidRPr="008819AF">
                    <w:rPr>
                      <w:sz w:val="18"/>
                      <w:szCs w:val="18"/>
                    </w:rPr>
                    <w:t>-</w:t>
                  </w:r>
                </w:p>
              </w:tc>
            </w:tr>
            <w:tr w:rsidR="00236AB5" w:rsidRPr="008819AF" w14:paraId="1513344D" w14:textId="77777777" w:rsidTr="00C657B6">
              <w:trPr>
                <w:trHeight w:val="340"/>
                <w:jc w:val="center"/>
              </w:trPr>
              <w:tc>
                <w:tcPr>
                  <w:tcW w:w="540" w:type="dxa"/>
                  <w:vMerge/>
                  <w:vAlign w:val="center"/>
                </w:tcPr>
                <w:p w14:paraId="15133445" w14:textId="77777777" w:rsidR="00236AB5" w:rsidRPr="008819AF" w:rsidRDefault="00236AB5" w:rsidP="00236AB5">
                  <w:pPr>
                    <w:rPr>
                      <w:sz w:val="18"/>
                      <w:szCs w:val="18"/>
                    </w:rPr>
                  </w:pPr>
                </w:p>
              </w:tc>
              <w:tc>
                <w:tcPr>
                  <w:tcW w:w="625" w:type="dxa"/>
                  <w:vMerge/>
                  <w:vAlign w:val="center"/>
                </w:tcPr>
                <w:p w14:paraId="15133446" w14:textId="77777777" w:rsidR="00236AB5" w:rsidRPr="008819AF" w:rsidRDefault="00236AB5" w:rsidP="00236AB5">
                  <w:pPr>
                    <w:rPr>
                      <w:sz w:val="18"/>
                      <w:szCs w:val="18"/>
                    </w:rPr>
                  </w:pPr>
                </w:p>
              </w:tc>
              <w:tc>
                <w:tcPr>
                  <w:tcW w:w="850" w:type="dxa"/>
                  <w:vAlign w:val="center"/>
                </w:tcPr>
                <w:p w14:paraId="15133447" w14:textId="77777777" w:rsidR="00236AB5" w:rsidRPr="008819AF" w:rsidRDefault="00236AB5" w:rsidP="00236AB5">
                  <w:pPr>
                    <w:ind w:right="-108" w:hanging="112"/>
                    <w:jc w:val="center"/>
                    <w:rPr>
                      <w:sz w:val="18"/>
                      <w:szCs w:val="18"/>
                    </w:rPr>
                  </w:pPr>
                  <w:r w:rsidRPr="008819AF">
                    <w:rPr>
                      <w:sz w:val="18"/>
                      <w:szCs w:val="18"/>
                    </w:rPr>
                    <w:t>OPR</w:t>
                  </w:r>
                </w:p>
              </w:tc>
              <w:tc>
                <w:tcPr>
                  <w:tcW w:w="567" w:type="dxa"/>
                  <w:vMerge/>
                  <w:vAlign w:val="center"/>
                </w:tcPr>
                <w:p w14:paraId="15133448" w14:textId="77777777" w:rsidR="00236AB5" w:rsidRPr="008819AF" w:rsidRDefault="00236AB5" w:rsidP="00236AB5">
                  <w:pPr>
                    <w:jc w:val="center"/>
                    <w:rPr>
                      <w:sz w:val="18"/>
                      <w:szCs w:val="18"/>
                    </w:rPr>
                  </w:pPr>
                </w:p>
              </w:tc>
              <w:tc>
                <w:tcPr>
                  <w:tcW w:w="609" w:type="dxa"/>
                  <w:vAlign w:val="center"/>
                </w:tcPr>
                <w:p w14:paraId="15133449" w14:textId="77777777" w:rsidR="00236AB5" w:rsidRPr="008819AF" w:rsidRDefault="00236AB5" w:rsidP="00236AB5">
                  <w:pPr>
                    <w:jc w:val="center"/>
                    <w:rPr>
                      <w:sz w:val="18"/>
                      <w:szCs w:val="18"/>
                    </w:rPr>
                  </w:pPr>
                  <w:r w:rsidRPr="008819AF">
                    <w:rPr>
                      <w:sz w:val="18"/>
                      <w:szCs w:val="18"/>
                    </w:rPr>
                    <w:t>800</w:t>
                  </w:r>
                  <w:r w:rsidRPr="008819AF">
                    <w:rPr>
                      <w:sz w:val="18"/>
                      <w:szCs w:val="18"/>
                      <w:vertAlign w:val="superscript"/>
                    </w:rPr>
                    <w:t>2</w:t>
                  </w:r>
                  <w:r w:rsidRPr="008819AF">
                    <w:rPr>
                      <w:sz w:val="18"/>
                      <w:szCs w:val="18"/>
                    </w:rPr>
                    <w:t>)</w:t>
                  </w:r>
                </w:p>
              </w:tc>
              <w:tc>
                <w:tcPr>
                  <w:tcW w:w="950" w:type="dxa"/>
                  <w:vAlign w:val="center"/>
                </w:tcPr>
                <w:p w14:paraId="1513344A" w14:textId="77777777" w:rsidR="00236AB5" w:rsidRPr="008819AF" w:rsidRDefault="00236AB5" w:rsidP="00236AB5">
                  <w:pPr>
                    <w:jc w:val="center"/>
                    <w:rPr>
                      <w:sz w:val="18"/>
                      <w:szCs w:val="18"/>
                    </w:rPr>
                  </w:pPr>
                  <w:r w:rsidRPr="008819AF">
                    <w:rPr>
                      <w:sz w:val="18"/>
                      <w:szCs w:val="18"/>
                    </w:rPr>
                    <w:t>450</w:t>
                  </w:r>
                  <w:r w:rsidRPr="008819AF">
                    <w:rPr>
                      <w:sz w:val="18"/>
                      <w:szCs w:val="18"/>
                      <w:vertAlign w:val="superscript"/>
                    </w:rPr>
                    <w:t>2</w:t>
                  </w:r>
                  <w:r w:rsidRPr="008819AF">
                    <w:rPr>
                      <w:sz w:val="18"/>
                      <w:szCs w:val="18"/>
                    </w:rPr>
                    <w:t>)</w:t>
                  </w:r>
                </w:p>
              </w:tc>
              <w:tc>
                <w:tcPr>
                  <w:tcW w:w="851" w:type="dxa"/>
                  <w:vMerge/>
                  <w:vAlign w:val="center"/>
                </w:tcPr>
                <w:p w14:paraId="1513344B" w14:textId="77777777" w:rsidR="00236AB5" w:rsidRPr="008819AF" w:rsidRDefault="00236AB5" w:rsidP="00236AB5">
                  <w:pPr>
                    <w:jc w:val="center"/>
                    <w:rPr>
                      <w:sz w:val="18"/>
                      <w:szCs w:val="18"/>
                    </w:rPr>
                  </w:pPr>
                </w:p>
              </w:tc>
              <w:tc>
                <w:tcPr>
                  <w:tcW w:w="503" w:type="dxa"/>
                </w:tcPr>
                <w:p w14:paraId="1513344C" w14:textId="77777777" w:rsidR="00236AB5" w:rsidRPr="008819AF" w:rsidRDefault="00236AB5" w:rsidP="00236AB5">
                  <w:pPr>
                    <w:jc w:val="center"/>
                    <w:rPr>
                      <w:sz w:val="18"/>
                      <w:szCs w:val="18"/>
                    </w:rPr>
                  </w:pPr>
                  <w:r w:rsidRPr="008819AF">
                    <w:rPr>
                      <w:sz w:val="18"/>
                      <w:szCs w:val="18"/>
                    </w:rPr>
                    <w:t>-</w:t>
                  </w:r>
                </w:p>
              </w:tc>
            </w:tr>
            <w:tr w:rsidR="00236AB5" w:rsidRPr="008819AF" w14:paraId="15133456" w14:textId="77777777" w:rsidTr="00C657B6">
              <w:trPr>
                <w:trHeight w:val="340"/>
                <w:jc w:val="center"/>
              </w:trPr>
              <w:tc>
                <w:tcPr>
                  <w:tcW w:w="540" w:type="dxa"/>
                  <w:vMerge/>
                  <w:vAlign w:val="center"/>
                </w:tcPr>
                <w:p w14:paraId="1513344E" w14:textId="77777777" w:rsidR="00236AB5" w:rsidRPr="008819AF" w:rsidRDefault="00236AB5" w:rsidP="00236AB5">
                  <w:pPr>
                    <w:rPr>
                      <w:sz w:val="18"/>
                      <w:szCs w:val="18"/>
                    </w:rPr>
                  </w:pPr>
                </w:p>
              </w:tc>
              <w:tc>
                <w:tcPr>
                  <w:tcW w:w="625" w:type="dxa"/>
                  <w:vMerge/>
                  <w:vAlign w:val="center"/>
                </w:tcPr>
                <w:p w14:paraId="1513344F" w14:textId="77777777" w:rsidR="00236AB5" w:rsidRPr="008819AF" w:rsidRDefault="00236AB5" w:rsidP="00236AB5">
                  <w:pPr>
                    <w:rPr>
                      <w:sz w:val="18"/>
                      <w:szCs w:val="18"/>
                    </w:rPr>
                  </w:pPr>
                </w:p>
              </w:tc>
              <w:tc>
                <w:tcPr>
                  <w:tcW w:w="850" w:type="dxa"/>
                  <w:vAlign w:val="center"/>
                </w:tcPr>
                <w:p w14:paraId="15133450" w14:textId="77777777" w:rsidR="00236AB5" w:rsidRPr="008819AF" w:rsidRDefault="00236AB5" w:rsidP="00236AB5">
                  <w:pPr>
                    <w:ind w:right="-108" w:hanging="112"/>
                    <w:jc w:val="center"/>
                    <w:rPr>
                      <w:sz w:val="18"/>
                      <w:szCs w:val="18"/>
                    </w:rPr>
                  </w:pPr>
                  <w:r w:rsidRPr="008819AF">
                    <w:rPr>
                      <w:sz w:val="18"/>
                      <w:szCs w:val="18"/>
                    </w:rPr>
                    <w:t>biomasa</w:t>
                  </w:r>
                </w:p>
              </w:tc>
              <w:tc>
                <w:tcPr>
                  <w:tcW w:w="567" w:type="dxa"/>
                  <w:vAlign w:val="center"/>
                </w:tcPr>
                <w:p w14:paraId="15133451" w14:textId="77777777" w:rsidR="00236AB5" w:rsidRPr="008819AF" w:rsidRDefault="00236AB5" w:rsidP="00236AB5">
                  <w:pPr>
                    <w:jc w:val="center"/>
                    <w:rPr>
                      <w:sz w:val="18"/>
                      <w:szCs w:val="18"/>
                    </w:rPr>
                  </w:pPr>
                  <w:r w:rsidRPr="008819AF">
                    <w:rPr>
                      <w:sz w:val="18"/>
                      <w:szCs w:val="18"/>
                    </w:rPr>
                    <w:t>20</w:t>
                  </w:r>
                </w:p>
              </w:tc>
              <w:tc>
                <w:tcPr>
                  <w:tcW w:w="609" w:type="dxa"/>
                  <w:vAlign w:val="center"/>
                </w:tcPr>
                <w:p w14:paraId="15133452" w14:textId="77777777" w:rsidR="00236AB5" w:rsidRPr="008819AF" w:rsidRDefault="00236AB5" w:rsidP="00236AB5">
                  <w:pPr>
                    <w:jc w:val="center"/>
                    <w:rPr>
                      <w:sz w:val="18"/>
                      <w:szCs w:val="18"/>
                    </w:rPr>
                  </w:pPr>
                  <w:r w:rsidRPr="008819AF">
                    <w:rPr>
                      <w:sz w:val="18"/>
                      <w:szCs w:val="18"/>
                    </w:rPr>
                    <w:t>200</w:t>
                  </w:r>
                </w:p>
              </w:tc>
              <w:tc>
                <w:tcPr>
                  <w:tcW w:w="950" w:type="dxa"/>
                  <w:vAlign w:val="center"/>
                </w:tcPr>
                <w:p w14:paraId="15133453" w14:textId="77777777" w:rsidR="00236AB5" w:rsidRPr="008819AF" w:rsidRDefault="00236AB5" w:rsidP="00236AB5">
                  <w:pPr>
                    <w:jc w:val="center"/>
                    <w:rPr>
                      <w:sz w:val="18"/>
                      <w:szCs w:val="18"/>
                    </w:rPr>
                  </w:pPr>
                  <w:r w:rsidRPr="008819AF">
                    <w:rPr>
                      <w:sz w:val="18"/>
                      <w:szCs w:val="18"/>
                    </w:rPr>
                    <w:t>250</w:t>
                  </w:r>
                </w:p>
              </w:tc>
              <w:tc>
                <w:tcPr>
                  <w:tcW w:w="851" w:type="dxa"/>
                  <w:vMerge/>
                  <w:vAlign w:val="center"/>
                </w:tcPr>
                <w:p w14:paraId="15133454" w14:textId="77777777" w:rsidR="00236AB5" w:rsidRPr="008819AF" w:rsidRDefault="00236AB5" w:rsidP="00236AB5">
                  <w:pPr>
                    <w:jc w:val="center"/>
                    <w:rPr>
                      <w:sz w:val="18"/>
                      <w:szCs w:val="18"/>
                    </w:rPr>
                  </w:pPr>
                </w:p>
              </w:tc>
              <w:tc>
                <w:tcPr>
                  <w:tcW w:w="503" w:type="dxa"/>
                </w:tcPr>
                <w:p w14:paraId="15133455" w14:textId="77777777" w:rsidR="00236AB5" w:rsidRPr="008819AF" w:rsidRDefault="00236AB5" w:rsidP="00236AB5">
                  <w:pPr>
                    <w:jc w:val="center"/>
                    <w:rPr>
                      <w:sz w:val="18"/>
                      <w:szCs w:val="18"/>
                    </w:rPr>
                  </w:pPr>
                  <w:r w:rsidRPr="008819AF">
                    <w:rPr>
                      <w:sz w:val="18"/>
                      <w:szCs w:val="18"/>
                    </w:rPr>
                    <w:t>50</w:t>
                  </w:r>
                </w:p>
              </w:tc>
            </w:tr>
            <w:tr w:rsidR="00236AB5" w:rsidRPr="008819AF" w14:paraId="1513345F" w14:textId="77777777" w:rsidTr="00C657B6">
              <w:trPr>
                <w:trHeight w:val="340"/>
                <w:jc w:val="center"/>
              </w:trPr>
              <w:tc>
                <w:tcPr>
                  <w:tcW w:w="540" w:type="dxa"/>
                  <w:vMerge/>
                  <w:vAlign w:val="center"/>
                </w:tcPr>
                <w:p w14:paraId="15133457" w14:textId="77777777" w:rsidR="00236AB5" w:rsidRPr="008819AF" w:rsidRDefault="00236AB5" w:rsidP="00236AB5">
                  <w:pPr>
                    <w:rPr>
                      <w:sz w:val="18"/>
                      <w:szCs w:val="18"/>
                    </w:rPr>
                  </w:pPr>
                </w:p>
              </w:tc>
              <w:tc>
                <w:tcPr>
                  <w:tcW w:w="625" w:type="dxa"/>
                  <w:vMerge/>
                  <w:vAlign w:val="center"/>
                </w:tcPr>
                <w:p w14:paraId="15133458" w14:textId="77777777" w:rsidR="00236AB5" w:rsidRPr="008819AF" w:rsidRDefault="00236AB5" w:rsidP="00236AB5">
                  <w:pPr>
                    <w:rPr>
                      <w:sz w:val="18"/>
                      <w:szCs w:val="18"/>
                    </w:rPr>
                  </w:pPr>
                </w:p>
              </w:tc>
              <w:tc>
                <w:tcPr>
                  <w:tcW w:w="850" w:type="dxa"/>
                  <w:vAlign w:val="center"/>
                </w:tcPr>
                <w:p w14:paraId="15133459" w14:textId="77777777" w:rsidR="00236AB5" w:rsidRPr="008819AF" w:rsidRDefault="00236AB5" w:rsidP="00236AB5">
                  <w:pPr>
                    <w:ind w:right="-108" w:hanging="112"/>
                    <w:jc w:val="center"/>
                    <w:rPr>
                      <w:sz w:val="18"/>
                      <w:szCs w:val="18"/>
                    </w:rPr>
                  </w:pPr>
                  <w:r w:rsidRPr="008819AF">
                    <w:rPr>
                      <w:sz w:val="18"/>
                      <w:szCs w:val="18"/>
                    </w:rPr>
                    <w:t>rašelina</w:t>
                  </w:r>
                </w:p>
              </w:tc>
              <w:tc>
                <w:tcPr>
                  <w:tcW w:w="567" w:type="dxa"/>
                  <w:vAlign w:val="center"/>
                </w:tcPr>
                <w:p w14:paraId="1513345A" w14:textId="77777777" w:rsidR="00236AB5" w:rsidRPr="008819AF" w:rsidRDefault="00236AB5" w:rsidP="00236AB5">
                  <w:pPr>
                    <w:jc w:val="center"/>
                    <w:rPr>
                      <w:sz w:val="18"/>
                      <w:szCs w:val="18"/>
                    </w:rPr>
                  </w:pPr>
                  <w:r w:rsidRPr="008819AF">
                    <w:rPr>
                      <w:sz w:val="18"/>
                      <w:szCs w:val="18"/>
                    </w:rPr>
                    <w:t>20</w:t>
                  </w:r>
                </w:p>
              </w:tc>
              <w:tc>
                <w:tcPr>
                  <w:tcW w:w="609" w:type="dxa"/>
                  <w:vAlign w:val="center"/>
                </w:tcPr>
                <w:p w14:paraId="1513345B" w14:textId="77777777" w:rsidR="00236AB5" w:rsidRPr="008819AF" w:rsidRDefault="00236AB5" w:rsidP="00236AB5">
                  <w:pPr>
                    <w:jc w:val="center"/>
                    <w:rPr>
                      <w:sz w:val="18"/>
                      <w:szCs w:val="18"/>
                    </w:rPr>
                  </w:pPr>
                  <w:r w:rsidRPr="008819AF">
                    <w:rPr>
                      <w:sz w:val="18"/>
                      <w:szCs w:val="18"/>
                    </w:rPr>
                    <w:t>300</w:t>
                  </w:r>
                </w:p>
              </w:tc>
              <w:tc>
                <w:tcPr>
                  <w:tcW w:w="950" w:type="dxa"/>
                  <w:vAlign w:val="center"/>
                </w:tcPr>
                <w:p w14:paraId="1513345C" w14:textId="77777777" w:rsidR="00236AB5" w:rsidRPr="008819AF" w:rsidRDefault="00236AB5" w:rsidP="00236AB5">
                  <w:pPr>
                    <w:jc w:val="center"/>
                    <w:rPr>
                      <w:sz w:val="18"/>
                      <w:szCs w:val="18"/>
                    </w:rPr>
                  </w:pPr>
                  <w:r w:rsidRPr="008819AF">
                    <w:rPr>
                      <w:sz w:val="18"/>
                      <w:szCs w:val="18"/>
                    </w:rPr>
                    <w:t>250</w:t>
                  </w:r>
                </w:p>
              </w:tc>
              <w:tc>
                <w:tcPr>
                  <w:tcW w:w="851" w:type="dxa"/>
                  <w:vMerge/>
                  <w:vAlign w:val="center"/>
                </w:tcPr>
                <w:p w14:paraId="1513345D" w14:textId="77777777" w:rsidR="00236AB5" w:rsidRPr="008819AF" w:rsidRDefault="00236AB5" w:rsidP="00236AB5">
                  <w:pPr>
                    <w:jc w:val="center"/>
                    <w:rPr>
                      <w:sz w:val="18"/>
                      <w:szCs w:val="18"/>
                    </w:rPr>
                  </w:pPr>
                </w:p>
              </w:tc>
              <w:tc>
                <w:tcPr>
                  <w:tcW w:w="503" w:type="dxa"/>
                </w:tcPr>
                <w:p w14:paraId="1513345E" w14:textId="77777777" w:rsidR="00236AB5" w:rsidRPr="008819AF" w:rsidRDefault="00236AB5" w:rsidP="00236AB5">
                  <w:pPr>
                    <w:jc w:val="center"/>
                    <w:rPr>
                      <w:sz w:val="18"/>
                      <w:szCs w:val="18"/>
                    </w:rPr>
                  </w:pPr>
                  <w:r w:rsidRPr="008819AF">
                    <w:rPr>
                      <w:sz w:val="18"/>
                      <w:szCs w:val="18"/>
                    </w:rPr>
                    <w:t>-</w:t>
                  </w:r>
                </w:p>
              </w:tc>
            </w:tr>
            <w:tr w:rsidR="00236AB5" w:rsidRPr="008819AF" w14:paraId="15133468" w14:textId="77777777" w:rsidTr="00C657B6">
              <w:trPr>
                <w:trHeight w:val="340"/>
                <w:jc w:val="center"/>
              </w:trPr>
              <w:tc>
                <w:tcPr>
                  <w:tcW w:w="540" w:type="dxa"/>
                  <w:vMerge w:val="restart"/>
                  <w:vAlign w:val="center"/>
                </w:tcPr>
                <w:p w14:paraId="15133460" w14:textId="77777777" w:rsidR="00236AB5" w:rsidRPr="008819AF" w:rsidRDefault="00236AB5" w:rsidP="00236AB5">
                  <w:pPr>
                    <w:ind w:right="-108"/>
                    <w:rPr>
                      <w:sz w:val="18"/>
                      <w:szCs w:val="18"/>
                    </w:rPr>
                  </w:pPr>
                  <w:r w:rsidRPr="008819AF">
                    <w:rPr>
                      <w:sz w:val="18"/>
                      <w:szCs w:val="18"/>
                    </w:rPr>
                    <w:t>&gt; 300</w:t>
                  </w:r>
                </w:p>
              </w:tc>
              <w:tc>
                <w:tcPr>
                  <w:tcW w:w="625" w:type="dxa"/>
                  <w:vMerge w:val="restart"/>
                  <w:vAlign w:val="center"/>
                </w:tcPr>
                <w:p w14:paraId="15133461" w14:textId="77777777" w:rsidR="00236AB5" w:rsidRPr="008819AF" w:rsidRDefault="00236AB5" w:rsidP="00236AB5">
                  <w:pPr>
                    <w:jc w:val="center"/>
                    <w:rPr>
                      <w:sz w:val="18"/>
                      <w:szCs w:val="18"/>
                    </w:rPr>
                  </w:pPr>
                  <w:r w:rsidRPr="008819AF">
                    <w:rPr>
                      <w:sz w:val="18"/>
                      <w:szCs w:val="18"/>
                    </w:rPr>
                    <w:t>-</w:t>
                  </w:r>
                </w:p>
              </w:tc>
              <w:tc>
                <w:tcPr>
                  <w:tcW w:w="850" w:type="dxa"/>
                  <w:vAlign w:val="center"/>
                </w:tcPr>
                <w:p w14:paraId="15133462" w14:textId="77777777" w:rsidR="00236AB5" w:rsidRPr="008819AF" w:rsidRDefault="00236AB5" w:rsidP="00236AB5">
                  <w:pPr>
                    <w:ind w:right="-108" w:hanging="112"/>
                    <w:jc w:val="center"/>
                    <w:rPr>
                      <w:sz w:val="18"/>
                      <w:szCs w:val="18"/>
                    </w:rPr>
                  </w:pPr>
                  <w:r w:rsidRPr="008819AF">
                    <w:rPr>
                      <w:sz w:val="18"/>
                      <w:szCs w:val="18"/>
                    </w:rPr>
                    <w:t>všeobecne</w:t>
                  </w:r>
                </w:p>
              </w:tc>
              <w:tc>
                <w:tcPr>
                  <w:tcW w:w="567" w:type="dxa"/>
                  <w:vMerge w:val="restart"/>
                  <w:vAlign w:val="center"/>
                </w:tcPr>
                <w:p w14:paraId="15133463" w14:textId="77777777" w:rsidR="00236AB5" w:rsidRPr="008819AF" w:rsidRDefault="00236AB5" w:rsidP="00236AB5">
                  <w:pPr>
                    <w:jc w:val="center"/>
                    <w:rPr>
                      <w:sz w:val="18"/>
                      <w:szCs w:val="18"/>
                    </w:rPr>
                  </w:pPr>
                  <w:r w:rsidRPr="008819AF">
                    <w:rPr>
                      <w:sz w:val="18"/>
                      <w:szCs w:val="18"/>
                    </w:rPr>
                    <w:t>20</w:t>
                  </w:r>
                </w:p>
              </w:tc>
              <w:tc>
                <w:tcPr>
                  <w:tcW w:w="609" w:type="dxa"/>
                  <w:vAlign w:val="center"/>
                </w:tcPr>
                <w:p w14:paraId="15133464" w14:textId="77777777" w:rsidR="00236AB5" w:rsidRPr="008819AF" w:rsidRDefault="00236AB5" w:rsidP="00236AB5">
                  <w:pPr>
                    <w:jc w:val="center"/>
                    <w:rPr>
                      <w:sz w:val="18"/>
                      <w:szCs w:val="18"/>
                    </w:rPr>
                  </w:pPr>
                  <w:r w:rsidRPr="008819AF">
                    <w:rPr>
                      <w:sz w:val="18"/>
                      <w:szCs w:val="18"/>
                    </w:rPr>
                    <w:t>200</w:t>
                  </w:r>
                </w:p>
              </w:tc>
              <w:tc>
                <w:tcPr>
                  <w:tcW w:w="950" w:type="dxa"/>
                  <w:vAlign w:val="center"/>
                </w:tcPr>
                <w:p w14:paraId="15133465" w14:textId="77777777" w:rsidR="00236AB5" w:rsidRPr="008819AF" w:rsidRDefault="00236AB5" w:rsidP="00236AB5">
                  <w:pPr>
                    <w:jc w:val="center"/>
                    <w:rPr>
                      <w:sz w:val="18"/>
                      <w:szCs w:val="18"/>
                    </w:rPr>
                  </w:pPr>
                  <w:r w:rsidRPr="008819AF">
                    <w:rPr>
                      <w:sz w:val="18"/>
                      <w:szCs w:val="18"/>
                    </w:rPr>
                    <w:t>200</w:t>
                  </w:r>
                </w:p>
              </w:tc>
              <w:tc>
                <w:tcPr>
                  <w:tcW w:w="851" w:type="dxa"/>
                  <w:vMerge w:val="restart"/>
                  <w:vAlign w:val="center"/>
                </w:tcPr>
                <w:p w14:paraId="15133466" w14:textId="77777777" w:rsidR="00236AB5" w:rsidRPr="008819AF" w:rsidRDefault="00236AB5" w:rsidP="00236AB5">
                  <w:pPr>
                    <w:jc w:val="center"/>
                    <w:rPr>
                      <w:sz w:val="18"/>
                      <w:szCs w:val="18"/>
                    </w:rPr>
                  </w:pPr>
                  <w:r w:rsidRPr="008819AF">
                    <w:rPr>
                      <w:sz w:val="18"/>
                      <w:szCs w:val="18"/>
                    </w:rPr>
                    <w:t>250</w:t>
                  </w:r>
                </w:p>
              </w:tc>
              <w:tc>
                <w:tcPr>
                  <w:tcW w:w="503" w:type="dxa"/>
                </w:tcPr>
                <w:p w14:paraId="15133467" w14:textId="77777777" w:rsidR="00236AB5" w:rsidRPr="008819AF" w:rsidRDefault="00236AB5" w:rsidP="00236AB5">
                  <w:pPr>
                    <w:jc w:val="center"/>
                    <w:rPr>
                      <w:sz w:val="18"/>
                      <w:szCs w:val="18"/>
                    </w:rPr>
                  </w:pPr>
                  <w:r w:rsidRPr="008819AF">
                    <w:rPr>
                      <w:sz w:val="18"/>
                      <w:szCs w:val="18"/>
                    </w:rPr>
                    <w:t>-</w:t>
                  </w:r>
                </w:p>
              </w:tc>
            </w:tr>
            <w:tr w:rsidR="00236AB5" w:rsidRPr="008819AF" w14:paraId="15133471" w14:textId="77777777" w:rsidTr="00C657B6">
              <w:trPr>
                <w:trHeight w:val="340"/>
                <w:jc w:val="center"/>
              </w:trPr>
              <w:tc>
                <w:tcPr>
                  <w:tcW w:w="540" w:type="dxa"/>
                  <w:vMerge/>
                  <w:vAlign w:val="center"/>
                </w:tcPr>
                <w:p w14:paraId="15133469" w14:textId="77777777" w:rsidR="00236AB5" w:rsidRPr="008819AF" w:rsidRDefault="00236AB5" w:rsidP="00236AB5">
                  <w:pPr>
                    <w:rPr>
                      <w:sz w:val="18"/>
                      <w:szCs w:val="18"/>
                    </w:rPr>
                  </w:pPr>
                </w:p>
              </w:tc>
              <w:tc>
                <w:tcPr>
                  <w:tcW w:w="625" w:type="dxa"/>
                  <w:vMerge/>
                  <w:vAlign w:val="center"/>
                </w:tcPr>
                <w:p w14:paraId="1513346A" w14:textId="77777777" w:rsidR="00236AB5" w:rsidRPr="008819AF" w:rsidRDefault="00236AB5" w:rsidP="00236AB5">
                  <w:pPr>
                    <w:rPr>
                      <w:sz w:val="18"/>
                      <w:szCs w:val="18"/>
                    </w:rPr>
                  </w:pPr>
                </w:p>
              </w:tc>
              <w:tc>
                <w:tcPr>
                  <w:tcW w:w="850" w:type="dxa"/>
                  <w:vAlign w:val="center"/>
                </w:tcPr>
                <w:p w14:paraId="1513346B" w14:textId="77777777" w:rsidR="00236AB5" w:rsidRPr="008819AF" w:rsidRDefault="00236AB5" w:rsidP="00236AB5">
                  <w:pPr>
                    <w:ind w:right="-108" w:hanging="112"/>
                    <w:jc w:val="center"/>
                    <w:rPr>
                      <w:sz w:val="18"/>
                      <w:szCs w:val="18"/>
                    </w:rPr>
                  </w:pPr>
                  <w:r w:rsidRPr="008819AF">
                    <w:rPr>
                      <w:sz w:val="18"/>
                      <w:szCs w:val="18"/>
                    </w:rPr>
                    <w:t xml:space="preserve">OPR </w:t>
                  </w:r>
                </w:p>
              </w:tc>
              <w:tc>
                <w:tcPr>
                  <w:tcW w:w="567" w:type="dxa"/>
                  <w:vMerge/>
                  <w:vAlign w:val="center"/>
                </w:tcPr>
                <w:p w14:paraId="1513346C" w14:textId="77777777" w:rsidR="00236AB5" w:rsidRPr="008819AF" w:rsidRDefault="00236AB5" w:rsidP="00236AB5">
                  <w:pPr>
                    <w:jc w:val="center"/>
                    <w:rPr>
                      <w:sz w:val="18"/>
                      <w:szCs w:val="18"/>
                    </w:rPr>
                  </w:pPr>
                </w:p>
              </w:tc>
              <w:tc>
                <w:tcPr>
                  <w:tcW w:w="609" w:type="dxa"/>
                  <w:vAlign w:val="center"/>
                </w:tcPr>
                <w:p w14:paraId="1513346D" w14:textId="77777777" w:rsidR="00236AB5" w:rsidRPr="008819AF" w:rsidRDefault="00236AB5" w:rsidP="00236AB5">
                  <w:pPr>
                    <w:jc w:val="center"/>
                    <w:rPr>
                      <w:sz w:val="18"/>
                      <w:szCs w:val="18"/>
                    </w:rPr>
                  </w:pPr>
                  <w:r w:rsidRPr="008819AF">
                    <w:rPr>
                      <w:sz w:val="18"/>
                      <w:szCs w:val="18"/>
                    </w:rPr>
                    <w:t>800</w:t>
                  </w:r>
                  <w:r w:rsidRPr="008819AF">
                    <w:rPr>
                      <w:sz w:val="18"/>
                      <w:szCs w:val="18"/>
                      <w:vertAlign w:val="superscript"/>
                    </w:rPr>
                    <w:t>2</w:t>
                  </w:r>
                  <w:r w:rsidRPr="008819AF">
                    <w:rPr>
                      <w:sz w:val="18"/>
                      <w:szCs w:val="18"/>
                    </w:rPr>
                    <w:t>)</w:t>
                  </w:r>
                </w:p>
              </w:tc>
              <w:tc>
                <w:tcPr>
                  <w:tcW w:w="950" w:type="dxa"/>
                  <w:vAlign w:val="center"/>
                </w:tcPr>
                <w:p w14:paraId="1513346E" w14:textId="77777777" w:rsidR="00236AB5" w:rsidRPr="008819AF" w:rsidRDefault="00236AB5" w:rsidP="00236AB5">
                  <w:pPr>
                    <w:jc w:val="center"/>
                    <w:rPr>
                      <w:sz w:val="18"/>
                      <w:szCs w:val="18"/>
                    </w:rPr>
                  </w:pPr>
                  <w:r w:rsidRPr="008819AF">
                    <w:rPr>
                      <w:sz w:val="18"/>
                      <w:szCs w:val="18"/>
                    </w:rPr>
                    <w:t>450</w:t>
                  </w:r>
                  <w:r w:rsidRPr="008819AF">
                    <w:rPr>
                      <w:sz w:val="18"/>
                      <w:szCs w:val="18"/>
                      <w:vertAlign w:val="superscript"/>
                    </w:rPr>
                    <w:t>3</w:t>
                  </w:r>
                  <w:r w:rsidRPr="008819AF">
                    <w:rPr>
                      <w:sz w:val="18"/>
                      <w:szCs w:val="18"/>
                    </w:rPr>
                    <w:t>)</w:t>
                  </w:r>
                </w:p>
              </w:tc>
              <w:tc>
                <w:tcPr>
                  <w:tcW w:w="851" w:type="dxa"/>
                  <w:vMerge/>
                </w:tcPr>
                <w:p w14:paraId="1513346F" w14:textId="77777777" w:rsidR="00236AB5" w:rsidRPr="008819AF" w:rsidRDefault="00236AB5" w:rsidP="00236AB5">
                  <w:pPr>
                    <w:rPr>
                      <w:sz w:val="18"/>
                      <w:szCs w:val="18"/>
                    </w:rPr>
                  </w:pPr>
                </w:p>
              </w:tc>
              <w:tc>
                <w:tcPr>
                  <w:tcW w:w="503" w:type="dxa"/>
                </w:tcPr>
                <w:p w14:paraId="15133470" w14:textId="77777777" w:rsidR="00236AB5" w:rsidRPr="008819AF" w:rsidRDefault="00236AB5" w:rsidP="00236AB5">
                  <w:pPr>
                    <w:jc w:val="center"/>
                    <w:rPr>
                      <w:sz w:val="18"/>
                      <w:szCs w:val="18"/>
                    </w:rPr>
                  </w:pPr>
                  <w:r w:rsidRPr="008819AF">
                    <w:rPr>
                      <w:sz w:val="18"/>
                      <w:szCs w:val="18"/>
                    </w:rPr>
                    <w:t>-</w:t>
                  </w:r>
                </w:p>
              </w:tc>
            </w:tr>
            <w:tr w:rsidR="00236AB5" w:rsidRPr="008819AF" w14:paraId="1513347A" w14:textId="77777777" w:rsidTr="00C657B6">
              <w:trPr>
                <w:trHeight w:val="340"/>
                <w:jc w:val="center"/>
              </w:trPr>
              <w:tc>
                <w:tcPr>
                  <w:tcW w:w="540" w:type="dxa"/>
                  <w:vMerge/>
                  <w:vAlign w:val="center"/>
                </w:tcPr>
                <w:p w14:paraId="15133472" w14:textId="77777777" w:rsidR="00236AB5" w:rsidRPr="008819AF" w:rsidRDefault="00236AB5" w:rsidP="00236AB5">
                  <w:pPr>
                    <w:rPr>
                      <w:sz w:val="18"/>
                      <w:szCs w:val="18"/>
                    </w:rPr>
                  </w:pPr>
                </w:p>
              </w:tc>
              <w:tc>
                <w:tcPr>
                  <w:tcW w:w="625" w:type="dxa"/>
                  <w:vMerge/>
                  <w:vAlign w:val="center"/>
                </w:tcPr>
                <w:p w14:paraId="15133473" w14:textId="77777777" w:rsidR="00236AB5" w:rsidRPr="008819AF" w:rsidRDefault="00236AB5" w:rsidP="00236AB5">
                  <w:pPr>
                    <w:rPr>
                      <w:sz w:val="18"/>
                      <w:szCs w:val="18"/>
                    </w:rPr>
                  </w:pPr>
                </w:p>
              </w:tc>
              <w:tc>
                <w:tcPr>
                  <w:tcW w:w="850" w:type="dxa"/>
                  <w:vAlign w:val="center"/>
                </w:tcPr>
                <w:p w14:paraId="15133474" w14:textId="77777777" w:rsidR="00236AB5" w:rsidRPr="008819AF" w:rsidRDefault="00236AB5" w:rsidP="00236AB5">
                  <w:pPr>
                    <w:ind w:left="-112" w:right="-108"/>
                    <w:jc w:val="center"/>
                    <w:rPr>
                      <w:sz w:val="18"/>
                      <w:szCs w:val="18"/>
                    </w:rPr>
                  </w:pPr>
                  <w:r w:rsidRPr="008819AF">
                    <w:rPr>
                      <w:sz w:val="18"/>
                      <w:szCs w:val="18"/>
                    </w:rPr>
                    <w:t>biomasa, rašelina</w:t>
                  </w:r>
                </w:p>
              </w:tc>
              <w:tc>
                <w:tcPr>
                  <w:tcW w:w="567" w:type="dxa"/>
                  <w:vMerge/>
                  <w:vAlign w:val="center"/>
                </w:tcPr>
                <w:p w14:paraId="15133475" w14:textId="77777777" w:rsidR="00236AB5" w:rsidRPr="008819AF" w:rsidRDefault="00236AB5" w:rsidP="00236AB5">
                  <w:pPr>
                    <w:jc w:val="center"/>
                    <w:rPr>
                      <w:sz w:val="18"/>
                      <w:szCs w:val="18"/>
                    </w:rPr>
                  </w:pPr>
                </w:p>
              </w:tc>
              <w:tc>
                <w:tcPr>
                  <w:tcW w:w="609" w:type="dxa"/>
                  <w:vAlign w:val="center"/>
                </w:tcPr>
                <w:p w14:paraId="15133476" w14:textId="77777777" w:rsidR="00236AB5" w:rsidRPr="008819AF" w:rsidRDefault="00236AB5" w:rsidP="00236AB5">
                  <w:pPr>
                    <w:jc w:val="center"/>
                    <w:rPr>
                      <w:sz w:val="18"/>
                      <w:szCs w:val="18"/>
                    </w:rPr>
                  </w:pPr>
                  <w:r w:rsidRPr="008819AF">
                    <w:rPr>
                      <w:sz w:val="18"/>
                      <w:szCs w:val="18"/>
                    </w:rPr>
                    <w:t>200</w:t>
                  </w:r>
                </w:p>
              </w:tc>
              <w:tc>
                <w:tcPr>
                  <w:tcW w:w="950" w:type="dxa"/>
                  <w:vAlign w:val="center"/>
                </w:tcPr>
                <w:p w14:paraId="15133477" w14:textId="77777777" w:rsidR="00236AB5" w:rsidRPr="008819AF" w:rsidRDefault="00236AB5" w:rsidP="00236AB5">
                  <w:pPr>
                    <w:jc w:val="center"/>
                    <w:rPr>
                      <w:sz w:val="18"/>
                      <w:szCs w:val="18"/>
                    </w:rPr>
                  </w:pPr>
                  <w:r w:rsidRPr="008819AF">
                    <w:rPr>
                      <w:sz w:val="18"/>
                      <w:szCs w:val="18"/>
                    </w:rPr>
                    <w:t>200</w:t>
                  </w:r>
                </w:p>
              </w:tc>
              <w:tc>
                <w:tcPr>
                  <w:tcW w:w="851" w:type="dxa"/>
                  <w:vMerge/>
                </w:tcPr>
                <w:p w14:paraId="15133478" w14:textId="77777777" w:rsidR="00236AB5" w:rsidRPr="008819AF" w:rsidRDefault="00236AB5" w:rsidP="00236AB5">
                  <w:pPr>
                    <w:rPr>
                      <w:sz w:val="18"/>
                      <w:szCs w:val="18"/>
                    </w:rPr>
                  </w:pPr>
                </w:p>
              </w:tc>
              <w:tc>
                <w:tcPr>
                  <w:tcW w:w="503" w:type="dxa"/>
                  <w:vAlign w:val="center"/>
                </w:tcPr>
                <w:p w14:paraId="15133479" w14:textId="77777777" w:rsidR="00236AB5" w:rsidRPr="008819AF" w:rsidRDefault="00236AB5" w:rsidP="00236AB5">
                  <w:pPr>
                    <w:jc w:val="center"/>
                    <w:rPr>
                      <w:sz w:val="18"/>
                      <w:szCs w:val="18"/>
                    </w:rPr>
                  </w:pPr>
                  <w:r w:rsidRPr="008819AF">
                    <w:rPr>
                      <w:sz w:val="18"/>
                      <w:szCs w:val="18"/>
                    </w:rPr>
                    <w:t>50</w:t>
                  </w:r>
                </w:p>
              </w:tc>
            </w:tr>
            <w:tr w:rsidR="00236AB5" w:rsidRPr="008819AF" w14:paraId="1513347D" w14:textId="77777777" w:rsidTr="00016D01">
              <w:trPr>
                <w:trHeight w:val="340"/>
                <w:jc w:val="center"/>
              </w:trPr>
              <w:tc>
                <w:tcPr>
                  <w:tcW w:w="1165" w:type="dxa"/>
                  <w:gridSpan w:val="2"/>
                </w:tcPr>
                <w:p w14:paraId="1513347B" w14:textId="77777777" w:rsidR="00236AB5" w:rsidRPr="008819AF" w:rsidRDefault="00236AB5" w:rsidP="00236AB5">
                  <w:pPr>
                    <w:rPr>
                      <w:sz w:val="18"/>
                      <w:szCs w:val="18"/>
                    </w:rPr>
                  </w:pPr>
                  <w:r w:rsidRPr="008819AF">
                    <w:rPr>
                      <w:b/>
                      <w:sz w:val="18"/>
                      <w:szCs w:val="18"/>
                    </w:rPr>
                    <w:t>MTP [MW]</w:t>
                  </w:r>
                </w:p>
              </w:tc>
              <w:tc>
                <w:tcPr>
                  <w:tcW w:w="4330" w:type="dxa"/>
                  <w:gridSpan w:val="6"/>
                </w:tcPr>
                <w:p w14:paraId="1513347C" w14:textId="77777777" w:rsidR="00236AB5" w:rsidRPr="008819AF" w:rsidRDefault="00236AB5" w:rsidP="00236AB5">
                  <w:pPr>
                    <w:jc w:val="center"/>
                    <w:rPr>
                      <w:b/>
                      <w:sz w:val="18"/>
                      <w:szCs w:val="18"/>
                    </w:rPr>
                  </w:pPr>
                  <w:r w:rsidRPr="008819AF">
                    <w:rPr>
                      <w:b/>
                      <w:sz w:val="18"/>
                      <w:szCs w:val="18"/>
                    </w:rPr>
                    <w:t>Stupeň odsírenia    [%]</w:t>
                  </w:r>
                </w:p>
              </w:tc>
            </w:tr>
            <w:tr w:rsidR="00236AB5" w:rsidRPr="008819AF" w14:paraId="15133481" w14:textId="77777777" w:rsidTr="00016D01">
              <w:trPr>
                <w:trHeight w:val="340"/>
                <w:jc w:val="center"/>
              </w:trPr>
              <w:tc>
                <w:tcPr>
                  <w:tcW w:w="540" w:type="dxa"/>
                </w:tcPr>
                <w:p w14:paraId="1513347E" w14:textId="77777777" w:rsidR="00236AB5" w:rsidRPr="008819AF" w:rsidRDefault="00236AB5" w:rsidP="00236AB5">
                  <w:pPr>
                    <w:rPr>
                      <w:sz w:val="18"/>
                      <w:szCs w:val="18"/>
                    </w:rPr>
                  </w:pPr>
                  <w:r w:rsidRPr="008819AF">
                    <w:rPr>
                      <w:sz w:val="18"/>
                      <w:szCs w:val="18"/>
                    </w:rPr>
                    <w:t xml:space="preserve">≥ 50 </w:t>
                  </w:r>
                </w:p>
              </w:tc>
              <w:tc>
                <w:tcPr>
                  <w:tcW w:w="625" w:type="dxa"/>
                </w:tcPr>
                <w:p w14:paraId="1513347F" w14:textId="77777777" w:rsidR="00236AB5" w:rsidRPr="008819AF" w:rsidRDefault="00236AB5" w:rsidP="00236AB5">
                  <w:pPr>
                    <w:ind w:right="-108"/>
                    <w:rPr>
                      <w:sz w:val="18"/>
                      <w:szCs w:val="18"/>
                    </w:rPr>
                  </w:pPr>
                  <w:r w:rsidRPr="008819AF">
                    <w:rPr>
                      <w:sz w:val="18"/>
                      <w:szCs w:val="18"/>
                    </w:rPr>
                    <w:t>&lt; 100</w:t>
                  </w:r>
                </w:p>
              </w:tc>
              <w:tc>
                <w:tcPr>
                  <w:tcW w:w="4330" w:type="dxa"/>
                  <w:gridSpan w:val="6"/>
                </w:tcPr>
                <w:p w14:paraId="15133480" w14:textId="77777777" w:rsidR="00236AB5" w:rsidRPr="008819AF" w:rsidRDefault="00236AB5" w:rsidP="00236AB5">
                  <w:pPr>
                    <w:jc w:val="center"/>
                    <w:rPr>
                      <w:sz w:val="18"/>
                      <w:szCs w:val="18"/>
                    </w:rPr>
                  </w:pPr>
                  <w:r w:rsidRPr="008819AF">
                    <w:rPr>
                      <w:sz w:val="18"/>
                      <w:szCs w:val="18"/>
                    </w:rPr>
                    <w:t>92, 80</w:t>
                  </w:r>
                  <w:r w:rsidRPr="008819AF">
                    <w:rPr>
                      <w:sz w:val="18"/>
                      <w:szCs w:val="18"/>
                      <w:vertAlign w:val="superscript"/>
                    </w:rPr>
                    <w:t>2</w:t>
                  </w:r>
                  <w:r w:rsidRPr="008819AF">
                    <w:rPr>
                      <w:sz w:val="18"/>
                      <w:szCs w:val="18"/>
                    </w:rPr>
                    <w:t>)</w:t>
                  </w:r>
                </w:p>
              </w:tc>
            </w:tr>
            <w:tr w:rsidR="00236AB5" w:rsidRPr="008819AF" w14:paraId="15133485" w14:textId="77777777" w:rsidTr="00016D01">
              <w:trPr>
                <w:trHeight w:val="340"/>
                <w:jc w:val="center"/>
              </w:trPr>
              <w:tc>
                <w:tcPr>
                  <w:tcW w:w="540" w:type="dxa"/>
                </w:tcPr>
                <w:p w14:paraId="15133482" w14:textId="77777777" w:rsidR="00236AB5" w:rsidRPr="008819AF" w:rsidRDefault="00236AB5" w:rsidP="00236AB5">
                  <w:pPr>
                    <w:ind w:right="-108"/>
                    <w:rPr>
                      <w:sz w:val="18"/>
                      <w:szCs w:val="18"/>
                    </w:rPr>
                  </w:pPr>
                  <w:r w:rsidRPr="008819AF">
                    <w:rPr>
                      <w:sz w:val="18"/>
                      <w:szCs w:val="18"/>
                    </w:rPr>
                    <w:t>≥ 100</w:t>
                  </w:r>
                </w:p>
              </w:tc>
              <w:tc>
                <w:tcPr>
                  <w:tcW w:w="625" w:type="dxa"/>
                </w:tcPr>
                <w:p w14:paraId="15133483" w14:textId="77777777" w:rsidR="00236AB5" w:rsidRPr="008819AF" w:rsidRDefault="00236AB5" w:rsidP="00236AB5">
                  <w:pPr>
                    <w:ind w:right="-108"/>
                    <w:rPr>
                      <w:sz w:val="18"/>
                      <w:szCs w:val="18"/>
                    </w:rPr>
                  </w:pPr>
                  <w:r w:rsidRPr="008819AF">
                    <w:rPr>
                      <w:sz w:val="18"/>
                      <w:szCs w:val="18"/>
                    </w:rPr>
                    <w:t>≤ 300</w:t>
                  </w:r>
                </w:p>
              </w:tc>
              <w:tc>
                <w:tcPr>
                  <w:tcW w:w="4330" w:type="dxa"/>
                  <w:gridSpan w:val="6"/>
                </w:tcPr>
                <w:p w14:paraId="15133484" w14:textId="77777777" w:rsidR="00236AB5" w:rsidRPr="008819AF" w:rsidRDefault="00236AB5" w:rsidP="00236AB5">
                  <w:pPr>
                    <w:jc w:val="center"/>
                    <w:rPr>
                      <w:sz w:val="18"/>
                      <w:szCs w:val="18"/>
                    </w:rPr>
                  </w:pPr>
                  <w:r w:rsidRPr="008819AF">
                    <w:rPr>
                      <w:sz w:val="18"/>
                      <w:szCs w:val="18"/>
                    </w:rPr>
                    <w:t>92, 90</w:t>
                  </w:r>
                  <w:r w:rsidRPr="008819AF">
                    <w:rPr>
                      <w:sz w:val="18"/>
                      <w:szCs w:val="18"/>
                      <w:vertAlign w:val="superscript"/>
                    </w:rPr>
                    <w:t>2</w:t>
                  </w:r>
                  <w:r w:rsidRPr="008819AF">
                    <w:rPr>
                      <w:sz w:val="18"/>
                      <w:szCs w:val="18"/>
                    </w:rPr>
                    <w:t>)</w:t>
                  </w:r>
                </w:p>
              </w:tc>
            </w:tr>
            <w:tr w:rsidR="00236AB5" w:rsidRPr="008819AF" w14:paraId="15133489" w14:textId="77777777" w:rsidTr="00016D01">
              <w:trPr>
                <w:trHeight w:val="340"/>
                <w:jc w:val="center"/>
              </w:trPr>
              <w:tc>
                <w:tcPr>
                  <w:tcW w:w="540" w:type="dxa"/>
                </w:tcPr>
                <w:p w14:paraId="15133486" w14:textId="77777777" w:rsidR="00236AB5" w:rsidRPr="008819AF" w:rsidRDefault="00236AB5" w:rsidP="00236AB5">
                  <w:pPr>
                    <w:ind w:right="-108"/>
                    <w:rPr>
                      <w:sz w:val="18"/>
                      <w:szCs w:val="18"/>
                    </w:rPr>
                  </w:pPr>
                  <w:r w:rsidRPr="008819AF">
                    <w:rPr>
                      <w:sz w:val="18"/>
                      <w:szCs w:val="18"/>
                    </w:rPr>
                    <w:t>&gt; 300</w:t>
                  </w:r>
                </w:p>
              </w:tc>
              <w:tc>
                <w:tcPr>
                  <w:tcW w:w="625" w:type="dxa"/>
                </w:tcPr>
                <w:p w14:paraId="15133487" w14:textId="77777777" w:rsidR="00236AB5" w:rsidRPr="008819AF" w:rsidRDefault="00236AB5" w:rsidP="00236AB5">
                  <w:pPr>
                    <w:jc w:val="center"/>
                    <w:rPr>
                      <w:sz w:val="18"/>
                      <w:szCs w:val="18"/>
                    </w:rPr>
                  </w:pPr>
                  <w:r w:rsidRPr="008819AF">
                    <w:rPr>
                      <w:sz w:val="18"/>
                      <w:szCs w:val="18"/>
                    </w:rPr>
                    <w:t>-</w:t>
                  </w:r>
                </w:p>
              </w:tc>
              <w:tc>
                <w:tcPr>
                  <w:tcW w:w="4330" w:type="dxa"/>
                  <w:gridSpan w:val="6"/>
                </w:tcPr>
                <w:p w14:paraId="15133488" w14:textId="77777777" w:rsidR="00236AB5" w:rsidRPr="008819AF" w:rsidRDefault="00236AB5" w:rsidP="00236AB5">
                  <w:pPr>
                    <w:jc w:val="center"/>
                    <w:rPr>
                      <w:sz w:val="18"/>
                      <w:szCs w:val="18"/>
                    </w:rPr>
                  </w:pPr>
                  <w:r w:rsidRPr="008819AF">
                    <w:rPr>
                      <w:sz w:val="18"/>
                      <w:szCs w:val="18"/>
                    </w:rPr>
                    <w:t>96, 95</w:t>
                  </w:r>
                  <w:r w:rsidRPr="008819AF">
                    <w:rPr>
                      <w:sz w:val="18"/>
                      <w:szCs w:val="18"/>
                      <w:vertAlign w:val="superscript"/>
                    </w:rPr>
                    <w:t>4</w:t>
                  </w:r>
                  <w:r w:rsidRPr="008819AF">
                    <w:rPr>
                      <w:sz w:val="18"/>
                      <w:szCs w:val="18"/>
                    </w:rPr>
                    <w:t>)</w:t>
                  </w:r>
                </w:p>
              </w:tc>
            </w:tr>
          </w:tbl>
          <w:p w14:paraId="1513348A" w14:textId="77777777" w:rsidR="00236AB5" w:rsidRPr="008819AF" w:rsidRDefault="00236AB5" w:rsidP="00236AB5">
            <w:pPr>
              <w:spacing w:before="120"/>
            </w:pPr>
            <w:r w:rsidRPr="008819AF">
              <w:rPr>
                <w:vertAlign w:val="superscript"/>
              </w:rPr>
              <w:t>1</w:t>
            </w:r>
            <w:r w:rsidRPr="008819AF">
              <w:t>) Platí pre spaľovanie práškového hnedého uhlia.</w:t>
            </w:r>
          </w:p>
          <w:p w14:paraId="1513348B" w14:textId="77777777" w:rsidR="00236AB5" w:rsidRPr="008819AF" w:rsidRDefault="00236AB5" w:rsidP="00236AB5">
            <w:r w:rsidRPr="008819AF">
              <w:rPr>
                <w:vertAlign w:val="superscript"/>
              </w:rPr>
              <w:t>2</w:t>
            </w:r>
            <w:r w:rsidRPr="008819AF">
              <w:t xml:space="preserve">) Platí pre jestvujúce zariadenia začlenené ako Z1 + Z2. </w:t>
            </w:r>
          </w:p>
          <w:p w14:paraId="1513348C" w14:textId="77777777" w:rsidR="00236AB5" w:rsidRPr="008819AF" w:rsidRDefault="00236AB5" w:rsidP="00236AB5">
            <w:pPr>
              <w:ind w:left="240" w:hanging="240"/>
            </w:pPr>
            <w:r w:rsidRPr="008819AF">
              <w:rPr>
                <w:vertAlign w:val="superscript"/>
              </w:rPr>
              <w:t>3</w:t>
            </w:r>
            <w:r w:rsidRPr="008819AF">
              <w:t xml:space="preserve">) Platí pre zariadenia prevádzkované v OPR:  </w:t>
            </w:r>
          </w:p>
          <w:p w14:paraId="1513348D" w14:textId="77777777" w:rsidR="00236AB5" w:rsidRPr="008819AF" w:rsidRDefault="00236AB5" w:rsidP="00236AB5">
            <w:pPr>
              <w:ind w:left="240" w:hanging="240"/>
            </w:pPr>
            <w:r w:rsidRPr="008819AF">
              <w:t xml:space="preserve">    - s celkovým MTP (300 – 500) MW pre zariadenia začlenené ako Z1 + Z2,</w:t>
            </w:r>
          </w:p>
          <w:p w14:paraId="1513348E" w14:textId="77777777" w:rsidR="00236AB5" w:rsidRPr="008819AF" w:rsidRDefault="00236AB5" w:rsidP="00236AB5">
            <w:pPr>
              <w:ind w:left="240" w:hanging="240"/>
            </w:pPr>
            <w:r w:rsidRPr="008819AF">
              <w:t xml:space="preserve">    - s celkovým MTP &gt; 500 MW pre zariadenia začlenené ako Z1.</w:t>
            </w:r>
          </w:p>
          <w:p w14:paraId="1513348F" w14:textId="77777777" w:rsidR="00236AB5" w:rsidRPr="008819AF" w:rsidRDefault="00236AB5" w:rsidP="00236AB5">
            <w:pPr>
              <w:ind w:left="240" w:hanging="240"/>
            </w:pPr>
            <w:r w:rsidRPr="008819AF">
              <w:rPr>
                <w:vertAlign w:val="superscript"/>
              </w:rPr>
              <w:t>4</w:t>
            </w:r>
            <w:r w:rsidRPr="008819AF">
              <w:t>) Platí pre zariadenia začlenené ako Z1 + Z2 na spaľovanie roponosnej bridlice.</w:t>
            </w:r>
          </w:p>
          <w:p w14:paraId="15133490" w14:textId="77777777" w:rsidR="00236AB5" w:rsidRPr="008819AF" w:rsidRDefault="00236AB5" w:rsidP="00236AB5">
            <w:pPr>
              <w:ind w:left="240" w:hanging="240"/>
            </w:pPr>
          </w:p>
          <w:p w14:paraId="15133491" w14:textId="77777777" w:rsidR="00236AB5" w:rsidRPr="008819AF" w:rsidRDefault="00236AB5" w:rsidP="00236AB5">
            <w:pPr>
              <w:pStyle w:val="Odsekzoznamu1"/>
              <w:keepNext/>
              <w:spacing w:after="120"/>
              <w:ind w:left="0"/>
              <w:jc w:val="both"/>
              <w:rPr>
                <w:sz w:val="20"/>
                <w:szCs w:val="20"/>
              </w:rPr>
            </w:pPr>
            <w:r w:rsidRPr="008819AF">
              <w:rPr>
                <w:sz w:val="20"/>
                <w:szCs w:val="20"/>
              </w:rPr>
              <w:t>3. Spaľovanie kvapalných palív okrem spaľovania v plynových turbínach a piestových spaľovacích motoroch</w:t>
            </w:r>
          </w:p>
          <w:p w14:paraId="15133492" w14:textId="77777777" w:rsidR="00236AB5" w:rsidRPr="008819AF" w:rsidRDefault="00236AB5" w:rsidP="00236AB5">
            <w:pPr>
              <w:spacing w:after="120"/>
              <w:ind w:left="284" w:hanging="284"/>
            </w:pPr>
            <w:r w:rsidRPr="008819AF">
              <w:lastRenderedPageBreak/>
              <w:t xml:space="preserve">A. Emisné limity pre zariadenia Z1 – Z3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5"/>
              <w:gridCol w:w="1008"/>
              <w:gridCol w:w="784"/>
              <w:gridCol w:w="933"/>
              <w:gridCol w:w="1090"/>
              <w:gridCol w:w="702"/>
            </w:tblGrid>
            <w:tr w:rsidR="00236AB5" w:rsidRPr="008819AF" w14:paraId="15133495" w14:textId="77777777" w:rsidTr="00E67271">
              <w:trPr>
                <w:jc w:val="center"/>
              </w:trPr>
              <w:tc>
                <w:tcPr>
                  <w:tcW w:w="2035" w:type="dxa"/>
                  <w:gridSpan w:val="3"/>
                  <w:vMerge w:val="restart"/>
                  <w:tcBorders>
                    <w:top w:val="single" w:sz="2" w:space="0" w:color="auto"/>
                    <w:left w:val="single" w:sz="2" w:space="0" w:color="auto"/>
                    <w:right w:val="single" w:sz="2" w:space="0" w:color="auto"/>
                  </w:tcBorders>
                  <w:vAlign w:val="center"/>
                </w:tcPr>
                <w:p w14:paraId="15133493" w14:textId="77777777" w:rsidR="00236AB5" w:rsidRPr="008819AF" w:rsidRDefault="00236AB5" w:rsidP="00236AB5">
                  <w:pPr>
                    <w:rPr>
                      <w:b/>
                      <w:sz w:val="18"/>
                      <w:szCs w:val="18"/>
                    </w:rPr>
                  </w:pPr>
                  <w:r w:rsidRPr="008819AF">
                    <w:rPr>
                      <w:b/>
                      <w:sz w:val="18"/>
                      <w:szCs w:val="18"/>
                    </w:rPr>
                    <w:t>Podmienky platnosti  EL</w:t>
                  </w:r>
                </w:p>
              </w:tc>
              <w:tc>
                <w:tcPr>
                  <w:tcW w:w="3509" w:type="dxa"/>
                  <w:gridSpan w:val="4"/>
                  <w:tcBorders>
                    <w:top w:val="single" w:sz="2" w:space="0" w:color="auto"/>
                    <w:left w:val="single" w:sz="2" w:space="0" w:color="auto"/>
                    <w:bottom w:val="single" w:sz="2" w:space="0" w:color="auto"/>
                    <w:right w:val="single" w:sz="2" w:space="0" w:color="auto"/>
                  </w:tcBorders>
                  <w:vAlign w:val="center"/>
                </w:tcPr>
                <w:p w14:paraId="15133494" w14:textId="77777777" w:rsidR="00236AB5" w:rsidRPr="008819AF" w:rsidRDefault="00236AB5" w:rsidP="00236AB5">
                  <w:pPr>
                    <w:rPr>
                      <w:sz w:val="18"/>
                      <w:szCs w:val="18"/>
                    </w:rPr>
                  </w:pPr>
                  <w:r w:rsidRPr="008819AF">
                    <w:rPr>
                      <w:sz w:val="18"/>
                      <w:szCs w:val="18"/>
                    </w:rPr>
                    <w:t>Štandardné stavové podmienky, suchý plyn, O</w:t>
                  </w:r>
                  <w:r w:rsidRPr="008819AF">
                    <w:rPr>
                      <w:sz w:val="18"/>
                      <w:szCs w:val="18"/>
                      <w:vertAlign w:val="subscript"/>
                    </w:rPr>
                    <w:t>2 ref</w:t>
                  </w:r>
                  <w:r w:rsidRPr="008819AF">
                    <w:rPr>
                      <w:sz w:val="18"/>
                      <w:szCs w:val="18"/>
                    </w:rPr>
                    <w:t>: 3% objemu</w:t>
                  </w:r>
                </w:p>
              </w:tc>
            </w:tr>
            <w:tr w:rsidR="00236AB5" w:rsidRPr="008819AF" w14:paraId="15133498" w14:textId="77777777" w:rsidTr="00E67271">
              <w:trPr>
                <w:jc w:val="center"/>
              </w:trPr>
              <w:tc>
                <w:tcPr>
                  <w:tcW w:w="2035" w:type="dxa"/>
                  <w:gridSpan w:val="3"/>
                  <w:vMerge/>
                  <w:tcBorders>
                    <w:left w:val="single" w:sz="2" w:space="0" w:color="auto"/>
                    <w:bottom w:val="single" w:sz="2" w:space="0" w:color="auto"/>
                    <w:right w:val="single" w:sz="2" w:space="0" w:color="auto"/>
                  </w:tcBorders>
                </w:tcPr>
                <w:p w14:paraId="15133496" w14:textId="77777777" w:rsidR="00236AB5" w:rsidRPr="008819AF" w:rsidRDefault="00236AB5" w:rsidP="00236AB5">
                  <w:pPr>
                    <w:rPr>
                      <w:b/>
                      <w:sz w:val="18"/>
                      <w:szCs w:val="18"/>
                    </w:rPr>
                  </w:pPr>
                </w:p>
              </w:tc>
              <w:tc>
                <w:tcPr>
                  <w:tcW w:w="3509" w:type="dxa"/>
                  <w:gridSpan w:val="4"/>
                  <w:tcBorders>
                    <w:top w:val="single" w:sz="2" w:space="0" w:color="auto"/>
                    <w:left w:val="single" w:sz="2" w:space="0" w:color="auto"/>
                    <w:bottom w:val="single" w:sz="2" w:space="0" w:color="auto"/>
                    <w:right w:val="single" w:sz="2" w:space="0" w:color="auto"/>
                  </w:tcBorders>
                  <w:vAlign w:val="center"/>
                </w:tcPr>
                <w:p w14:paraId="15133497" w14:textId="77777777" w:rsidR="00236AB5" w:rsidRPr="008819AF" w:rsidRDefault="00236AB5" w:rsidP="00236AB5">
                  <w:pPr>
                    <w:rPr>
                      <w:sz w:val="18"/>
                      <w:szCs w:val="18"/>
                    </w:rPr>
                  </w:pPr>
                  <w:r w:rsidRPr="008819AF">
                    <w:rPr>
                      <w:sz w:val="18"/>
                      <w:szCs w:val="18"/>
                    </w:rPr>
                    <w:t>Ak sa emisné limity pre TZL dosahujú bez odlučovania, všeobecné emisné limity podľa prílohy č. 3 pre tuhé anorganické znečisťujúce látky zaradené v 2. skupine sa neuplatňujú.</w:t>
                  </w:r>
                </w:p>
              </w:tc>
            </w:tr>
            <w:tr w:rsidR="00236AB5" w:rsidRPr="008819AF" w14:paraId="1513349C" w14:textId="77777777" w:rsidTr="00E67271">
              <w:trPr>
                <w:jc w:val="center"/>
              </w:trPr>
              <w:tc>
                <w:tcPr>
                  <w:tcW w:w="1027" w:type="dxa"/>
                  <w:gridSpan w:val="2"/>
                  <w:tcBorders>
                    <w:top w:val="single" w:sz="2" w:space="0" w:color="auto"/>
                    <w:left w:val="single" w:sz="2" w:space="0" w:color="auto"/>
                    <w:bottom w:val="single" w:sz="2" w:space="0" w:color="auto"/>
                    <w:right w:val="single" w:sz="2" w:space="0" w:color="auto"/>
                  </w:tcBorders>
                  <w:vAlign w:val="center"/>
                </w:tcPr>
                <w:p w14:paraId="15133499" w14:textId="77777777" w:rsidR="00236AB5" w:rsidRPr="008819AF" w:rsidRDefault="00236AB5" w:rsidP="00236AB5">
                  <w:pPr>
                    <w:rPr>
                      <w:b/>
                      <w:sz w:val="18"/>
                      <w:szCs w:val="18"/>
                    </w:rPr>
                  </w:pPr>
                  <w:r w:rsidRPr="008819AF">
                    <w:rPr>
                      <w:b/>
                      <w:sz w:val="18"/>
                      <w:szCs w:val="18"/>
                    </w:rPr>
                    <w:t>MTP  [MW]</w:t>
                  </w:r>
                </w:p>
              </w:tc>
              <w:tc>
                <w:tcPr>
                  <w:tcW w:w="1008" w:type="dxa"/>
                  <w:vMerge w:val="restart"/>
                  <w:tcBorders>
                    <w:top w:val="single" w:sz="2" w:space="0" w:color="auto"/>
                    <w:left w:val="single" w:sz="2" w:space="0" w:color="auto"/>
                    <w:bottom w:val="single" w:sz="2" w:space="0" w:color="auto"/>
                    <w:right w:val="single" w:sz="2" w:space="0" w:color="auto"/>
                  </w:tcBorders>
                  <w:vAlign w:val="center"/>
                </w:tcPr>
                <w:p w14:paraId="1513349A" w14:textId="77777777" w:rsidR="00236AB5" w:rsidRPr="008819AF" w:rsidRDefault="00236AB5" w:rsidP="00236AB5">
                  <w:pPr>
                    <w:jc w:val="center"/>
                    <w:rPr>
                      <w:b/>
                      <w:sz w:val="18"/>
                      <w:szCs w:val="18"/>
                    </w:rPr>
                  </w:pPr>
                  <w:r w:rsidRPr="008819AF">
                    <w:rPr>
                      <w:b/>
                      <w:sz w:val="18"/>
                      <w:szCs w:val="18"/>
                    </w:rPr>
                    <w:t>Prevádzkový režim</w:t>
                  </w:r>
                </w:p>
              </w:tc>
              <w:tc>
                <w:tcPr>
                  <w:tcW w:w="3509" w:type="dxa"/>
                  <w:gridSpan w:val="4"/>
                  <w:tcBorders>
                    <w:top w:val="single" w:sz="2" w:space="0" w:color="auto"/>
                    <w:left w:val="single" w:sz="2" w:space="0" w:color="auto"/>
                    <w:bottom w:val="single" w:sz="2" w:space="0" w:color="auto"/>
                    <w:right w:val="single" w:sz="2" w:space="0" w:color="auto"/>
                  </w:tcBorders>
                  <w:vAlign w:val="center"/>
                </w:tcPr>
                <w:p w14:paraId="1513349B" w14:textId="77777777" w:rsidR="00236AB5" w:rsidRPr="008819AF" w:rsidRDefault="00236AB5" w:rsidP="00236AB5">
                  <w:pPr>
                    <w:jc w:val="center"/>
                    <w:rPr>
                      <w:sz w:val="18"/>
                      <w:szCs w:val="18"/>
                    </w:rPr>
                  </w:pPr>
                  <w:r w:rsidRPr="008819AF">
                    <w:rPr>
                      <w:b/>
                      <w:sz w:val="18"/>
                      <w:szCs w:val="18"/>
                    </w:rPr>
                    <w:t>Emisný limit      [mg/m</w:t>
                  </w:r>
                  <w:r w:rsidRPr="008819AF">
                    <w:rPr>
                      <w:b/>
                      <w:sz w:val="18"/>
                      <w:szCs w:val="18"/>
                      <w:vertAlign w:val="superscript"/>
                    </w:rPr>
                    <w:t>3</w:t>
                  </w:r>
                  <w:r w:rsidRPr="008819AF">
                    <w:rPr>
                      <w:b/>
                      <w:sz w:val="18"/>
                      <w:szCs w:val="18"/>
                    </w:rPr>
                    <w:t>]</w:t>
                  </w:r>
                </w:p>
              </w:tc>
            </w:tr>
            <w:tr w:rsidR="00236AB5" w:rsidRPr="008819AF" w14:paraId="151334A4" w14:textId="77777777" w:rsidTr="00E67271">
              <w:trPr>
                <w:jc w:val="center"/>
              </w:trPr>
              <w:tc>
                <w:tcPr>
                  <w:tcW w:w="542" w:type="dxa"/>
                  <w:tcBorders>
                    <w:top w:val="single" w:sz="2" w:space="0" w:color="auto"/>
                    <w:left w:val="single" w:sz="2" w:space="0" w:color="auto"/>
                    <w:bottom w:val="single" w:sz="2" w:space="0" w:color="auto"/>
                    <w:right w:val="single" w:sz="2" w:space="0" w:color="auto"/>
                  </w:tcBorders>
                  <w:vAlign w:val="center"/>
                </w:tcPr>
                <w:p w14:paraId="1513349D" w14:textId="77777777" w:rsidR="00236AB5" w:rsidRPr="008819AF" w:rsidRDefault="00236AB5" w:rsidP="00236AB5">
                  <w:pPr>
                    <w:jc w:val="center"/>
                    <w:rPr>
                      <w:b/>
                      <w:sz w:val="18"/>
                      <w:szCs w:val="18"/>
                    </w:rPr>
                  </w:pPr>
                  <w:r w:rsidRPr="008819AF">
                    <w:rPr>
                      <w:b/>
                      <w:sz w:val="18"/>
                      <w:szCs w:val="18"/>
                    </w:rPr>
                    <w:t>od</w:t>
                  </w:r>
                </w:p>
              </w:tc>
              <w:tc>
                <w:tcPr>
                  <w:tcW w:w="485" w:type="dxa"/>
                  <w:tcBorders>
                    <w:top w:val="single" w:sz="2" w:space="0" w:color="auto"/>
                    <w:left w:val="single" w:sz="2" w:space="0" w:color="auto"/>
                    <w:bottom w:val="single" w:sz="2" w:space="0" w:color="auto"/>
                    <w:right w:val="single" w:sz="2" w:space="0" w:color="auto"/>
                  </w:tcBorders>
                  <w:vAlign w:val="center"/>
                </w:tcPr>
                <w:p w14:paraId="1513349E" w14:textId="77777777" w:rsidR="00236AB5" w:rsidRPr="008819AF" w:rsidRDefault="00236AB5" w:rsidP="00236AB5">
                  <w:pPr>
                    <w:jc w:val="center"/>
                    <w:rPr>
                      <w:b/>
                      <w:sz w:val="18"/>
                      <w:szCs w:val="18"/>
                    </w:rPr>
                  </w:pPr>
                  <w:r w:rsidRPr="008819AF">
                    <w:rPr>
                      <w:b/>
                      <w:sz w:val="18"/>
                      <w:szCs w:val="18"/>
                    </w:rPr>
                    <w:t>Do</w:t>
                  </w:r>
                </w:p>
              </w:tc>
              <w:tc>
                <w:tcPr>
                  <w:tcW w:w="1008" w:type="dxa"/>
                  <w:vMerge/>
                  <w:tcBorders>
                    <w:top w:val="single" w:sz="2" w:space="0" w:color="auto"/>
                    <w:left w:val="single" w:sz="2" w:space="0" w:color="auto"/>
                    <w:bottom w:val="single" w:sz="2" w:space="0" w:color="auto"/>
                    <w:right w:val="single" w:sz="2" w:space="0" w:color="auto"/>
                  </w:tcBorders>
                  <w:vAlign w:val="center"/>
                </w:tcPr>
                <w:p w14:paraId="1513349F" w14:textId="77777777" w:rsidR="00236AB5" w:rsidRPr="008819AF" w:rsidRDefault="00236AB5" w:rsidP="00236AB5">
                  <w:pPr>
                    <w:jc w:val="center"/>
                    <w:rPr>
                      <w:b/>
                      <w:sz w:val="18"/>
                      <w:szCs w:val="18"/>
                    </w:rPr>
                  </w:pPr>
                </w:p>
              </w:tc>
              <w:tc>
                <w:tcPr>
                  <w:tcW w:w="784" w:type="dxa"/>
                  <w:tcBorders>
                    <w:top w:val="single" w:sz="2" w:space="0" w:color="auto"/>
                    <w:left w:val="single" w:sz="2" w:space="0" w:color="auto"/>
                    <w:bottom w:val="single" w:sz="2" w:space="0" w:color="auto"/>
                    <w:right w:val="single" w:sz="2" w:space="0" w:color="auto"/>
                  </w:tcBorders>
                  <w:vAlign w:val="center"/>
                </w:tcPr>
                <w:p w14:paraId="151334A0" w14:textId="77777777" w:rsidR="00236AB5" w:rsidRPr="008819AF" w:rsidRDefault="00236AB5" w:rsidP="00236AB5">
                  <w:pPr>
                    <w:jc w:val="center"/>
                    <w:rPr>
                      <w:b/>
                      <w:sz w:val="18"/>
                      <w:szCs w:val="18"/>
                    </w:rPr>
                  </w:pPr>
                  <w:r w:rsidRPr="008819AF">
                    <w:rPr>
                      <w:b/>
                      <w:sz w:val="18"/>
                      <w:szCs w:val="18"/>
                    </w:rPr>
                    <w:t>TZL</w:t>
                  </w:r>
                </w:p>
              </w:tc>
              <w:tc>
                <w:tcPr>
                  <w:tcW w:w="933" w:type="dxa"/>
                  <w:tcBorders>
                    <w:top w:val="single" w:sz="2" w:space="0" w:color="auto"/>
                    <w:left w:val="single" w:sz="2" w:space="0" w:color="auto"/>
                    <w:bottom w:val="single" w:sz="2" w:space="0" w:color="auto"/>
                    <w:right w:val="single" w:sz="2" w:space="0" w:color="auto"/>
                  </w:tcBorders>
                  <w:vAlign w:val="center"/>
                </w:tcPr>
                <w:p w14:paraId="151334A1" w14:textId="77777777" w:rsidR="00236AB5" w:rsidRPr="008819AF" w:rsidRDefault="00236AB5" w:rsidP="00236AB5">
                  <w:pPr>
                    <w:jc w:val="center"/>
                    <w:rPr>
                      <w:b/>
                      <w:sz w:val="18"/>
                      <w:szCs w:val="18"/>
                      <w:vertAlign w:val="subscript"/>
                    </w:rPr>
                  </w:pPr>
                  <w:r w:rsidRPr="008819AF">
                    <w:rPr>
                      <w:b/>
                      <w:sz w:val="18"/>
                      <w:szCs w:val="18"/>
                    </w:rPr>
                    <w:t>SO</w:t>
                  </w:r>
                  <w:r w:rsidRPr="008819AF">
                    <w:rPr>
                      <w:b/>
                      <w:sz w:val="18"/>
                      <w:szCs w:val="18"/>
                      <w:vertAlign w:val="subscript"/>
                    </w:rPr>
                    <w:t>2</w:t>
                  </w:r>
                </w:p>
              </w:tc>
              <w:tc>
                <w:tcPr>
                  <w:tcW w:w="1090" w:type="dxa"/>
                  <w:tcBorders>
                    <w:top w:val="single" w:sz="2" w:space="0" w:color="auto"/>
                    <w:left w:val="single" w:sz="2" w:space="0" w:color="auto"/>
                    <w:bottom w:val="single" w:sz="2" w:space="0" w:color="auto"/>
                    <w:right w:val="single" w:sz="2" w:space="0" w:color="auto"/>
                  </w:tcBorders>
                  <w:vAlign w:val="center"/>
                </w:tcPr>
                <w:p w14:paraId="151334A2" w14:textId="77777777" w:rsidR="00236AB5" w:rsidRPr="008819AF" w:rsidRDefault="00236AB5" w:rsidP="00236AB5">
                  <w:pPr>
                    <w:jc w:val="center"/>
                    <w:rPr>
                      <w:b/>
                      <w:sz w:val="18"/>
                      <w:szCs w:val="18"/>
                    </w:rPr>
                  </w:pPr>
                  <w:r w:rsidRPr="008819AF">
                    <w:rPr>
                      <w:b/>
                      <w:sz w:val="18"/>
                      <w:szCs w:val="18"/>
                    </w:rPr>
                    <w:t>NO</w:t>
                  </w:r>
                  <w:r w:rsidRPr="008819AF">
                    <w:rPr>
                      <w:b/>
                      <w:sz w:val="18"/>
                      <w:szCs w:val="18"/>
                      <w:vertAlign w:val="subscript"/>
                    </w:rPr>
                    <w:t>x</w:t>
                  </w:r>
                </w:p>
              </w:tc>
              <w:tc>
                <w:tcPr>
                  <w:tcW w:w="702" w:type="dxa"/>
                  <w:tcBorders>
                    <w:top w:val="single" w:sz="2" w:space="0" w:color="auto"/>
                    <w:left w:val="single" w:sz="2" w:space="0" w:color="auto"/>
                    <w:bottom w:val="single" w:sz="2" w:space="0" w:color="auto"/>
                    <w:right w:val="single" w:sz="2" w:space="0" w:color="auto"/>
                  </w:tcBorders>
                  <w:vAlign w:val="center"/>
                </w:tcPr>
                <w:p w14:paraId="151334A3" w14:textId="77777777" w:rsidR="00236AB5" w:rsidRPr="008819AF" w:rsidRDefault="00236AB5" w:rsidP="00236AB5">
                  <w:pPr>
                    <w:jc w:val="center"/>
                    <w:rPr>
                      <w:b/>
                      <w:sz w:val="18"/>
                      <w:szCs w:val="18"/>
                    </w:rPr>
                  </w:pPr>
                  <w:r w:rsidRPr="008819AF">
                    <w:rPr>
                      <w:b/>
                      <w:sz w:val="18"/>
                      <w:szCs w:val="18"/>
                    </w:rPr>
                    <w:t>CO</w:t>
                  </w:r>
                </w:p>
              </w:tc>
            </w:tr>
            <w:tr w:rsidR="00236AB5" w:rsidRPr="008819AF" w14:paraId="151334AC" w14:textId="77777777" w:rsidTr="00E67271">
              <w:trPr>
                <w:trHeight w:val="281"/>
                <w:jc w:val="center"/>
              </w:trPr>
              <w:tc>
                <w:tcPr>
                  <w:tcW w:w="542" w:type="dxa"/>
                  <w:vMerge w:val="restart"/>
                  <w:tcBorders>
                    <w:top w:val="single" w:sz="2" w:space="0" w:color="auto"/>
                    <w:left w:val="single" w:sz="2" w:space="0" w:color="auto"/>
                    <w:bottom w:val="single" w:sz="2" w:space="0" w:color="auto"/>
                    <w:right w:val="single" w:sz="2" w:space="0" w:color="auto"/>
                  </w:tcBorders>
                  <w:vAlign w:val="center"/>
                </w:tcPr>
                <w:p w14:paraId="151334A5" w14:textId="77777777" w:rsidR="00236AB5" w:rsidRPr="008819AF" w:rsidRDefault="00236AB5" w:rsidP="00236AB5">
                  <w:pPr>
                    <w:rPr>
                      <w:sz w:val="18"/>
                      <w:szCs w:val="18"/>
                    </w:rPr>
                  </w:pPr>
                  <w:r w:rsidRPr="008819AF">
                    <w:rPr>
                      <w:sz w:val="18"/>
                      <w:szCs w:val="18"/>
                    </w:rPr>
                    <w:t xml:space="preserve">≥ 50 </w:t>
                  </w:r>
                </w:p>
              </w:tc>
              <w:tc>
                <w:tcPr>
                  <w:tcW w:w="485" w:type="dxa"/>
                  <w:vMerge w:val="restart"/>
                  <w:tcBorders>
                    <w:top w:val="single" w:sz="2" w:space="0" w:color="auto"/>
                    <w:left w:val="single" w:sz="2" w:space="0" w:color="auto"/>
                    <w:bottom w:val="single" w:sz="2" w:space="0" w:color="auto"/>
                    <w:right w:val="single" w:sz="2" w:space="0" w:color="auto"/>
                  </w:tcBorders>
                  <w:vAlign w:val="center"/>
                </w:tcPr>
                <w:p w14:paraId="151334A6" w14:textId="77777777" w:rsidR="00236AB5" w:rsidRPr="008819AF" w:rsidRDefault="00236AB5" w:rsidP="00236AB5">
                  <w:pPr>
                    <w:ind w:left="-60" w:right="-108"/>
                    <w:rPr>
                      <w:sz w:val="18"/>
                      <w:szCs w:val="18"/>
                    </w:rPr>
                  </w:pPr>
                  <w:r w:rsidRPr="008819AF">
                    <w:rPr>
                      <w:sz w:val="18"/>
                      <w:szCs w:val="18"/>
                    </w:rPr>
                    <w:t>&lt; 100</w:t>
                  </w:r>
                </w:p>
              </w:tc>
              <w:tc>
                <w:tcPr>
                  <w:tcW w:w="1008" w:type="dxa"/>
                  <w:tcBorders>
                    <w:top w:val="single" w:sz="2" w:space="0" w:color="auto"/>
                    <w:left w:val="single" w:sz="2" w:space="0" w:color="auto"/>
                    <w:bottom w:val="single" w:sz="2" w:space="0" w:color="auto"/>
                    <w:right w:val="single" w:sz="2" w:space="0" w:color="auto"/>
                  </w:tcBorders>
                  <w:vAlign w:val="center"/>
                </w:tcPr>
                <w:p w14:paraId="151334A7" w14:textId="77777777" w:rsidR="00236AB5" w:rsidRPr="008819AF" w:rsidRDefault="00236AB5" w:rsidP="00236AB5">
                  <w:pPr>
                    <w:rPr>
                      <w:sz w:val="18"/>
                      <w:szCs w:val="18"/>
                    </w:rPr>
                  </w:pPr>
                  <w:r w:rsidRPr="008819AF">
                    <w:rPr>
                      <w:sz w:val="18"/>
                      <w:szCs w:val="18"/>
                    </w:rPr>
                    <w:t>Všeobecne</w:t>
                  </w:r>
                </w:p>
              </w:tc>
              <w:tc>
                <w:tcPr>
                  <w:tcW w:w="784" w:type="dxa"/>
                  <w:vMerge w:val="restart"/>
                  <w:tcBorders>
                    <w:top w:val="single" w:sz="2" w:space="0" w:color="auto"/>
                    <w:left w:val="single" w:sz="2" w:space="0" w:color="auto"/>
                    <w:bottom w:val="single" w:sz="2" w:space="0" w:color="auto"/>
                    <w:right w:val="single" w:sz="2" w:space="0" w:color="auto"/>
                  </w:tcBorders>
                  <w:vAlign w:val="center"/>
                </w:tcPr>
                <w:p w14:paraId="151334A8" w14:textId="77777777" w:rsidR="00236AB5" w:rsidRPr="008819AF" w:rsidRDefault="00236AB5" w:rsidP="00236AB5">
                  <w:pPr>
                    <w:jc w:val="center"/>
                    <w:rPr>
                      <w:sz w:val="18"/>
                      <w:szCs w:val="18"/>
                    </w:rPr>
                  </w:pPr>
                  <w:r w:rsidRPr="008819AF">
                    <w:rPr>
                      <w:sz w:val="18"/>
                      <w:szCs w:val="18"/>
                    </w:rPr>
                    <w:t>30, 50</w:t>
                  </w:r>
                  <w:r w:rsidRPr="008819AF">
                    <w:rPr>
                      <w:sz w:val="18"/>
                      <w:szCs w:val="18"/>
                      <w:vertAlign w:val="superscript"/>
                    </w:rPr>
                    <w:t>1</w:t>
                  </w:r>
                  <w:r w:rsidRPr="008819AF">
                    <w:rPr>
                      <w:sz w:val="18"/>
                      <w:szCs w:val="18"/>
                    </w:rPr>
                    <w:t>)</w:t>
                  </w:r>
                </w:p>
              </w:tc>
              <w:tc>
                <w:tcPr>
                  <w:tcW w:w="933" w:type="dxa"/>
                  <w:tcBorders>
                    <w:top w:val="single" w:sz="2" w:space="0" w:color="auto"/>
                    <w:left w:val="single" w:sz="2" w:space="0" w:color="auto"/>
                    <w:bottom w:val="single" w:sz="2" w:space="0" w:color="auto"/>
                    <w:right w:val="single" w:sz="2" w:space="0" w:color="auto"/>
                  </w:tcBorders>
                  <w:vAlign w:val="center"/>
                </w:tcPr>
                <w:p w14:paraId="151334A9" w14:textId="77777777" w:rsidR="00236AB5" w:rsidRPr="008819AF" w:rsidRDefault="00236AB5" w:rsidP="00236AB5">
                  <w:pPr>
                    <w:jc w:val="center"/>
                    <w:rPr>
                      <w:sz w:val="18"/>
                      <w:szCs w:val="18"/>
                    </w:rPr>
                  </w:pPr>
                  <w:r w:rsidRPr="008819AF">
                    <w:rPr>
                      <w:sz w:val="18"/>
                      <w:szCs w:val="18"/>
                    </w:rPr>
                    <w:t>350</w:t>
                  </w:r>
                </w:p>
              </w:tc>
              <w:tc>
                <w:tcPr>
                  <w:tcW w:w="1090" w:type="dxa"/>
                  <w:vMerge w:val="restart"/>
                  <w:tcBorders>
                    <w:top w:val="single" w:sz="2" w:space="0" w:color="auto"/>
                    <w:left w:val="single" w:sz="2" w:space="0" w:color="auto"/>
                    <w:bottom w:val="single" w:sz="2" w:space="0" w:color="auto"/>
                    <w:right w:val="single" w:sz="2" w:space="0" w:color="auto"/>
                  </w:tcBorders>
                  <w:vAlign w:val="center"/>
                </w:tcPr>
                <w:p w14:paraId="151334AA" w14:textId="77777777" w:rsidR="00236AB5" w:rsidRPr="008819AF" w:rsidRDefault="00236AB5" w:rsidP="00236AB5">
                  <w:pPr>
                    <w:jc w:val="center"/>
                    <w:rPr>
                      <w:sz w:val="18"/>
                      <w:szCs w:val="18"/>
                    </w:rPr>
                  </w:pPr>
                  <w:r w:rsidRPr="008819AF">
                    <w:rPr>
                      <w:sz w:val="18"/>
                      <w:szCs w:val="18"/>
                    </w:rPr>
                    <w:t>450</w:t>
                  </w:r>
                </w:p>
              </w:tc>
              <w:tc>
                <w:tcPr>
                  <w:tcW w:w="702" w:type="dxa"/>
                  <w:vMerge w:val="restart"/>
                  <w:tcBorders>
                    <w:top w:val="single" w:sz="2" w:space="0" w:color="auto"/>
                    <w:left w:val="single" w:sz="2" w:space="0" w:color="auto"/>
                    <w:bottom w:val="single" w:sz="2" w:space="0" w:color="auto"/>
                    <w:right w:val="single" w:sz="2" w:space="0" w:color="auto"/>
                  </w:tcBorders>
                  <w:vAlign w:val="center"/>
                </w:tcPr>
                <w:p w14:paraId="151334AB" w14:textId="77777777" w:rsidR="00236AB5" w:rsidRPr="008819AF" w:rsidRDefault="00236AB5" w:rsidP="00236AB5">
                  <w:pPr>
                    <w:jc w:val="center"/>
                    <w:rPr>
                      <w:sz w:val="18"/>
                      <w:szCs w:val="18"/>
                    </w:rPr>
                  </w:pPr>
                  <w:r w:rsidRPr="008819AF">
                    <w:rPr>
                      <w:sz w:val="18"/>
                      <w:szCs w:val="18"/>
                    </w:rPr>
                    <w:t>175</w:t>
                  </w:r>
                </w:p>
              </w:tc>
            </w:tr>
            <w:tr w:rsidR="00236AB5" w:rsidRPr="008819AF" w14:paraId="151334B4" w14:textId="77777777" w:rsidTr="00E67271">
              <w:trPr>
                <w:trHeight w:val="200"/>
                <w:jc w:val="center"/>
              </w:trPr>
              <w:tc>
                <w:tcPr>
                  <w:tcW w:w="542" w:type="dxa"/>
                  <w:vMerge/>
                  <w:tcBorders>
                    <w:top w:val="single" w:sz="2" w:space="0" w:color="auto"/>
                    <w:left w:val="single" w:sz="2" w:space="0" w:color="auto"/>
                    <w:bottom w:val="single" w:sz="2" w:space="0" w:color="auto"/>
                    <w:right w:val="single" w:sz="2" w:space="0" w:color="auto"/>
                  </w:tcBorders>
                  <w:vAlign w:val="center"/>
                </w:tcPr>
                <w:p w14:paraId="151334AD" w14:textId="77777777" w:rsidR="00236AB5" w:rsidRPr="008819AF" w:rsidRDefault="00236AB5" w:rsidP="00236AB5">
                  <w:pPr>
                    <w:rPr>
                      <w:sz w:val="18"/>
                      <w:szCs w:val="18"/>
                    </w:rPr>
                  </w:pPr>
                </w:p>
              </w:tc>
              <w:tc>
                <w:tcPr>
                  <w:tcW w:w="485" w:type="dxa"/>
                  <w:vMerge/>
                  <w:tcBorders>
                    <w:top w:val="single" w:sz="2" w:space="0" w:color="auto"/>
                    <w:left w:val="single" w:sz="2" w:space="0" w:color="auto"/>
                    <w:bottom w:val="single" w:sz="2" w:space="0" w:color="auto"/>
                    <w:right w:val="single" w:sz="2" w:space="0" w:color="auto"/>
                  </w:tcBorders>
                  <w:vAlign w:val="center"/>
                </w:tcPr>
                <w:p w14:paraId="151334AE" w14:textId="77777777" w:rsidR="00236AB5" w:rsidRPr="008819AF" w:rsidRDefault="00236AB5" w:rsidP="00236AB5">
                  <w:pPr>
                    <w:rPr>
                      <w:sz w:val="18"/>
                      <w:szCs w:val="18"/>
                    </w:rPr>
                  </w:pPr>
                </w:p>
              </w:tc>
              <w:tc>
                <w:tcPr>
                  <w:tcW w:w="1008" w:type="dxa"/>
                  <w:tcBorders>
                    <w:top w:val="single" w:sz="2" w:space="0" w:color="auto"/>
                    <w:left w:val="single" w:sz="2" w:space="0" w:color="auto"/>
                    <w:bottom w:val="single" w:sz="2" w:space="0" w:color="auto"/>
                    <w:right w:val="single" w:sz="2" w:space="0" w:color="auto"/>
                  </w:tcBorders>
                  <w:vAlign w:val="center"/>
                </w:tcPr>
                <w:p w14:paraId="151334AF" w14:textId="77777777" w:rsidR="00236AB5" w:rsidRPr="008819AF" w:rsidRDefault="00236AB5" w:rsidP="00236AB5">
                  <w:pPr>
                    <w:rPr>
                      <w:sz w:val="18"/>
                      <w:szCs w:val="18"/>
                    </w:rPr>
                  </w:pPr>
                  <w:r w:rsidRPr="008819AF">
                    <w:rPr>
                      <w:sz w:val="18"/>
                      <w:szCs w:val="18"/>
                    </w:rPr>
                    <w:t>OPR</w:t>
                  </w:r>
                </w:p>
              </w:tc>
              <w:tc>
                <w:tcPr>
                  <w:tcW w:w="784" w:type="dxa"/>
                  <w:vMerge/>
                  <w:tcBorders>
                    <w:top w:val="single" w:sz="2" w:space="0" w:color="auto"/>
                    <w:left w:val="single" w:sz="2" w:space="0" w:color="auto"/>
                    <w:bottom w:val="single" w:sz="2" w:space="0" w:color="auto"/>
                    <w:right w:val="single" w:sz="2" w:space="0" w:color="auto"/>
                  </w:tcBorders>
                  <w:vAlign w:val="center"/>
                </w:tcPr>
                <w:p w14:paraId="151334B0" w14:textId="77777777" w:rsidR="00236AB5" w:rsidRPr="008819AF" w:rsidRDefault="00236AB5" w:rsidP="00236AB5">
                  <w:pPr>
                    <w:jc w:val="center"/>
                    <w:rPr>
                      <w:sz w:val="18"/>
                      <w:szCs w:val="18"/>
                    </w:rPr>
                  </w:pPr>
                </w:p>
              </w:tc>
              <w:tc>
                <w:tcPr>
                  <w:tcW w:w="933" w:type="dxa"/>
                  <w:tcBorders>
                    <w:top w:val="single" w:sz="2" w:space="0" w:color="auto"/>
                    <w:left w:val="single" w:sz="2" w:space="0" w:color="auto"/>
                    <w:bottom w:val="single" w:sz="2" w:space="0" w:color="auto"/>
                    <w:right w:val="single" w:sz="2" w:space="0" w:color="auto"/>
                  </w:tcBorders>
                  <w:vAlign w:val="center"/>
                </w:tcPr>
                <w:p w14:paraId="151334B1" w14:textId="77777777" w:rsidR="00236AB5" w:rsidRPr="008819AF" w:rsidRDefault="00236AB5" w:rsidP="00236AB5">
                  <w:pPr>
                    <w:jc w:val="center"/>
                    <w:rPr>
                      <w:sz w:val="18"/>
                      <w:szCs w:val="18"/>
                    </w:rPr>
                  </w:pPr>
                  <w:r w:rsidRPr="008819AF">
                    <w:rPr>
                      <w:sz w:val="18"/>
                      <w:szCs w:val="18"/>
                    </w:rPr>
                    <w:t>850</w:t>
                  </w:r>
                  <w:r w:rsidRPr="008819AF">
                    <w:rPr>
                      <w:sz w:val="18"/>
                      <w:szCs w:val="18"/>
                      <w:vertAlign w:val="superscript"/>
                    </w:rPr>
                    <w:t>2</w:t>
                  </w:r>
                  <w:r w:rsidRPr="008819AF">
                    <w:rPr>
                      <w:sz w:val="18"/>
                      <w:szCs w:val="18"/>
                    </w:rPr>
                    <w:t>)</w:t>
                  </w:r>
                </w:p>
              </w:tc>
              <w:tc>
                <w:tcPr>
                  <w:tcW w:w="1090" w:type="dxa"/>
                  <w:vMerge/>
                  <w:tcBorders>
                    <w:top w:val="single" w:sz="2" w:space="0" w:color="auto"/>
                    <w:left w:val="single" w:sz="2" w:space="0" w:color="auto"/>
                    <w:bottom w:val="single" w:sz="2" w:space="0" w:color="auto"/>
                    <w:right w:val="single" w:sz="2" w:space="0" w:color="auto"/>
                  </w:tcBorders>
                  <w:vAlign w:val="center"/>
                </w:tcPr>
                <w:p w14:paraId="151334B2" w14:textId="77777777" w:rsidR="00236AB5" w:rsidRPr="008819AF" w:rsidRDefault="00236AB5" w:rsidP="00236AB5">
                  <w:pPr>
                    <w:jc w:val="center"/>
                    <w:rPr>
                      <w:sz w:val="18"/>
                      <w:szCs w:val="18"/>
                    </w:rPr>
                  </w:pPr>
                </w:p>
              </w:tc>
              <w:tc>
                <w:tcPr>
                  <w:tcW w:w="702" w:type="dxa"/>
                  <w:vMerge/>
                  <w:tcBorders>
                    <w:top w:val="single" w:sz="2" w:space="0" w:color="auto"/>
                    <w:left w:val="single" w:sz="2" w:space="0" w:color="auto"/>
                    <w:bottom w:val="single" w:sz="2" w:space="0" w:color="auto"/>
                    <w:right w:val="single" w:sz="2" w:space="0" w:color="auto"/>
                  </w:tcBorders>
                  <w:vAlign w:val="center"/>
                </w:tcPr>
                <w:p w14:paraId="151334B3" w14:textId="77777777" w:rsidR="00236AB5" w:rsidRPr="008819AF" w:rsidRDefault="00236AB5" w:rsidP="00236AB5">
                  <w:pPr>
                    <w:jc w:val="center"/>
                    <w:rPr>
                      <w:sz w:val="18"/>
                      <w:szCs w:val="18"/>
                    </w:rPr>
                  </w:pPr>
                </w:p>
              </w:tc>
            </w:tr>
            <w:tr w:rsidR="00236AB5" w:rsidRPr="008819AF" w14:paraId="151334BC" w14:textId="77777777" w:rsidTr="00E67271">
              <w:trPr>
                <w:trHeight w:val="288"/>
                <w:jc w:val="center"/>
              </w:trPr>
              <w:tc>
                <w:tcPr>
                  <w:tcW w:w="542" w:type="dxa"/>
                  <w:vMerge w:val="restart"/>
                  <w:tcBorders>
                    <w:top w:val="single" w:sz="2" w:space="0" w:color="auto"/>
                    <w:left w:val="single" w:sz="2" w:space="0" w:color="auto"/>
                    <w:bottom w:val="single" w:sz="2" w:space="0" w:color="auto"/>
                    <w:right w:val="single" w:sz="2" w:space="0" w:color="auto"/>
                  </w:tcBorders>
                  <w:vAlign w:val="center"/>
                </w:tcPr>
                <w:p w14:paraId="151334B5" w14:textId="77777777" w:rsidR="00236AB5" w:rsidRPr="008819AF" w:rsidRDefault="00236AB5" w:rsidP="00236AB5">
                  <w:pPr>
                    <w:ind w:left="-60" w:right="-108"/>
                    <w:rPr>
                      <w:sz w:val="18"/>
                      <w:szCs w:val="18"/>
                    </w:rPr>
                  </w:pPr>
                  <w:r w:rsidRPr="008819AF">
                    <w:rPr>
                      <w:sz w:val="18"/>
                      <w:szCs w:val="18"/>
                    </w:rPr>
                    <w:t>≥ 100</w:t>
                  </w:r>
                </w:p>
              </w:tc>
              <w:tc>
                <w:tcPr>
                  <w:tcW w:w="485" w:type="dxa"/>
                  <w:vMerge w:val="restart"/>
                  <w:tcBorders>
                    <w:top w:val="single" w:sz="2" w:space="0" w:color="auto"/>
                    <w:left w:val="single" w:sz="2" w:space="0" w:color="auto"/>
                    <w:bottom w:val="single" w:sz="2" w:space="0" w:color="auto"/>
                    <w:right w:val="single" w:sz="2" w:space="0" w:color="auto"/>
                  </w:tcBorders>
                  <w:vAlign w:val="center"/>
                </w:tcPr>
                <w:p w14:paraId="151334B6" w14:textId="77777777" w:rsidR="00236AB5" w:rsidRPr="008819AF" w:rsidRDefault="00236AB5" w:rsidP="00236AB5">
                  <w:pPr>
                    <w:ind w:left="-60" w:right="-108"/>
                    <w:rPr>
                      <w:sz w:val="18"/>
                      <w:szCs w:val="18"/>
                    </w:rPr>
                  </w:pPr>
                  <w:r w:rsidRPr="008819AF">
                    <w:rPr>
                      <w:sz w:val="18"/>
                      <w:szCs w:val="18"/>
                    </w:rPr>
                    <w:t>≤ 300</w:t>
                  </w:r>
                </w:p>
              </w:tc>
              <w:tc>
                <w:tcPr>
                  <w:tcW w:w="1008" w:type="dxa"/>
                  <w:tcBorders>
                    <w:top w:val="single" w:sz="2" w:space="0" w:color="auto"/>
                    <w:left w:val="single" w:sz="2" w:space="0" w:color="auto"/>
                    <w:bottom w:val="single" w:sz="2" w:space="0" w:color="auto"/>
                    <w:right w:val="single" w:sz="2" w:space="0" w:color="auto"/>
                  </w:tcBorders>
                  <w:vAlign w:val="center"/>
                </w:tcPr>
                <w:p w14:paraId="151334B7" w14:textId="77777777" w:rsidR="00236AB5" w:rsidRPr="008819AF" w:rsidRDefault="00236AB5" w:rsidP="00236AB5">
                  <w:pPr>
                    <w:rPr>
                      <w:sz w:val="18"/>
                      <w:szCs w:val="18"/>
                    </w:rPr>
                  </w:pPr>
                  <w:r w:rsidRPr="008819AF">
                    <w:rPr>
                      <w:sz w:val="18"/>
                      <w:szCs w:val="18"/>
                    </w:rPr>
                    <w:t>Všeobecne</w:t>
                  </w:r>
                </w:p>
              </w:tc>
              <w:tc>
                <w:tcPr>
                  <w:tcW w:w="784" w:type="dxa"/>
                  <w:vMerge w:val="restart"/>
                  <w:tcBorders>
                    <w:top w:val="single" w:sz="2" w:space="0" w:color="auto"/>
                    <w:left w:val="single" w:sz="2" w:space="0" w:color="auto"/>
                    <w:bottom w:val="single" w:sz="2" w:space="0" w:color="auto"/>
                    <w:right w:val="single" w:sz="2" w:space="0" w:color="auto"/>
                  </w:tcBorders>
                  <w:vAlign w:val="center"/>
                </w:tcPr>
                <w:p w14:paraId="151334B8" w14:textId="77777777" w:rsidR="00236AB5" w:rsidRPr="008819AF" w:rsidRDefault="00236AB5" w:rsidP="00236AB5">
                  <w:pPr>
                    <w:jc w:val="center"/>
                    <w:rPr>
                      <w:sz w:val="18"/>
                      <w:szCs w:val="18"/>
                    </w:rPr>
                  </w:pPr>
                  <w:r w:rsidRPr="008819AF">
                    <w:rPr>
                      <w:sz w:val="18"/>
                      <w:szCs w:val="18"/>
                    </w:rPr>
                    <w:t>25, 50</w:t>
                  </w:r>
                  <w:r w:rsidRPr="008819AF">
                    <w:rPr>
                      <w:sz w:val="18"/>
                      <w:szCs w:val="18"/>
                      <w:vertAlign w:val="superscript"/>
                    </w:rPr>
                    <w:t>1</w:t>
                  </w:r>
                  <w:r w:rsidRPr="008819AF">
                    <w:rPr>
                      <w:sz w:val="18"/>
                      <w:szCs w:val="18"/>
                    </w:rPr>
                    <w:t>)</w:t>
                  </w:r>
                </w:p>
              </w:tc>
              <w:tc>
                <w:tcPr>
                  <w:tcW w:w="933" w:type="dxa"/>
                  <w:tcBorders>
                    <w:top w:val="single" w:sz="2" w:space="0" w:color="auto"/>
                    <w:left w:val="single" w:sz="2" w:space="0" w:color="auto"/>
                    <w:bottom w:val="single" w:sz="2" w:space="0" w:color="auto"/>
                    <w:right w:val="single" w:sz="2" w:space="0" w:color="auto"/>
                  </w:tcBorders>
                  <w:vAlign w:val="center"/>
                </w:tcPr>
                <w:p w14:paraId="151334B9" w14:textId="77777777" w:rsidR="00236AB5" w:rsidRPr="008819AF" w:rsidRDefault="00236AB5" w:rsidP="00236AB5">
                  <w:pPr>
                    <w:jc w:val="center"/>
                    <w:rPr>
                      <w:sz w:val="18"/>
                      <w:szCs w:val="18"/>
                    </w:rPr>
                  </w:pPr>
                  <w:r w:rsidRPr="008819AF">
                    <w:rPr>
                      <w:sz w:val="18"/>
                      <w:szCs w:val="18"/>
                    </w:rPr>
                    <w:t>250</w:t>
                  </w:r>
                </w:p>
              </w:tc>
              <w:tc>
                <w:tcPr>
                  <w:tcW w:w="1090" w:type="dxa"/>
                  <w:tcBorders>
                    <w:top w:val="single" w:sz="2" w:space="0" w:color="auto"/>
                    <w:left w:val="single" w:sz="2" w:space="0" w:color="auto"/>
                    <w:bottom w:val="single" w:sz="2" w:space="0" w:color="auto"/>
                    <w:right w:val="single" w:sz="2" w:space="0" w:color="auto"/>
                  </w:tcBorders>
                  <w:vAlign w:val="center"/>
                </w:tcPr>
                <w:p w14:paraId="151334BA" w14:textId="77777777" w:rsidR="00236AB5" w:rsidRPr="008819AF" w:rsidRDefault="00236AB5" w:rsidP="00236AB5">
                  <w:pPr>
                    <w:jc w:val="center"/>
                    <w:rPr>
                      <w:sz w:val="18"/>
                      <w:szCs w:val="18"/>
                    </w:rPr>
                  </w:pPr>
                  <w:r w:rsidRPr="008819AF">
                    <w:rPr>
                      <w:sz w:val="18"/>
                      <w:szCs w:val="18"/>
                    </w:rPr>
                    <w:t>200, 450</w:t>
                  </w:r>
                  <w:r w:rsidRPr="008819AF">
                    <w:rPr>
                      <w:sz w:val="18"/>
                      <w:szCs w:val="18"/>
                      <w:vertAlign w:val="superscript"/>
                    </w:rPr>
                    <w:t>3</w:t>
                  </w:r>
                  <w:r w:rsidRPr="008819AF">
                    <w:rPr>
                      <w:sz w:val="18"/>
                      <w:szCs w:val="18"/>
                    </w:rPr>
                    <w:t>)</w:t>
                  </w:r>
                </w:p>
              </w:tc>
              <w:tc>
                <w:tcPr>
                  <w:tcW w:w="702" w:type="dxa"/>
                  <w:vMerge w:val="restart"/>
                  <w:tcBorders>
                    <w:top w:val="single" w:sz="2" w:space="0" w:color="auto"/>
                    <w:left w:val="single" w:sz="2" w:space="0" w:color="auto"/>
                    <w:bottom w:val="single" w:sz="2" w:space="0" w:color="auto"/>
                    <w:right w:val="single" w:sz="2" w:space="0" w:color="auto"/>
                  </w:tcBorders>
                  <w:vAlign w:val="center"/>
                </w:tcPr>
                <w:p w14:paraId="151334BB" w14:textId="77777777" w:rsidR="00236AB5" w:rsidRPr="008819AF" w:rsidRDefault="00236AB5" w:rsidP="00236AB5">
                  <w:pPr>
                    <w:jc w:val="center"/>
                    <w:rPr>
                      <w:sz w:val="18"/>
                      <w:szCs w:val="18"/>
                    </w:rPr>
                  </w:pPr>
                  <w:r w:rsidRPr="008819AF">
                    <w:rPr>
                      <w:sz w:val="18"/>
                      <w:szCs w:val="18"/>
                    </w:rPr>
                    <w:t>175</w:t>
                  </w:r>
                </w:p>
              </w:tc>
            </w:tr>
            <w:tr w:rsidR="00236AB5" w:rsidRPr="008819AF" w14:paraId="151334C4" w14:textId="77777777" w:rsidTr="00E67271">
              <w:trPr>
                <w:trHeight w:val="293"/>
                <w:jc w:val="center"/>
              </w:trPr>
              <w:tc>
                <w:tcPr>
                  <w:tcW w:w="542" w:type="dxa"/>
                  <w:vMerge/>
                  <w:tcBorders>
                    <w:top w:val="single" w:sz="2" w:space="0" w:color="auto"/>
                    <w:left w:val="single" w:sz="2" w:space="0" w:color="auto"/>
                    <w:bottom w:val="single" w:sz="2" w:space="0" w:color="auto"/>
                    <w:right w:val="single" w:sz="2" w:space="0" w:color="auto"/>
                  </w:tcBorders>
                  <w:vAlign w:val="center"/>
                </w:tcPr>
                <w:p w14:paraId="151334BD" w14:textId="77777777" w:rsidR="00236AB5" w:rsidRPr="008819AF" w:rsidRDefault="00236AB5" w:rsidP="00236AB5">
                  <w:pPr>
                    <w:ind w:left="-60" w:right="-108"/>
                    <w:rPr>
                      <w:sz w:val="18"/>
                      <w:szCs w:val="18"/>
                    </w:rPr>
                  </w:pPr>
                </w:p>
              </w:tc>
              <w:tc>
                <w:tcPr>
                  <w:tcW w:w="485" w:type="dxa"/>
                  <w:vMerge/>
                  <w:tcBorders>
                    <w:top w:val="single" w:sz="2" w:space="0" w:color="auto"/>
                    <w:left w:val="single" w:sz="2" w:space="0" w:color="auto"/>
                    <w:bottom w:val="single" w:sz="2" w:space="0" w:color="auto"/>
                    <w:right w:val="single" w:sz="2" w:space="0" w:color="auto"/>
                  </w:tcBorders>
                  <w:vAlign w:val="center"/>
                </w:tcPr>
                <w:p w14:paraId="151334BE" w14:textId="77777777" w:rsidR="00236AB5" w:rsidRPr="008819AF" w:rsidRDefault="00236AB5" w:rsidP="00236AB5">
                  <w:pPr>
                    <w:rPr>
                      <w:sz w:val="18"/>
                      <w:szCs w:val="18"/>
                    </w:rPr>
                  </w:pPr>
                </w:p>
              </w:tc>
              <w:tc>
                <w:tcPr>
                  <w:tcW w:w="1008" w:type="dxa"/>
                  <w:tcBorders>
                    <w:top w:val="single" w:sz="2" w:space="0" w:color="auto"/>
                    <w:left w:val="single" w:sz="2" w:space="0" w:color="auto"/>
                    <w:bottom w:val="single" w:sz="2" w:space="0" w:color="auto"/>
                    <w:right w:val="single" w:sz="2" w:space="0" w:color="auto"/>
                  </w:tcBorders>
                  <w:vAlign w:val="center"/>
                </w:tcPr>
                <w:p w14:paraId="151334BF" w14:textId="77777777" w:rsidR="00236AB5" w:rsidRPr="008819AF" w:rsidRDefault="00236AB5" w:rsidP="00236AB5">
                  <w:pPr>
                    <w:rPr>
                      <w:sz w:val="18"/>
                      <w:szCs w:val="18"/>
                    </w:rPr>
                  </w:pPr>
                  <w:r w:rsidRPr="008819AF">
                    <w:rPr>
                      <w:sz w:val="18"/>
                      <w:szCs w:val="18"/>
                    </w:rPr>
                    <w:t>OPR</w:t>
                  </w:r>
                </w:p>
              </w:tc>
              <w:tc>
                <w:tcPr>
                  <w:tcW w:w="784" w:type="dxa"/>
                  <w:vMerge/>
                  <w:tcBorders>
                    <w:top w:val="single" w:sz="2" w:space="0" w:color="auto"/>
                    <w:left w:val="single" w:sz="2" w:space="0" w:color="auto"/>
                    <w:bottom w:val="single" w:sz="2" w:space="0" w:color="auto"/>
                    <w:right w:val="single" w:sz="2" w:space="0" w:color="auto"/>
                  </w:tcBorders>
                  <w:vAlign w:val="center"/>
                </w:tcPr>
                <w:p w14:paraId="151334C0" w14:textId="77777777" w:rsidR="00236AB5" w:rsidRPr="008819AF" w:rsidRDefault="00236AB5" w:rsidP="00236AB5">
                  <w:pPr>
                    <w:jc w:val="center"/>
                    <w:rPr>
                      <w:sz w:val="18"/>
                      <w:szCs w:val="18"/>
                    </w:rPr>
                  </w:pPr>
                </w:p>
              </w:tc>
              <w:tc>
                <w:tcPr>
                  <w:tcW w:w="933" w:type="dxa"/>
                  <w:tcBorders>
                    <w:top w:val="single" w:sz="2" w:space="0" w:color="auto"/>
                    <w:left w:val="single" w:sz="2" w:space="0" w:color="auto"/>
                    <w:bottom w:val="single" w:sz="2" w:space="0" w:color="auto"/>
                    <w:right w:val="single" w:sz="2" w:space="0" w:color="auto"/>
                  </w:tcBorders>
                  <w:vAlign w:val="center"/>
                </w:tcPr>
                <w:p w14:paraId="151334C1" w14:textId="77777777" w:rsidR="00236AB5" w:rsidRPr="008819AF" w:rsidRDefault="00236AB5" w:rsidP="00236AB5">
                  <w:pPr>
                    <w:jc w:val="center"/>
                    <w:rPr>
                      <w:sz w:val="18"/>
                      <w:szCs w:val="18"/>
                    </w:rPr>
                  </w:pPr>
                  <w:r w:rsidRPr="008819AF">
                    <w:rPr>
                      <w:sz w:val="18"/>
                      <w:szCs w:val="18"/>
                    </w:rPr>
                    <w:t>850</w:t>
                  </w:r>
                  <w:r w:rsidRPr="008819AF">
                    <w:rPr>
                      <w:sz w:val="18"/>
                      <w:szCs w:val="18"/>
                      <w:vertAlign w:val="superscript"/>
                    </w:rPr>
                    <w:t>2</w:t>
                  </w:r>
                  <w:r w:rsidRPr="008819AF">
                    <w:rPr>
                      <w:sz w:val="18"/>
                      <w:szCs w:val="18"/>
                    </w:rPr>
                    <w:t>)</w:t>
                  </w:r>
                </w:p>
              </w:tc>
              <w:tc>
                <w:tcPr>
                  <w:tcW w:w="1090" w:type="dxa"/>
                  <w:tcBorders>
                    <w:top w:val="single" w:sz="2" w:space="0" w:color="auto"/>
                    <w:left w:val="single" w:sz="2" w:space="0" w:color="auto"/>
                    <w:bottom w:val="single" w:sz="2" w:space="0" w:color="auto"/>
                    <w:right w:val="single" w:sz="2" w:space="0" w:color="auto"/>
                  </w:tcBorders>
                  <w:vAlign w:val="center"/>
                </w:tcPr>
                <w:p w14:paraId="151334C2" w14:textId="77777777" w:rsidR="00236AB5" w:rsidRPr="008819AF" w:rsidRDefault="00236AB5" w:rsidP="00236AB5">
                  <w:pPr>
                    <w:jc w:val="center"/>
                    <w:rPr>
                      <w:sz w:val="18"/>
                      <w:szCs w:val="18"/>
                    </w:rPr>
                  </w:pPr>
                  <w:r w:rsidRPr="008819AF">
                    <w:rPr>
                      <w:sz w:val="18"/>
                      <w:szCs w:val="18"/>
                    </w:rPr>
                    <w:t>450</w:t>
                  </w:r>
                  <w:r w:rsidRPr="008819AF">
                    <w:rPr>
                      <w:sz w:val="18"/>
                      <w:szCs w:val="18"/>
                      <w:vertAlign w:val="superscript"/>
                    </w:rPr>
                    <w:t>2</w:t>
                  </w:r>
                  <w:r w:rsidRPr="008819AF">
                    <w:rPr>
                      <w:sz w:val="18"/>
                      <w:szCs w:val="18"/>
                    </w:rPr>
                    <w:t>)</w:t>
                  </w:r>
                </w:p>
              </w:tc>
              <w:tc>
                <w:tcPr>
                  <w:tcW w:w="702" w:type="dxa"/>
                  <w:vMerge/>
                  <w:tcBorders>
                    <w:top w:val="single" w:sz="2" w:space="0" w:color="auto"/>
                    <w:left w:val="single" w:sz="2" w:space="0" w:color="auto"/>
                    <w:bottom w:val="single" w:sz="2" w:space="0" w:color="auto"/>
                    <w:right w:val="single" w:sz="2" w:space="0" w:color="auto"/>
                  </w:tcBorders>
                  <w:vAlign w:val="center"/>
                </w:tcPr>
                <w:p w14:paraId="151334C3" w14:textId="77777777" w:rsidR="00236AB5" w:rsidRPr="008819AF" w:rsidRDefault="00236AB5" w:rsidP="00236AB5">
                  <w:pPr>
                    <w:jc w:val="center"/>
                    <w:rPr>
                      <w:sz w:val="18"/>
                      <w:szCs w:val="18"/>
                    </w:rPr>
                  </w:pPr>
                </w:p>
              </w:tc>
            </w:tr>
            <w:tr w:rsidR="00236AB5" w:rsidRPr="008819AF" w14:paraId="151334CC" w14:textId="77777777" w:rsidTr="00E67271">
              <w:trPr>
                <w:trHeight w:val="340"/>
                <w:jc w:val="center"/>
              </w:trPr>
              <w:tc>
                <w:tcPr>
                  <w:tcW w:w="542" w:type="dxa"/>
                  <w:vMerge w:val="restart"/>
                  <w:tcBorders>
                    <w:top w:val="single" w:sz="2" w:space="0" w:color="auto"/>
                    <w:left w:val="single" w:sz="2" w:space="0" w:color="auto"/>
                    <w:bottom w:val="single" w:sz="2" w:space="0" w:color="auto"/>
                    <w:right w:val="single" w:sz="2" w:space="0" w:color="auto"/>
                  </w:tcBorders>
                  <w:vAlign w:val="center"/>
                </w:tcPr>
                <w:p w14:paraId="151334C5" w14:textId="77777777" w:rsidR="00236AB5" w:rsidRPr="008819AF" w:rsidRDefault="00236AB5" w:rsidP="00236AB5">
                  <w:pPr>
                    <w:ind w:left="-60" w:right="-108"/>
                    <w:rPr>
                      <w:sz w:val="18"/>
                      <w:szCs w:val="18"/>
                    </w:rPr>
                  </w:pPr>
                  <w:r w:rsidRPr="008819AF">
                    <w:rPr>
                      <w:sz w:val="18"/>
                      <w:szCs w:val="18"/>
                    </w:rPr>
                    <w:t>&gt; 300</w:t>
                  </w:r>
                </w:p>
              </w:tc>
              <w:tc>
                <w:tcPr>
                  <w:tcW w:w="485" w:type="dxa"/>
                  <w:vMerge w:val="restart"/>
                  <w:tcBorders>
                    <w:top w:val="single" w:sz="2" w:space="0" w:color="auto"/>
                    <w:left w:val="single" w:sz="2" w:space="0" w:color="auto"/>
                    <w:bottom w:val="single" w:sz="2" w:space="0" w:color="auto"/>
                    <w:right w:val="single" w:sz="2" w:space="0" w:color="auto"/>
                  </w:tcBorders>
                  <w:vAlign w:val="center"/>
                </w:tcPr>
                <w:p w14:paraId="151334C6" w14:textId="77777777" w:rsidR="00236AB5" w:rsidRPr="008819AF" w:rsidRDefault="00236AB5" w:rsidP="00236AB5">
                  <w:pPr>
                    <w:jc w:val="center"/>
                    <w:rPr>
                      <w:sz w:val="18"/>
                      <w:szCs w:val="18"/>
                    </w:rPr>
                  </w:pPr>
                  <w:r w:rsidRPr="008819AF">
                    <w:rPr>
                      <w:sz w:val="18"/>
                      <w:szCs w:val="18"/>
                    </w:rPr>
                    <w:t>-</w:t>
                  </w:r>
                </w:p>
              </w:tc>
              <w:tc>
                <w:tcPr>
                  <w:tcW w:w="1008" w:type="dxa"/>
                  <w:tcBorders>
                    <w:top w:val="single" w:sz="2" w:space="0" w:color="auto"/>
                    <w:left w:val="single" w:sz="2" w:space="0" w:color="auto"/>
                    <w:bottom w:val="single" w:sz="2" w:space="0" w:color="auto"/>
                    <w:right w:val="single" w:sz="2" w:space="0" w:color="auto"/>
                  </w:tcBorders>
                  <w:vAlign w:val="center"/>
                </w:tcPr>
                <w:p w14:paraId="151334C7" w14:textId="77777777" w:rsidR="00236AB5" w:rsidRPr="008819AF" w:rsidRDefault="00236AB5" w:rsidP="00236AB5">
                  <w:pPr>
                    <w:rPr>
                      <w:sz w:val="18"/>
                      <w:szCs w:val="18"/>
                    </w:rPr>
                  </w:pPr>
                  <w:r w:rsidRPr="008819AF">
                    <w:rPr>
                      <w:sz w:val="18"/>
                      <w:szCs w:val="18"/>
                    </w:rPr>
                    <w:t>Všeobecne</w:t>
                  </w:r>
                </w:p>
              </w:tc>
              <w:tc>
                <w:tcPr>
                  <w:tcW w:w="784" w:type="dxa"/>
                  <w:vMerge w:val="restart"/>
                  <w:tcBorders>
                    <w:top w:val="single" w:sz="2" w:space="0" w:color="auto"/>
                    <w:left w:val="single" w:sz="2" w:space="0" w:color="auto"/>
                    <w:bottom w:val="single" w:sz="2" w:space="0" w:color="auto"/>
                    <w:right w:val="single" w:sz="2" w:space="0" w:color="auto"/>
                  </w:tcBorders>
                  <w:vAlign w:val="center"/>
                </w:tcPr>
                <w:p w14:paraId="151334C8" w14:textId="77777777" w:rsidR="00236AB5" w:rsidRPr="008819AF" w:rsidRDefault="00236AB5" w:rsidP="00236AB5">
                  <w:pPr>
                    <w:jc w:val="center"/>
                    <w:rPr>
                      <w:sz w:val="18"/>
                      <w:szCs w:val="18"/>
                    </w:rPr>
                  </w:pPr>
                  <w:r w:rsidRPr="008819AF">
                    <w:rPr>
                      <w:sz w:val="18"/>
                      <w:szCs w:val="18"/>
                    </w:rPr>
                    <w:t>20, 50</w:t>
                  </w:r>
                  <w:r w:rsidRPr="008819AF">
                    <w:rPr>
                      <w:sz w:val="18"/>
                      <w:szCs w:val="18"/>
                      <w:vertAlign w:val="superscript"/>
                    </w:rPr>
                    <w:t>1</w:t>
                  </w:r>
                  <w:r w:rsidRPr="008819AF">
                    <w:rPr>
                      <w:sz w:val="18"/>
                      <w:szCs w:val="18"/>
                    </w:rPr>
                    <w:t>)</w:t>
                  </w:r>
                </w:p>
              </w:tc>
              <w:tc>
                <w:tcPr>
                  <w:tcW w:w="933" w:type="dxa"/>
                  <w:tcBorders>
                    <w:top w:val="single" w:sz="2" w:space="0" w:color="auto"/>
                    <w:left w:val="single" w:sz="2" w:space="0" w:color="auto"/>
                    <w:bottom w:val="single" w:sz="2" w:space="0" w:color="auto"/>
                    <w:right w:val="single" w:sz="2" w:space="0" w:color="auto"/>
                  </w:tcBorders>
                  <w:vAlign w:val="center"/>
                </w:tcPr>
                <w:p w14:paraId="151334C9" w14:textId="77777777" w:rsidR="00236AB5" w:rsidRPr="008819AF" w:rsidRDefault="00236AB5" w:rsidP="00236AB5">
                  <w:pPr>
                    <w:jc w:val="center"/>
                    <w:rPr>
                      <w:sz w:val="18"/>
                      <w:szCs w:val="18"/>
                    </w:rPr>
                  </w:pPr>
                  <w:r w:rsidRPr="008819AF">
                    <w:rPr>
                      <w:sz w:val="18"/>
                      <w:szCs w:val="18"/>
                    </w:rPr>
                    <w:t>200</w:t>
                  </w:r>
                </w:p>
              </w:tc>
              <w:tc>
                <w:tcPr>
                  <w:tcW w:w="1090" w:type="dxa"/>
                  <w:tcBorders>
                    <w:top w:val="single" w:sz="2" w:space="0" w:color="auto"/>
                    <w:left w:val="single" w:sz="2" w:space="0" w:color="auto"/>
                    <w:bottom w:val="single" w:sz="2" w:space="0" w:color="auto"/>
                    <w:right w:val="single" w:sz="2" w:space="0" w:color="auto"/>
                  </w:tcBorders>
                  <w:vAlign w:val="center"/>
                </w:tcPr>
                <w:p w14:paraId="151334CA" w14:textId="77777777" w:rsidR="00236AB5" w:rsidRPr="008819AF" w:rsidRDefault="00236AB5" w:rsidP="00236AB5">
                  <w:pPr>
                    <w:jc w:val="center"/>
                    <w:rPr>
                      <w:sz w:val="18"/>
                      <w:szCs w:val="18"/>
                    </w:rPr>
                  </w:pPr>
                  <w:r w:rsidRPr="008819AF">
                    <w:rPr>
                      <w:sz w:val="18"/>
                      <w:szCs w:val="18"/>
                    </w:rPr>
                    <w:t>150, 450</w:t>
                  </w:r>
                  <w:r w:rsidRPr="008819AF">
                    <w:rPr>
                      <w:sz w:val="18"/>
                      <w:szCs w:val="18"/>
                      <w:vertAlign w:val="superscript"/>
                    </w:rPr>
                    <w:t>3</w:t>
                  </w:r>
                  <w:r w:rsidRPr="008819AF">
                    <w:rPr>
                      <w:sz w:val="18"/>
                      <w:szCs w:val="18"/>
                    </w:rPr>
                    <w:t>)</w:t>
                  </w:r>
                </w:p>
              </w:tc>
              <w:tc>
                <w:tcPr>
                  <w:tcW w:w="702" w:type="dxa"/>
                  <w:vMerge w:val="restart"/>
                  <w:tcBorders>
                    <w:top w:val="single" w:sz="2" w:space="0" w:color="auto"/>
                    <w:left w:val="single" w:sz="2" w:space="0" w:color="auto"/>
                    <w:bottom w:val="single" w:sz="2" w:space="0" w:color="auto"/>
                    <w:right w:val="single" w:sz="2" w:space="0" w:color="auto"/>
                  </w:tcBorders>
                  <w:vAlign w:val="center"/>
                </w:tcPr>
                <w:p w14:paraId="151334CB" w14:textId="77777777" w:rsidR="00236AB5" w:rsidRPr="008819AF" w:rsidRDefault="00236AB5" w:rsidP="00236AB5">
                  <w:pPr>
                    <w:jc w:val="center"/>
                    <w:rPr>
                      <w:sz w:val="18"/>
                      <w:szCs w:val="18"/>
                    </w:rPr>
                  </w:pPr>
                  <w:r w:rsidRPr="008819AF">
                    <w:rPr>
                      <w:sz w:val="18"/>
                      <w:szCs w:val="18"/>
                    </w:rPr>
                    <w:t>175</w:t>
                  </w:r>
                </w:p>
              </w:tc>
            </w:tr>
            <w:tr w:rsidR="00236AB5" w:rsidRPr="008819AF" w14:paraId="151334D4" w14:textId="77777777" w:rsidTr="00E67271">
              <w:trPr>
                <w:trHeight w:val="340"/>
                <w:jc w:val="center"/>
              </w:trPr>
              <w:tc>
                <w:tcPr>
                  <w:tcW w:w="542" w:type="dxa"/>
                  <w:vMerge/>
                  <w:tcBorders>
                    <w:top w:val="single" w:sz="2" w:space="0" w:color="auto"/>
                    <w:left w:val="single" w:sz="2" w:space="0" w:color="auto"/>
                    <w:bottom w:val="single" w:sz="2" w:space="0" w:color="auto"/>
                    <w:right w:val="single" w:sz="2" w:space="0" w:color="auto"/>
                  </w:tcBorders>
                  <w:vAlign w:val="center"/>
                </w:tcPr>
                <w:p w14:paraId="151334CD" w14:textId="77777777" w:rsidR="00236AB5" w:rsidRPr="008819AF" w:rsidRDefault="00236AB5" w:rsidP="00236AB5">
                  <w:pPr>
                    <w:rPr>
                      <w:sz w:val="18"/>
                      <w:szCs w:val="18"/>
                    </w:rPr>
                  </w:pPr>
                </w:p>
              </w:tc>
              <w:tc>
                <w:tcPr>
                  <w:tcW w:w="485" w:type="dxa"/>
                  <w:vMerge/>
                  <w:tcBorders>
                    <w:top w:val="single" w:sz="2" w:space="0" w:color="auto"/>
                    <w:left w:val="single" w:sz="2" w:space="0" w:color="auto"/>
                    <w:bottom w:val="single" w:sz="2" w:space="0" w:color="auto"/>
                    <w:right w:val="single" w:sz="2" w:space="0" w:color="auto"/>
                  </w:tcBorders>
                  <w:vAlign w:val="center"/>
                </w:tcPr>
                <w:p w14:paraId="151334CE" w14:textId="77777777" w:rsidR="00236AB5" w:rsidRPr="008819AF" w:rsidRDefault="00236AB5" w:rsidP="00236AB5">
                  <w:pPr>
                    <w:rPr>
                      <w:sz w:val="18"/>
                      <w:szCs w:val="18"/>
                    </w:rPr>
                  </w:pPr>
                </w:p>
              </w:tc>
              <w:tc>
                <w:tcPr>
                  <w:tcW w:w="1008" w:type="dxa"/>
                  <w:tcBorders>
                    <w:top w:val="single" w:sz="2" w:space="0" w:color="auto"/>
                    <w:left w:val="single" w:sz="2" w:space="0" w:color="auto"/>
                    <w:bottom w:val="single" w:sz="2" w:space="0" w:color="auto"/>
                    <w:right w:val="single" w:sz="2" w:space="0" w:color="auto"/>
                  </w:tcBorders>
                  <w:vAlign w:val="center"/>
                </w:tcPr>
                <w:p w14:paraId="151334CF" w14:textId="77777777" w:rsidR="00236AB5" w:rsidRPr="008819AF" w:rsidRDefault="00236AB5" w:rsidP="00236AB5">
                  <w:pPr>
                    <w:rPr>
                      <w:sz w:val="18"/>
                      <w:szCs w:val="18"/>
                    </w:rPr>
                  </w:pPr>
                  <w:r w:rsidRPr="008819AF">
                    <w:rPr>
                      <w:sz w:val="18"/>
                      <w:szCs w:val="18"/>
                    </w:rPr>
                    <w:t>OPR</w:t>
                  </w:r>
                </w:p>
              </w:tc>
              <w:tc>
                <w:tcPr>
                  <w:tcW w:w="784" w:type="dxa"/>
                  <w:vMerge/>
                  <w:tcBorders>
                    <w:top w:val="single" w:sz="2" w:space="0" w:color="auto"/>
                    <w:left w:val="single" w:sz="2" w:space="0" w:color="auto"/>
                    <w:bottom w:val="single" w:sz="2" w:space="0" w:color="auto"/>
                    <w:right w:val="single" w:sz="2" w:space="0" w:color="auto"/>
                  </w:tcBorders>
                  <w:vAlign w:val="center"/>
                </w:tcPr>
                <w:p w14:paraId="151334D0" w14:textId="77777777" w:rsidR="00236AB5" w:rsidRPr="008819AF" w:rsidRDefault="00236AB5" w:rsidP="00236AB5">
                  <w:pPr>
                    <w:jc w:val="center"/>
                    <w:rPr>
                      <w:sz w:val="18"/>
                      <w:szCs w:val="18"/>
                    </w:rPr>
                  </w:pPr>
                </w:p>
              </w:tc>
              <w:tc>
                <w:tcPr>
                  <w:tcW w:w="933" w:type="dxa"/>
                  <w:tcBorders>
                    <w:top w:val="single" w:sz="2" w:space="0" w:color="auto"/>
                    <w:left w:val="single" w:sz="2" w:space="0" w:color="auto"/>
                    <w:bottom w:val="single" w:sz="2" w:space="0" w:color="auto"/>
                    <w:right w:val="single" w:sz="2" w:space="0" w:color="auto"/>
                  </w:tcBorders>
                  <w:vAlign w:val="center"/>
                </w:tcPr>
                <w:p w14:paraId="151334D1" w14:textId="77777777" w:rsidR="00236AB5" w:rsidRPr="008819AF" w:rsidRDefault="00236AB5" w:rsidP="00236AB5">
                  <w:pPr>
                    <w:jc w:val="center"/>
                    <w:rPr>
                      <w:sz w:val="18"/>
                      <w:szCs w:val="18"/>
                    </w:rPr>
                  </w:pPr>
                  <w:r w:rsidRPr="008819AF">
                    <w:rPr>
                      <w:sz w:val="18"/>
                      <w:szCs w:val="18"/>
                    </w:rPr>
                    <w:t>400</w:t>
                  </w:r>
                  <w:r w:rsidRPr="008819AF">
                    <w:rPr>
                      <w:sz w:val="18"/>
                      <w:szCs w:val="18"/>
                      <w:vertAlign w:val="superscript"/>
                    </w:rPr>
                    <w:t>2</w:t>
                  </w:r>
                  <w:r w:rsidRPr="008819AF">
                    <w:rPr>
                      <w:sz w:val="18"/>
                      <w:szCs w:val="18"/>
                    </w:rPr>
                    <w:t>)</w:t>
                  </w:r>
                </w:p>
              </w:tc>
              <w:tc>
                <w:tcPr>
                  <w:tcW w:w="1090" w:type="dxa"/>
                  <w:tcBorders>
                    <w:top w:val="single" w:sz="2" w:space="0" w:color="auto"/>
                    <w:left w:val="single" w:sz="2" w:space="0" w:color="auto"/>
                    <w:bottom w:val="single" w:sz="2" w:space="0" w:color="auto"/>
                    <w:right w:val="single" w:sz="2" w:space="0" w:color="auto"/>
                  </w:tcBorders>
                  <w:vAlign w:val="center"/>
                </w:tcPr>
                <w:p w14:paraId="151334D2" w14:textId="77777777" w:rsidR="00236AB5" w:rsidRPr="008819AF" w:rsidRDefault="00236AB5" w:rsidP="00236AB5">
                  <w:pPr>
                    <w:jc w:val="center"/>
                    <w:rPr>
                      <w:sz w:val="18"/>
                      <w:szCs w:val="18"/>
                    </w:rPr>
                  </w:pPr>
                  <w:r w:rsidRPr="008819AF">
                    <w:rPr>
                      <w:sz w:val="18"/>
                      <w:szCs w:val="18"/>
                    </w:rPr>
                    <w:t>450</w:t>
                  </w:r>
                  <w:r w:rsidRPr="008819AF">
                    <w:rPr>
                      <w:sz w:val="18"/>
                      <w:szCs w:val="18"/>
                      <w:vertAlign w:val="superscript"/>
                    </w:rPr>
                    <w:t>2</w:t>
                  </w:r>
                  <w:r w:rsidRPr="008819AF">
                    <w:rPr>
                      <w:sz w:val="18"/>
                      <w:szCs w:val="18"/>
                    </w:rPr>
                    <w:t>), 400</w:t>
                  </w:r>
                  <w:r w:rsidRPr="008819AF">
                    <w:rPr>
                      <w:sz w:val="18"/>
                      <w:szCs w:val="18"/>
                      <w:vertAlign w:val="superscript"/>
                    </w:rPr>
                    <w:t>4</w:t>
                  </w:r>
                  <w:r w:rsidRPr="008819AF">
                    <w:rPr>
                      <w:sz w:val="18"/>
                      <w:szCs w:val="18"/>
                    </w:rPr>
                    <w:t>)</w:t>
                  </w:r>
                </w:p>
              </w:tc>
              <w:tc>
                <w:tcPr>
                  <w:tcW w:w="702" w:type="dxa"/>
                  <w:vMerge/>
                  <w:tcBorders>
                    <w:top w:val="single" w:sz="2" w:space="0" w:color="auto"/>
                    <w:left w:val="single" w:sz="2" w:space="0" w:color="auto"/>
                    <w:bottom w:val="single" w:sz="2" w:space="0" w:color="auto"/>
                    <w:right w:val="single" w:sz="2" w:space="0" w:color="auto"/>
                  </w:tcBorders>
                  <w:vAlign w:val="center"/>
                </w:tcPr>
                <w:p w14:paraId="151334D3" w14:textId="77777777" w:rsidR="00236AB5" w:rsidRPr="008819AF" w:rsidRDefault="00236AB5" w:rsidP="00236AB5">
                  <w:pPr>
                    <w:jc w:val="center"/>
                    <w:rPr>
                      <w:sz w:val="18"/>
                      <w:szCs w:val="18"/>
                    </w:rPr>
                  </w:pPr>
                </w:p>
              </w:tc>
            </w:tr>
          </w:tbl>
          <w:p w14:paraId="151334D5" w14:textId="77777777" w:rsidR="00236AB5" w:rsidRPr="008819AF" w:rsidRDefault="00236AB5" w:rsidP="00236AB5">
            <w:pPr>
              <w:ind w:left="240" w:hanging="240"/>
              <w:jc w:val="both"/>
            </w:pPr>
            <w:r w:rsidRPr="008819AF">
              <w:rPr>
                <w:vertAlign w:val="superscript"/>
              </w:rPr>
              <w:t>1</w:t>
            </w:r>
            <w:r w:rsidRPr="008819AF">
              <w:t>) Platí na spaľovanie zvyškov z destilácie a konverzie ropy na vlastnú potrebu pre jestvujúce zariadenia  začlenené ako Z1 + Z2.</w:t>
            </w:r>
          </w:p>
          <w:p w14:paraId="151334D6" w14:textId="77777777" w:rsidR="00236AB5" w:rsidRPr="008819AF" w:rsidRDefault="00236AB5" w:rsidP="00236AB5">
            <w:pPr>
              <w:jc w:val="both"/>
              <w:rPr>
                <w:strike/>
              </w:rPr>
            </w:pPr>
            <w:r w:rsidRPr="008819AF">
              <w:rPr>
                <w:vertAlign w:val="superscript"/>
              </w:rPr>
              <w:t>2</w:t>
            </w:r>
            <w:r w:rsidRPr="008819AF">
              <w:t>) Platí len pre jestvujúce zariadenia začlenené ako Z1 + Z2.</w:t>
            </w:r>
          </w:p>
          <w:p w14:paraId="151334D7" w14:textId="77777777" w:rsidR="00236AB5" w:rsidRPr="008819AF" w:rsidRDefault="00236AB5" w:rsidP="00236AB5">
            <w:pPr>
              <w:ind w:left="284" w:hanging="284"/>
            </w:pPr>
            <w:r w:rsidRPr="008819AF">
              <w:rPr>
                <w:vertAlign w:val="superscript"/>
              </w:rPr>
              <w:t>3</w:t>
            </w:r>
            <w:r w:rsidRPr="008819AF">
              <w:t>) Platí pre jestvujúce zariadenia začlenené ako Z1 + Z2 s celkovým MTP (50 - 500) MW, ak ide o spaľovanie na vlastnú spotrebu:</w:t>
            </w:r>
          </w:p>
          <w:p w14:paraId="151334D8" w14:textId="77777777" w:rsidR="00236AB5" w:rsidRPr="008819AF" w:rsidRDefault="00236AB5" w:rsidP="00236AB5">
            <w:pPr>
              <w:ind w:left="480" w:right="-87" w:hanging="196"/>
            </w:pPr>
            <w:r w:rsidRPr="008819AF">
              <w:t xml:space="preserve">-  zvyšky z destilácie a  konverzie z rafinácie ropy samostatne alebo s iným palivom, </w:t>
            </w:r>
          </w:p>
          <w:p w14:paraId="151334D9" w14:textId="77777777" w:rsidR="00236AB5" w:rsidRPr="008819AF" w:rsidRDefault="00236AB5" w:rsidP="00236AB5">
            <w:pPr>
              <w:ind w:left="480" w:hanging="196"/>
            </w:pPr>
            <w:r w:rsidRPr="008819AF">
              <w:t xml:space="preserve">-  kvapalných zvyškov z chemickej výroby ako nekomerčné palivo. </w:t>
            </w:r>
          </w:p>
          <w:p w14:paraId="151334DA" w14:textId="77777777" w:rsidR="00236AB5" w:rsidRPr="008819AF" w:rsidRDefault="00236AB5" w:rsidP="00236AB5">
            <w:pPr>
              <w:ind w:left="240" w:hanging="240"/>
            </w:pPr>
            <w:r w:rsidRPr="008819AF">
              <w:rPr>
                <w:vertAlign w:val="superscript"/>
              </w:rPr>
              <w:t>4</w:t>
            </w:r>
            <w:r w:rsidRPr="008819AF">
              <w:t>) Platí pre jestvujúce zariadenia začlenené ako Z1 + Z2 s celkovým MTP &gt; 500 MW.</w:t>
            </w:r>
          </w:p>
          <w:p w14:paraId="151334DB" w14:textId="77777777" w:rsidR="00236AB5" w:rsidRPr="008819AF" w:rsidRDefault="00236AB5" w:rsidP="00236AB5">
            <w:pPr>
              <w:ind w:left="240" w:hanging="240"/>
            </w:pPr>
          </w:p>
          <w:p w14:paraId="151334DC" w14:textId="77777777" w:rsidR="00236AB5" w:rsidRPr="008819AF" w:rsidRDefault="00236AB5" w:rsidP="00236AB5">
            <w:pPr>
              <w:pStyle w:val="Odsekzoznamu1"/>
              <w:keepNext/>
              <w:spacing w:after="120"/>
              <w:ind w:left="0"/>
              <w:jc w:val="both"/>
              <w:rPr>
                <w:sz w:val="20"/>
                <w:szCs w:val="20"/>
              </w:rPr>
            </w:pPr>
            <w:r w:rsidRPr="008819AF">
              <w:rPr>
                <w:sz w:val="20"/>
                <w:szCs w:val="20"/>
              </w:rPr>
              <w:t>4. Spaľovanie plynných palív okrem spaľovania v plynových turbínach a piestových spaľovacích motoroch</w:t>
            </w:r>
          </w:p>
          <w:p w14:paraId="151334DD" w14:textId="77777777" w:rsidR="00236AB5" w:rsidRPr="008819AF" w:rsidRDefault="00236AB5" w:rsidP="00236AB5">
            <w:pPr>
              <w:spacing w:after="120"/>
            </w:pPr>
            <w:r w:rsidRPr="008819AF">
              <w:t xml:space="preserve">A. Emisné limity pre zariadenia Z1 – Z3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54"/>
              <w:gridCol w:w="1283"/>
              <w:gridCol w:w="679"/>
              <w:gridCol w:w="1276"/>
              <w:gridCol w:w="992"/>
              <w:gridCol w:w="560"/>
            </w:tblGrid>
            <w:tr w:rsidR="00236AB5" w:rsidRPr="008819AF" w14:paraId="151334E0" w14:textId="77777777" w:rsidTr="00E67271">
              <w:trPr>
                <w:trHeight w:val="408"/>
                <w:jc w:val="center"/>
              </w:trPr>
              <w:tc>
                <w:tcPr>
                  <w:tcW w:w="2037" w:type="dxa"/>
                  <w:gridSpan w:val="2"/>
                  <w:vAlign w:val="center"/>
                </w:tcPr>
                <w:p w14:paraId="151334DE" w14:textId="77777777" w:rsidR="00236AB5" w:rsidRPr="008819AF" w:rsidRDefault="00236AB5" w:rsidP="00236AB5">
                  <w:r w:rsidRPr="008819AF">
                    <w:rPr>
                      <w:b/>
                    </w:rPr>
                    <w:t>Podmienky platnosti  EL</w:t>
                  </w:r>
                </w:p>
              </w:tc>
              <w:tc>
                <w:tcPr>
                  <w:tcW w:w="3507" w:type="dxa"/>
                  <w:gridSpan w:val="4"/>
                  <w:vAlign w:val="center"/>
                </w:tcPr>
                <w:p w14:paraId="151334DF" w14:textId="77777777" w:rsidR="00236AB5" w:rsidRPr="008819AF" w:rsidRDefault="00236AB5" w:rsidP="00236AB5">
                  <w:r w:rsidRPr="008819AF">
                    <w:t>Štandardné stavové podmienky, suchý plyn, O</w:t>
                  </w:r>
                  <w:r w:rsidRPr="008819AF">
                    <w:rPr>
                      <w:vertAlign w:val="subscript"/>
                    </w:rPr>
                    <w:t>2 ref</w:t>
                  </w:r>
                  <w:r w:rsidRPr="008819AF">
                    <w:t>: 3 % objemu</w:t>
                  </w:r>
                </w:p>
              </w:tc>
            </w:tr>
            <w:tr w:rsidR="00236AB5" w:rsidRPr="008819AF" w14:paraId="151334E5" w14:textId="77777777" w:rsidTr="00E67271">
              <w:trPr>
                <w:trHeight w:val="264"/>
                <w:jc w:val="center"/>
              </w:trPr>
              <w:tc>
                <w:tcPr>
                  <w:tcW w:w="754" w:type="dxa"/>
                  <w:vMerge w:val="restart"/>
                </w:tcPr>
                <w:p w14:paraId="151334E1" w14:textId="77777777" w:rsidR="00236AB5" w:rsidRPr="008819AF" w:rsidRDefault="00236AB5" w:rsidP="00236AB5">
                  <w:pPr>
                    <w:rPr>
                      <w:b/>
                    </w:rPr>
                  </w:pPr>
                  <w:r w:rsidRPr="008819AF">
                    <w:rPr>
                      <w:b/>
                    </w:rPr>
                    <w:t xml:space="preserve">  MTP </w:t>
                  </w:r>
                </w:p>
                <w:p w14:paraId="151334E2" w14:textId="77777777" w:rsidR="00236AB5" w:rsidRPr="008819AF" w:rsidRDefault="00236AB5" w:rsidP="00236AB5">
                  <w:pPr>
                    <w:ind w:right="-85"/>
                    <w:rPr>
                      <w:b/>
                    </w:rPr>
                  </w:pPr>
                  <w:r w:rsidRPr="008819AF">
                    <w:rPr>
                      <w:b/>
                    </w:rPr>
                    <w:t>[MW]</w:t>
                  </w:r>
                </w:p>
              </w:tc>
              <w:tc>
                <w:tcPr>
                  <w:tcW w:w="1283" w:type="dxa"/>
                  <w:vMerge w:val="restart"/>
                  <w:vAlign w:val="center"/>
                </w:tcPr>
                <w:p w14:paraId="151334E3" w14:textId="77777777" w:rsidR="00236AB5" w:rsidRPr="008819AF" w:rsidRDefault="00236AB5" w:rsidP="00236AB5">
                  <w:pPr>
                    <w:rPr>
                      <w:b/>
                    </w:rPr>
                  </w:pPr>
                  <w:r w:rsidRPr="008819AF">
                    <w:rPr>
                      <w:b/>
                    </w:rPr>
                    <w:t>Palivo</w:t>
                  </w:r>
                </w:p>
              </w:tc>
              <w:tc>
                <w:tcPr>
                  <w:tcW w:w="3507" w:type="dxa"/>
                  <w:gridSpan w:val="4"/>
                  <w:vAlign w:val="center"/>
                </w:tcPr>
                <w:p w14:paraId="151334E4" w14:textId="77777777" w:rsidR="00236AB5" w:rsidRPr="008819AF" w:rsidRDefault="00236AB5" w:rsidP="00236AB5">
                  <w:pPr>
                    <w:jc w:val="center"/>
                  </w:pPr>
                  <w:r w:rsidRPr="008819AF">
                    <w:rPr>
                      <w:b/>
                    </w:rPr>
                    <w:t>Emisný limit        [mg/m</w:t>
                  </w:r>
                  <w:r w:rsidRPr="008819AF">
                    <w:rPr>
                      <w:b/>
                      <w:vertAlign w:val="superscript"/>
                    </w:rPr>
                    <w:t>3</w:t>
                  </w:r>
                  <w:r w:rsidRPr="008819AF">
                    <w:rPr>
                      <w:b/>
                    </w:rPr>
                    <w:t>]</w:t>
                  </w:r>
                </w:p>
              </w:tc>
            </w:tr>
            <w:tr w:rsidR="00236AB5" w:rsidRPr="008819AF" w14:paraId="151334EC" w14:textId="77777777" w:rsidTr="00E67271">
              <w:trPr>
                <w:trHeight w:val="213"/>
                <w:jc w:val="center"/>
              </w:trPr>
              <w:tc>
                <w:tcPr>
                  <w:tcW w:w="754" w:type="dxa"/>
                  <w:vMerge/>
                </w:tcPr>
                <w:p w14:paraId="151334E6" w14:textId="77777777" w:rsidR="00236AB5" w:rsidRPr="008819AF" w:rsidRDefault="00236AB5" w:rsidP="00236AB5">
                  <w:pPr>
                    <w:jc w:val="center"/>
                    <w:rPr>
                      <w:b/>
                    </w:rPr>
                  </w:pPr>
                </w:p>
              </w:tc>
              <w:tc>
                <w:tcPr>
                  <w:tcW w:w="1283" w:type="dxa"/>
                  <w:vMerge/>
                </w:tcPr>
                <w:p w14:paraId="151334E7" w14:textId="77777777" w:rsidR="00236AB5" w:rsidRPr="008819AF" w:rsidRDefault="00236AB5" w:rsidP="00236AB5">
                  <w:pPr>
                    <w:jc w:val="center"/>
                    <w:rPr>
                      <w:b/>
                    </w:rPr>
                  </w:pPr>
                </w:p>
              </w:tc>
              <w:tc>
                <w:tcPr>
                  <w:tcW w:w="679" w:type="dxa"/>
                  <w:vAlign w:val="center"/>
                </w:tcPr>
                <w:p w14:paraId="151334E8" w14:textId="77777777" w:rsidR="00236AB5" w:rsidRPr="008819AF" w:rsidRDefault="00236AB5" w:rsidP="00236AB5">
                  <w:pPr>
                    <w:jc w:val="center"/>
                    <w:rPr>
                      <w:b/>
                    </w:rPr>
                  </w:pPr>
                  <w:r w:rsidRPr="008819AF">
                    <w:rPr>
                      <w:b/>
                    </w:rPr>
                    <w:t>TZL</w:t>
                  </w:r>
                </w:p>
              </w:tc>
              <w:tc>
                <w:tcPr>
                  <w:tcW w:w="1276" w:type="dxa"/>
                  <w:vAlign w:val="center"/>
                </w:tcPr>
                <w:p w14:paraId="151334E9" w14:textId="77777777" w:rsidR="00236AB5" w:rsidRPr="008819AF" w:rsidRDefault="00236AB5" w:rsidP="00236AB5">
                  <w:pPr>
                    <w:jc w:val="center"/>
                    <w:rPr>
                      <w:b/>
                      <w:vertAlign w:val="subscript"/>
                    </w:rPr>
                  </w:pPr>
                  <w:r w:rsidRPr="008819AF">
                    <w:rPr>
                      <w:b/>
                    </w:rPr>
                    <w:t>SO</w:t>
                  </w:r>
                  <w:r w:rsidRPr="008819AF">
                    <w:rPr>
                      <w:b/>
                      <w:vertAlign w:val="subscript"/>
                    </w:rPr>
                    <w:t>2</w:t>
                  </w:r>
                </w:p>
              </w:tc>
              <w:tc>
                <w:tcPr>
                  <w:tcW w:w="992" w:type="dxa"/>
                  <w:vAlign w:val="center"/>
                </w:tcPr>
                <w:p w14:paraId="151334EA" w14:textId="77777777" w:rsidR="00236AB5" w:rsidRPr="008819AF" w:rsidRDefault="00236AB5" w:rsidP="00236AB5">
                  <w:pPr>
                    <w:jc w:val="center"/>
                    <w:rPr>
                      <w:b/>
                    </w:rPr>
                  </w:pPr>
                  <w:r w:rsidRPr="008819AF">
                    <w:rPr>
                      <w:b/>
                    </w:rPr>
                    <w:t>NOx</w:t>
                  </w:r>
                </w:p>
              </w:tc>
              <w:tc>
                <w:tcPr>
                  <w:tcW w:w="560" w:type="dxa"/>
                  <w:vAlign w:val="center"/>
                </w:tcPr>
                <w:p w14:paraId="151334EB" w14:textId="77777777" w:rsidR="00236AB5" w:rsidRPr="008819AF" w:rsidRDefault="00236AB5" w:rsidP="00236AB5">
                  <w:pPr>
                    <w:jc w:val="center"/>
                    <w:rPr>
                      <w:b/>
                    </w:rPr>
                  </w:pPr>
                  <w:r w:rsidRPr="008819AF">
                    <w:rPr>
                      <w:b/>
                    </w:rPr>
                    <w:t>CO</w:t>
                  </w:r>
                </w:p>
              </w:tc>
            </w:tr>
            <w:tr w:rsidR="00236AB5" w:rsidRPr="008819AF" w14:paraId="151334F3" w14:textId="77777777" w:rsidTr="00E67271">
              <w:trPr>
                <w:trHeight w:val="314"/>
                <w:jc w:val="center"/>
              </w:trPr>
              <w:tc>
                <w:tcPr>
                  <w:tcW w:w="754" w:type="dxa"/>
                </w:tcPr>
                <w:p w14:paraId="151334ED" w14:textId="77777777" w:rsidR="00236AB5" w:rsidRPr="008819AF" w:rsidRDefault="00236AB5" w:rsidP="00236AB5">
                  <w:pPr>
                    <w:ind w:right="-85"/>
                    <w:jc w:val="center"/>
                  </w:pPr>
                  <w:r w:rsidRPr="008819AF">
                    <w:sym w:font="Symbol" w:char="F0B3"/>
                  </w:r>
                  <w:r w:rsidRPr="008819AF">
                    <w:t xml:space="preserve"> 50</w:t>
                  </w:r>
                </w:p>
              </w:tc>
              <w:tc>
                <w:tcPr>
                  <w:tcW w:w="1283" w:type="dxa"/>
                  <w:vAlign w:val="center"/>
                </w:tcPr>
                <w:p w14:paraId="151334EE" w14:textId="77777777" w:rsidR="00236AB5" w:rsidRPr="008819AF" w:rsidRDefault="00236AB5" w:rsidP="00236AB5">
                  <w:r w:rsidRPr="008819AF">
                    <w:t>ZPN</w:t>
                  </w:r>
                </w:p>
              </w:tc>
              <w:tc>
                <w:tcPr>
                  <w:tcW w:w="679" w:type="dxa"/>
                  <w:vAlign w:val="center"/>
                </w:tcPr>
                <w:p w14:paraId="151334EF" w14:textId="77777777" w:rsidR="00236AB5" w:rsidRPr="008819AF" w:rsidRDefault="00236AB5" w:rsidP="00236AB5">
                  <w:pPr>
                    <w:jc w:val="center"/>
                  </w:pPr>
                  <w:r w:rsidRPr="008819AF">
                    <w:t>5</w:t>
                  </w:r>
                </w:p>
              </w:tc>
              <w:tc>
                <w:tcPr>
                  <w:tcW w:w="1276" w:type="dxa"/>
                  <w:vAlign w:val="center"/>
                </w:tcPr>
                <w:p w14:paraId="151334F0" w14:textId="77777777" w:rsidR="00236AB5" w:rsidRPr="008819AF" w:rsidRDefault="00236AB5" w:rsidP="00236AB5">
                  <w:pPr>
                    <w:jc w:val="center"/>
                  </w:pPr>
                  <w:r w:rsidRPr="008819AF">
                    <w:t>35</w:t>
                  </w:r>
                </w:p>
              </w:tc>
              <w:tc>
                <w:tcPr>
                  <w:tcW w:w="992" w:type="dxa"/>
                  <w:vAlign w:val="center"/>
                </w:tcPr>
                <w:p w14:paraId="151334F1" w14:textId="77777777" w:rsidR="00236AB5" w:rsidRPr="008819AF" w:rsidRDefault="00236AB5" w:rsidP="00236AB5">
                  <w:pPr>
                    <w:jc w:val="center"/>
                  </w:pPr>
                  <w:r w:rsidRPr="008819AF">
                    <w:t>100</w:t>
                  </w:r>
                </w:p>
              </w:tc>
              <w:tc>
                <w:tcPr>
                  <w:tcW w:w="560" w:type="dxa"/>
                  <w:vAlign w:val="center"/>
                </w:tcPr>
                <w:p w14:paraId="151334F2" w14:textId="77777777" w:rsidR="00236AB5" w:rsidRPr="008819AF" w:rsidRDefault="00236AB5" w:rsidP="00236AB5">
                  <w:pPr>
                    <w:jc w:val="center"/>
                  </w:pPr>
                  <w:r w:rsidRPr="008819AF">
                    <w:t>100</w:t>
                  </w:r>
                </w:p>
              </w:tc>
            </w:tr>
            <w:tr w:rsidR="00236AB5" w:rsidRPr="008819AF" w14:paraId="151334FA" w14:textId="77777777" w:rsidTr="00E67271">
              <w:trPr>
                <w:trHeight w:val="340"/>
                <w:jc w:val="center"/>
              </w:trPr>
              <w:tc>
                <w:tcPr>
                  <w:tcW w:w="754" w:type="dxa"/>
                </w:tcPr>
                <w:p w14:paraId="151334F4" w14:textId="77777777" w:rsidR="00236AB5" w:rsidRPr="008819AF" w:rsidRDefault="00236AB5" w:rsidP="00236AB5">
                  <w:pPr>
                    <w:jc w:val="center"/>
                  </w:pPr>
                  <w:r w:rsidRPr="008819AF">
                    <w:lastRenderedPageBreak/>
                    <w:sym w:font="Symbol" w:char="F0B3"/>
                  </w:r>
                  <w:r w:rsidRPr="008819AF">
                    <w:t xml:space="preserve"> 50</w:t>
                  </w:r>
                </w:p>
              </w:tc>
              <w:tc>
                <w:tcPr>
                  <w:tcW w:w="1283" w:type="dxa"/>
                  <w:vAlign w:val="center"/>
                </w:tcPr>
                <w:p w14:paraId="151334F5" w14:textId="77777777" w:rsidR="00236AB5" w:rsidRPr="008819AF" w:rsidRDefault="00236AB5" w:rsidP="00236AB5">
                  <w:pPr>
                    <w:ind w:right="-78"/>
                  </w:pPr>
                  <w:r w:rsidRPr="008819AF">
                    <w:t>Všeobecne</w:t>
                  </w:r>
                </w:p>
              </w:tc>
              <w:tc>
                <w:tcPr>
                  <w:tcW w:w="679" w:type="dxa"/>
                  <w:vAlign w:val="center"/>
                </w:tcPr>
                <w:p w14:paraId="151334F6" w14:textId="77777777" w:rsidR="00236AB5" w:rsidRPr="008819AF" w:rsidRDefault="00236AB5" w:rsidP="00236AB5">
                  <w:pPr>
                    <w:jc w:val="center"/>
                  </w:pPr>
                  <w:r w:rsidRPr="008819AF">
                    <w:t>5</w:t>
                  </w:r>
                </w:p>
              </w:tc>
              <w:tc>
                <w:tcPr>
                  <w:tcW w:w="1276" w:type="dxa"/>
                  <w:vAlign w:val="center"/>
                </w:tcPr>
                <w:p w14:paraId="151334F7" w14:textId="77777777" w:rsidR="00236AB5" w:rsidRPr="008819AF" w:rsidRDefault="00236AB5" w:rsidP="00236AB5">
                  <w:pPr>
                    <w:jc w:val="center"/>
                  </w:pPr>
                  <w:r w:rsidRPr="008819AF">
                    <w:t>35</w:t>
                  </w:r>
                </w:p>
              </w:tc>
              <w:tc>
                <w:tcPr>
                  <w:tcW w:w="992" w:type="dxa"/>
                  <w:vAlign w:val="center"/>
                </w:tcPr>
                <w:p w14:paraId="151334F8" w14:textId="77777777" w:rsidR="00236AB5" w:rsidRPr="008819AF" w:rsidRDefault="00236AB5" w:rsidP="00236AB5">
                  <w:pPr>
                    <w:ind w:left="-57" w:right="-108"/>
                    <w:jc w:val="center"/>
                  </w:pPr>
                  <w:r w:rsidRPr="008819AF">
                    <w:t>200, 300</w:t>
                  </w:r>
                  <w:r w:rsidRPr="008819AF">
                    <w:rPr>
                      <w:vertAlign w:val="superscript"/>
                    </w:rPr>
                    <w:t>1</w:t>
                  </w:r>
                  <w:r w:rsidRPr="008819AF">
                    <w:t>)</w:t>
                  </w:r>
                </w:p>
              </w:tc>
              <w:tc>
                <w:tcPr>
                  <w:tcW w:w="560" w:type="dxa"/>
                  <w:vAlign w:val="center"/>
                </w:tcPr>
                <w:p w14:paraId="151334F9" w14:textId="77777777" w:rsidR="00236AB5" w:rsidRPr="008819AF" w:rsidRDefault="00236AB5" w:rsidP="00236AB5">
                  <w:pPr>
                    <w:jc w:val="center"/>
                  </w:pPr>
                  <w:r w:rsidRPr="008819AF">
                    <w:t>100</w:t>
                  </w:r>
                </w:p>
              </w:tc>
            </w:tr>
            <w:tr w:rsidR="00236AB5" w:rsidRPr="008819AF" w14:paraId="15133501" w14:textId="77777777" w:rsidTr="00E67271">
              <w:trPr>
                <w:trHeight w:val="340"/>
                <w:jc w:val="center"/>
              </w:trPr>
              <w:tc>
                <w:tcPr>
                  <w:tcW w:w="754" w:type="dxa"/>
                  <w:vAlign w:val="center"/>
                </w:tcPr>
                <w:p w14:paraId="151334FB" w14:textId="77777777" w:rsidR="00236AB5" w:rsidRPr="008819AF" w:rsidRDefault="00236AB5" w:rsidP="00236AB5">
                  <w:pPr>
                    <w:jc w:val="center"/>
                  </w:pPr>
                  <w:r w:rsidRPr="008819AF">
                    <w:sym w:font="Symbol" w:char="F0B3"/>
                  </w:r>
                  <w:r w:rsidRPr="008819AF">
                    <w:t xml:space="preserve"> 50</w:t>
                  </w:r>
                </w:p>
              </w:tc>
              <w:tc>
                <w:tcPr>
                  <w:tcW w:w="1283" w:type="dxa"/>
                  <w:vAlign w:val="center"/>
                </w:tcPr>
                <w:p w14:paraId="151334FC" w14:textId="77777777" w:rsidR="00236AB5" w:rsidRPr="008819AF" w:rsidRDefault="00236AB5" w:rsidP="00236AB5">
                  <w:pPr>
                    <w:ind w:right="-78"/>
                  </w:pPr>
                  <w:r w:rsidRPr="008819AF">
                    <w:t>Skvapalnené uhľovodíkové plyny</w:t>
                  </w:r>
                </w:p>
              </w:tc>
              <w:tc>
                <w:tcPr>
                  <w:tcW w:w="679" w:type="dxa"/>
                  <w:vAlign w:val="center"/>
                </w:tcPr>
                <w:p w14:paraId="151334FD" w14:textId="77777777" w:rsidR="00236AB5" w:rsidRPr="008819AF" w:rsidRDefault="00236AB5" w:rsidP="00236AB5">
                  <w:pPr>
                    <w:jc w:val="center"/>
                  </w:pPr>
                  <w:r w:rsidRPr="008819AF">
                    <w:t>5</w:t>
                  </w:r>
                </w:p>
              </w:tc>
              <w:tc>
                <w:tcPr>
                  <w:tcW w:w="1276" w:type="dxa"/>
                  <w:vAlign w:val="center"/>
                </w:tcPr>
                <w:p w14:paraId="151334FE" w14:textId="77777777" w:rsidR="00236AB5" w:rsidRPr="008819AF" w:rsidRDefault="00236AB5" w:rsidP="00236AB5">
                  <w:pPr>
                    <w:jc w:val="center"/>
                  </w:pPr>
                  <w:r w:rsidRPr="008819AF">
                    <w:t>5</w:t>
                  </w:r>
                </w:p>
              </w:tc>
              <w:tc>
                <w:tcPr>
                  <w:tcW w:w="992" w:type="dxa"/>
                  <w:vAlign w:val="center"/>
                </w:tcPr>
                <w:p w14:paraId="151334FF" w14:textId="77777777" w:rsidR="00236AB5" w:rsidRPr="008819AF" w:rsidRDefault="00236AB5" w:rsidP="00236AB5">
                  <w:pPr>
                    <w:ind w:left="-57" w:right="-108"/>
                    <w:jc w:val="center"/>
                  </w:pPr>
                  <w:r w:rsidRPr="008819AF">
                    <w:t>200, 300</w:t>
                  </w:r>
                  <w:r w:rsidRPr="008819AF">
                    <w:rPr>
                      <w:vertAlign w:val="superscript"/>
                    </w:rPr>
                    <w:t>1</w:t>
                  </w:r>
                  <w:r w:rsidRPr="008819AF">
                    <w:t>)</w:t>
                  </w:r>
                </w:p>
              </w:tc>
              <w:tc>
                <w:tcPr>
                  <w:tcW w:w="560" w:type="dxa"/>
                  <w:vAlign w:val="center"/>
                </w:tcPr>
                <w:p w14:paraId="15133500" w14:textId="77777777" w:rsidR="00236AB5" w:rsidRPr="008819AF" w:rsidRDefault="00236AB5" w:rsidP="00236AB5">
                  <w:pPr>
                    <w:jc w:val="center"/>
                  </w:pPr>
                  <w:r w:rsidRPr="008819AF">
                    <w:t>100</w:t>
                  </w:r>
                </w:p>
              </w:tc>
            </w:tr>
            <w:tr w:rsidR="00236AB5" w:rsidRPr="008819AF" w14:paraId="15133508" w14:textId="77777777" w:rsidTr="00E67271">
              <w:trPr>
                <w:trHeight w:val="274"/>
                <w:jc w:val="center"/>
              </w:trPr>
              <w:tc>
                <w:tcPr>
                  <w:tcW w:w="754" w:type="dxa"/>
                  <w:vAlign w:val="center"/>
                </w:tcPr>
                <w:p w14:paraId="15133502" w14:textId="77777777" w:rsidR="00236AB5" w:rsidRPr="008819AF" w:rsidRDefault="00236AB5" w:rsidP="00236AB5">
                  <w:pPr>
                    <w:jc w:val="center"/>
                  </w:pPr>
                  <w:r w:rsidRPr="008819AF">
                    <w:sym w:font="Symbol" w:char="F0B3"/>
                  </w:r>
                  <w:r w:rsidRPr="008819AF">
                    <w:t xml:space="preserve"> 50</w:t>
                  </w:r>
                </w:p>
              </w:tc>
              <w:tc>
                <w:tcPr>
                  <w:tcW w:w="1283" w:type="dxa"/>
                  <w:vAlign w:val="center"/>
                </w:tcPr>
                <w:p w14:paraId="15133503" w14:textId="77777777" w:rsidR="00236AB5" w:rsidRPr="008819AF" w:rsidRDefault="00236AB5" w:rsidP="00236AB5">
                  <w:pPr>
                    <w:ind w:right="-78"/>
                  </w:pPr>
                  <w:r w:rsidRPr="008819AF">
                    <w:t>Rafinérske plyny</w:t>
                  </w:r>
                  <w:r w:rsidRPr="008819AF">
                    <w:rPr>
                      <w:vertAlign w:val="superscript"/>
                    </w:rPr>
                    <w:t>2</w:t>
                  </w:r>
                  <w:r w:rsidRPr="008819AF">
                    <w:t>)</w:t>
                  </w:r>
                </w:p>
              </w:tc>
              <w:tc>
                <w:tcPr>
                  <w:tcW w:w="679" w:type="dxa"/>
                  <w:vAlign w:val="center"/>
                </w:tcPr>
                <w:p w14:paraId="15133504" w14:textId="77777777" w:rsidR="00236AB5" w:rsidRPr="008819AF" w:rsidRDefault="00236AB5" w:rsidP="00236AB5">
                  <w:pPr>
                    <w:jc w:val="center"/>
                  </w:pPr>
                  <w:r w:rsidRPr="008819AF">
                    <w:t>5</w:t>
                  </w:r>
                </w:p>
              </w:tc>
              <w:tc>
                <w:tcPr>
                  <w:tcW w:w="1276" w:type="dxa"/>
                  <w:vAlign w:val="center"/>
                </w:tcPr>
                <w:p w14:paraId="15133505" w14:textId="77777777" w:rsidR="00236AB5" w:rsidRPr="008819AF" w:rsidRDefault="00236AB5" w:rsidP="00236AB5">
                  <w:pPr>
                    <w:jc w:val="center"/>
                  </w:pPr>
                  <w:r w:rsidRPr="008819AF">
                    <w:t>35</w:t>
                  </w:r>
                </w:p>
              </w:tc>
              <w:tc>
                <w:tcPr>
                  <w:tcW w:w="992" w:type="dxa"/>
                  <w:vAlign w:val="center"/>
                </w:tcPr>
                <w:p w14:paraId="15133506" w14:textId="77777777" w:rsidR="00236AB5" w:rsidRPr="008819AF" w:rsidRDefault="00236AB5" w:rsidP="00236AB5">
                  <w:pPr>
                    <w:ind w:left="-57" w:right="-108"/>
                    <w:jc w:val="center"/>
                  </w:pPr>
                  <w:r w:rsidRPr="008819AF">
                    <w:t>200, 300</w:t>
                  </w:r>
                  <w:r w:rsidRPr="008819AF">
                    <w:rPr>
                      <w:vertAlign w:val="superscript"/>
                    </w:rPr>
                    <w:t>1</w:t>
                  </w:r>
                  <w:r w:rsidRPr="008819AF">
                    <w:t>)</w:t>
                  </w:r>
                </w:p>
              </w:tc>
              <w:tc>
                <w:tcPr>
                  <w:tcW w:w="560" w:type="dxa"/>
                  <w:vAlign w:val="center"/>
                </w:tcPr>
                <w:p w14:paraId="15133507" w14:textId="77777777" w:rsidR="00236AB5" w:rsidRPr="008819AF" w:rsidRDefault="00236AB5" w:rsidP="00236AB5">
                  <w:pPr>
                    <w:jc w:val="center"/>
                  </w:pPr>
                  <w:r w:rsidRPr="008819AF">
                    <w:t>100</w:t>
                  </w:r>
                </w:p>
              </w:tc>
            </w:tr>
            <w:tr w:rsidR="00236AB5" w:rsidRPr="008819AF" w14:paraId="15133510" w14:textId="77777777" w:rsidTr="00E67271">
              <w:trPr>
                <w:trHeight w:val="533"/>
                <w:jc w:val="center"/>
              </w:trPr>
              <w:tc>
                <w:tcPr>
                  <w:tcW w:w="754" w:type="dxa"/>
                  <w:vAlign w:val="center"/>
                </w:tcPr>
                <w:p w14:paraId="15133509" w14:textId="77777777" w:rsidR="00236AB5" w:rsidRPr="008819AF" w:rsidRDefault="00236AB5" w:rsidP="00236AB5">
                  <w:pPr>
                    <w:jc w:val="center"/>
                  </w:pPr>
                  <w:r w:rsidRPr="008819AF">
                    <w:sym w:font="Symbol" w:char="F0B3"/>
                  </w:r>
                  <w:r w:rsidRPr="008819AF">
                    <w:t xml:space="preserve"> 50</w:t>
                  </w:r>
                </w:p>
              </w:tc>
              <w:tc>
                <w:tcPr>
                  <w:tcW w:w="1283" w:type="dxa"/>
                  <w:vAlign w:val="center"/>
                </w:tcPr>
                <w:p w14:paraId="1513350A" w14:textId="77777777" w:rsidR="00236AB5" w:rsidRPr="008819AF" w:rsidRDefault="00236AB5" w:rsidP="00236AB5">
                  <w:pPr>
                    <w:ind w:right="-78"/>
                  </w:pPr>
                  <w:r w:rsidRPr="008819AF">
                    <w:t>Priemyselné plyny</w:t>
                  </w:r>
                </w:p>
              </w:tc>
              <w:tc>
                <w:tcPr>
                  <w:tcW w:w="679" w:type="dxa"/>
                  <w:vAlign w:val="center"/>
                </w:tcPr>
                <w:p w14:paraId="1513350B" w14:textId="77777777" w:rsidR="00236AB5" w:rsidRPr="008819AF" w:rsidRDefault="00236AB5" w:rsidP="00236AB5">
                  <w:pPr>
                    <w:ind w:left="-138" w:right="-108"/>
                    <w:jc w:val="center"/>
                  </w:pPr>
                  <w:r w:rsidRPr="008819AF">
                    <w:t>5, 10</w:t>
                  </w:r>
                  <w:r w:rsidRPr="008819AF">
                    <w:rPr>
                      <w:vertAlign w:val="superscript"/>
                    </w:rPr>
                    <w:t>3</w:t>
                  </w:r>
                  <w:r w:rsidRPr="008819AF">
                    <w:t>), 30</w:t>
                  </w:r>
                  <w:r w:rsidRPr="008819AF">
                    <w:rPr>
                      <w:vertAlign w:val="superscript"/>
                    </w:rPr>
                    <w:t>4</w:t>
                  </w:r>
                  <w:r w:rsidRPr="008819AF">
                    <w:t>)</w:t>
                  </w:r>
                </w:p>
              </w:tc>
              <w:tc>
                <w:tcPr>
                  <w:tcW w:w="1276" w:type="dxa"/>
                  <w:vAlign w:val="center"/>
                </w:tcPr>
                <w:p w14:paraId="1513350C" w14:textId="77777777" w:rsidR="00236AB5" w:rsidRPr="008819AF" w:rsidRDefault="00236AB5" w:rsidP="00236AB5">
                  <w:pPr>
                    <w:jc w:val="center"/>
                  </w:pPr>
                  <w:r w:rsidRPr="008819AF">
                    <w:t>35, 200</w:t>
                  </w:r>
                  <w:r w:rsidRPr="008819AF">
                    <w:rPr>
                      <w:vertAlign w:val="superscript"/>
                    </w:rPr>
                    <w:t>5</w:t>
                  </w:r>
                  <w:r w:rsidRPr="008819AF">
                    <w:t>),</w:t>
                  </w:r>
                </w:p>
                <w:p w14:paraId="1513350D" w14:textId="77777777" w:rsidR="00236AB5" w:rsidRPr="008819AF" w:rsidRDefault="00236AB5" w:rsidP="00236AB5">
                  <w:pPr>
                    <w:jc w:val="center"/>
                  </w:pPr>
                  <w:r w:rsidRPr="008819AF">
                    <w:t>400</w:t>
                  </w:r>
                  <w:r w:rsidRPr="008819AF">
                    <w:rPr>
                      <w:vertAlign w:val="superscript"/>
                    </w:rPr>
                    <w:t>6)</w:t>
                  </w:r>
                  <w:r w:rsidRPr="008819AF">
                    <w:t>, 800</w:t>
                  </w:r>
                  <w:r w:rsidRPr="008819AF">
                    <w:rPr>
                      <w:vertAlign w:val="superscript"/>
                    </w:rPr>
                    <w:t>7</w:t>
                  </w:r>
                  <w:r w:rsidRPr="008819AF">
                    <w:t>)</w:t>
                  </w:r>
                </w:p>
              </w:tc>
              <w:tc>
                <w:tcPr>
                  <w:tcW w:w="992" w:type="dxa"/>
                  <w:vAlign w:val="center"/>
                </w:tcPr>
                <w:p w14:paraId="1513350E" w14:textId="77777777" w:rsidR="00236AB5" w:rsidRPr="008819AF" w:rsidRDefault="00236AB5" w:rsidP="00236AB5">
                  <w:pPr>
                    <w:ind w:left="-57" w:right="-108"/>
                    <w:jc w:val="center"/>
                  </w:pPr>
                  <w:r w:rsidRPr="008819AF">
                    <w:t>200, 300</w:t>
                  </w:r>
                  <w:r w:rsidRPr="008819AF">
                    <w:rPr>
                      <w:vertAlign w:val="superscript"/>
                    </w:rPr>
                    <w:t>1</w:t>
                  </w:r>
                  <w:r w:rsidRPr="008819AF">
                    <w:t>)</w:t>
                  </w:r>
                </w:p>
              </w:tc>
              <w:tc>
                <w:tcPr>
                  <w:tcW w:w="560" w:type="dxa"/>
                  <w:vAlign w:val="center"/>
                </w:tcPr>
                <w:p w14:paraId="1513350F" w14:textId="77777777" w:rsidR="00236AB5" w:rsidRPr="008819AF" w:rsidRDefault="00236AB5" w:rsidP="00236AB5">
                  <w:pPr>
                    <w:jc w:val="center"/>
                  </w:pPr>
                  <w:r w:rsidRPr="008819AF">
                    <w:t>100</w:t>
                  </w:r>
                </w:p>
              </w:tc>
            </w:tr>
          </w:tbl>
          <w:p w14:paraId="15133511" w14:textId="77777777" w:rsidR="00236AB5" w:rsidRPr="008819AF" w:rsidRDefault="00236AB5" w:rsidP="00236AB5">
            <w:pPr>
              <w:ind w:left="240" w:hanging="240"/>
            </w:pPr>
            <w:r w:rsidRPr="008819AF">
              <w:rPr>
                <w:vertAlign w:val="superscript"/>
              </w:rPr>
              <w:t>1</w:t>
            </w:r>
            <w:r w:rsidRPr="008819AF">
              <w:t>) Platí pre jestvujúce zariadenia Z1 + Z2 s MTP ≤ 500 MW.</w:t>
            </w:r>
          </w:p>
          <w:p w14:paraId="15133512" w14:textId="77777777" w:rsidR="00236AB5" w:rsidRPr="008819AF" w:rsidRDefault="00236AB5" w:rsidP="00236AB5">
            <w:pPr>
              <w:ind w:left="240" w:hanging="240"/>
            </w:pPr>
            <w:r w:rsidRPr="008819AF">
              <w:rPr>
                <w:vertAlign w:val="superscript"/>
              </w:rPr>
              <w:t>2</w:t>
            </w:r>
            <w:r w:rsidRPr="008819AF">
              <w:t>) Platí pre rafinérske plyny s výnimkou nízkokalorických plynov zo splyňovania rafinérskych zvyškov.</w:t>
            </w:r>
          </w:p>
          <w:p w14:paraId="15133513" w14:textId="77777777" w:rsidR="00236AB5" w:rsidRPr="008819AF" w:rsidRDefault="00236AB5" w:rsidP="00236AB5">
            <w:pPr>
              <w:ind w:left="240" w:hanging="240"/>
              <w:rPr>
                <w:vertAlign w:val="superscript"/>
              </w:rPr>
            </w:pPr>
            <w:r w:rsidRPr="008819AF">
              <w:rPr>
                <w:vertAlign w:val="superscript"/>
              </w:rPr>
              <w:t>3</w:t>
            </w:r>
            <w:r w:rsidRPr="008819AF">
              <w:t>) Platí pre vysokopecný plyn.</w:t>
            </w:r>
          </w:p>
          <w:p w14:paraId="15133514" w14:textId="77777777" w:rsidR="00236AB5" w:rsidRPr="008819AF" w:rsidRDefault="00236AB5" w:rsidP="00236AB5">
            <w:pPr>
              <w:ind w:left="240" w:hanging="240"/>
            </w:pPr>
            <w:r w:rsidRPr="008819AF">
              <w:rPr>
                <w:vertAlign w:val="superscript"/>
              </w:rPr>
              <w:t>4</w:t>
            </w:r>
            <w:r w:rsidRPr="008819AF">
              <w:t>) Platí pre plyny z výroby ocele; spaľovať ich možno aj v iných zariadeniach.</w:t>
            </w:r>
          </w:p>
          <w:p w14:paraId="15133515" w14:textId="77777777" w:rsidR="00236AB5" w:rsidRPr="008819AF" w:rsidRDefault="00236AB5" w:rsidP="00236AB5">
            <w:pPr>
              <w:ind w:left="240" w:hanging="240"/>
              <w:rPr>
                <w:vertAlign w:val="superscript"/>
              </w:rPr>
            </w:pPr>
            <w:r w:rsidRPr="008819AF">
              <w:rPr>
                <w:vertAlign w:val="superscript"/>
              </w:rPr>
              <w:t>5</w:t>
            </w:r>
            <w:r w:rsidRPr="008819AF">
              <w:t>)  Platí pre nízkovýhrevný vysokopecný plyn.</w:t>
            </w:r>
          </w:p>
          <w:p w14:paraId="15133516" w14:textId="77777777" w:rsidR="00236AB5" w:rsidRPr="008819AF" w:rsidRDefault="00236AB5" w:rsidP="00236AB5">
            <w:pPr>
              <w:ind w:left="360" w:hanging="360"/>
            </w:pPr>
            <w:r w:rsidRPr="008819AF">
              <w:rPr>
                <w:vertAlign w:val="superscript"/>
              </w:rPr>
              <w:t>6</w:t>
            </w:r>
            <w:r w:rsidRPr="008819AF">
              <w:t>) Platí  pre nízkovýhrevný koksárenský  plyn.</w:t>
            </w:r>
          </w:p>
          <w:p w14:paraId="15133517" w14:textId="77777777" w:rsidR="00236AB5" w:rsidRPr="008819AF" w:rsidRDefault="00236AB5" w:rsidP="00236AB5">
            <w:pPr>
              <w:ind w:left="240" w:hanging="240"/>
              <w:jc w:val="both"/>
            </w:pPr>
            <w:r w:rsidRPr="008819AF">
              <w:rPr>
                <w:vertAlign w:val="superscript"/>
              </w:rPr>
              <w:t>7</w:t>
            </w:r>
            <w:r w:rsidRPr="008819AF">
              <w:t>) Platí pre spaľovanie nízkovýhrevných plynov zo splyňovania rezíduí z rafinácie v jestvujúcom zariadení začlenenom ako  Z1 + Z2.</w:t>
            </w:r>
          </w:p>
          <w:p w14:paraId="15133518" w14:textId="77777777" w:rsidR="00236AB5" w:rsidRPr="008819AF" w:rsidRDefault="00236AB5" w:rsidP="00236AB5">
            <w:pPr>
              <w:jc w:val="both"/>
              <w:rPr>
                <w:b/>
              </w:rPr>
            </w:pPr>
          </w:p>
          <w:p w14:paraId="15133519" w14:textId="77777777" w:rsidR="00236AB5" w:rsidRPr="008819AF" w:rsidRDefault="00236AB5" w:rsidP="00236AB5">
            <w:pPr>
              <w:pStyle w:val="Odsekzoznamu1"/>
              <w:spacing w:after="120"/>
              <w:ind w:left="0"/>
              <w:jc w:val="both"/>
              <w:rPr>
                <w:sz w:val="20"/>
                <w:szCs w:val="20"/>
              </w:rPr>
            </w:pPr>
            <w:r w:rsidRPr="008819AF">
              <w:rPr>
                <w:sz w:val="20"/>
                <w:szCs w:val="20"/>
              </w:rPr>
              <w:t>5. Veľké spaľovacie zariadenia zložené z plynových turbín</w:t>
            </w:r>
          </w:p>
          <w:p w14:paraId="1513351A" w14:textId="77777777" w:rsidR="00236AB5" w:rsidRPr="008819AF" w:rsidRDefault="00236AB5" w:rsidP="00236AB5">
            <w:pPr>
              <w:pStyle w:val="Odsekzoznamu1"/>
              <w:spacing w:after="120"/>
              <w:ind w:left="357" w:hanging="192"/>
              <w:jc w:val="both"/>
              <w:rPr>
                <w:sz w:val="20"/>
                <w:szCs w:val="20"/>
              </w:rPr>
            </w:pPr>
            <w:r w:rsidRPr="008819AF">
              <w:rPr>
                <w:sz w:val="20"/>
                <w:szCs w:val="20"/>
              </w:rPr>
              <w:t xml:space="preserve">Integrácia kotla s plynovou turbínou </w:t>
            </w:r>
          </w:p>
          <w:p w14:paraId="1513351B" w14:textId="77777777" w:rsidR="00236AB5" w:rsidRPr="008819AF" w:rsidRDefault="00236AB5" w:rsidP="00236AB5">
            <w:pPr>
              <w:pStyle w:val="Textpoznmkypodiarou"/>
              <w:ind w:left="165" w:firstLine="0"/>
              <w:jc w:val="both"/>
              <w:rPr>
                <w:rFonts w:ascii="Times New Roman" w:hAnsi="Times New Roman" w:cs="Times New Roman"/>
                <w:sz w:val="20"/>
                <w:szCs w:val="20"/>
              </w:rPr>
            </w:pPr>
            <w:r w:rsidRPr="008819AF">
              <w:rPr>
                <w:rFonts w:ascii="Times New Roman" w:hAnsi="Times New Roman" w:cs="Times New Roman"/>
                <w:sz w:val="20"/>
                <w:szCs w:val="20"/>
              </w:rPr>
              <w:t>Pri zaradení spalinového kotla za plynovú turbínu platia emisné limity a podmienky ich platnosti ako pre plynové turbíny.</w:t>
            </w:r>
          </w:p>
          <w:p w14:paraId="1513351C" w14:textId="77777777" w:rsidR="00236AB5" w:rsidRPr="008819AF" w:rsidRDefault="00236AB5" w:rsidP="00236AB5">
            <w:pPr>
              <w:pStyle w:val="Textpoznmkypodiarou"/>
              <w:ind w:left="165" w:hanging="20"/>
              <w:jc w:val="both"/>
              <w:rPr>
                <w:rFonts w:ascii="Times New Roman" w:hAnsi="Times New Roman" w:cs="Times New Roman"/>
                <w:sz w:val="20"/>
                <w:szCs w:val="20"/>
              </w:rPr>
            </w:pPr>
            <w:r w:rsidRPr="008819AF">
              <w:rPr>
                <w:rFonts w:ascii="Times New Roman" w:hAnsi="Times New Roman" w:cs="Times New Roman"/>
                <w:sz w:val="20"/>
                <w:szCs w:val="20"/>
              </w:rPr>
              <w:t>Pri prikurovaní spalinového kotla, emisný limit sa vypočíta ako vážený priemer emisného limitu pre plynovú turbínu a spalinový kotol podľa bodu 1 druhej časti tejto prílohy. Tepelný príkon, účinnosť, základné zaťaženie plynových turbín sa uplatňuje podľa ISO.</w:t>
            </w:r>
          </w:p>
          <w:p w14:paraId="1513351D" w14:textId="77777777" w:rsidR="00236AB5" w:rsidRPr="008819AF" w:rsidRDefault="00236AB5" w:rsidP="00236AB5">
            <w:pPr>
              <w:spacing w:before="120" w:after="120"/>
              <w:ind w:left="238" w:hanging="238"/>
            </w:pPr>
            <w:r w:rsidRPr="008819AF">
              <w:t xml:space="preserve">5.2  Emisné limity - plynové turbíny </w:t>
            </w:r>
          </w:p>
          <w:p w14:paraId="1513351E" w14:textId="77777777" w:rsidR="00236AB5" w:rsidRPr="008819AF" w:rsidRDefault="00236AB5" w:rsidP="00236AB5">
            <w:pPr>
              <w:ind w:left="240" w:hanging="240"/>
            </w:pPr>
            <w:r w:rsidRPr="008819AF">
              <w:t>(vrátane  plynových turbín s kombinovaným cyklom CCGT)</w:t>
            </w:r>
          </w:p>
          <w:p w14:paraId="1513351F" w14:textId="77777777" w:rsidR="00236AB5" w:rsidRPr="008819AF" w:rsidRDefault="00236AB5" w:rsidP="00236AB5">
            <w:pPr>
              <w:spacing w:before="120" w:after="120"/>
              <w:ind w:left="238" w:hanging="238"/>
            </w:pPr>
            <w:r w:rsidRPr="008819AF">
              <w:t>A.  Emisné limity pre zariadenia Z1 – Z3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
              <w:gridCol w:w="992"/>
              <w:gridCol w:w="993"/>
              <w:gridCol w:w="850"/>
              <w:gridCol w:w="743"/>
              <w:gridCol w:w="526"/>
            </w:tblGrid>
            <w:tr w:rsidR="00236AB5" w:rsidRPr="008819AF" w14:paraId="15133522" w14:textId="77777777" w:rsidTr="0003543A">
              <w:trPr>
                <w:jc w:val="center"/>
              </w:trPr>
              <w:tc>
                <w:tcPr>
                  <w:tcW w:w="1440" w:type="dxa"/>
                  <w:gridSpan w:val="2"/>
                  <w:vMerge w:val="restart"/>
                  <w:tcBorders>
                    <w:top w:val="single" w:sz="2" w:space="0" w:color="auto"/>
                    <w:left w:val="single" w:sz="2" w:space="0" w:color="auto"/>
                    <w:right w:val="single" w:sz="2" w:space="0" w:color="auto"/>
                  </w:tcBorders>
                  <w:vAlign w:val="center"/>
                </w:tcPr>
                <w:p w14:paraId="15133520" w14:textId="77777777" w:rsidR="00236AB5" w:rsidRPr="008819AF" w:rsidRDefault="00236AB5" w:rsidP="00236AB5">
                  <w:pPr>
                    <w:rPr>
                      <w:sz w:val="18"/>
                      <w:szCs w:val="18"/>
                    </w:rPr>
                  </w:pPr>
                  <w:r w:rsidRPr="008819AF">
                    <w:rPr>
                      <w:b/>
                      <w:sz w:val="18"/>
                      <w:szCs w:val="18"/>
                    </w:rPr>
                    <w:t>Podmienky platnosti  EL</w:t>
                  </w:r>
                </w:p>
              </w:tc>
              <w:tc>
                <w:tcPr>
                  <w:tcW w:w="4104" w:type="dxa"/>
                  <w:gridSpan w:val="5"/>
                  <w:tcBorders>
                    <w:top w:val="single" w:sz="2" w:space="0" w:color="auto"/>
                    <w:left w:val="single" w:sz="2" w:space="0" w:color="auto"/>
                    <w:bottom w:val="single" w:sz="2" w:space="0" w:color="auto"/>
                    <w:right w:val="single" w:sz="2" w:space="0" w:color="auto"/>
                  </w:tcBorders>
                  <w:vAlign w:val="center"/>
                </w:tcPr>
                <w:p w14:paraId="15133521" w14:textId="77777777" w:rsidR="00236AB5" w:rsidRPr="008819AF" w:rsidRDefault="00236AB5" w:rsidP="00236AB5">
                  <w:pPr>
                    <w:rPr>
                      <w:sz w:val="18"/>
                      <w:szCs w:val="18"/>
                    </w:rPr>
                  </w:pPr>
                  <w:r w:rsidRPr="008819AF">
                    <w:rPr>
                      <w:sz w:val="18"/>
                      <w:szCs w:val="18"/>
                    </w:rPr>
                    <w:t>Štandardné stavové podmienky, suchý plyn, O</w:t>
                  </w:r>
                  <w:r w:rsidRPr="008819AF">
                    <w:rPr>
                      <w:sz w:val="18"/>
                      <w:szCs w:val="18"/>
                      <w:vertAlign w:val="subscript"/>
                    </w:rPr>
                    <w:t>2 ref</w:t>
                  </w:r>
                  <w:r w:rsidRPr="008819AF">
                    <w:rPr>
                      <w:sz w:val="18"/>
                      <w:szCs w:val="18"/>
                    </w:rPr>
                    <w:t>:  15 % objemu</w:t>
                  </w:r>
                </w:p>
              </w:tc>
            </w:tr>
            <w:tr w:rsidR="00236AB5" w:rsidRPr="008819AF" w14:paraId="15133525" w14:textId="77777777" w:rsidTr="0003543A">
              <w:trPr>
                <w:trHeight w:val="436"/>
                <w:jc w:val="center"/>
              </w:trPr>
              <w:tc>
                <w:tcPr>
                  <w:tcW w:w="1440" w:type="dxa"/>
                  <w:gridSpan w:val="2"/>
                  <w:vMerge/>
                  <w:tcBorders>
                    <w:left w:val="single" w:sz="2" w:space="0" w:color="auto"/>
                    <w:right w:val="single" w:sz="2" w:space="0" w:color="auto"/>
                  </w:tcBorders>
                  <w:vAlign w:val="center"/>
                </w:tcPr>
                <w:p w14:paraId="15133523" w14:textId="77777777" w:rsidR="00236AB5" w:rsidRPr="008819AF" w:rsidRDefault="00236AB5" w:rsidP="00236AB5">
                  <w:pPr>
                    <w:ind w:right="-74"/>
                    <w:rPr>
                      <w:sz w:val="18"/>
                      <w:szCs w:val="18"/>
                    </w:rPr>
                  </w:pPr>
                </w:p>
              </w:tc>
              <w:tc>
                <w:tcPr>
                  <w:tcW w:w="4104" w:type="dxa"/>
                  <w:gridSpan w:val="5"/>
                  <w:tcBorders>
                    <w:top w:val="single" w:sz="2" w:space="0" w:color="auto"/>
                    <w:left w:val="single" w:sz="2" w:space="0" w:color="auto"/>
                    <w:bottom w:val="single" w:sz="2" w:space="0" w:color="auto"/>
                    <w:right w:val="single" w:sz="2" w:space="0" w:color="auto"/>
                  </w:tcBorders>
                  <w:vAlign w:val="center"/>
                </w:tcPr>
                <w:p w14:paraId="15133524" w14:textId="77777777" w:rsidR="00236AB5" w:rsidRPr="008819AF" w:rsidRDefault="00236AB5" w:rsidP="00236AB5">
                  <w:pPr>
                    <w:ind w:right="-74"/>
                    <w:rPr>
                      <w:sz w:val="18"/>
                      <w:szCs w:val="18"/>
                    </w:rPr>
                  </w:pPr>
                  <w:r w:rsidRPr="008819AF">
                    <w:rPr>
                      <w:sz w:val="18"/>
                      <w:szCs w:val="18"/>
                    </w:rPr>
                    <w:t>Pre plynové turbíny (vrátane CCGT) platia EL pri zaťažení &gt; 70 %.</w:t>
                  </w:r>
                </w:p>
              </w:tc>
            </w:tr>
            <w:tr w:rsidR="00236AB5" w:rsidRPr="008819AF" w14:paraId="15133528" w14:textId="77777777" w:rsidTr="0003543A">
              <w:trPr>
                <w:trHeight w:val="643"/>
                <w:jc w:val="center"/>
              </w:trPr>
              <w:tc>
                <w:tcPr>
                  <w:tcW w:w="1440" w:type="dxa"/>
                  <w:gridSpan w:val="2"/>
                  <w:vMerge/>
                  <w:tcBorders>
                    <w:left w:val="single" w:sz="2" w:space="0" w:color="auto"/>
                    <w:right w:val="single" w:sz="2" w:space="0" w:color="auto"/>
                  </w:tcBorders>
                  <w:vAlign w:val="center"/>
                </w:tcPr>
                <w:p w14:paraId="15133526" w14:textId="77777777" w:rsidR="00236AB5" w:rsidRPr="008819AF" w:rsidRDefault="00236AB5" w:rsidP="00236AB5">
                  <w:pPr>
                    <w:tabs>
                      <w:tab w:val="left" w:pos="5281"/>
                    </w:tabs>
                    <w:ind w:right="-74"/>
                    <w:rPr>
                      <w:sz w:val="18"/>
                      <w:szCs w:val="18"/>
                    </w:rPr>
                  </w:pPr>
                </w:p>
              </w:tc>
              <w:tc>
                <w:tcPr>
                  <w:tcW w:w="4104" w:type="dxa"/>
                  <w:gridSpan w:val="5"/>
                  <w:tcBorders>
                    <w:top w:val="single" w:sz="2" w:space="0" w:color="auto"/>
                    <w:left w:val="single" w:sz="2" w:space="0" w:color="auto"/>
                    <w:bottom w:val="single" w:sz="2" w:space="0" w:color="auto"/>
                    <w:right w:val="single" w:sz="2" w:space="0" w:color="auto"/>
                  </w:tcBorders>
                  <w:vAlign w:val="center"/>
                </w:tcPr>
                <w:p w14:paraId="15133527" w14:textId="77777777" w:rsidR="00236AB5" w:rsidRPr="008819AF" w:rsidRDefault="00236AB5" w:rsidP="00236AB5">
                  <w:pPr>
                    <w:tabs>
                      <w:tab w:val="left" w:pos="5281"/>
                    </w:tabs>
                    <w:ind w:right="-74"/>
                    <w:rPr>
                      <w:sz w:val="18"/>
                      <w:szCs w:val="18"/>
                    </w:rPr>
                  </w:pPr>
                  <w:r w:rsidRPr="008819AF">
                    <w:rPr>
                      <w:sz w:val="18"/>
                      <w:szCs w:val="18"/>
                    </w:rPr>
                    <w:t>Na plynové turbíny určené výlučne na núdzovú prevádzku, ak sú v prevádzke &lt; 500 h/rok, sa  emisné limity  neuplatňujú.</w:t>
                  </w:r>
                </w:p>
              </w:tc>
            </w:tr>
            <w:tr w:rsidR="00236AB5" w:rsidRPr="008819AF" w14:paraId="1513352B" w14:textId="77777777" w:rsidTr="0003543A">
              <w:trPr>
                <w:trHeight w:val="643"/>
                <w:jc w:val="center"/>
              </w:trPr>
              <w:tc>
                <w:tcPr>
                  <w:tcW w:w="1440" w:type="dxa"/>
                  <w:gridSpan w:val="2"/>
                  <w:vMerge/>
                  <w:tcBorders>
                    <w:left w:val="single" w:sz="2" w:space="0" w:color="auto"/>
                    <w:bottom w:val="single" w:sz="2" w:space="0" w:color="auto"/>
                    <w:right w:val="single" w:sz="2" w:space="0" w:color="auto"/>
                  </w:tcBorders>
                  <w:vAlign w:val="center"/>
                </w:tcPr>
                <w:p w14:paraId="15133529" w14:textId="77777777" w:rsidR="00236AB5" w:rsidRPr="008819AF" w:rsidRDefault="00236AB5" w:rsidP="00236AB5">
                  <w:pPr>
                    <w:tabs>
                      <w:tab w:val="left" w:pos="5281"/>
                    </w:tabs>
                    <w:ind w:right="-74"/>
                    <w:rPr>
                      <w:sz w:val="18"/>
                      <w:szCs w:val="18"/>
                    </w:rPr>
                  </w:pPr>
                </w:p>
              </w:tc>
              <w:tc>
                <w:tcPr>
                  <w:tcW w:w="4104" w:type="dxa"/>
                  <w:gridSpan w:val="5"/>
                  <w:tcBorders>
                    <w:top w:val="single" w:sz="2" w:space="0" w:color="auto"/>
                    <w:left w:val="single" w:sz="2" w:space="0" w:color="auto"/>
                    <w:bottom w:val="single" w:sz="2" w:space="0" w:color="auto"/>
                    <w:right w:val="single" w:sz="2" w:space="0" w:color="auto"/>
                  </w:tcBorders>
                  <w:vAlign w:val="center"/>
                </w:tcPr>
                <w:p w14:paraId="1513352A" w14:textId="77777777" w:rsidR="00236AB5" w:rsidRPr="008819AF" w:rsidRDefault="00236AB5" w:rsidP="00236AB5">
                  <w:pPr>
                    <w:tabs>
                      <w:tab w:val="left" w:pos="5281"/>
                    </w:tabs>
                    <w:ind w:right="-74"/>
                    <w:rPr>
                      <w:sz w:val="18"/>
                      <w:szCs w:val="18"/>
                    </w:rPr>
                  </w:pPr>
                  <w:r w:rsidRPr="008819AF">
                    <w:rPr>
                      <w:sz w:val="18"/>
                      <w:szCs w:val="18"/>
                    </w:rPr>
                    <w:t>Ak sa emisné limity pre TZL dosahujú bez odlučovania, všeobecné emisné limity podľa prílohy č. 3 pre tuhé anorganické znečisťujúce látky zaradené v 2. skupine sa neuplatňujú.</w:t>
                  </w:r>
                </w:p>
              </w:tc>
            </w:tr>
            <w:tr w:rsidR="00236AB5" w:rsidRPr="008819AF" w14:paraId="15133530" w14:textId="77777777" w:rsidTr="0003543A">
              <w:trPr>
                <w:jc w:val="center"/>
              </w:trPr>
              <w:tc>
                <w:tcPr>
                  <w:tcW w:w="540" w:type="dxa"/>
                  <w:vMerge w:val="restart"/>
                  <w:tcBorders>
                    <w:top w:val="single" w:sz="2" w:space="0" w:color="auto"/>
                    <w:left w:val="single" w:sz="2" w:space="0" w:color="auto"/>
                    <w:right w:val="single" w:sz="2" w:space="0" w:color="auto"/>
                  </w:tcBorders>
                  <w:vAlign w:val="center"/>
                </w:tcPr>
                <w:p w14:paraId="1513352C" w14:textId="77777777" w:rsidR="00236AB5" w:rsidRPr="008819AF" w:rsidRDefault="00236AB5" w:rsidP="00236AB5">
                  <w:pPr>
                    <w:ind w:left="-85" w:right="-158"/>
                    <w:rPr>
                      <w:b/>
                      <w:sz w:val="18"/>
                      <w:szCs w:val="18"/>
                    </w:rPr>
                  </w:pPr>
                  <w:r w:rsidRPr="008819AF">
                    <w:rPr>
                      <w:b/>
                      <w:sz w:val="18"/>
                      <w:szCs w:val="18"/>
                    </w:rPr>
                    <w:t>MTP     [MW]</w:t>
                  </w:r>
                </w:p>
              </w:tc>
              <w:tc>
                <w:tcPr>
                  <w:tcW w:w="900" w:type="dxa"/>
                  <w:vMerge w:val="restart"/>
                  <w:tcBorders>
                    <w:top w:val="single" w:sz="2" w:space="0" w:color="auto"/>
                    <w:left w:val="single" w:sz="2" w:space="0" w:color="auto"/>
                    <w:right w:val="single" w:sz="2" w:space="0" w:color="auto"/>
                  </w:tcBorders>
                  <w:vAlign w:val="center"/>
                </w:tcPr>
                <w:p w14:paraId="1513352D" w14:textId="77777777" w:rsidR="00236AB5" w:rsidRPr="008819AF" w:rsidRDefault="00236AB5" w:rsidP="00236AB5">
                  <w:pPr>
                    <w:ind w:left="-85" w:right="-158"/>
                    <w:rPr>
                      <w:b/>
                      <w:sz w:val="18"/>
                      <w:szCs w:val="18"/>
                    </w:rPr>
                  </w:pPr>
                  <w:r w:rsidRPr="008819AF">
                    <w:rPr>
                      <w:b/>
                      <w:sz w:val="18"/>
                      <w:szCs w:val="18"/>
                    </w:rPr>
                    <w:t>Palivo</w:t>
                  </w:r>
                </w:p>
              </w:tc>
              <w:tc>
                <w:tcPr>
                  <w:tcW w:w="992" w:type="dxa"/>
                  <w:vMerge w:val="restart"/>
                  <w:tcBorders>
                    <w:top w:val="single" w:sz="2" w:space="0" w:color="auto"/>
                    <w:left w:val="single" w:sz="2" w:space="0" w:color="auto"/>
                    <w:right w:val="single" w:sz="2" w:space="0" w:color="auto"/>
                  </w:tcBorders>
                  <w:vAlign w:val="center"/>
                </w:tcPr>
                <w:p w14:paraId="1513352E" w14:textId="77777777" w:rsidR="00236AB5" w:rsidRPr="008819AF" w:rsidRDefault="00236AB5" w:rsidP="00236AB5">
                  <w:pPr>
                    <w:ind w:left="-85" w:right="-158"/>
                    <w:rPr>
                      <w:b/>
                      <w:sz w:val="18"/>
                      <w:szCs w:val="18"/>
                    </w:rPr>
                  </w:pPr>
                  <w:r w:rsidRPr="008819AF">
                    <w:rPr>
                      <w:b/>
                      <w:sz w:val="18"/>
                      <w:szCs w:val="18"/>
                    </w:rPr>
                    <w:t>Režim prevádzky</w:t>
                  </w:r>
                </w:p>
              </w:tc>
              <w:tc>
                <w:tcPr>
                  <w:tcW w:w="3112" w:type="dxa"/>
                  <w:gridSpan w:val="4"/>
                  <w:tcBorders>
                    <w:top w:val="single" w:sz="2" w:space="0" w:color="auto"/>
                    <w:left w:val="single" w:sz="2" w:space="0" w:color="auto"/>
                    <w:bottom w:val="single" w:sz="2" w:space="0" w:color="auto"/>
                    <w:right w:val="single" w:sz="2" w:space="0" w:color="auto"/>
                  </w:tcBorders>
                  <w:vAlign w:val="center"/>
                </w:tcPr>
                <w:p w14:paraId="1513352F" w14:textId="77777777" w:rsidR="00236AB5" w:rsidRPr="008819AF" w:rsidRDefault="00236AB5" w:rsidP="00236AB5">
                  <w:pPr>
                    <w:jc w:val="center"/>
                    <w:rPr>
                      <w:sz w:val="18"/>
                      <w:szCs w:val="18"/>
                    </w:rPr>
                  </w:pPr>
                  <w:r w:rsidRPr="008819AF">
                    <w:rPr>
                      <w:b/>
                      <w:sz w:val="18"/>
                      <w:szCs w:val="18"/>
                    </w:rPr>
                    <w:t xml:space="preserve">Emisný limit      </w:t>
                  </w:r>
                </w:p>
              </w:tc>
            </w:tr>
            <w:tr w:rsidR="00236AB5" w:rsidRPr="008819AF" w14:paraId="15133537" w14:textId="77777777" w:rsidTr="0003543A">
              <w:trPr>
                <w:trHeight w:val="413"/>
                <w:jc w:val="center"/>
              </w:trPr>
              <w:tc>
                <w:tcPr>
                  <w:tcW w:w="540" w:type="dxa"/>
                  <w:vMerge/>
                  <w:tcBorders>
                    <w:left w:val="single" w:sz="2" w:space="0" w:color="auto"/>
                    <w:right w:val="single" w:sz="2" w:space="0" w:color="auto"/>
                  </w:tcBorders>
                  <w:vAlign w:val="center"/>
                </w:tcPr>
                <w:p w14:paraId="15133531" w14:textId="77777777" w:rsidR="00236AB5" w:rsidRPr="008819AF" w:rsidRDefault="00236AB5" w:rsidP="00236AB5">
                  <w:pPr>
                    <w:rPr>
                      <w:sz w:val="18"/>
                      <w:szCs w:val="18"/>
                    </w:rPr>
                  </w:pPr>
                </w:p>
              </w:tc>
              <w:tc>
                <w:tcPr>
                  <w:tcW w:w="900" w:type="dxa"/>
                  <w:vMerge/>
                  <w:tcBorders>
                    <w:left w:val="single" w:sz="2" w:space="0" w:color="auto"/>
                    <w:right w:val="single" w:sz="2" w:space="0" w:color="auto"/>
                  </w:tcBorders>
                  <w:vAlign w:val="center"/>
                </w:tcPr>
                <w:p w14:paraId="15133532" w14:textId="77777777" w:rsidR="00236AB5" w:rsidRPr="008819AF" w:rsidRDefault="00236AB5" w:rsidP="00236AB5">
                  <w:pPr>
                    <w:rPr>
                      <w:b/>
                      <w:sz w:val="18"/>
                      <w:szCs w:val="18"/>
                    </w:rPr>
                  </w:pPr>
                </w:p>
              </w:tc>
              <w:tc>
                <w:tcPr>
                  <w:tcW w:w="992" w:type="dxa"/>
                  <w:vMerge/>
                  <w:tcBorders>
                    <w:left w:val="single" w:sz="2" w:space="0" w:color="auto"/>
                    <w:right w:val="single" w:sz="2" w:space="0" w:color="auto"/>
                  </w:tcBorders>
                  <w:vAlign w:val="center"/>
                </w:tcPr>
                <w:p w14:paraId="15133533" w14:textId="77777777" w:rsidR="00236AB5" w:rsidRPr="008819AF" w:rsidRDefault="00236AB5" w:rsidP="00236AB5">
                  <w:pPr>
                    <w:rPr>
                      <w:b/>
                      <w:sz w:val="18"/>
                      <w:szCs w:val="18"/>
                    </w:rPr>
                  </w:pPr>
                </w:p>
              </w:tc>
              <w:tc>
                <w:tcPr>
                  <w:tcW w:w="993" w:type="dxa"/>
                  <w:vMerge w:val="restart"/>
                  <w:tcBorders>
                    <w:top w:val="single" w:sz="2" w:space="0" w:color="auto"/>
                    <w:left w:val="single" w:sz="2" w:space="0" w:color="auto"/>
                    <w:right w:val="single" w:sz="2" w:space="0" w:color="auto"/>
                  </w:tcBorders>
                  <w:vAlign w:val="center"/>
                </w:tcPr>
                <w:p w14:paraId="15133534" w14:textId="77777777" w:rsidR="00236AB5" w:rsidRPr="008819AF" w:rsidRDefault="00236AB5" w:rsidP="00236AB5">
                  <w:pPr>
                    <w:ind w:left="-85" w:right="-158"/>
                    <w:rPr>
                      <w:b/>
                      <w:sz w:val="18"/>
                      <w:szCs w:val="18"/>
                    </w:rPr>
                  </w:pPr>
                  <w:r w:rsidRPr="008819AF">
                    <w:rPr>
                      <w:b/>
                      <w:sz w:val="18"/>
                      <w:szCs w:val="18"/>
                    </w:rPr>
                    <w:t>Tmavosť dymu</w:t>
                  </w:r>
                </w:p>
                <w:p w14:paraId="15133535" w14:textId="77777777" w:rsidR="00236AB5" w:rsidRPr="008819AF" w:rsidRDefault="00236AB5" w:rsidP="00236AB5">
                  <w:pPr>
                    <w:ind w:left="-85" w:right="-158"/>
                    <w:rPr>
                      <w:b/>
                      <w:sz w:val="18"/>
                      <w:szCs w:val="18"/>
                    </w:rPr>
                  </w:pPr>
                  <w:r w:rsidRPr="008819AF">
                    <w:rPr>
                      <w:b/>
                      <w:sz w:val="18"/>
                      <w:szCs w:val="18"/>
                    </w:rPr>
                    <w:sym w:font="Symbol" w:char="F05B"/>
                  </w:r>
                  <w:r w:rsidRPr="008819AF">
                    <w:rPr>
                      <w:b/>
                      <w:sz w:val="18"/>
                      <w:szCs w:val="18"/>
                    </w:rPr>
                    <w:t>st. Bacha-racha</w:t>
                  </w:r>
                  <w:r w:rsidRPr="008819AF">
                    <w:rPr>
                      <w:b/>
                      <w:sz w:val="18"/>
                      <w:szCs w:val="18"/>
                    </w:rPr>
                    <w:sym w:font="Symbol" w:char="F05D"/>
                  </w:r>
                </w:p>
              </w:tc>
              <w:tc>
                <w:tcPr>
                  <w:tcW w:w="2119" w:type="dxa"/>
                  <w:gridSpan w:val="3"/>
                  <w:tcBorders>
                    <w:top w:val="single" w:sz="2" w:space="0" w:color="auto"/>
                    <w:left w:val="single" w:sz="2" w:space="0" w:color="auto"/>
                    <w:bottom w:val="single" w:sz="2" w:space="0" w:color="auto"/>
                    <w:right w:val="single" w:sz="2" w:space="0" w:color="auto"/>
                  </w:tcBorders>
                  <w:vAlign w:val="center"/>
                </w:tcPr>
                <w:p w14:paraId="15133536" w14:textId="77777777" w:rsidR="00236AB5" w:rsidRPr="008819AF" w:rsidRDefault="00236AB5" w:rsidP="00236AB5">
                  <w:pPr>
                    <w:jc w:val="center"/>
                    <w:rPr>
                      <w:b/>
                      <w:sz w:val="18"/>
                      <w:szCs w:val="18"/>
                    </w:rPr>
                  </w:pPr>
                  <w:r w:rsidRPr="008819AF">
                    <w:rPr>
                      <w:b/>
                      <w:sz w:val="18"/>
                      <w:szCs w:val="18"/>
                    </w:rPr>
                    <w:t xml:space="preserve">Hmotnostná koncentrácia  </w:t>
                  </w:r>
                  <w:r w:rsidRPr="008819AF">
                    <w:rPr>
                      <w:b/>
                      <w:sz w:val="18"/>
                      <w:szCs w:val="18"/>
                    </w:rPr>
                    <w:sym w:font="Symbol" w:char="F05B"/>
                  </w:r>
                  <w:r w:rsidRPr="008819AF">
                    <w:rPr>
                      <w:b/>
                      <w:sz w:val="18"/>
                      <w:szCs w:val="18"/>
                    </w:rPr>
                    <w:t>mg/m</w:t>
                  </w:r>
                  <w:r w:rsidRPr="008819AF">
                    <w:rPr>
                      <w:b/>
                      <w:sz w:val="18"/>
                      <w:szCs w:val="18"/>
                      <w:vertAlign w:val="superscript"/>
                    </w:rPr>
                    <w:t>3</w:t>
                  </w:r>
                  <w:r w:rsidRPr="008819AF">
                    <w:rPr>
                      <w:b/>
                      <w:sz w:val="18"/>
                      <w:szCs w:val="18"/>
                    </w:rPr>
                    <w:sym w:font="Symbol" w:char="F05D"/>
                  </w:r>
                </w:p>
              </w:tc>
            </w:tr>
            <w:tr w:rsidR="00236AB5" w:rsidRPr="008819AF" w14:paraId="1513353F" w14:textId="77777777" w:rsidTr="0003543A">
              <w:trPr>
                <w:trHeight w:val="412"/>
                <w:jc w:val="center"/>
              </w:trPr>
              <w:tc>
                <w:tcPr>
                  <w:tcW w:w="540" w:type="dxa"/>
                  <w:vMerge/>
                  <w:tcBorders>
                    <w:left w:val="single" w:sz="2" w:space="0" w:color="auto"/>
                    <w:bottom w:val="single" w:sz="2" w:space="0" w:color="auto"/>
                    <w:right w:val="single" w:sz="2" w:space="0" w:color="auto"/>
                  </w:tcBorders>
                  <w:vAlign w:val="center"/>
                </w:tcPr>
                <w:p w14:paraId="15133538" w14:textId="77777777" w:rsidR="00236AB5" w:rsidRPr="008819AF" w:rsidRDefault="00236AB5" w:rsidP="00236AB5">
                  <w:pPr>
                    <w:rPr>
                      <w:sz w:val="18"/>
                      <w:szCs w:val="18"/>
                    </w:rPr>
                  </w:pPr>
                </w:p>
              </w:tc>
              <w:tc>
                <w:tcPr>
                  <w:tcW w:w="900" w:type="dxa"/>
                  <w:vMerge/>
                  <w:tcBorders>
                    <w:left w:val="single" w:sz="2" w:space="0" w:color="auto"/>
                    <w:bottom w:val="single" w:sz="2" w:space="0" w:color="auto"/>
                    <w:right w:val="single" w:sz="2" w:space="0" w:color="auto"/>
                  </w:tcBorders>
                  <w:vAlign w:val="center"/>
                </w:tcPr>
                <w:p w14:paraId="15133539" w14:textId="77777777" w:rsidR="00236AB5" w:rsidRPr="008819AF" w:rsidRDefault="00236AB5" w:rsidP="00236AB5">
                  <w:pPr>
                    <w:rPr>
                      <w:b/>
                      <w:sz w:val="18"/>
                      <w:szCs w:val="18"/>
                    </w:rPr>
                  </w:pPr>
                </w:p>
              </w:tc>
              <w:tc>
                <w:tcPr>
                  <w:tcW w:w="992" w:type="dxa"/>
                  <w:vMerge/>
                  <w:tcBorders>
                    <w:left w:val="single" w:sz="2" w:space="0" w:color="auto"/>
                    <w:bottom w:val="single" w:sz="2" w:space="0" w:color="auto"/>
                    <w:right w:val="single" w:sz="2" w:space="0" w:color="auto"/>
                  </w:tcBorders>
                  <w:vAlign w:val="center"/>
                </w:tcPr>
                <w:p w14:paraId="1513353A" w14:textId="77777777" w:rsidR="00236AB5" w:rsidRPr="008819AF" w:rsidRDefault="00236AB5" w:rsidP="00236AB5">
                  <w:pPr>
                    <w:rPr>
                      <w:b/>
                      <w:sz w:val="18"/>
                      <w:szCs w:val="18"/>
                    </w:rPr>
                  </w:pPr>
                </w:p>
              </w:tc>
              <w:tc>
                <w:tcPr>
                  <w:tcW w:w="993" w:type="dxa"/>
                  <w:vMerge/>
                  <w:tcBorders>
                    <w:left w:val="single" w:sz="2" w:space="0" w:color="auto"/>
                    <w:bottom w:val="single" w:sz="2" w:space="0" w:color="auto"/>
                    <w:right w:val="single" w:sz="2" w:space="0" w:color="auto"/>
                  </w:tcBorders>
                  <w:vAlign w:val="center"/>
                </w:tcPr>
                <w:p w14:paraId="1513353B" w14:textId="77777777" w:rsidR="00236AB5" w:rsidRPr="008819AF" w:rsidRDefault="00236AB5" w:rsidP="00236AB5">
                  <w:pPr>
                    <w:jc w:val="center"/>
                    <w:rPr>
                      <w:b/>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1513353C" w14:textId="77777777" w:rsidR="00236AB5" w:rsidRPr="008819AF" w:rsidRDefault="00236AB5" w:rsidP="00236AB5">
                  <w:pPr>
                    <w:jc w:val="center"/>
                    <w:rPr>
                      <w:b/>
                      <w:sz w:val="18"/>
                      <w:szCs w:val="18"/>
                      <w:vertAlign w:val="subscript"/>
                    </w:rPr>
                  </w:pPr>
                  <w:r w:rsidRPr="008819AF">
                    <w:rPr>
                      <w:b/>
                      <w:sz w:val="18"/>
                      <w:szCs w:val="18"/>
                    </w:rPr>
                    <w:t>SO</w:t>
                  </w:r>
                  <w:r w:rsidRPr="008819AF">
                    <w:rPr>
                      <w:b/>
                      <w:sz w:val="18"/>
                      <w:szCs w:val="18"/>
                      <w:vertAlign w:val="subscript"/>
                    </w:rPr>
                    <w:t>2</w:t>
                  </w:r>
                </w:p>
              </w:tc>
              <w:tc>
                <w:tcPr>
                  <w:tcW w:w="743" w:type="dxa"/>
                  <w:tcBorders>
                    <w:top w:val="single" w:sz="2" w:space="0" w:color="auto"/>
                    <w:left w:val="single" w:sz="2" w:space="0" w:color="auto"/>
                    <w:bottom w:val="single" w:sz="2" w:space="0" w:color="auto"/>
                    <w:right w:val="single" w:sz="2" w:space="0" w:color="auto"/>
                  </w:tcBorders>
                  <w:vAlign w:val="center"/>
                </w:tcPr>
                <w:p w14:paraId="1513353D" w14:textId="77777777" w:rsidR="00236AB5" w:rsidRPr="008819AF" w:rsidRDefault="00236AB5" w:rsidP="00236AB5">
                  <w:pPr>
                    <w:jc w:val="center"/>
                    <w:rPr>
                      <w:b/>
                      <w:sz w:val="18"/>
                      <w:szCs w:val="18"/>
                    </w:rPr>
                  </w:pPr>
                  <w:r w:rsidRPr="008819AF">
                    <w:rPr>
                      <w:b/>
                      <w:sz w:val="18"/>
                      <w:szCs w:val="18"/>
                    </w:rPr>
                    <w:t>NO</w:t>
                  </w:r>
                  <w:r w:rsidRPr="008819AF">
                    <w:rPr>
                      <w:b/>
                      <w:sz w:val="18"/>
                      <w:szCs w:val="18"/>
                      <w:vertAlign w:val="subscript"/>
                    </w:rPr>
                    <w:t>x</w:t>
                  </w:r>
                </w:p>
              </w:tc>
              <w:tc>
                <w:tcPr>
                  <w:tcW w:w="526" w:type="dxa"/>
                  <w:tcBorders>
                    <w:top w:val="single" w:sz="2" w:space="0" w:color="auto"/>
                    <w:left w:val="single" w:sz="2" w:space="0" w:color="auto"/>
                    <w:bottom w:val="single" w:sz="2" w:space="0" w:color="auto"/>
                    <w:right w:val="single" w:sz="2" w:space="0" w:color="auto"/>
                  </w:tcBorders>
                  <w:vAlign w:val="center"/>
                </w:tcPr>
                <w:p w14:paraId="1513353E" w14:textId="77777777" w:rsidR="00236AB5" w:rsidRPr="008819AF" w:rsidRDefault="00236AB5" w:rsidP="00236AB5">
                  <w:pPr>
                    <w:jc w:val="center"/>
                    <w:rPr>
                      <w:b/>
                      <w:sz w:val="18"/>
                      <w:szCs w:val="18"/>
                    </w:rPr>
                  </w:pPr>
                  <w:r w:rsidRPr="008819AF">
                    <w:rPr>
                      <w:b/>
                      <w:sz w:val="18"/>
                      <w:szCs w:val="18"/>
                    </w:rPr>
                    <w:t>CO</w:t>
                  </w:r>
                </w:p>
              </w:tc>
            </w:tr>
            <w:tr w:rsidR="00236AB5" w:rsidRPr="008819AF" w14:paraId="1513354A" w14:textId="77777777" w:rsidTr="0003543A">
              <w:trPr>
                <w:jc w:val="center"/>
              </w:trPr>
              <w:tc>
                <w:tcPr>
                  <w:tcW w:w="540" w:type="dxa"/>
                  <w:vMerge w:val="restart"/>
                  <w:tcBorders>
                    <w:top w:val="single" w:sz="2" w:space="0" w:color="auto"/>
                    <w:left w:val="single" w:sz="2" w:space="0" w:color="auto"/>
                    <w:bottom w:val="single" w:sz="2" w:space="0" w:color="auto"/>
                    <w:right w:val="single" w:sz="2" w:space="0" w:color="auto"/>
                  </w:tcBorders>
                  <w:vAlign w:val="center"/>
                </w:tcPr>
                <w:p w14:paraId="15133540" w14:textId="77777777" w:rsidR="00236AB5" w:rsidRPr="008819AF" w:rsidRDefault="00236AB5" w:rsidP="00236AB5">
                  <w:pPr>
                    <w:ind w:left="-85" w:right="-158"/>
                    <w:rPr>
                      <w:sz w:val="18"/>
                      <w:szCs w:val="18"/>
                    </w:rPr>
                  </w:pPr>
                  <w:r w:rsidRPr="008819AF">
                    <w:rPr>
                      <w:sz w:val="18"/>
                      <w:szCs w:val="18"/>
                    </w:rPr>
                    <w:sym w:font="Symbol" w:char="F0B3"/>
                  </w:r>
                  <w:r w:rsidRPr="008819AF">
                    <w:rPr>
                      <w:sz w:val="18"/>
                      <w:szCs w:val="18"/>
                    </w:rPr>
                    <w:t xml:space="preserve"> 50</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14:paraId="15133541" w14:textId="77777777" w:rsidR="00236AB5" w:rsidRPr="008819AF" w:rsidRDefault="00236AB5" w:rsidP="00236AB5">
                  <w:pPr>
                    <w:ind w:left="-85" w:right="-158"/>
                    <w:rPr>
                      <w:sz w:val="18"/>
                      <w:szCs w:val="18"/>
                    </w:rPr>
                  </w:pPr>
                  <w:r w:rsidRPr="008819AF">
                    <w:rPr>
                      <w:sz w:val="18"/>
                      <w:szCs w:val="18"/>
                    </w:rPr>
                    <w:t xml:space="preserve">Kvapalné  palivo </w:t>
                  </w:r>
                </w:p>
                <w:p w14:paraId="15133542" w14:textId="77777777" w:rsidR="00236AB5" w:rsidRPr="008819AF" w:rsidRDefault="00236AB5" w:rsidP="00236AB5">
                  <w:pPr>
                    <w:ind w:left="-85" w:right="-158"/>
                    <w:rPr>
                      <w:sz w:val="18"/>
                      <w:szCs w:val="18"/>
                    </w:rPr>
                  </w:pPr>
                  <w:r w:rsidRPr="008819AF">
                    <w:rPr>
                      <w:sz w:val="18"/>
                      <w:szCs w:val="18"/>
                    </w:rPr>
                    <w:t xml:space="preserve">- ľahké a stredné </w:t>
                  </w:r>
                </w:p>
                <w:p w14:paraId="15133543" w14:textId="77777777" w:rsidR="00236AB5" w:rsidRPr="008819AF" w:rsidRDefault="00236AB5" w:rsidP="00236AB5">
                  <w:pPr>
                    <w:ind w:left="-85" w:right="-158"/>
                    <w:rPr>
                      <w:sz w:val="18"/>
                      <w:szCs w:val="18"/>
                    </w:rPr>
                  </w:pPr>
                  <w:r w:rsidRPr="008819AF">
                    <w:rPr>
                      <w:sz w:val="18"/>
                      <w:szCs w:val="18"/>
                    </w:rPr>
                    <w:t>destiláty</w:t>
                  </w:r>
                </w:p>
              </w:tc>
              <w:tc>
                <w:tcPr>
                  <w:tcW w:w="992" w:type="dxa"/>
                  <w:tcBorders>
                    <w:top w:val="single" w:sz="2" w:space="0" w:color="auto"/>
                    <w:left w:val="single" w:sz="2" w:space="0" w:color="auto"/>
                    <w:bottom w:val="single" w:sz="2" w:space="0" w:color="auto"/>
                    <w:right w:val="single" w:sz="2" w:space="0" w:color="auto"/>
                  </w:tcBorders>
                  <w:vAlign w:val="center"/>
                </w:tcPr>
                <w:p w14:paraId="15133544" w14:textId="77777777" w:rsidR="00236AB5" w:rsidRPr="008819AF" w:rsidRDefault="00236AB5" w:rsidP="00236AB5">
                  <w:pPr>
                    <w:ind w:left="-85" w:right="-158"/>
                    <w:rPr>
                      <w:sz w:val="18"/>
                      <w:szCs w:val="18"/>
                    </w:rPr>
                  </w:pPr>
                  <w:r w:rsidRPr="008819AF">
                    <w:rPr>
                      <w:sz w:val="18"/>
                      <w:szCs w:val="18"/>
                    </w:rPr>
                    <w:t>Bez obmedzenia</w:t>
                  </w:r>
                </w:p>
              </w:tc>
              <w:tc>
                <w:tcPr>
                  <w:tcW w:w="993" w:type="dxa"/>
                  <w:tcBorders>
                    <w:top w:val="single" w:sz="2" w:space="0" w:color="auto"/>
                    <w:left w:val="single" w:sz="2" w:space="0" w:color="auto"/>
                    <w:bottom w:val="single" w:sz="2" w:space="0" w:color="auto"/>
                    <w:right w:val="single" w:sz="2" w:space="0" w:color="auto"/>
                  </w:tcBorders>
                  <w:vAlign w:val="center"/>
                </w:tcPr>
                <w:p w14:paraId="15133545" w14:textId="77777777" w:rsidR="00236AB5" w:rsidRPr="008819AF" w:rsidRDefault="00236AB5" w:rsidP="00236AB5">
                  <w:pPr>
                    <w:ind w:left="-85" w:right="-158"/>
                    <w:rPr>
                      <w:sz w:val="18"/>
                      <w:szCs w:val="18"/>
                    </w:rPr>
                  </w:pPr>
                  <w:r w:rsidRPr="008819AF">
                    <w:rPr>
                      <w:sz w:val="18"/>
                      <w:szCs w:val="18"/>
                    </w:rPr>
                    <w:t>trvalá prev.: 2. st.</w:t>
                  </w:r>
                </w:p>
                <w:p w14:paraId="15133546" w14:textId="77777777" w:rsidR="00236AB5" w:rsidRPr="008819AF" w:rsidRDefault="00236AB5" w:rsidP="00236AB5">
                  <w:pPr>
                    <w:ind w:left="-85" w:right="-158"/>
                    <w:rPr>
                      <w:sz w:val="18"/>
                      <w:szCs w:val="18"/>
                    </w:rPr>
                  </w:pPr>
                  <w:r w:rsidRPr="008819AF">
                    <w:rPr>
                      <w:sz w:val="18"/>
                      <w:szCs w:val="18"/>
                    </w:rPr>
                    <w:t xml:space="preserve">nábeh: </w:t>
                  </w:r>
                  <w:smartTag w:uri="urn:schemas-microsoft-com:office:smarttags" w:element="metricconverter">
                    <w:smartTagPr>
                      <w:attr w:name="ProductID" w:val="3 st"/>
                    </w:smartTagPr>
                    <w:r w:rsidRPr="008819AF">
                      <w:rPr>
                        <w:sz w:val="18"/>
                        <w:szCs w:val="18"/>
                      </w:rPr>
                      <w:t>3 st</w:t>
                    </w:r>
                  </w:smartTag>
                  <w:r w:rsidRPr="008819AF">
                    <w:rPr>
                      <w:sz w:val="18"/>
                      <w:szCs w:val="18"/>
                    </w:rPr>
                    <w:t xml:space="preserve">. </w:t>
                  </w:r>
                </w:p>
              </w:tc>
              <w:tc>
                <w:tcPr>
                  <w:tcW w:w="850" w:type="dxa"/>
                  <w:tcBorders>
                    <w:top w:val="single" w:sz="2" w:space="0" w:color="auto"/>
                    <w:left w:val="single" w:sz="2" w:space="0" w:color="auto"/>
                    <w:bottom w:val="single" w:sz="2" w:space="0" w:color="auto"/>
                    <w:right w:val="single" w:sz="2" w:space="0" w:color="auto"/>
                  </w:tcBorders>
                  <w:vAlign w:val="center"/>
                </w:tcPr>
                <w:p w14:paraId="15133547" w14:textId="77777777" w:rsidR="00236AB5" w:rsidRPr="008819AF" w:rsidRDefault="00236AB5" w:rsidP="00236AB5">
                  <w:pPr>
                    <w:jc w:val="center"/>
                    <w:rPr>
                      <w:sz w:val="18"/>
                      <w:szCs w:val="18"/>
                    </w:rPr>
                  </w:pPr>
                  <w:r w:rsidRPr="008819AF">
                    <w:rPr>
                      <w:sz w:val="18"/>
                      <w:szCs w:val="18"/>
                    </w:rPr>
                    <w:t>600</w:t>
                  </w:r>
                  <w:r w:rsidRPr="008819AF">
                    <w:rPr>
                      <w:sz w:val="18"/>
                      <w:szCs w:val="18"/>
                      <w:vertAlign w:val="superscript"/>
                    </w:rPr>
                    <w:t>1</w:t>
                  </w:r>
                  <w:r w:rsidRPr="008819AF">
                    <w:rPr>
                      <w:sz w:val="18"/>
                      <w:szCs w:val="18"/>
                    </w:rPr>
                    <w:t>), 1 700</w:t>
                  </w:r>
                  <w:r w:rsidRPr="008819AF">
                    <w:rPr>
                      <w:sz w:val="18"/>
                      <w:szCs w:val="18"/>
                      <w:vertAlign w:val="superscript"/>
                    </w:rPr>
                    <w:t>2</w:t>
                  </w:r>
                  <w:r w:rsidRPr="008819AF">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15133548" w14:textId="77777777" w:rsidR="00236AB5" w:rsidRPr="008819AF" w:rsidRDefault="00236AB5" w:rsidP="00236AB5">
                  <w:pPr>
                    <w:jc w:val="center"/>
                    <w:rPr>
                      <w:sz w:val="18"/>
                      <w:szCs w:val="18"/>
                    </w:rPr>
                  </w:pPr>
                  <w:r w:rsidRPr="008819AF">
                    <w:rPr>
                      <w:sz w:val="18"/>
                      <w:szCs w:val="18"/>
                    </w:rPr>
                    <w:t>90</w:t>
                  </w:r>
                </w:p>
              </w:tc>
              <w:tc>
                <w:tcPr>
                  <w:tcW w:w="526" w:type="dxa"/>
                  <w:tcBorders>
                    <w:top w:val="single" w:sz="2" w:space="0" w:color="auto"/>
                    <w:left w:val="single" w:sz="2" w:space="0" w:color="auto"/>
                    <w:bottom w:val="single" w:sz="2" w:space="0" w:color="auto"/>
                    <w:right w:val="single" w:sz="2" w:space="0" w:color="auto"/>
                  </w:tcBorders>
                  <w:vAlign w:val="center"/>
                </w:tcPr>
                <w:p w14:paraId="15133549" w14:textId="77777777" w:rsidR="00236AB5" w:rsidRPr="008819AF" w:rsidRDefault="00236AB5" w:rsidP="00236AB5">
                  <w:pPr>
                    <w:jc w:val="center"/>
                    <w:rPr>
                      <w:sz w:val="18"/>
                      <w:szCs w:val="18"/>
                    </w:rPr>
                  </w:pPr>
                  <w:r w:rsidRPr="008819AF">
                    <w:rPr>
                      <w:sz w:val="18"/>
                      <w:szCs w:val="18"/>
                    </w:rPr>
                    <w:t>100</w:t>
                  </w:r>
                </w:p>
              </w:tc>
            </w:tr>
            <w:tr w:rsidR="00236AB5" w:rsidRPr="008819AF" w14:paraId="15133553" w14:textId="77777777" w:rsidTr="0003543A">
              <w:trPr>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1513354B" w14:textId="77777777" w:rsidR="00236AB5" w:rsidRPr="008819AF" w:rsidRDefault="00236AB5" w:rsidP="00236AB5">
                  <w:pPr>
                    <w:jc w:val="center"/>
                    <w:rPr>
                      <w:sz w:val="18"/>
                      <w:szCs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14:paraId="1513354C" w14:textId="77777777" w:rsidR="00236AB5" w:rsidRPr="008819AF" w:rsidRDefault="00236AB5" w:rsidP="00236AB5">
                  <w:pP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1513354D" w14:textId="77777777" w:rsidR="00236AB5" w:rsidRPr="008819AF" w:rsidRDefault="00236AB5" w:rsidP="00236AB5">
                  <w:pPr>
                    <w:rPr>
                      <w:sz w:val="18"/>
                      <w:szCs w:val="18"/>
                    </w:rPr>
                  </w:pPr>
                  <w:r w:rsidRPr="008819AF">
                    <w:rPr>
                      <w:sz w:val="18"/>
                      <w:szCs w:val="18"/>
                    </w:rPr>
                    <w:t>OPR</w:t>
                  </w:r>
                </w:p>
              </w:tc>
              <w:tc>
                <w:tcPr>
                  <w:tcW w:w="993" w:type="dxa"/>
                  <w:tcBorders>
                    <w:top w:val="single" w:sz="2" w:space="0" w:color="auto"/>
                    <w:left w:val="single" w:sz="2" w:space="0" w:color="auto"/>
                    <w:bottom w:val="single" w:sz="2" w:space="0" w:color="auto"/>
                    <w:right w:val="single" w:sz="2" w:space="0" w:color="auto"/>
                  </w:tcBorders>
                  <w:vAlign w:val="center"/>
                </w:tcPr>
                <w:p w14:paraId="1513354E" w14:textId="77777777" w:rsidR="00236AB5" w:rsidRPr="008819AF" w:rsidRDefault="00236AB5" w:rsidP="00236AB5">
                  <w:pPr>
                    <w:ind w:left="-85" w:right="-158"/>
                    <w:rPr>
                      <w:sz w:val="18"/>
                      <w:szCs w:val="18"/>
                    </w:rPr>
                  </w:pPr>
                  <w:r w:rsidRPr="008819AF">
                    <w:rPr>
                      <w:sz w:val="18"/>
                      <w:szCs w:val="18"/>
                    </w:rPr>
                    <w:t>trvalá prev.: 2. st.</w:t>
                  </w:r>
                </w:p>
                <w:p w14:paraId="1513354F" w14:textId="77777777" w:rsidR="00236AB5" w:rsidRPr="008819AF" w:rsidRDefault="00236AB5" w:rsidP="00236AB5">
                  <w:pPr>
                    <w:ind w:left="-85" w:right="-158"/>
                    <w:rPr>
                      <w:sz w:val="18"/>
                      <w:szCs w:val="18"/>
                    </w:rPr>
                  </w:pPr>
                  <w:r w:rsidRPr="008819AF">
                    <w:rPr>
                      <w:sz w:val="18"/>
                      <w:szCs w:val="18"/>
                    </w:rPr>
                    <w:t>nábeh: 3. st.</w:t>
                  </w:r>
                </w:p>
              </w:tc>
              <w:tc>
                <w:tcPr>
                  <w:tcW w:w="850" w:type="dxa"/>
                  <w:tcBorders>
                    <w:top w:val="single" w:sz="2" w:space="0" w:color="auto"/>
                    <w:left w:val="single" w:sz="2" w:space="0" w:color="auto"/>
                    <w:bottom w:val="single" w:sz="2" w:space="0" w:color="auto"/>
                    <w:right w:val="single" w:sz="2" w:space="0" w:color="auto"/>
                  </w:tcBorders>
                  <w:vAlign w:val="center"/>
                </w:tcPr>
                <w:p w14:paraId="15133550" w14:textId="77777777" w:rsidR="00236AB5" w:rsidRPr="008819AF" w:rsidRDefault="00236AB5" w:rsidP="00236AB5">
                  <w:pPr>
                    <w:jc w:val="center"/>
                    <w:rPr>
                      <w:sz w:val="18"/>
                      <w:szCs w:val="18"/>
                    </w:rPr>
                  </w:pPr>
                  <w:r w:rsidRPr="008819AF">
                    <w:rPr>
                      <w:sz w:val="18"/>
                      <w:szCs w:val="18"/>
                    </w:rPr>
                    <w:t>600</w:t>
                  </w:r>
                  <w:r w:rsidRPr="008819AF">
                    <w:rPr>
                      <w:sz w:val="18"/>
                      <w:szCs w:val="18"/>
                      <w:vertAlign w:val="superscript"/>
                    </w:rPr>
                    <w:t>1</w:t>
                  </w:r>
                  <w:r w:rsidRPr="008819AF">
                    <w:rPr>
                      <w:sz w:val="18"/>
                      <w:szCs w:val="18"/>
                    </w:rPr>
                    <w:t>), 1 700</w:t>
                  </w:r>
                  <w:r w:rsidRPr="008819AF">
                    <w:rPr>
                      <w:sz w:val="18"/>
                      <w:szCs w:val="18"/>
                      <w:vertAlign w:val="superscript"/>
                    </w:rPr>
                    <w:t>2</w:t>
                  </w:r>
                  <w:r w:rsidRPr="008819AF">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15133551" w14:textId="77777777" w:rsidR="00236AB5" w:rsidRPr="008819AF" w:rsidRDefault="00236AB5" w:rsidP="00236AB5">
                  <w:pPr>
                    <w:jc w:val="center"/>
                    <w:rPr>
                      <w:sz w:val="18"/>
                      <w:szCs w:val="18"/>
                    </w:rPr>
                  </w:pPr>
                  <w:r w:rsidRPr="008819AF">
                    <w:rPr>
                      <w:sz w:val="18"/>
                      <w:szCs w:val="18"/>
                    </w:rPr>
                    <w:t>200</w:t>
                  </w:r>
                  <w:r w:rsidRPr="008819AF">
                    <w:rPr>
                      <w:sz w:val="18"/>
                      <w:szCs w:val="18"/>
                      <w:vertAlign w:val="superscript"/>
                    </w:rPr>
                    <w:t>3</w:t>
                  </w:r>
                  <w:r w:rsidRPr="008819AF">
                    <w:rPr>
                      <w:sz w:val="18"/>
                      <w:szCs w:val="18"/>
                    </w:rPr>
                    <w:t>)</w:t>
                  </w:r>
                </w:p>
              </w:tc>
              <w:tc>
                <w:tcPr>
                  <w:tcW w:w="526" w:type="dxa"/>
                  <w:tcBorders>
                    <w:top w:val="single" w:sz="2" w:space="0" w:color="auto"/>
                    <w:left w:val="single" w:sz="2" w:space="0" w:color="auto"/>
                    <w:bottom w:val="single" w:sz="2" w:space="0" w:color="auto"/>
                    <w:right w:val="single" w:sz="2" w:space="0" w:color="auto"/>
                  </w:tcBorders>
                  <w:vAlign w:val="center"/>
                </w:tcPr>
                <w:p w14:paraId="15133552" w14:textId="77777777" w:rsidR="00236AB5" w:rsidRPr="008819AF" w:rsidRDefault="00236AB5" w:rsidP="00236AB5">
                  <w:pPr>
                    <w:jc w:val="center"/>
                    <w:rPr>
                      <w:sz w:val="18"/>
                      <w:szCs w:val="18"/>
                    </w:rPr>
                  </w:pPr>
                  <w:r w:rsidRPr="008819AF">
                    <w:rPr>
                      <w:sz w:val="18"/>
                      <w:szCs w:val="18"/>
                    </w:rPr>
                    <w:t>100</w:t>
                  </w:r>
                </w:p>
              </w:tc>
            </w:tr>
            <w:tr w:rsidR="00236AB5" w:rsidRPr="008819AF" w14:paraId="1513355B" w14:textId="77777777" w:rsidTr="0003543A">
              <w:trPr>
                <w:jc w:val="center"/>
              </w:trPr>
              <w:tc>
                <w:tcPr>
                  <w:tcW w:w="540" w:type="dxa"/>
                  <w:vMerge w:val="restart"/>
                  <w:tcBorders>
                    <w:top w:val="single" w:sz="2" w:space="0" w:color="auto"/>
                    <w:left w:val="single" w:sz="2" w:space="0" w:color="auto"/>
                    <w:bottom w:val="single" w:sz="2" w:space="0" w:color="auto"/>
                    <w:right w:val="single" w:sz="2" w:space="0" w:color="auto"/>
                  </w:tcBorders>
                  <w:vAlign w:val="center"/>
                </w:tcPr>
                <w:p w14:paraId="15133554" w14:textId="77777777" w:rsidR="00236AB5" w:rsidRPr="008819AF" w:rsidRDefault="00236AB5" w:rsidP="00236AB5">
                  <w:pPr>
                    <w:jc w:val="center"/>
                    <w:rPr>
                      <w:sz w:val="18"/>
                      <w:szCs w:val="18"/>
                    </w:rPr>
                  </w:pPr>
                  <w:r w:rsidRPr="008819AF">
                    <w:rPr>
                      <w:sz w:val="18"/>
                      <w:szCs w:val="18"/>
                    </w:rPr>
                    <w:sym w:font="Symbol" w:char="F0B3"/>
                  </w:r>
                  <w:r w:rsidRPr="008819AF">
                    <w:rPr>
                      <w:sz w:val="18"/>
                      <w:szCs w:val="18"/>
                    </w:rPr>
                    <w:t xml:space="preserve"> 50</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14:paraId="15133555" w14:textId="77777777" w:rsidR="00236AB5" w:rsidRPr="008819AF" w:rsidRDefault="00236AB5" w:rsidP="00236AB5">
                  <w:pPr>
                    <w:rPr>
                      <w:sz w:val="18"/>
                      <w:szCs w:val="18"/>
                    </w:rPr>
                  </w:pPr>
                  <w:r w:rsidRPr="008819AF">
                    <w:rPr>
                      <w:sz w:val="18"/>
                      <w:szCs w:val="18"/>
                    </w:rPr>
                    <w:t>ZPN</w:t>
                  </w:r>
                </w:p>
              </w:tc>
              <w:tc>
                <w:tcPr>
                  <w:tcW w:w="992" w:type="dxa"/>
                  <w:tcBorders>
                    <w:top w:val="single" w:sz="2" w:space="0" w:color="auto"/>
                    <w:left w:val="single" w:sz="2" w:space="0" w:color="auto"/>
                    <w:bottom w:val="single" w:sz="2" w:space="0" w:color="auto"/>
                    <w:right w:val="single" w:sz="2" w:space="0" w:color="auto"/>
                  </w:tcBorders>
                  <w:vAlign w:val="center"/>
                </w:tcPr>
                <w:p w14:paraId="15133556" w14:textId="77777777" w:rsidR="00236AB5" w:rsidRPr="008819AF" w:rsidRDefault="00236AB5" w:rsidP="00236AB5">
                  <w:pPr>
                    <w:ind w:left="-85" w:right="-158"/>
                    <w:rPr>
                      <w:sz w:val="18"/>
                      <w:szCs w:val="18"/>
                    </w:rPr>
                  </w:pPr>
                  <w:r w:rsidRPr="008819AF">
                    <w:rPr>
                      <w:sz w:val="18"/>
                      <w:szCs w:val="18"/>
                    </w:rPr>
                    <w:t>Bez obmedzenia</w:t>
                  </w:r>
                </w:p>
              </w:tc>
              <w:tc>
                <w:tcPr>
                  <w:tcW w:w="993" w:type="dxa"/>
                  <w:tcBorders>
                    <w:top w:val="single" w:sz="2" w:space="0" w:color="auto"/>
                    <w:left w:val="single" w:sz="2" w:space="0" w:color="auto"/>
                    <w:bottom w:val="single" w:sz="2" w:space="0" w:color="auto"/>
                    <w:right w:val="single" w:sz="2" w:space="0" w:color="auto"/>
                  </w:tcBorders>
                  <w:vAlign w:val="center"/>
                </w:tcPr>
                <w:p w14:paraId="15133557" w14:textId="77777777" w:rsidR="00236AB5" w:rsidRPr="008819AF" w:rsidRDefault="00236AB5" w:rsidP="00236AB5">
                  <w:pPr>
                    <w:jc w:val="center"/>
                    <w:rPr>
                      <w:sz w:val="18"/>
                      <w:szCs w:val="18"/>
                    </w:rPr>
                  </w:pPr>
                  <w:r w:rsidRPr="008819AF">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15133558" w14:textId="77777777" w:rsidR="00236AB5" w:rsidRPr="008819AF" w:rsidRDefault="00236AB5" w:rsidP="00236AB5">
                  <w:pPr>
                    <w:jc w:val="center"/>
                    <w:rPr>
                      <w:sz w:val="18"/>
                      <w:szCs w:val="18"/>
                    </w:rPr>
                  </w:pPr>
                  <w:r w:rsidRPr="008819AF">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15133559" w14:textId="77777777" w:rsidR="00236AB5" w:rsidRPr="008819AF" w:rsidRDefault="00236AB5" w:rsidP="00236AB5">
                  <w:pPr>
                    <w:ind w:right="-74" w:hanging="9"/>
                    <w:jc w:val="center"/>
                    <w:rPr>
                      <w:sz w:val="18"/>
                      <w:szCs w:val="18"/>
                    </w:rPr>
                  </w:pPr>
                  <w:r w:rsidRPr="008819AF">
                    <w:rPr>
                      <w:sz w:val="18"/>
                      <w:szCs w:val="18"/>
                    </w:rPr>
                    <w:t>50,75</w:t>
                  </w:r>
                  <w:r w:rsidRPr="008819AF">
                    <w:rPr>
                      <w:sz w:val="18"/>
                      <w:szCs w:val="18"/>
                      <w:vertAlign w:val="superscript"/>
                    </w:rPr>
                    <w:t>4</w:t>
                  </w:r>
                  <w:r w:rsidRPr="008819AF">
                    <w:rPr>
                      <w:sz w:val="18"/>
                      <w:szCs w:val="18"/>
                    </w:rPr>
                    <w:t>),</w:t>
                  </w:r>
                  <w:r w:rsidRPr="008819AF">
                    <w:rPr>
                      <w:sz w:val="18"/>
                      <w:szCs w:val="18"/>
                      <w:vertAlign w:val="superscript"/>
                    </w:rPr>
                    <w:t>5</w:t>
                  </w:r>
                  <w:r w:rsidRPr="008819AF">
                    <w:rPr>
                      <w:sz w:val="18"/>
                      <w:szCs w:val="18"/>
                    </w:rPr>
                    <w:t xml:space="preserve">) </w:t>
                  </w:r>
                </w:p>
              </w:tc>
              <w:tc>
                <w:tcPr>
                  <w:tcW w:w="526" w:type="dxa"/>
                  <w:vMerge w:val="restart"/>
                  <w:tcBorders>
                    <w:top w:val="single" w:sz="2" w:space="0" w:color="auto"/>
                    <w:left w:val="single" w:sz="2" w:space="0" w:color="auto"/>
                    <w:bottom w:val="single" w:sz="2" w:space="0" w:color="auto"/>
                    <w:right w:val="single" w:sz="2" w:space="0" w:color="auto"/>
                  </w:tcBorders>
                  <w:vAlign w:val="center"/>
                </w:tcPr>
                <w:p w14:paraId="1513355A" w14:textId="77777777" w:rsidR="00236AB5" w:rsidRPr="008819AF" w:rsidRDefault="00236AB5" w:rsidP="00236AB5">
                  <w:pPr>
                    <w:jc w:val="center"/>
                    <w:rPr>
                      <w:sz w:val="18"/>
                      <w:szCs w:val="18"/>
                    </w:rPr>
                  </w:pPr>
                  <w:r w:rsidRPr="008819AF">
                    <w:rPr>
                      <w:sz w:val="18"/>
                      <w:szCs w:val="18"/>
                    </w:rPr>
                    <w:t>100</w:t>
                  </w:r>
                </w:p>
              </w:tc>
            </w:tr>
            <w:tr w:rsidR="00236AB5" w:rsidRPr="008819AF" w14:paraId="15133563" w14:textId="77777777" w:rsidTr="0003543A">
              <w:trPr>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1513355C" w14:textId="77777777" w:rsidR="00236AB5" w:rsidRPr="008819AF" w:rsidRDefault="00236AB5" w:rsidP="00236AB5">
                  <w:pPr>
                    <w:jc w:val="center"/>
                    <w:rPr>
                      <w:sz w:val="18"/>
                      <w:szCs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14:paraId="1513355D" w14:textId="77777777" w:rsidR="00236AB5" w:rsidRPr="008819AF" w:rsidRDefault="00236AB5" w:rsidP="00236AB5">
                  <w:pP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1513355E" w14:textId="77777777" w:rsidR="00236AB5" w:rsidRPr="008819AF" w:rsidRDefault="00236AB5" w:rsidP="00236AB5">
                  <w:pPr>
                    <w:rPr>
                      <w:sz w:val="18"/>
                      <w:szCs w:val="18"/>
                    </w:rPr>
                  </w:pPr>
                  <w:r w:rsidRPr="008819AF">
                    <w:rPr>
                      <w:sz w:val="18"/>
                      <w:szCs w:val="18"/>
                    </w:rPr>
                    <w:t>OPR</w:t>
                  </w:r>
                </w:p>
              </w:tc>
              <w:tc>
                <w:tcPr>
                  <w:tcW w:w="993" w:type="dxa"/>
                  <w:tcBorders>
                    <w:top w:val="single" w:sz="2" w:space="0" w:color="auto"/>
                    <w:left w:val="single" w:sz="2" w:space="0" w:color="auto"/>
                    <w:bottom w:val="single" w:sz="2" w:space="0" w:color="auto"/>
                    <w:right w:val="single" w:sz="2" w:space="0" w:color="auto"/>
                  </w:tcBorders>
                  <w:vAlign w:val="center"/>
                </w:tcPr>
                <w:p w14:paraId="1513355F" w14:textId="77777777" w:rsidR="00236AB5" w:rsidRPr="008819AF" w:rsidRDefault="00236AB5" w:rsidP="00236AB5">
                  <w:pPr>
                    <w:jc w:val="center"/>
                    <w:rPr>
                      <w:sz w:val="18"/>
                      <w:szCs w:val="18"/>
                    </w:rPr>
                  </w:pPr>
                  <w:r w:rsidRPr="008819AF">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15133560" w14:textId="77777777" w:rsidR="00236AB5" w:rsidRPr="008819AF" w:rsidRDefault="00236AB5" w:rsidP="00236AB5">
                  <w:pPr>
                    <w:jc w:val="center"/>
                    <w:rPr>
                      <w:sz w:val="18"/>
                      <w:szCs w:val="18"/>
                    </w:rPr>
                  </w:pPr>
                  <w:r w:rsidRPr="008819AF">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15133561" w14:textId="77777777" w:rsidR="00236AB5" w:rsidRPr="008819AF" w:rsidRDefault="00236AB5" w:rsidP="00236AB5">
                  <w:pPr>
                    <w:jc w:val="center"/>
                    <w:rPr>
                      <w:sz w:val="18"/>
                      <w:szCs w:val="18"/>
                    </w:rPr>
                  </w:pPr>
                  <w:r w:rsidRPr="008819AF">
                    <w:rPr>
                      <w:sz w:val="18"/>
                      <w:szCs w:val="18"/>
                    </w:rPr>
                    <w:t>150</w:t>
                  </w:r>
                  <w:r w:rsidRPr="008819AF">
                    <w:rPr>
                      <w:sz w:val="18"/>
                      <w:szCs w:val="18"/>
                      <w:vertAlign w:val="superscript"/>
                    </w:rPr>
                    <w:t>3</w:t>
                  </w:r>
                  <w:r w:rsidRPr="008819AF">
                    <w:rPr>
                      <w:sz w:val="18"/>
                      <w:szCs w:val="18"/>
                    </w:rPr>
                    <w:t>)</w:t>
                  </w:r>
                </w:p>
              </w:tc>
              <w:tc>
                <w:tcPr>
                  <w:tcW w:w="526" w:type="dxa"/>
                  <w:vMerge/>
                  <w:tcBorders>
                    <w:top w:val="single" w:sz="2" w:space="0" w:color="auto"/>
                    <w:left w:val="single" w:sz="2" w:space="0" w:color="auto"/>
                    <w:bottom w:val="single" w:sz="2" w:space="0" w:color="auto"/>
                    <w:right w:val="single" w:sz="2" w:space="0" w:color="auto"/>
                  </w:tcBorders>
                  <w:vAlign w:val="center"/>
                </w:tcPr>
                <w:p w14:paraId="15133562" w14:textId="77777777" w:rsidR="00236AB5" w:rsidRPr="008819AF" w:rsidRDefault="00236AB5" w:rsidP="00236AB5">
                  <w:pPr>
                    <w:jc w:val="center"/>
                    <w:rPr>
                      <w:sz w:val="18"/>
                      <w:szCs w:val="18"/>
                    </w:rPr>
                  </w:pPr>
                </w:p>
              </w:tc>
            </w:tr>
            <w:tr w:rsidR="00236AB5" w:rsidRPr="008819AF" w14:paraId="1513356B" w14:textId="77777777" w:rsidTr="0003543A">
              <w:trPr>
                <w:jc w:val="center"/>
              </w:trPr>
              <w:tc>
                <w:tcPr>
                  <w:tcW w:w="540" w:type="dxa"/>
                  <w:vMerge w:val="restart"/>
                  <w:tcBorders>
                    <w:top w:val="single" w:sz="2" w:space="0" w:color="auto"/>
                    <w:left w:val="single" w:sz="2" w:space="0" w:color="auto"/>
                    <w:bottom w:val="single" w:sz="2" w:space="0" w:color="auto"/>
                    <w:right w:val="single" w:sz="2" w:space="0" w:color="auto"/>
                  </w:tcBorders>
                  <w:vAlign w:val="center"/>
                </w:tcPr>
                <w:p w14:paraId="15133564" w14:textId="77777777" w:rsidR="00236AB5" w:rsidRPr="008819AF" w:rsidRDefault="00236AB5" w:rsidP="00236AB5">
                  <w:pPr>
                    <w:jc w:val="center"/>
                    <w:rPr>
                      <w:sz w:val="18"/>
                      <w:szCs w:val="18"/>
                    </w:rPr>
                  </w:pPr>
                  <w:r w:rsidRPr="008819AF">
                    <w:rPr>
                      <w:sz w:val="18"/>
                      <w:szCs w:val="18"/>
                    </w:rPr>
                    <w:sym w:font="Symbol" w:char="F0B3"/>
                  </w:r>
                  <w:r w:rsidRPr="008819AF">
                    <w:rPr>
                      <w:sz w:val="18"/>
                      <w:szCs w:val="18"/>
                    </w:rPr>
                    <w:t xml:space="preserve"> 50</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14:paraId="15133565" w14:textId="77777777" w:rsidR="00236AB5" w:rsidRPr="008819AF" w:rsidRDefault="00236AB5" w:rsidP="00236AB5">
                  <w:pPr>
                    <w:rPr>
                      <w:sz w:val="18"/>
                      <w:szCs w:val="18"/>
                    </w:rPr>
                  </w:pPr>
                  <w:r w:rsidRPr="008819AF">
                    <w:rPr>
                      <w:sz w:val="18"/>
                      <w:szCs w:val="18"/>
                    </w:rPr>
                    <w:t>Iné plynné palivo</w:t>
                  </w:r>
                </w:p>
              </w:tc>
              <w:tc>
                <w:tcPr>
                  <w:tcW w:w="992" w:type="dxa"/>
                  <w:tcBorders>
                    <w:top w:val="single" w:sz="2" w:space="0" w:color="auto"/>
                    <w:left w:val="single" w:sz="2" w:space="0" w:color="auto"/>
                    <w:bottom w:val="single" w:sz="2" w:space="0" w:color="auto"/>
                    <w:right w:val="single" w:sz="2" w:space="0" w:color="auto"/>
                  </w:tcBorders>
                  <w:vAlign w:val="center"/>
                </w:tcPr>
                <w:p w14:paraId="15133566" w14:textId="77777777" w:rsidR="00236AB5" w:rsidRPr="008819AF" w:rsidRDefault="00236AB5" w:rsidP="00236AB5">
                  <w:pPr>
                    <w:ind w:left="-85" w:right="-158"/>
                    <w:rPr>
                      <w:sz w:val="18"/>
                      <w:szCs w:val="18"/>
                    </w:rPr>
                  </w:pPr>
                  <w:r w:rsidRPr="008819AF">
                    <w:rPr>
                      <w:sz w:val="18"/>
                      <w:szCs w:val="18"/>
                    </w:rPr>
                    <w:t>Bez obmedzenia</w:t>
                  </w:r>
                </w:p>
              </w:tc>
              <w:tc>
                <w:tcPr>
                  <w:tcW w:w="993" w:type="dxa"/>
                  <w:tcBorders>
                    <w:top w:val="single" w:sz="2" w:space="0" w:color="auto"/>
                    <w:left w:val="single" w:sz="2" w:space="0" w:color="auto"/>
                    <w:bottom w:val="single" w:sz="2" w:space="0" w:color="auto"/>
                    <w:right w:val="single" w:sz="2" w:space="0" w:color="auto"/>
                  </w:tcBorders>
                  <w:vAlign w:val="center"/>
                </w:tcPr>
                <w:p w14:paraId="15133567" w14:textId="77777777" w:rsidR="00236AB5" w:rsidRPr="008819AF" w:rsidRDefault="00236AB5" w:rsidP="00236AB5">
                  <w:pPr>
                    <w:jc w:val="center"/>
                    <w:rPr>
                      <w:sz w:val="18"/>
                      <w:szCs w:val="18"/>
                    </w:rPr>
                  </w:pPr>
                  <w:r w:rsidRPr="008819AF">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15133568" w14:textId="77777777" w:rsidR="00236AB5" w:rsidRPr="008819AF" w:rsidRDefault="00236AB5" w:rsidP="00236AB5">
                  <w:pPr>
                    <w:jc w:val="center"/>
                    <w:rPr>
                      <w:sz w:val="18"/>
                      <w:szCs w:val="18"/>
                    </w:rPr>
                  </w:pPr>
                  <w:r w:rsidRPr="008819AF">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15133569" w14:textId="77777777" w:rsidR="00236AB5" w:rsidRPr="008819AF" w:rsidRDefault="00236AB5" w:rsidP="00236AB5">
                  <w:pPr>
                    <w:jc w:val="center"/>
                    <w:rPr>
                      <w:sz w:val="18"/>
                      <w:szCs w:val="18"/>
                    </w:rPr>
                  </w:pPr>
                  <w:r w:rsidRPr="008819AF">
                    <w:rPr>
                      <w:sz w:val="18"/>
                      <w:szCs w:val="18"/>
                    </w:rPr>
                    <w:t>120</w:t>
                  </w:r>
                </w:p>
              </w:tc>
              <w:tc>
                <w:tcPr>
                  <w:tcW w:w="526" w:type="dxa"/>
                  <w:vMerge w:val="restart"/>
                  <w:tcBorders>
                    <w:top w:val="single" w:sz="2" w:space="0" w:color="auto"/>
                    <w:left w:val="single" w:sz="2" w:space="0" w:color="auto"/>
                    <w:bottom w:val="single" w:sz="2" w:space="0" w:color="auto"/>
                    <w:right w:val="single" w:sz="2" w:space="0" w:color="auto"/>
                  </w:tcBorders>
                  <w:vAlign w:val="center"/>
                </w:tcPr>
                <w:p w14:paraId="1513356A" w14:textId="77777777" w:rsidR="00236AB5" w:rsidRPr="008819AF" w:rsidRDefault="00236AB5" w:rsidP="00236AB5">
                  <w:pPr>
                    <w:jc w:val="center"/>
                    <w:rPr>
                      <w:sz w:val="18"/>
                      <w:szCs w:val="18"/>
                    </w:rPr>
                  </w:pPr>
                  <w:r w:rsidRPr="008819AF">
                    <w:rPr>
                      <w:sz w:val="18"/>
                      <w:szCs w:val="18"/>
                    </w:rPr>
                    <w:t>100</w:t>
                  </w:r>
                </w:p>
              </w:tc>
            </w:tr>
            <w:tr w:rsidR="00236AB5" w:rsidRPr="008819AF" w14:paraId="15133573" w14:textId="77777777" w:rsidTr="0003543A">
              <w:trPr>
                <w:jc w:val="center"/>
              </w:trPr>
              <w:tc>
                <w:tcPr>
                  <w:tcW w:w="540" w:type="dxa"/>
                  <w:vMerge/>
                  <w:tcBorders>
                    <w:top w:val="single" w:sz="2" w:space="0" w:color="auto"/>
                    <w:left w:val="single" w:sz="2" w:space="0" w:color="auto"/>
                    <w:bottom w:val="single" w:sz="2" w:space="0" w:color="auto"/>
                    <w:right w:val="single" w:sz="2" w:space="0" w:color="auto"/>
                  </w:tcBorders>
                  <w:shd w:val="clear" w:color="auto" w:fill="FFFF00"/>
                  <w:vAlign w:val="center"/>
                </w:tcPr>
                <w:p w14:paraId="1513356C" w14:textId="77777777" w:rsidR="00236AB5" w:rsidRPr="008819AF" w:rsidRDefault="00236AB5" w:rsidP="00236AB5">
                  <w:pPr>
                    <w:rPr>
                      <w:sz w:val="18"/>
                      <w:szCs w:val="18"/>
                    </w:rPr>
                  </w:pPr>
                </w:p>
              </w:tc>
              <w:tc>
                <w:tcPr>
                  <w:tcW w:w="900" w:type="dxa"/>
                  <w:vMerge/>
                  <w:tcBorders>
                    <w:top w:val="single" w:sz="2" w:space="0" w:color="auto"/>
                    <w:left w:val="single" w:sz="2" w:space="0" w:color="auto"/>
                    <w:bottom w:val="single" w:sz="2" w:space="0" w:color="auto"/>
                    <w:right w:val="single" w:sz="2" w:space="0" w:color="auto"/>
                  </w:tcBorders>
                  <w:shd w:val="clear" w:color="auto" w:fill="FFFF00"/>
                </w:tcPr>
                <w:p w14:paraId="1513356D" w14:textId="77777777" w:rsidR="00236AB5" w:rsidRPr="008819AF" w:rsidRDefault="00236AB5" w:rsidP="00236AB5">
                  <w:pP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1513356E" w14:textId="77777777" w:rsidR="00236AB5" w:rsidRPr="008819AF" w:rsidRDefault="00236AB5" w:rsidP="00236AB5">
                  <w:pPr>
                    <w:rPr>
                      <w:sz w:val="18"/>
                      <w:szCs w:val="18"/>
                    </w:rPr>
                  </w:pPr>
                  <w:r w:rsidRPr="008819AF">
                    <w:rPr>
                      <w:sz w:val="18"/>
                      <w:szCs w:val="18"/>
                    </w:rPr>
                    <w:t>OPR</w:t>
                  </w:r>
                </w:p>
              </w:tc>
              <w:tc>
                <w:tcPr>
                  <w:tcW w:w="993" w:type="dxa"/>
                  <w:tcBorders>
                    <w:top w:val="single" w:sz="2" w:space="0" w:color="auto"/>
                    <w:left w:val="single" w:sz="2" w:space="0" w:color="auto"/>
                    <w:bottom w:val="single" w:sz="2" w:space="0" w:color="auto"/>
                    <w:right w:val="single" w:sz="2" w:space="0" w:color="auto"/>
                  </w:tcBorders>
                  <w:vAlign w:val="center"/>
                </w:tcPr>
                <w:p w14:paraId="1513356F" w14:textId="77777777" w:rsidR="00236AB5" w:rsidRPr="008819AF" w:rsidRDefault="00236AB5" w:rsidP="00236AB5">
                  <w:pPr>
                    <w:jc w:val="center"/>
                    <w:rPr>
                      <w:sz w:val="18"/>
                      <w:szCs w:val="18"/>
                    </w:rPr>
                  </w:pPr>
                  <w:r w:rsidRPr="008819AF">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15133570" w14:textId="77777777" w:rsidR="00236AB5" w:rsidRPr="008819AF" w:rsidRDefault="00236AB5" w:rsidP="00236AB5">
                  <w:pPr>
                    <w:jc w:val="center"/>
                    <w:rPr>
                      <w:sz w:val="18"/>
                      <w:szCs w:val="18"/>
                    </w:rPr>
                  </w:pPr>
                  <w:r w:rsidRPr="008819AF">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15133571" w14:textId="77777777" w:rsidR="00236AB5" w:rsidRPr="008819AF" w:rsidRDefault="00236AB5" w:rsidP="00236AB5">
                  <w:pPr>
                    <w:jc w:val="center"/>
                    <w:rPr>
                      <w:sz w:val="18"/>
                      <w:szCs w:val="18"/>
                    </w:rPr>
                  </w:pPr>
                  <w:r w:rsidRPr="008819AF">
                    <w:rPr>
                      <w:sz w:val="18"/>
                      <w:szCs w:val="18"/>
                    </w:rPr>
                    <w:t>200</w:t>
                  </w:r>
                  <w:r w:rsidRPr="008819AF">
                    <w:rPr>
                      <w:sz w:val="18"/>
                      <w:szCs w:val="18"/>
                      <w:vertAlign w:val="superscript"/>
                    </w:rPr>
                    <w:t>3</w:t>
                  </w:r>
                  <w:r w:rsidRPr="008819AF">
                    <w:rPr>
                      <w:sz w:val="18"/>
                      <w:szCs w:val="18"/>
                    </w:rPr>
                    <w:t>)</w:t>
                  </w:r>
                </w:p>
              </w:tc>
              <w:tc>
                <w:tcPr>
                  <w:tcW w:w="526" w:type="dxa"/>
                  <w:vMerge/>
                  <w:tcBorders>
                    <w:top w:val="single" w:sz="2" w:space="0" w:color="auto"/>
                    <w:left w:val="single" w:sz="2" w:space="0" w:color="auto"/>
                    <w:bottom w:val="single" w:sz="2" w:space="0" w:color="auto"/>
                    <w:right w:val="single" w:sz="2" w:space="0" w:color="auto"/>
                  </w:tcBorders>
                  <w:vAlign w:val="center"/>
                </w:tcPr>
                <w:p w14:paraId="15133572" w14:textId="77777777" w:rsidR="00236AB5" w:rsidRPr="008819AF" w:rsidRDefault="00236AB5" w:rsidP="00236AB5">
                  <w:pPr>
                    <w:jc w:val="center"/>
                    <w:rPr>
                      <w:sz w:val="18"/>
                      <w:szCs w:val="18"/>
                    </w:rPr>
                  </w:pPr>
                </w:p>
              </w:tc>
            </w:tr>
          </w:tbl>
          <w:p w14:paraId="15133574" w14:textId="77777777" w:rsidR="00236AB5" w:rsidRPr="008819AF" w:rsidRDefault="00236AB5" w:rsidP="00236AB5">
            <w:pPr>
              <w:pStyle w:val="Normln"/>
              <w:spacing w:before="120"/>
              <w:ind w:left="284" w:hanging="284"/>
              <w:jc w:val="both"/>
              <w:rPr>
                <w:sz w:val="20"/>
                <w:szCs w:val="20"/>
                <w:lang w:val="sk-SK"/>
              </w:rPr>
            </w:pPr>
            <w:r w:rsidRPr="008819AF">
              <w:rPr>
                <w:sz w:val="20"/>
                <w:szCs w:val="20"/>
                <w:vertAlign w:val="superscript"/>
                <w:lang w:val="sk-SK"/>
              </w:rPr>
              <w:t>1</w:t>
            </w:r>
            <w:r w:rsidRPr="008819AF">
              <w:rPr>
                <w:sz w:val="20"/>
                <w:szCs w:val="20"/>
                <w:lang w:val="sk-SK"/>
              </w:rPr>
              <w:t>) Pri spaľovaní ľahkých a stredných destilátov s obsahom síry ≤ 0,1 % hmotnosti sa emisný limit na SO</w:t>
            </w:r>
            <w:r w:rsidRPr="008819AF">
              <w:rPr>
                <w:sz w:val="20"/>
                <w:szCs w:val="20"/>
                <w:vertAlign w:val="subscript"/>
                <w:lang w:val="sk-SK"/>
              </w:rPr>
              <w:t xml:space="preserve">2 </w:t>
            </w:r>
            <w:r w:rsidRPr="008819AF">
              <w:rPr>
                <w:sz w:val="20"/>
                <w:szCs w:val="20"/>
                <w:lang w:val="sk-SK"/>
              </w:rPr>
              <w:t>neuplatňuje.</w:t>
            </w:r>
          </w:p>
          <w:p w14:paraId="15133575" w14:textId="77777777" w:rsidR="00236AB5" w:rsidRPr="008819AF" w:rsidRDefault="00236AB5" w:rsidP="00236AB5">
            <w:pPr>
              <w:pStyle w:val="Normln"/>
              <w:ind w:left="284" w:hanging="284"/>
              <w:jc w:val="both"/>
              <w:rPr>
                <w:sz w:val="20"/>
                <w:szCs w:val="20"/>
                <w:lang w:val="sk-SK"/>
              </w:rPr>
            </w:pPr>
            <w:r w:rsidRPr="008819AF">
              <w:rPr>
                <w:sz w:val="20"/>
                <w:szCs w:val="20"/>
                <w:vertAlign w:val="superscript"/>
                <w:lang w:val="sk-SK"/>
              </w:rPr>
              <w:t>2</w:t>
            </w:r>
            <w:r w:rsidRPr="008819AF">
              <w:rPr>
                <w:sz w:val="20"/>
                <w:szCs w:val="20"/>
                <w:lang w:val="sk-SK"/>
              </w:rPr>
              <w:t>) Platí pre spaľovacie zariadenie, ktoré bolo uvedené do prevádzky do 31. marca 1998 alebo pre ktoré bolo vydané stavebné povolenie do 31. marca 1998 a ktoré bolo uvedené do prevádzky do 31. marca 2001.</w:t>
            </w:r>
          </w:p>
          <w:p w14:paraId="15133576" w14:textId="77777777" w:rsidR="00236AB5" w:rsidRPr="008819AF" w:rsidRDefault="00236AB5" w:rsidP="00236AB5">
            <w:pPr>
              <w:pStyle w:val="Normln"/>
              <w:ind w:left="284" w:hanging="284"/>
              <w:jc w:val="both"/>
              <w:rPr>
                <w:sz w:val="20"/>
                <w:szCs w:val="20"/>
                <w:lang w:val="sk-SK"/>
              </w:rPr>
            </w:pPr>
            <w:r w:rsidRPr="008819AF">
              <w:rPr>
                <w:sz w:val="20"/>
                <w:szCs w:val="20"/>
                <w:vertAlign w:val="superscript"/>
                <w:lang w:val="sk-SK"/>
              </w:rPr>
              <w:t>3</w:t>
            </w:r>
            <w:r w:rsidRPr="008819AF">
              <w:rPr>
                <w:sz w:val="20"/>
                <w:szCs w:val="20"/>
                <w:lang w:val="sk-SK"/>
              </w:rPr>
              <w:t>)  Platí pre jestvujúce zariadenie začlenené ako Z1 + Z2.</w:t>
            </w:r>
          </w:p>
          <w:p w14:paraId="15133577" w14:textId="77777777" w:rsidR="00236AB5" w:rsidRPr="008819AF" w:rsidRDefault="00236AB5" w:rsidP="00236AB5">
            <w:pPr>
              <w:ind w:left="240" w:hanging="240"/>
            </w:pPr>
            <w:r w:rsidRPr="008819AF">
              <w:rPr>
                <w:vertAlign w:val="superscript"/>
              </w:rPr>
              <w:t>4</w:t>
            </w:r>
            <w:r w:rsidRPr="008819AF">
              <w:t>) Platí, keď účinnosť plynových turbín je určená podmienkami základného zaťaženia podľa ISO:</w:t>
            </w:r>
          </w:p>
          <w:p w14:paraId="15133578" w14:textId="77777777" w:rsidR="00236AB5" w:rsidRPr="008819AF" w:rsidRDefault="00236AB5" w:rsidP="00236AB5">
            <w:pPr>
              <w:ind w:left="240" w:hanging="240"/>
            </w:pPr>
            <w:r w:rsidRPr="008819AF">
              <w:t xml:space="preserve">     a) pri kombinovanej výrobe tepla a elektriny s celkovou účinnosťou &gt; 75 %,</w:t>
            </w:r>
          </w:p>
          <w:p w14:paraId="15133579" w14:textId="77777777" w:rsidR="00236AB5" w:rsidRPr="008819AF" w:rsidRDefault="00236AB5" w:rsidP="00236AB5">
            <w:pPr>
              <w:ind w:left="567" w:hanging="567"/>
            </w:pPr>
            <w:r w:rsidRPr="008819AF">
              <w:t xml:space="preserve">     b) v zariadeniach  s kombinovanými  cyklami s celkovou elektrickou účinnosťou &gt; 55 %  v ročnom priemere,</w:t>
            </w:r>
          </w:p>
          <w:p w14:paraId="1513357A" w14:textId="77777777" w:rsidR="00236AB5" w:rsidRPr="008819AF" w:rsidRDefault="00236AB5" w:rsidP="00236AB5">
            <w:pPr>
              <w:ind w:left="240" w:hanging="240"/>
            </w:pPr>
            <w:r w:rsidRPr="008819AF">
              <w:t xml:space="preserve">     c) na mechanický pohon. </w:t>
            </w:r>
          </w:p>
          <w:p w14:paraId="1513357B" w14:textId="77777777" w:rsidR="00236AB5" w:rsidRPr="008819AF" w:rsidRDefault="00236AB5" w:rsidP="00236AB5">
            <w:pPr>
              <w:ind w:left="284" w:hanging="284"/>
              <w:jc w:val="both"/>
            </w:pPr>
            <w:r w:rsidRPr="008819AF">
              <w:rPr>
                <w:vertAlign w:val="superscript"/>
              </w:rPr>
              <w:t>5</w:t>
            </w:r>
            <w:r w:rsidRPr="008819AF">
              <w:t>) Pre jednocyklové plynové turbíny, ktoré nepatria do žiadnej  z uvedených kategórií podľa poznámky pod tabuľkou 4 a ktoré majú účinnosť vyššiu ako 35 % pri základnom zaťažení určenom podľa podmienok ISO, sa emisný limit pre NO</w:t>
            </w:r>
            <w:r w:rsidRPr="008819AF">
              <w:rPr>
                <w:vertAlign w:val="subscript"/>
              </w:rPr>
              <w:t>x</w:t>
            </w:r>
            <w:r w:rsidRPr="008819AF">
              <w:t xml:space="preserve"> vypočíta podľa </w:t>
            </w:r>
            <w:r w:rsidRPr="008819AF">
              <w:lastRenderedPageBreak/>
              <w:t>vzťahu:  EL = 50 x η / 35, kde η je účinnosť plynovej turbíny v %  pri základnom zaťažení ISO.</w:t>
            </w:r>
          </w:p>
          <w:p w14:paraId="1513357C" w14:textId="77777777" w:rsidR="00236AB5" w:rsidRPr="008819AF" w:rsidRDefault="00236AB5" w:rsidP="00236AB5">
            <w:pPr>
              <w:ind w:left="240" w:hanging="240"/>
            </w:pPr>
          </w:p>
          <w:p w14:paraId="1513357D" w14:textId="77777777" w:rsidR="00236AB5" w:rsidRPr="008819AF" w:rsidRDefault="00236AB5" w:rsidP="00236AB5">
            <w:pPr>
              <w:widowControl w:val="0"/>
              <w:ind w:left="284" w:hanging="284"/>
            </w:pPr>
            <w:r w:rsidRPr="008819AF">
              <w:t>6.  Veľké spaľovacie zariadenia zložené zo stacionárnych piestových spaľovacích motorov</w:t>
            </w:r>
          </w:p>
          <w:p w14:paraId="1513357E" w14:textId="77777777" w:rsidR="00236AB5" w:rsidRPr="008819AF" w:rsidRDefault="00236AB5" w:rsidP="00236AB5">
            <w:pPr>
              <w:widowControl w:val="0"/>
              <w:spacing w:before="120" w:after="120"/>
            </w:pPr>
            <w:r w:rsidRPr="008819AF">
              <w:t>A. Emisné limity pre zariadenia Z1 – Z3</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0"/>
              <w:gridCol w:w="697"/>
              <w:gridCol w:w="441"/>
              <w:gridCol w:w="568"/>
              <w:gridCol w:w="1086"/>
              <w:gridCol w:w="1086"/>
              <w:gridCol w:w="1086"/>
            </w:tblGrid>
            <w:tr w:rsidR="00236AB5" w:rsidRPr="008819AF" w14:paraId="15133582" w14:textId="77777777" w:rsidTr="005950BD">
              <w:trPr>
                <w:cantSplit/>
                <w:trHeight w:val="509"/>
                <w:jc w:val="center"/>
              </w:trPr>
              <w:tc>
                <w:tcPr>
                  <w:tcW w:w="2764" w:type="dxa"/>
                  <w:gridSpan w:val="3"/>
                  <w:vMerge w:val="restart"/>
                  <w:shd w:val="clear" w:color="auto" w:fill="FFFFFF" w:themeFill="background1"/>
                  <w:vAlign w:val="center"/>
                </w:tcPr>
                <w:p w14:paraId="1513357F" w14:textId="77777777" w:rsidR="00236AB5" w:rsidRPr="008819AF" w:rsidRDefault="00236AB5" w:rsidP="00236AB5">
                  <w:pPr>
                    <w:pStyle w:val="Normln"/>
                    <w:rPr>
                      <w:b/>
                      <w:sz w:val="18"/>
                      <w:szCs w:val="18"/>
                      <w:lang w:val="sk-SK"/>
                    </w:rPr>
                  </w:pPr>
                  <w:r w:rsidRPr="008819AF">
                    <w:rPr>
                      <w:b/>
                      <w:sz w:val="18"/>
                      <w:szCs w:val="18"/>
                      <w:lang w:val="sk-SK"/>
                    </w:rPr>
                    <w:t>Podmienky platnosti EL</w:t>
                  </w:r>
                </w:p>
              </w:tc>
              <w:tc>
                <w:tcPr>
                  <w:tcW w:w="6448" w:type="dxa"/>
                  <w:gridSpan w:val="4"/>
                  <w:shd w:val="clear" w:color="auto" w:fill="FFFFFF" w:themeFill="background1"/>
                </w:tcPr>
                <w:p w14:paraId="15133580" w14:textId="77777777" w:rsidR="00236AB5" w:rsidRPr="008819AF" w:rsidRDefault="00236AB5" w:rsidP="00236AB5">
                  <w:pPr>
                    <w:pStyle w:val="Normln"/>
                    <w:keepNext/>
                    <w:rPr>
                      <w:sz w:val="18"/>
                      <w:szCs w:val="18"/>
                      <w:lang w:val="sk-SK"/>
                    </w:rPr>
                  </w:pPr>
                  <w:r w:rsidRPr="008819AF">
                    <w:rPr>
                      <w:sz w:val="18"/>
                      <w:szCs w:val="18"/>
                      <w:lang w:val="sk-SK"/>
                    </w:rPr>
                    <w:t xml:space="preserve">Štandardné stavové podmienky, suchý plyn, </w:t>
                  </w:r>
                </w:p>
                <w:p w14:paraId="15133581" w14:textId="77777777" w:rsidR="00236AB5" w:rsidRPr="008819AF" w:rsidRDefault="00236AB5" w:rsidP="00236AB5">
                  <w:pPr>
                    <w:pStyle w:val="Normln"/>
                    <w:keepNext/>
                    <w:rPr>
                      <w:sz w:val="18"/>
                      <w:szCs w:val="18"/>
                      <w:lang w:val="sk-SK"/>
                    </w:rPr>
                  </w:pPr>
                  <w:r w:rsidRPr="008819AF">
                    <w:rPr>
                      <w:sz w:val="18"/>
                      <w:szCs w:val="18"/>
                      <w:lang w:val="sk-SK"/>
                    </w:rPr>
                    <w:t>O</w:t>
                  </w:r>
                  <w:r w:rsidRPr="008819AF">
                    <w:rPr>
                      <w:sz w:val="18"/>
                      <w:szCs w:val="18"/>
                      <w:vertAlign w:val="subscript"/>
                      <w:lang w:val="sk-SK"/>
                    </w:rPr>
                    <w:t>2 ref</w:t>
                  </w:r>
                  <w:r w:rsidRPr="008819AF">
                    <w:rPr>
                      <w:sz w:val="18"/>
                      <w:szCs w:val="18"/>
                      <w:lang w:val="sk-SK"/>
                    </w:rPr>
                    <w:t>:  15 % objemu</w:t>
                  </w:r>
                </w:p>
              </w:tc>
            </w:tr>
            <w:tr w:rsidR="00236AB5" w:rsidRPr="008819AF" w14:paraId="15133585" w14:textId="77777777" w:rsidTr="005950BD">
              <w:trPr>
                <w:cantSplit/>
                <w:trHeight w:val="509"/>
                <w:jc w:val="center"/>
              </w:trPr>
              <w:tc>
                <w:tcPr>
                  <w:tcW w:w="2764" w:type="dxa"/>
                  <w:gridSpan w:val="3"/>
                  <w:vMerge/>
                  <w:shd w:val="clear" w:color="auto" w:fill="FFFFFF" w:themeFill="background1"/>
                </w:tcPr>
                <w:p w14:paraId="15133583" w14:textId="77777777" w:rsidR="00236AB5" w:rsidRPr="008819AF" w:rsidRDefault="00236AB5" w:rsidP="00236AB5">
                  <w:pPr>
                    <w:pStyle w:val="Normln"/>
                    <w:keepNext/>
                    <w:rPr>
                      <w:sz w:val="18"/>
                      <w:szCs w:val="18"/>
                      <w:lang w:val="sk-SK"/>
                    </w:rPr>
                  </w:pPr>
                </w:p>
              </w:tc>
              <w:tc>
                <w:tcPr>
                  <w:tcW w:w="6448" w:type="dxa"/>
                  <w:gridSpan w:val="4"/>
                  <w:shd w:val="clear" w:color="auto" w:fill="FFFFFF" w:themeFill="background1"/>
                </w:tcPr>
                <w:p w14:paraId="15133584" w14:textId="77777777" w:rsidR="00236AB5" w:rsidRPr="008819AF" w:rsidRDefault="00236AB5" w:rsidP="00236AB5">
                  <w:pPr>
                    <w:pStyle w:val="Normln"/>
                    <w:rPr>
                      <w:sz w:val="18"/>
                      <w:szCs w:val="18"/>
                      <w:lang w:val="sk-SK"/>
                    </w:rPr>
                  </w:pPr>
                  <w:r w:rsidRPr="008819AF">
                    <w:rPr>
                      <w:sz w:val="18"/>
                      <w:szCs w:val="18"/>
                      <w:lang w:val="sk-SK"/>
                    </w:rPr>
                    <w:t>Na piestové spaľovacie motory určené výlučne na núdzovú prevádzku, ak sú v prevádzke &lt; 500 h/rok, sa emisné limity neuplatňujú.</w:t>
                  </w:r>
                </w:p>
              </w:tc>
            </w:tr>
            <w:tr w:rsidR="00236AB5" w:rsidRPr="008819AF" w14:paraId="15133588" w14:textId="77777777" w:rsidTr="005950BD">
              <w:trPr>
                <w:cantSplit/>
                <w:trHeight w:val="509"/>
                <w:jc w:val="center"/>
              </w:trPr>
              <w:tc>
                <w:tcPr>
                  <w:tcW w:w="2764" w:type="dxa"/>
                  <w:gridSpan w:val="3"/>
                  <w:vMerge/>
                  <w:shd w:val="clear" w:color="auto" w:fill="FFFFFF" w:themeFill="background1"/>
                </w:tcPr>
                <w:p w14:paraId="15133586" w14:textId="77777777" w:rsidR="00236AB5" w:rsidRPr="008819AF" w:rsidRDefault="00236AB5" w:rsidP="00236AB5">
                  <w:pPr>
                    <w:pStyle w:val="Normln"/>
                    <w:keepNext/>
                    <w:rPr>
                      <w:sz w:val="18"/>
                      <w:szCs w:val="18"/>
                      <w:lang w:val="sk-SK"/>
                    </w:rPr>
                  </w:pPr>
                </w:p>
              </w:tc>
              <w:tc>
                <w:tcPr>
                  <w:tcW w:w="6448" w:type="dxa"/>
                  <w:gridSpan w:val="4"/>
                  <w:shd w:val="clear" w:color="auto" w:fill="FFFFFF" w:themeFill="background1"/>
                </w:tcPr>
                <w:p w14:paraId="15133587" w14:textId="77777777" w:rsidR="00236AB5" w:rsidRPr="008819AF" w:rsidRDefault="00236AB5" w:rsidP="00236AB5">
                  <w:pPr>
                    <w:pStyle w:val="Normln"/>
                    <w:rPr>
                      <w:sz w:val="18"/>
                      <w:szCs w:val="18"/>
                      <w:lang w:val="sk-SK"/>
                    </w:rPr>
                  </w:pPr>
                  <w:r w:rsidRPr="008819AF">
                    <w:rPr>
                      <w:sz w:val="18"/>
                      <w:szCs w:val="18"/>
                      <w:lang w:val="sk-SK"/>
                    </w:rPr>
                    <w:t>Ak sa emisné limity pre TZL dosahujú bez odlučovania, všeobecné emisné limity podľa prílohy č. 3 pre tuhé anorganické znečisťujúce látky zaradené v 2. skupine sa neuplatňujú.</w:t>
                  </w:r>
                </w:p>
              </w:tc>
            </w:tr>
            <w:tr w:rsidR="00236AB5" w:rsidRPr="008819AF" w14:paraId="1513358C" w14:textId="77777777" w:rsidTr="005950BD">
              <w:trPr>
                <w:cantSplit/>
                <w:trHeight w:val="379"/>
                <w:jc w:val="center"/>
              </w:trPr>
              <w:tc>
                <w:tcPr>
                  <w:tcW w:w="915" w:type="dxa"/>
                  <w:vMerge w:val="restart"/>
                  <w:shd w:val="clear" w:color="auto" w:fill="FFFFFF" w:themeFill="background1"/>
                  <w:vAlign w:val="center"/>
                </w:tcPr>
                <w:p w14:paraId="15133589" w14:textId="77777777" w:rsidR="00236AB5" w:rsidRPr="008819AF" w:rsidRDefault="00236AB5" w:rsidP="00236AB5">
                  <w:pPr>
                    <w:pStyle w:val="Normln"/>
                    <w:ind w:right="-80"/>
                    <w:jc w:val="center"/>
                    <w:rPr>
                      <w:b/>
                      <w:sz w:val="18"/>
                      <w:szCs w:val="18"/>
                      <w:lang w:val="sk-SK"/>
                    </w:rPr>
                  </w:pPr>
                  <w:r w:rsidRPr="008819AF">
                    <w:rPr>
                      <w:b/>
                      <w:sz w:val="18"/>
                      <w:szCs w:val="18"/>
                      <w:lang w:val="sk-SK"/>
                    </w:rPr>
                    <w:t>MTP [MW]</w:t>
                  </w:r>
                </w:p>
              </w:tc>
              <w:tc>
                <w:tcPr>
                  <w:tcW w:w="2814" w:type="dxa"/>
                  <w:gridSpan w:val="3"/>
                  <w:vMerge w:val="restart"/>
                  <w:shd w:val="clear" w:color="auto" w:fill="FFFFFF" w:themeFill="background1"/>
                  <w:vAlign w:val="center"/>
                </w:tcPr>
                <w:p w14:paraId="1513358A" w14:textId="77777777" w:rsidR="00236AB5" w:rsidRPr="008819AF" w:rsidRDefault="00236AB5" w:rsidP="00236AB5">
                  <w:pPr>
                    <w:pStyle w:val="Normln"/>
                    <w:keepNext/>
                    <w:rPr>
                      <w:b/>
                      <w:sz w:val="18"/>
                      <w:szCs w:val="18"/>
                      <w:lang w:val="sk-SK"/>
                    </w:rPr>
                  </w:pPr>
                  <w:r w:rsidRPr="008819AF">
                    <w:rPr>
                      <w:b/>
                      <w:sz w:val="18"/>
                      <w:szCs w:val="18"/>
                      <w:lang w:val="sk-SK"/>
                    </w:rPr>
                    <w:t>Typy motorov</w:t>
                  </w:r>
                </w:p>
              </w:tc>
              <w:tc>
                <w:tcPr>
                  <w:tcW w:w="5483" w:type="dxa"/>
                  <w:gridSpan w:val="3"/>
                  <w:shd w:val="clear" w:color="auto" w:fill="FFFFFF" w:themeFill="background1"/>
                  <w:vAlign w:val="center"/>
                </w:tcPr>
                <w:p w14:paraId="1513358B" w14:textId="77777777" w:rsidR="00236AB5" w:rsidRPr="008819AF" w:rsidRDefault="00236AB5" w:rsidP="00236AB5">
                  <w:pPr>
                    <w:pStyle w:val="Normln"/>
                    <w:jc w:val="center"/>
                    <w:rPr>
                      <w:b/>
                      <w:sz w:val="18"/>
                      <w:szCs w:val="18"/>
                      <w:lang w:val="sk-SK"/>
                    </w:rPr>
                  </w:pPr>
                  <w:r w:rsidRPr="008819AF">
                    <w:rPr>
                      <w:b/>
                      <w:sz w:val="18"/>
                      <w:szCs w:val="18"/>
                      <w:lang w:val="sk-SK"/>
                    </w:rPr>
                    <w:t xml:space="preserve">Emisný limit </w:t>
                  </w:r>
                  <w:r w:rsidRPr="008819AF">
                    <w:rPr>
                      <w:b/>
                      <w:sz w:val="18"/>
                      <w:szCs w:val="18"/>
                      <w:lang w:val="sk-SK"/>
                    </w:rPr>
                    <w:sym w:font="Symbol" w:char="F05B"/>
                  </w:r>
                  <w:r w:rsidRPr="008819AF">
                    <w:rPr>
                      <w:b/>
                      <w:sz w:val="18"/>
                      <w:szCs w:val="18"/>
                      <w:lang w:val="sk-SK"/>
                    </w:rPr>
                    <w:t>mg/m</w:t>
                  </w:r>
                  <w:r w:rsidRPr="008819AF">
                    <w:rPr>
                      <w:b/>
                      <w:sz w:val="18"/>
                      <w:szCs w:val="18"/>
                      <w:vertAlign w:val="superscript"/>
                      <w:lang w:val="sk-SK"/>
                    </w:rPr>
                    <w:t>3</w:t>
                  </w:r>
                  <w:r w:rsidRPr="008819AF">
                    <w:rPr>
                      <w:b/>
                      <w:sz w:val="18"/>
                      <w:szCs w:val="18"/>
                      <w:lang w:val="sk-SK"/>
                    </w:rPr>
                    <w:sym w:font="Symbol" w:char="F05D"/>
                  </w:r>
                </w:p>
              </w:tc>
            </w:tr>
            <w:tr w:rsidR="00236AB5" w:rsidRPr="008819AF" w14:paraId="15133592" w14:textId="77777777" w:rsidTr="005950BD">
              <w:trPr>
                <w:cantSplit/>
                <w:trHeight w:hRule="exact" w:val="420"/>
                <w:jc w:val="center"/>
              </w:trPr>
              <w:tc>
                <w:tcPr>
                  <w:tcW w:w="915" w:type="dxa"/>
                  <w:vMerge/>
                  <w:shd w:val="clear" w:color="auto" w:fill="FFFFFF" w:themeFill="background1"/>
                  <w:vAlign w:val="center"/>
                </w:tcPr>
                <w:p w14:paraId="1513358D" w14:textId="77777777" w:rsidR="00236AB5" w:rsidRPr="008819AF" w:rsidRDefault="00236AB5" w:rsidP="00236AB5">
                  <w:pPr>
                    <w:pStyle w:val="Normln"/>
                    <w:rPr>
                      <w:b/>
                      <w:sz w:val="18"/>
                      <w:szCs w:val="18"/>
                      <w:lang w:val="sk-SK"/>
                    </w:rPr>
                  </w:pPr>
                </w:p>
              </w:tc>
              <w:tc>
                <w:tcPr>
                  <w:tcW w:w="2814" w:type="dxa"/>
                  <w:gridSpan w:val="3"/>
                  <w:vMerge/>
                  <w:shd w:val="clear" w:color="auto" w:fill="FFFFFF" w:themeFill="background1"/>
                </w:tcPr>
                <w:p w14:paraId="1513358E" w14:textId="77777777" w:rsidR="00236AB5" w:rsidRPr="008819AF" w:rsidRDefault="00236AB5" w:rsidP="00236AB5">
                  <w:pPr>
                    <w:pStyle w:val="Normln"/>
                    <w:jc w:val="center"/>
                    <w:rPr>
                      <w:b/>
                      <w:sz w:val="18"/>
                      <w:szCs w:val="18"/>
                      <w:lang w:val="sk-SK"/>
                    </w:rPr>
                  </w:pPr>
                </w:p>
              </w:tc>
              <w:tc>
                <w:tcPr>
                  <w:tcW w:w="1828" w:type="dxa"/>
                  <w:shd w:val="clear" w:color="auto" w:fill="FFFFFF" w:themeFill="background1"/>
                  <w:vAlign w:val="center"/>
                </w:tcPr>
                <w:p w14:paraId="1513358F" w14:textId="77777777" w:rsidR="00236AB5" w:rsidRPr="008819AF" w:rsidRDefault="00236AB5" w:rsidP="00236AB5">
                  <w:pPr>
                    <w:pStyle w:val="Normln"/>
                    <w:jc w:val="center"/>
                    <w:rPr>
                      <w:b/>
                      <w:sz w:val="18"/>
                      <w:szCs w:val="18"/>
                      <w:lang w:val="sk-SK"/>
                    </w:rPr>
                  </w:pPr>
                  <w:r w:rsidRPr="008819AF">
                    <w:rPr>
                      <w:b/>
                      <w:sz w:val="18"/>
                      <w:szCs w:val="18"/>
                      <w:lang w:val="sk-SK"/>
                    </w:rPr>
                    <w:t>TZL</w:t>
                  </w:r>
                </w:p>
              </w:tc>
              <w:tc>
                <w:tcPr>
                  <w:tcW w:w="1827" w:type="dxa"/>
                  <w:shd w:val="clear" w:color="auto" w:fill="FFFFFF" w:themeFill="background1"/>
                  <w:vAlign w:val="center"/>
                </w:tcPr>
                <w:p w14:paraId="15133590" w14:textId="77777777" w:rsidR="00236AB5" w:rsidRPr="008819AF" w:rsidRDefault="00236AB5" w:rsidP="00236AB5">
                  <w:pPr>
                    <w:pStyle w:val="Normln"/>
                    <w:jc w:val="center"/>
                    <w:rPr>
                      <w:b/>
                      <w:sz w:val="18"/>
                      <w:szCs w:val="18"/>
                      <w:vertAlign w:val="subscript"/>
                      <w:lang w:val="sk-SK"/>
                    </w:rPr>
                  </w:pPr>
                  <w:r w:rsidRPr="008819AF">
                    <w:rPr>
                      <w:b/>
                      <w:sz w:val="18"/>
                      <w:szCs w:val="18"/>
                      <w:lang w:val="sk-SK"/>
                    </w:rPr>
                    <w:t>NO</w:t>
                  </w:r>
                  <w:r w:rsidRPr="008819AF">
                    <w:rPr>
                      <w:b/>
                      <w:sz w:val="18"/>
                      <w:szCs w:val="18"/>
                      <w:vertAlign w:val="subscript"/>
                      <w:lang w:val="sk-SK"/>
                    </w:rPr>
                    <w:t>X</w:t>
                  </w:r>
                </w:p>
              </w:tc>
              <w:tc>
                <w:tcPr>
                  <w:tcW w:w="1828" w:type="dxa"/>
                  <w:shd w:val="clear" w:color="auto" w:fill="FFFFFF" w:themeFill="background1"/>
                  <w:vAlign w:val="center"/>
                </w:tcPr>
                <w:p w14:paraId="15133591" w14:textId="77777777" w:rsidR="00236AB5" w:rsidRPr="008819AF" w:rsidRDefault="00236AB5" w:rsidP="00236AB5">
                  <w:pPr>
                    <w:pStyle w:val="Normln"/>
                    <w:keepNext/>
                    <w:ind w:left="470" w:hanging="470"/>
                    <w:jc w:val="center"/>
                    <w:rPr>
                      <w:b/>
                      <w:sz w:val="18"/>
                      <w:szCs w:val="18"/>
                      <w:lang w:val="sk-SK"/>
                    </w:rPr>
                  </w:pPr>
                  <w:r w:rsidRPr="008819AF">
                    <w:rPr>
                      <w:b/>
                      <w:sz w:val="18"/>
                      <w:szCs w:val="18"/>
                      <w:lang w:val="sk-SK"/>
                    </w:rPr>
                    <w:t>CO</w:t>
                  </w:r>
                </w:p>
              </w:tc>
            </w:tr>
            <w:tr w:rsidR="00236AB5" w:rsidRPr="008819AF" w14:paraId="15133599" w14:textId="77777777" w:rsidTr="005950BD">
              <w:trPr>
                <w:cantSplit/>
                <w:trHeight w:hRule="exact" w:val="304"/>
                <w:jc w:val="center"/>
              </w:trPr>
              <w:tc>
                <w:tcPr>
                  <w:tcW w:w="915" w:type="dxa"/>
                  <w:shd w:val="clear" w:color="auto" w:fill="FFFFFF" w:themeFill="background1"/>
                  <w:vAlign w:val="center"/>
                </w:tcPr>
                <w:p w14:paraId="15133593" w14:textId="77777777" w:rsidR="00236AB5" w:rsidRPr="008819AF" w:rsidRDefault="00236AB5" w:rsidP="00236AB5">
                  <w:pPr>
                    <w:pStyle w:val="Normln"/>
                    <w:jc w:val="center"/>
                    <w:rPr>
                      <w:sz w:val="18"/>
                      <w:szCs w:val="18"/>
                      <w:lang w:val="sk-SK"/>
                    </w:rPr>
                  </w:pPr>
                  <w:r w:rsidRPr="008819AF">
                    <w:rPr>
                      <w:sz w:val="18"/>
                      <w:szCs w:val="18"/>
                      <w:lang w:val="sk-SK"/>
                    </w:rPr>
                    <w:sym w:font="Symbol" w:char="F0B3"/>
                  </w:r>
                  <w:r w:rsidRPr="008819AF">
                    <w:rPr>
                      <w:sz w:val="18"/>
                      <w:szCs w:val="18"/>
                      <w:lang w:val="sk-SK"/>
                    </w:rPr>
                    <w:t xml:space="preserve"> 50</w:t>
                  </w:r>
                </w:p>
              </w:tc>
              <w:tc>
                <w:tcPr>
                  <w:tcW w:w="2814" w:type="dxa"/>
                  <w:gridSpan w:val="3"/>
                  <w:shd w:val="clear" w:color="auto" w:fill="FFFFFF" w:themeFill="background1"/>
                  <w:vAlign w:val="center"/>
                </w:tcPr>
                <w:p w14:paraId="15133594" w14:textId="77777777" w:rsidR="00236AB5" w:rsidRPr="008819AF" w:rsidRDefault="00236AB5" w:rsidP="00236AB5">
                  <w:pPr>
                    <w:pStyle w:val="Normln"/>
                    <w:rPr>
                      <w:sz w:val="18"/>
                      <w:szCs w:val="18"/>
                      <w:lang w:val="sk-SK"/>
                    </w:rPr>
                  </w:pPr>
                  <w:r w:rsidRPr="008819AF">
                    <w:rPr>
                      <w:sz w:val="18"/>
                      <w:szCs w:val="18"/>
                      <w:lang w:val="sk-SK"/>
                    </w:rPr>
                    <w:t>Vznetové motory</w:t>
                  </w:r>
                </w:p>
                <w:p w14:paraId="15133595" w14:textId="77777777" w:rsidR="00236AB5" w:rsidRPr="008819AF" w:rsidRDefault="00236AB5" w:rsidP="00236AB5">
                  <w:pPr>
                    <w:pStyle w:val="Normln"/>
                    <w:jc w:val="center"/>
                    <w:rPr>
                      <w:sz w:val="18"/>
                      <w:szCs w:val="18"/>
                      <w:lang w:val="sk-SK"/>
                    </w:rPr>
                  </w:pPr>
                </w:p>
              </w:tc>
              <w:tc>
                <w:tcPr>
                  <w:tcW w:w="1828" w:type="dxa"/>
                  <w:shd w:val="clear" w:color="auto" w:fill="FFFFFF" w:themeFill="background1"/>
                  <w:vAlign w:val="center"/>
                </w:tcPr>
                <w:p w14:paraId="15133596" w14:textId="77777777" w:rsidR="00236AB5" w:rsidRPr="008819AF" w:rsidRDefault="00236AB5" w:rsidP="00236AB5">
                  <w:pPr>
                    <w:pStyle w:val="Normln"/>
                    <w:jc w:val="center"/>
                    <w:rPr>
                      <w:sz w:val="18"/>
                      <w:szCs w:val="18"/>
                      <w:lang w:val="sk-SK"/>
                    </w:rPr>
                  </w:pPr>
                  <w:r w:rsidRPr="008819AF">
                    <w:rPr>
                      <w:sz w:val="18"/>
                      <w:szCs w:val="18"/>
                      <w:lang w:val="sk-SK"/>
                    </w:rPr>
                    <w:t>10, 30</w:t>
                  </w:r>
                  <w:r w:rsidRPr="008819AF">
                    <w:rPr>
                      <w:sz w:val="18"/>
                      <w:szCs w:val="18"/>
                      <w:vertAlign w:val="superscript"/>
                      <w:lang w:val="sk-SK"/>
                    </w:rPr>
                    <w:t>1</w:t>
                  </w:r>
                  <w:r w:rsidRPr="008819AF">
                    <w:rPr>
                      <w:sz w:val="18"/>
                      <w:szCs w:val="18"/>
                      <w:lang w:val="sk-SK"/>
                    </w:rPr>
                    <w:t>)</w:t>
                  </w:r>
                </w:p>
              </w:tc>
              <w:tc>
                <w:tcPr>
                  <w:tcW w:w="1827" w:type="dxa"/>
                  <w:shd w:val="clear" w:color="auto" w:fill="FFFFFF" w:themeFill="background1"/>
                  <w:vAlign w:val="center"/>
                </w:tcPr>
                <w:p w14:paraId="15133597" w14:textId="77777777" w:rsidR="00236AB5" w:rsidRPr="008819AF" w:rsidRDefault="00236AB5" w:rsidP="00236AB5">
                  <w:pPr>
                    <w:pStyle w:val="Normln"/>
                    <w:jc w:val="center"/>
                    <w:rPr>
                      <w:sz w:val="18"/>
                      <w:szCs w:val="18"/>
                      <w:lang w:val="sk-SK"/>
                    </w:rPr>
                  </w:pPr>
                  <w:r w:rsidRPr="008819AF">
                    <w:rPr>
                      <w:sz w:val="18"/>
                      <w:szCs w:val="18"/>
                      <w:lang w:val="sk-SK"/>
                    </w:rPr>
                    <w:t>190</w:t>
                  </w:r>
                </w:p>
              </w:tc>
              <w:tc>
                <w:tcPr>
                  <w:tcW w:w="1828" w:type="dxa"/>
                  <w:shd w:val="clear" w:color="auto" w:fill="FFFFFF" w:themeFill="background1"/>
                  <w:vAlign w:val="center"/>
                </w:tcPr>
                <w:p w14:paraId="15133598" w14:textId="77777777" w:rsidR="00236AB5" w:rsidRPr="008819AF" w:rsidRDefault="00236AB5" w:rsidP="00236AB5">
                  <w:pPr>
                    <w:pStyle w:val="Normln"/>
                    <w:keepNext/>
                    <w:jc w:val="center"/>
                    <w:rPr>
                      <w:sz w:val="18"/>
                      <w:szCs w:val="18"/>
                      <w:lang w:val="sk-SK"/>
                    </w:rPr>
                  </w:pPr>
                  <w:r w:rsidRPr="008819AF">
                    <w:rPr>
                      <w:sz w:val="18"/>
                      <w:szCs w:val="18"/>
                      <w:lang w:val="sk-SK"/>
                    </w:rPr>
                    <w:t xml:space="preserve">250 </w:t>
                  </w:r>
                </w:p>
              </w:tc>
            </w:tr>
            <w:tr w:rsidR="00236AB5" w:rsidRPr="008819AF" w14:paraId="151335A1" w14:textId="77777777" w:rsidTr="005950BD">
              <w:trPr>
                <w:cantSplit/>
                <w:trHeight w:hRule="exact" w:val="409"/>
                <w:jc w:val="center"/>
              </w:trPr>
              <w:tc>
                <w:tcPr>
                  <w:tcW w:w="915" w:type="dxa"/>
                  <w:shd w:val="clear" w:color="auto" w:fill="FFFFFF" w:themeFill="background1"/>
                  <w:vAlign w:val="center"/>
                </w:tcPr>
                <w:p w14:paraId="1513359A" w14:textId="77777777" w:rsidR="00236AB5" w:rsidRPr="008819AF" w:rsidRDefault="00236AB5" w:rsidP="00236AB5">
                  <w:pPr>
                    <w:pStyle w:val="Normln"/>
                    <w:jc w:val="center"/>
                    <w:rPr>
                      <w:sz w:val="18"/>
                      <w:szCs w:val="18"/>
                      <w:lang w:val="sk-SK"/>
                    </w:rPr>
                  </w:pPr>
                  <w:r w:rsidRPr="008819AF">
                    <w:rPr>
                      <w:sz w:val="18"/>
                      <w:szCs w:val="18"/>
                      <w:lang w:val="sk-SK"/>
                    </w:rPr>
                    <w:sym w:font="Symbol" w:char="F0B3"/>
                  </w:r>
                  <w:r w:rsidRPr="008819AF">
                    <w:rPr>
                      <w:sz w:val="18"/>
                      <w:szCs w:val="18"/>
                      <w:lang w:val="sk-SK"/>
                    </w:rPr>
                    <w:t xml:space="preserve"> 50</w:t>
                  </w:r>
                </w:p>
              </w:tc>
              <w:tc>
                <w:tcPr>
                  <w:tcW w:w="1126" w:type="dxa"/>
                  <w:vMerge w:val="restart"/>
                  <w:shd w:val="clear" w:color="auto" w:fill="FFFFFF" w:themeFill="background1"/>
                  <w:vAlign w:val="center"/>
                </w:tcPr>
                <w:p w14:paraId="1513359B" w14:textId="77777777" w:rsidR="00236AB5" w:rsidRPr="008819AF" w:rsidRDefault="00236AB5" w:rsidP="00236AB5">
                  <w:pPr>
                    <w:pStyle w:val="Normln"/>
                    <w:rPr>
                      <w:sz w:val="18"/>
                      <w:szCs w:val="18"/>
                      <w:lang w:val="sk-SK"/>
                    </w:rPr>
                  </w:pPr>
                  <w:r w:rsidRPr="008819AF">
                    <w:rPr>
                      <w:sz w:val="18"/>
                      <w:szCs w:val="18"/>
                      <w:lang w:val="sk-SK"/>
                    </w:rPr>
                    <w:t xml:space="preserve">Zážihové </w:t>
                  </w:r>
                </w:p>
                <w:p w14:paraId="1513359C" w14:textId="77777777" w:rsidR="00236AB5" w:rsidRPr="008819AF" w:rsidRDefault="00236AB5" w:rsidP="00236AB5">
                  <w:pPr>
                    <w:pStyle w:val="Normln"/>
                    <w:rPr>
                      <w:sz w:val="18"/>
                      <w:szCs w:val="18"/>
                      <w:lang w:val="sk-SK"/>
                    </w:rPr>
                  </w:pPr>
                  <w:r w:rsidRPr="008819AF">
                    <w:rPr>
                      <w:sz w:val="18"/>
                      <w:szCs w:val="18"/>
                      <w:lang w:val="sk-SK"/>
                    </w:rPr>
                    <w:t>Motory</w:t>
                  </w:r>
                </w:p>
              </w:tc>
              <w:tc>
                <w:tcPr>
                  <w:tcW w:w="1688" w:type="dxa"/>
                  <w:gridSpan w:val="2"/>
                  <w:shd w:val="clear" w:color="auto" w:fill="FFFFFF" w:themeFill="background1"/>
                  <w:vAlign w:val="center"/>
                </w:tcPr>
                <w:p w14:paraId="1513359D" w14:textId="77777777" w:rsidR="00236AB5" w:rsidRPr="008819AF" w:rsidRDefault="00236AB5" w:rsidP="00236AB5">
                  <w:pPr>
                    <w:pStyle w:val="Normln"/>
                    <w:rPr>
                      <w:sz w:val="18"/>
                      <w:szCs w:val="18"/>
                      <w:lang w:val="sk-SK"/>
                    </w:rPr>
                  </w:pPr>
                  <w:r w:rsidRPr="008819AF">
                    <w:rPr>
                      <w:sz w:val="18"/>
                      <w:szCs w:val="18"/>
                      <w:lang w:val="sk-SK"/>
                    </w:rPr>
                    <w:t>Kvapalné palivo</w:t>
                  </w:r>
                </w:p>
              </w:tc>
              <w:tc>
                <w:tcPr>
                  <w:tcW w:w="1828" w:type="dxa"/>
                  <w:shd w:val="clear" w:color="auto" w:fill="FFFFFF" w:themeFill="background1"/>
                  <w:vAlign w:val="center"/>
                </w:tcPr>
                <w:p w14:paraId="1513359E" w14:textId="77777777" w:rsidR="00236AB5" w:rsidRPr="008819AF" w:rsidRDefault="00236AB5" w:rsidP="00236AB5">
                  <w:pPr>
                    <w:pStyle w:val="Normln"/>
                    <w:jc w:val="center"/>
                    <w:rPr>
                      <w:sz w:val="18"/>
                      <w:szCs w:val="18"/>
                      <w:lang w:val="sk-SK"/>
                    </w:rPr>
                  </w:pPr>
                  <w:r w:rsidRPr="008819AF">
                    <w:rPr>
                      <w:sz w:val="18"/>
                      <w:szCs w:val="18"/>
                      <w:lang w:val="sk-SK"/>
                    </w:rPr>
                    <w:t>30</w:t>
                  </w:r>
                </w:p>
              </w:tc>
              <w:tc>
                <w:tcPr>
                  <w:tcW w:w="1827" w:type="dxa"/>
                  <w:shd w:val="clear" w:color="auto" w:fill="FFFFFF" w:themeFill="background1"/>
                  <w:vAlign w:val="center"/>
                </w:tcPr>
                <w:p w14:paraId="1513359F" w14:textId="77777777" w:rsidR="00236AB5" w:rsidRPr="008819AF" w:rsidRDefault="00236AB5" w:rsidP="00236AB5">
                  <w:pPr>
                    <w:pStyle w:val="Normln"/>
                    <w:jc w:val="center"/>
                    <w:rPr>
                      <w:sz w:val="18"/>
                      <w:szCs w:val="18"/>
                      <w:lang w:val="sk-SK"/>
                    </w:rPr>
                  </w:pPr>
                  <w:r w:rsidRPr="008819AF">
                    <w:rPr>
                      <w:sz w:val="18"/>
                      <w:szCs w:val="18"/>
                      <w:lang w:val="sk-SK"/>
                    </w:rPr>
                    <w:t>190, 300</w:t>
                  </w:r>
                  <w:r w:rsidRPr="008819AF">
                    <w:rPr>
                      <w:sz w:val="18"/>
                      <w:szCs w:val="18"/>
                      <w:vertAlign w:val="superscript"/>
                      <w:lang w:val="sk-SK"/>
                    </w:rPr>
                    <w:t>2</w:t>
                  </w:r>
                  <w:r w:rsidRPr="008819AF">
                    <w:rPr>
                      <w:sz w:val="18"/>
                      <w:szCs w:val="18"/>
                      <w:lang w:val="sk-SK"/>
                    </w:rPr>
                    <w:t xml:space="preserve">)   </w:t>
                  </w:r>
                </w:p>
              </w:tc>
              <w:tc>
                <w:tcPr>
                  <w:tcW w:w="1828" w:type="dxa"/>
                  <w:shd w:val="clear" w:color="auto" w:fill="FFFFFF" w:themeFill="background1"/>
                  <w:vAlign w:val="center"/>
                </w:tcPr>
                <w:p w14:paraId="151335A0" w14:textId="77777777" w:rsidR="00236AB5" w:rsidRPr="008819AF" w:rsidRDefault="00236AB5" w:rsidP="00236AB5">
                  <w:pPr>
                    <w:pStyle w:val="Normln"/>
                    <w:keepNext/>
                    <w:jc w:val="center"/>
                    <w:rPr>
                      <w:sz w:val="18"/>
                      <w:szCs w:val="18"/>
                      <w:lang w:val="sk-SK"/>
                    </w:rPr>
                  </w:pPr>
                  <w:r w:rsidRPr="008819AF">
                    <w:rPr>
                      <w:sz w:val="18"/>
                      <w:szCs w:val="18"/>
                      <w:lang w:val="sk-SK"/>
                    </w:rPr>
                    <w:t>250</w:t>
                  </w:r>
                </w:p>
              </w:tc>
            </w:tr>
            <w:tr w:rsidR="00236AB5" w:rsidRPr="008819AF" w14:paraId="151335A8" w14:textId="77777777" w:rsidTr="005950BD">
              <w:trPr>
                <w:cantSplit/>
                <w:trHeight w:hRule="exact" w:val="428"/>
                <w:jc w:val="center"/>
              </w:trPr>
              <w:tc>
                <w:tcPr>
                  <w:tcW w:w="915" w:type="dxa"/>
                  <w:shd w:val="clear" w:color="auto" w:fill="FFFFFF" w:themeFill="background1"/>
                  <w:vAlign w:val="center"/>
                </w:tcPr>
                <w:p w14:paraId="151335A2" w14:textId="77777777" w:rsidR="00236AB5" w:rsidRPr="008819AF" w:rsidRDefault="00236AB5" w:rsidP="00236AB5">
                  <w:pPr>
                    <w:pStyle w:val="Normln"/>
                    <w:jc w:val="center"/>
                    <w:rPr>
                      <w:sz w:val="18"/>
                      <w:szCs w:val="18"/>
                      <w:lang w:val="sk-SK"/>
                    </w:rPr>
                  </w:pPr>
                  <w:r w:rsidRPr="008819AF">
                    <w:rPr>
                      <w:sz w:val="18"/>
                      <w:szCs w:val="18"/>
                      <w:lang w:val="sk-SK"/>
                    </w:rPr>
                    <w:sym w:font="Symbol" w:char="F0B3"/>
                  </w:r>
                  <w:r w:rsidRPr="008819AF">
                    <w:rPr>
                      <w:sz w:val="18"/>
                      <w:szCs w:val="18"/>
                      <w:lang w:val="sk-SK"/>
                    </w:rPr>
                    <w:t xml:space="preserve"> 50</w:t>
                  </w:r>
                </w:p>
              </w:tc>
              <w:tc>
                <w:tcPr>
                  <w:tcW w:w="1126" w:type="dxa"/>
                  <w:vMerge/>
                  <w:shd w:val="clear" w:color="auto" w:fill="FFFFFF" w:themeFill="background1"/>
                </w:tcPr>
                <w:p w14:paraId="151335A3" w14:textId="77777777" w:rsidR="00236AB5" w:rsidRPr="008819AF" w:rsidRDefault="00236AB5" w:rsidP="00236AB5">
                  <w:pPr>
                    <w:pStyle w:val="Normln"/>
                    <w:rPr>
                      <w:sz w:val="18"/>
                      <w:szCs w:val="18"/>
                      <w:lang w:val="sk-SK"/>
                    </w:rPr>
                  </w:pPr>
                </w:p>
              </w:tc>
              <w:tc>
                <w:tcPr>
                  <w:tcW w:w="1688" w:type="dxa"/>
                  <w:gridSpan w:val="2"/>
                  <w:shd w:val="clear" w:color="auto" w:fill="FFFFFF" w:themeFill="background1"/>
                  <w:vAlign w:val="center"/>
                </w:tcPr>
                <w:p w14:paraId="151335A4" w14:textId="77777777" w:rsidR="00236AB5" w:rsidRPr="008819AF" w:rsidRDefault="00236AB5" w:rsidP="00236AB5">
                  <w:pPr>
                    <w:pStyle w:val="Normln"/>
                    <w:rPr>
                      <w:sz w:val="18"/>
                      <w:szCs w:val="18"/>
                      <w:lang w:val="sk-SK"/>
                    </w:rPr>
                  </w:pPr>
                  <w:r w:rsidRPr="008819AF">
                    <w:rPr>
                      <w:sz w:val="18"/>
                      <w:szCs w:val="18"/>
                      <w:lang w:val="sk-SK"/>
                    </w:rPr>
                    <w:t>Plynné palivo</w:t>
                  </w:r>
                </w:p>
              </w:tc>
              <w:tc>
                <w:tcPr>
                  <w:tcW w:w="1828" w:type="dxa"/>
                  <w:shd w:val="clear" w:color="auto" w:fill="FFFFFF" w:themeFill="background1"/>
                  <w:vAlign w:val="center"/>
                </w:tcPr>
                <w:p w14:paraId="151335A5" w14:textId="77777777" w:rsidR="00236AB5" w:rsidRPr="008819AF" w:rsidRDefault="00236AB5" w:rsidP="00236AB5">
                  <w:pPr>
                    <w:pStyle w:val="Normln"/>
                    <w:jc w:val="center"/>
                    <w:rPr>
                      <w:sz w:val="18"/>
                      <w:szCs w:val="18"/>
                      <w:lang w:val="sk-SK"/>
                    </w:rPr>
                  </w:pPr>
                  <w:r w:rsidRPr="008819AF">
                    <w:rPr>
                      <w:sz w:val="18"/>
                      <w:szCs w:val="18"/>
                      <w:lang w:val="sk-SK"/>
                    </w:rPr>
                    <w:t>-</w:t>
                  </w:r>
                </w:p>
              </w:tc>
              <w:tc>
                <w:tcPr>
                  <w:tcW w:w="1827" w:type="dxa"/>
                  <w:shd w:val="clear" w:color="auto" w:fill="FFFFFF" w:themeFill="background1"/>
                  <w:vAlign w:val="center"/>
                </w:tcPr>
                <w:p w14:paraId="151335A6" w14:textId="77777777" w:rsidR="00236AB5" w:rsidRPr="008819AF" w:rsidRDefault="00236AB5" w:rsidP="00236AB5">
                  <w:pPr>
                    <w:pStyle w:val="Normln"/>
                    <w:jc w:val="center"/>
                    <w:rPr>
                      <w:sz w:val="18"/>
                      <w:szCs w:val="18"/>
                      <w:lang w:val="sk-SK"/>
                    </w:rPr>
                  </w:pPr>
                  <w:r w:rsidRPr="008819AF">
                    <w:rPr>
                      <w:sz w:val="18"/>
                      <w:szCs w:val="18"/>
                      <w:lang w:val="sk-SK"/>
                    </w:rPr>
                    <w:t xml:space="preserve">100 </w:t>
                  </w:r>
                </w:p>
              </w:tc>
              <w:tc>
                <w:tcPr>
                  <w:tcW w:w="1828" w:type="dxa"/>
                  <w:shd w:val="clear" w:color="auto" w:fill="FFFFFF" w:themeFill="background1"/>
                  <w:vAlign w:val="center"/>
                </w:tcPr>
                <w:p w14:paraId="151335A7" w14:textId="77777777" w:rsidR="00236AB5" w:rsidRPr="008819AF" w:rsidRDefault="00236AB5" w:rsidP="00236AB5">
                  <w:pPr>
                    <w:pStyle w:val="Normln"/>
                    <w:keepNext/>
                    <w:jc w:val="center"/>
                    <w:rPr>
                      <w:sz w:val="18"/>
                      <w:szCs w:val="18"/>
                      <w:lang w:val="sk-SK"/>
                    </w:rPr>
                  </w:pPr>
                  <w:r w:rsidRPr="008819AF">
                    <w:rPr>
                      <w:sz w:val="18"/>
                      <w:szCs w:val="18"/>
                      <w:lang w:val="sk-SK"/>
                    </w:rPr>
                    <w:t xml:space="preserve">100 </w:t>
                  </w:r>
                </w:p>
              </w:tc>
            </w:tr>
          </w:tbl>
          <w:p w14:paraId="151335A9" w14:textId="77777777" w:rsidR="00236AB5" w:rsidRPr="008819AF" w:rsidRDefault="00236AB5" w:rsidP="00236AB5">
            <w:pPr>
              <w:pStyle w:val="Normln"/>
              <w:keepNext/>
              <w:spacing w:before="60"/>
              <w:rPr>
                <w:sz w:val="20"/>
                <w:szCs w:val="20"/>
                <w:lang w:val="sk-SK"/>
              </w:rPr>
            </w:pPr>
            <w:r w:rsidRPr="008819AF">
              <w:rPr>
                <w:sz w:val="20"/>
                <w:szCs w:val="20"/>
                <w:vertAlign w:val="superscript"/>
                <w:lang w:val="sk-SK"/>
              </w:rPr>
              <w:t>1</w:t>
            </w:r>
            <w:r w:rsidRPr="008819AF">
              <w:rPr>
                <w:sz w:val="20"/>
                <w:szCs w:val="20"/>
                <w:lang w:val="sk-SK"/>
              </w:rPr>
              <w:t xml:space="preserve">) Platí pre spaľovanie kvapalných palív. </w:t>
            </w:r>
          </w:p>
          <w:p w14:paraId="151335AA" w14:textId="77777777" w:rsidR="00236AB5" w:rsidRPr="008819AF" w:rsidRDefault="00236AB5" w:rsidP="00236AB5">
            <w:pPr>
              <w:pStyle w:val="Normln"/>
              <w:keepNext/>
              <w:rPr>
                <w:lang w:bidi="cs-CZ"/>
              </w:rPr>
            </w:pPr>
            <w:r w:rsidRPr="008819AF">
              <w:rPr>
                <w:sz w:val="20"/>
                <w:szCs w:val="20"/>
                <w:vertAlign w:val="superscript"/>
                <w:lang w:val="sk-SK"/>
              </w:rPr>
              <w:t>3</w:t>
            </w:r>
            <w:r w:rsidRPr="008819AF">
              <w:rPr>
                <w:sz w:val="20"/>
                <w:szCs w:val="20"/>
                <w:lang w:val="sk-SK"/>
              </w:rPr>
              <w:t>) Platí pre dvojtaktné motory.</w:t>
            </w:r>
          </w:p>
        </w:tc>
        <w:tc>
          <w:tcPr>
            <w:tcW w:w="429" w:type="dxa"/>
            <w:tcBorders>
              <w:top w:val="single" w:sz="4" w:space="0" w:color="000000"/>
              <w:left w:val="single" w:sz="6" w:space="0" w:color="000000"/>
              <w:bottom w:val="single" w:sz="6" w:space="0" w:color="000000"/>
              <w:right w:val="single" w:sz="6" w:space="0" w:color="000000"/>
            </w:tcBorders>
          </w:tcPr>
          <w:p w14:paraId="151335AB"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5AC" w14:textId="77777777" w:rsidR="00236AB5" w:rsidRPr="008819AF" w:rsidRDefault="00236AB5" w:rsidP="00236AB5">
            <w:pPr>
              <w:ind w:left="215" w:hanging="215"/>
              <w:rPr>
                <w:rFonts w:eastAsia="Arial"/>
              </w:rPr>
            </w:pPr>
          </w:p>
        </w:tc>
      </w:tr>
      <w:tr w:rsidR="00236AB5" w:rsidRPr="008819AF" w14:paraId="1513375F"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5AE"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5AF" w14:textId="77777777" w:rsidR="00236AB5" w:rsidRPr="008819AF" w:rsidRDefault="00236AB5" w:rsidP="00236AB5">
            <w:pPr>
              <w:ind w:left="215" w:hanging="215"/>
              <w:rPr>
                <w:rFonts w:eastAsia="Arial"/>
                <w:lang w:bidi="cs-CZ"/>
              </w:rPr>
            </w:pPr>
            <w:r w:rsidRPr="008819AF">
              <w:rPr>
                <w:rFonts w:eastAsia="Arial"/>
                <w:lang w:bidi="cs-CZ"/>
              </w:rPr>
              <w:t>ČASŤ 2</w:t>
            </w:r>
          </w:p>
          <w:p w14:paraId="151335B0" w14:textId="77777777" w:rsidR="00236AB5" w:rsidRPr="008819AF" w:rsidRDefault="00236AB5" w:rsidP="00236AB5">
            <w:pPr>
              <w:ind w:left="215" w:hanging="215"/>
              <w:rPr>
                <w:rFonts w:eastAsia="Arial"/>
                <w:lang w:bidi="cs-CZ"/>
              </w:rPr>
            </w:pPr>
            <w:r w:rsidRPr="008819AF">
              <w:rPr>
                <w:rFonts w:eastAsia="Arial"/>
                <w:lang w:bidi="cs-CZ"/>
              </w:rPr>
              <w:t>Emisné limity pre spaľovacie zariadenia uvedené v článku 30 ods. 3</w:t>
            </w:r>
          </w:p>
          <w:p w14:paraId="151335B1" w14:textId="77777777" w:rsidR="00236AB5" w:rsidRPr="008819AF" w:rsidRDefault="00236AB5" w:rsidP="00236AB5">
            <w:pPr>
              <w:ind w:left="215" w:hanging="215"/>
              <w:rPr>
                <w:rFonts w:eastAsia="Arial"/>
                <w:lang w:bidi="cs-CZ"/>
              </w:rPr>
            </w:pPr>
            <w:r w:rsidRPr="008819AF">
              <w:rPr>
                <w:rFonts w:eastAsia="Arial"/>
                <w:lang w:bidi="cs-CZ"/>
              </w:rPr>
              <w:t>1. Všetky emisné limity sa vypočítajú pri teplote 273,15 K, tlaku 101,3 kPa a po korekcii obsahu vodných pár v odpadových plynoch a pri referenčnom obsahu kyslíka, ktorý predstavuje 6 % pre tuhé palivá, 3 % pre spaľovacie zariadenia s výnimkou plynových turbín a plynových motorov používajúce kvapalné a plynné palivá a 15 % pre plynové turbíny a plynové motory.</w:t>
            </w:r>
          </w:p>
          <w:p w14:paraId="151335B2" w14:textId="77777777" w:rsidR="00236AB5" w:rsidRPr="008819AF" w:rsidRDefault="00236AB5" w:rsidP="00236AB5">
            <w:pPr>
              <w:rPr>
                <w:rFonts w:eastAsia="Arial"/>
                <w:lang w:bidi="cs-CZ"/>
              </w:rPr>
            </w:pPr>
            <w:r w:rsidRPr="008819AF">
              <w:rPr>
                <w:rFonts w:eastAsia="Arial"/>
                <w:lang w:bidi="cs-CZ"/>
              </w:rPr>
              <w:t>V prípade plynových turbín s kombinovaným cyklom s dodatočným spaľovaním môže štandardizovaný obsah O2 stanoviť príslušný orgán s prihliadnutím na špecifické vlastnosti dotknutého zariadenia.</w:t>
            </w:r>
          </w:p>
          <w:p w14:paraId="151335B3" w14:textId="77777777" w:rsidR="00236AB5" w:rsidRPr="008819AF" w:rsidRDefault="00236AB5" w:rsidP="00236AB5">
            <w:pPr>
              <w:ind w:left="215" w:hanging="215"/>
              <w:rPr>
                <w:rFonts w:eastAsia="Arial"/>
                <w:lang w:bidi="cs-CZ"/>
              </w:rPr>
            </w:pPr>
            <w:r w:rsidRPr="008819AF">
              <w:rPr>
                <w:rFonts w:eastAsia="Arial"/>
                <w:lang w:bidi="cs-CZ"/>
              </w:rPr>
              <w:t>2. Emisné limity (mg/Nm3) pre SO2 pre spaľovacie zariadenia používajúce tuhé alebo kvapalné palivá s výnimkou plynových turbín a plynových motorov</w:t>
            </w:r>
          </w:p>
          <w:p w14:paraId="151335B4" w14:textId="77777777" w:rsidR="00236AB5" w:rsidRPr="008819AF" w:rsidRDefault="00236AB5" w:rsidP="00236AB5">
            <w:pPr>
              <w:ind w:left="215" w:hanging="215"/>
              <w:rPr>
                <w:rFonts w:eastAsia="Arial"/>
                <w:lang w:bidi="cs-CZ"/>
              </w:rPr>
            </w:pPr>
          </w:p>
          <w:tbl>
            <w:tblPr>
              <w:tblW w:w="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93"/>
              <w:gridCol w:w="991"/>
              <w:gridCol w:w="1017"/>
              <w:gridCol w:w="913"/>
            </w:tblGrid>
            <w:tr w:rsidR="00236AB5" w:rsidRPr="008819AF" w14:paraId="151335BA" w14:textId="77777777">
              <w:trPr>
                <w:trHeight w:val="260"/>
                <w:jc w:val="center"/>
              </w:trPr>
              <w:tc>
                <w:tcPr>
                  <w:tcW w:w="952" w:type="dxa"/>
                  <w:tcBorders>
                    <w:top w:val="single" w:sz="4" w:space="0" w:color="000000"/>
                    <w:left w:val="single" w:sz="4" w:space="0" w:color="000000"/>
                    <w:bottom w:val="single" w:sz="4" w:space="0" w:color="000000"/>
                    <w:right w:val="single" w:sz="4" w:space="0" w:color="000000"/>
                  </w:tcBorders>
                </w:tcPr>
                <w:p w14:paraId="151335B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Celkový menovitý tepelný príkon (MW)</w:t>
                  </w:r>
                </w:p>
              </w:tc>
              <w:tc>
                <w:tcPr>
                  <w:tcW w:w="993" w:type="dxa"/>
                  <w:tcBorders>
                    <w:top w:val="single" w:sz="4" w:space="0" w:color="000000"/>
                    <w:left w:val="single" w:sz="4" w:space="0" w:color="000000"/>
                    <w:bottom w:val="single" w:sz="4" w:space="0" w:color="000000"/>
                    <w:right w:val="single" w:sz="4" w:space="0" w:color="000000"/>
                  </w:tcBorders>
                </w:tcPr>
                <w:p w14:paraId="151335B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Čierne a hnedé uhlie a iné tuhé palivá</w:t>
                  </w:r>
                </w:p>
              </w:tc>
              <w:tc>
                <w:tcPr>
                  <w:tcW w:w="991" w:type="dxa"/>
                  <w:tcBorders>
                    <w:top w:val="single" w:sz="4" w:space="0" w:color="000000"/>
                    <w:left w:val="single" w:sz="4" w:space="0" w:color="000000"/>
                    <w:bottom w:val="single" w:sz="4" w:space="0" w:color="000000"/>
                    <w:right w:val="single" w:sz="4" w:space="0" w:color="000000"/>
                  </w:tcBorders>
                </w:tcPr>
                <w:p w14:paraId="151335B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Biomasa</w:t>
                  </w:r>
                </w:p>
              </w:tc>
              <w:tc>
                <w:tcPr>
                  <w:tcW w:w="1017" w:type="dxa"/>
                  <w:tcBorders>
                    <w:top w:val="single" w:sz="4" w:space="0" w:color="000000"/>
                    <w:left w:val="single" w:sz="4" w:space="0" w:color="000000"/>
                    <w:bottom w:val="single" w:sz="4" w:space="0" w:color="000000"/>
                    <w:right w:val="single" w:sz="4" w:space="0" w:color="000000"/>
                  </w:tcBorders>
                </w:tcPr>
                <w:p w14:paraId="151335B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Rašelina</w:t>
                  </w:r>
                </w:p>
              </w:tc>
              <w:tc>
                <w:tcPr>
                  <w:tcW w:w="913" w:type="dxa"/>
                  <w:tcBorders>
                    <w:top w:val="single" w:sz="4" w:space="0" w:color="000000"/>
                    <w:left w:val="single" w:sz="4" w:space="0" w:color="000000"/>
                    <w:bottom w:val="single" w:sz="4" w:space="0" w:color="000000"/>
                    <w:right w:val="single" w:sz="4" w:space="0" w:color="000000"/>
                  </w:tcBorders>
                </w:tcPr>
                <w:p w14:paraId="151335B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Kvapalné palivá</w:t>
                  </w:r>
                </w:p>
              </w:tc>
            </w:tr>
            <w:tr w:rsidR="00236AB5" w:rsidRPr="008819AF" w14:paraId="151335C0" w14:textId="77777777">
              <w:trPr>
                <w:trHeight w:val="103"/>
                <w:jc w:val="center"/>
              </w:trPr>
              <w:tc>
                <w:tcPr>
                  <w:tcW w:w="952" w:type="dxa"/>
                  <w:tcBorders>
                    <w:top w:val="single" w:sz="4" w:space="0" w:color="000000"/>
                    <w:left w:val="single" w:sz="4" w:space="0" w:color="000000"/>
                    <w:bottom w:val="single" w:sz="4" w:space="0" w:color="000000"/>
                    <w:right w:val="single" w:sz="4" w:space="0" w:color="000000"/>
                  </w:tcBorders>
                </w:tcPr>
                <w:p w14:paraId="151335B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50-100</w:t>
                  </w:r>
                </w:p>
              </w:tc>
              <w:tc>
                <w:tcPr>
                  <w:tcW w:w="993" w:type="dxa"/>
                  <w:tcBorders>
                    <w:top w:val="single" w:sz="4" w:space="0" w:color="000000"/>
                    <w:left w:val="single" w:sz="4" w:space="0" w:color="000000"/>
                    <w:bottom w:val="single" w:sz="4" w:space="0" w:color="000000"/>
                    <w:right w:val="single" w:sz="4" w:space="0" w:color="000000"/>
                  </w:tcBorders>
                </w:tcPr>
                <w:p w14:paraId="151335B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400</w:t>
                  </w:r>
                </w:p>
              </w:tc>
              <w:tc>
                <w:tcPr>
                  <w:tcW w:w="991" w:type="dxa"/>
                  <w:tcBorders>
                    <w:top w:val="single" w:sz="4" w:space="0" w:color="000000"/>
                    <w:left w:val="single" w:sz="4" w:space="0" w:color="000000"/>
                    <w:bottom w:val="single" w:sz="4" w:space="0" w:color="000000"/>
                    <w:right w:val="single" w:sz="4" w:space="0" w:color="000000"/>
                  </w:tcBorders>
                </w:tcPr>
                <w:p w14:paraId="151335B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17" w:type="dxa"/>
                  <w:tcBorders>
                    <w:top w:val="single" w:sz="4" w:space="0" w:color="000000"/>
                    <w:left w:val="single" w:sz="4" w:space="0" w:color="000000"/>
                    <w:bottom w:val="single" w:sz="4" w:space="0" w:color="000000"/>
                    <w:right w:val="single" w:sz="4" w:space="0" w:color="000000"/>
                  </w:tcBorders>
                </w:tcPr>
                <w:p w14:paraId="151335B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tc>
              <w:tc>
                <w:tcPr>
                  <w:tcW w:w="913" w:type="dxa"/>
                  <w:tcBorders>
                    <w:top w:val="single" w:sz="4" w:space="0" w:color="000000"/>
                    <w:left w:val="single" w:sz="4" w:space="0" w:color="000000"/>
                    <w:bottom w:val="single" w:sz="4" w:space="0" w:color="000000"/>
                    <w:right w:val="single" w:sz="4" w:space="0" w:color="000000"/>
                  </w:tcBorders>
                </w:tcPr>
                <w:p w14:paraId="151335B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350</w:t>
                  </w:r>
                </w:p>
              </w:tc>
            </w:tr>
            <w:tr w:rsidR="00236AB5" w:rsidRPr="008819AF" w14:paraId="151335C7" w14:textId="77777777">
              <w:trPr>
                <w:trHeight w:val="358"/>
                <w:jc w:val="center"/>
              </w:trPr>
              <w:tc>
                <w:tcPr>
                  <w:tcW w:w="952" w:type="dxa"/>
                  <w:tcBorders>
                    <w:top w:val="single" w:sz="4" w:space="0" w:color="000000"/>
                    <w:left w:val="single" w:sz="4" w:space="0" w:color="000000"/>
                    <w:bottom w:val="single" w:sz="4" w:space="0" w:color="000000"/>
                    <w:right w:val="single" w:sz="4" w:space="0" w:color="000000"/>
                  </w:tcBorders>
                </w:tcPr>
                <w:p w14:paraId="151335C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100-300</w:t>
                  </w:r>
                </w:p>
              </w:tc>
              <w:tc>
                <w:tcPr>
                  <w:tcW w:w="993" w:type="dxa"/>
                  <w:tcBorders>
                    <w:top w:val="single" w:sz="4" w:space="0" w:color="000000"/>
                    <w:left w:val="single" w:sz="4" w:space="0" w:color="000000"/>
                    <w:bottom w:val="single" w:sz="4" w:space="0" w:color="000000"/>
                    <w:right w:val="single" w:sz="4" w:space="0" w:color="000000"/>
                  </w:tcBorders>
                </w:tcPr>
                <w:p w14:paraId="151335C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991" w:type="dxa"/>
                  <w:tcBorders>
                    <w:top w:val="single" w:sz="4" w:space="0" w:color="000000"/>
                    <w:left w:val="single" w:sz="4" w:space="0" w:color="000000"/>
                    <w:bottom w:val="single" w:sz="4" w:space="0" w:color="000000"/>
                    <w:right w:val="single" w:sz="4" w:space="0" w:color="000000"/>
                  </w:tcBorders>
                </w:tcPr>
                <w:p w14:paraId="151335C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17" w:type="dxa"/>
                  <w:tcBorders>
                    <w:top w:val="single" w:sz="4" w:space="0" w:color="000000"/>
                    <w:left w:val="single" w:sz="4" w:space="0" w:color="000000"/>
                    <w:bottom w:val="single" w:sz="4" w:space="0" w:color="000000"/>
                    <w:right w:val="single" w:sz="4" w:space="0" w:color="000000"/>
                  </w:tcBorders>
                </w:tcPr>
                <w:p w14:paraId="151335C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p w14:paraId="151335C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250 v prípade spaľovania vo fluidnej vrstve</w:t>
                  </w:r>
                </w:p>
              </w:tc>
              <w:tc>
                <w:tcPr>
                  <w:tcW w:w="913" w:type="dxa"/>
                  <w:tcBorders>
                    <w:top w:val="single" w:sz="4" w:space="0" w:color="000000"/>
                    <w:left w:val="single" w:sz="4" w:space="0" w:color="000000"/>
                    <w:bottom w:val="single" w:sz="4" w:space="0" w:color="000000"/>
                    <w:right w:val="single" w:sz="4" w:space="0" w:color="000000"/>
                  </w:tcBorders>
                </w:tcPr>
                <w:p w14:paraId="151335C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5CF" w14:textId="77777777">
              <w:trPr>
                <w:trHeight w:val="454"/>
                <w:jc w:val="center"/>
              </w:trPr>
              <w:tc>
                <w:tcPr>
                  <w:tcW w:w="952" w:type="dxa"/>
                  <w:tcBorders>
                    <w:top w:val="single" w:sz="4" w:space="0" w:color="000000"/>
                    <w:left w:val="single" w:sz="4" w:space="0" w:color="000000"/>
                    <w:bottom w:val="single" w:sz="4" w:space="0" w:color="000000"/>
                    <w:right w:val="single" w:sz="4" w:space="0" w:color="000000"/>
                  </w:tcBorders>
                </w:tcPr>
                <w:p w14:paraId="151335C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w:t>
                  </w:r>
                </w:p>
              </w:tc>
              <w:tc>
                <w:tcPr>
                  <w:tcW w:w="993" w:type="dxa"/>
                  <w:tcBorders>
                    <w:top w:val="single" w:sz="4" w:space="0" w:color="000000"/>
                    <w:left w:val="single" w:sz="4" w:space="0" w:color="000000"/>
                    <w:bottom w:val="single" w:sz="4" w:space="0" w:color="000000"/>
                    <w:right w:val="single" w:sz="4" w:space="0" w:color="000000"/>
                  </w:tcBorders>
                </w:tcPr>
                <w:p w14:paraId="151335C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p w14:paraId="151335C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 v prípade cirkulačného alebo pretlakového spaľovania vo fluidnej vrstve</w:t>
                  </w:r>
                </w:p>
              </w:tc>
              <w:tc>
                <w:tcPr>
                  <w:tcW w:w="991" w:type="dxa"/>
                  <w:tcBorders>
                    <w:top w:val="single" w:sz="4" w:space="0" w:color="000000"/>
                    <w:left w:val="single" w:sz="4" w:space="0" w:color="000000"/>
                    <w:bottom w:val="single" w:sz="4" w:space="0" w:color="000000"/>
                    <w:right w:val="single" w:sz="4" w:space="0" w:color="000000"/>
                  </w:tcBorders>
                </w:tcPr>
                <w:p w14:paraId="151335C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tc>
              <w:tc>
                <w:tcPr>
                  <w:tcW w:w="1017" w:type="dxa"/>
                  <w:tcBorders>
                    <w:top w:val="single" w:sz="4" w:space="0" w:color="000000"/>
                    <w:left w:val="single" w:sz="4" w:space="0" w:color="000000"/>
                    <w:bottom w:val="single" w:sz="4" w:space="0" w:color="000000"/>
                    <w:right w:val="single" w:sz="4" w:space="0" w:color="000000"/>
                  </w:tcBorders>
                </w:tcPr>
                <w:p w14:paraId="151335C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p w14:paraId="151335C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 v prípade spaľovania vo fluidnej vrstve</w:t>
                  </w:r>
                </w:p>
              </w:tc>
              <w:tc>
                <w:tcPr>
                  <w:tcW w:w="913" w:type="dxa"/>
                  <w:tcBorders>
                    <w:top w:val="single" w:sz="4" w:space="0" w:color="000000"/>
                    <w:left w:val="single" w:sz="4" w:space="0" w:color="000000"/>
                    <w:bottom w:val="single" w:sz="4" w:space="0" w:color="000000"/>
                    <w:right w:val="single" w:sz="4" w:space="0" w:color="000000"/>
                  </w:tcBorders>
                </w:tcPr>
                <w:p w14:paraId="151335C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tc>
            </w:tr>
          </w:tbl>
          <w:p w14:paraId="151335D0" w14:textId="77777777" w:rsidR="00236AB5" w:rsidRPr="008819AF" w:rsidRDefault="00236AB5" w:rsidP="00236AB5">
            <w:pPr>
              <w:rPr>
                <w:rFonts w:eastAsia="Arial"/>
                <w:lang w:bidi="cs-CZ"/>
              </w:rPr>
            </w:pPr>
          </w:p>
          <w:p w14:paraId="151335D1" w14:textId="77777777" w:rsidR="00236AB5" w:rsidRPr="008819AF" w:rsidRDefault="00236AB5" w:rsidP="00236AB5">
            <w:pPr>
              <w:ind w:left="215" w:hanging="215"/>
              <w:rPr>
                <w:rFonts w:eastAsia="Arial"/>
                <w:lang w:bidi="cs-CZ"/>
              </w:rPr>
            </w:pPr>
            <w:r w:rsidRPr="008819AF">
              <w:rPr>
                <w:rFonts w:eastAsia="Arial"/>
                <w:lang w:bidi="cs-CZ"/>
              </w:rPr>
              <w:t>3. Emisné limity (mg/Nm3) pre SO2 pre spaľovacie zariadenia používajúce plynné palivá s výnimkou plynových turbín a plynových motorov</w:t>
            </w: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755"/>
            </w:tblGrid>
            <w:tr w:rsidR="00236AB5" w:rsidRPr="008819AF" w14:paraId="151335D4"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151335D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Všeobecne</w:t>
                  </w:r>
                </w:p>
              </w:tc>
              <w:tc>
                <w:tcPr>
                  <w:tcW w:w="755" w:type="dxa"/>
                  <w:tcBorders>
                    <w:top w:val="single" w:sz="4" w:space="0" w:color="000000"/>
                    <w:left w:val="single" w:sz="4" w:space="0" w:color="000000"/>
                    <w:bottom w:val="single" w:sz="4" w:space="0" w:color="000000"/>
                    <w:right w:val="single" w:sz="4" w:space="0" w:color="000000"/>
                  </w:tcBorders>
                </w:tcPr>
                <w:p w14:paraId="151335D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35</w:t>
                  </w:r>
                </w:p>
              </w:tc>
            </w:tr>
            <w:tr w:rsidR="00236AB5" w:rsidRPr="008819AF" w14:paraId="151335D7"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151335D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Skvapalnený plyn</w:t>
                  </w:r>
                </w:p>
              </w:tc>
              <w:tc>
                <w:tcPr>
                  <w:tcW w:w="755" w:type="dxa"/>
                  <w:tcBorders>
                    <w:top w:val="single" w:sz="4" w:space="0" w:color="000000"/>
                    <w:left w:val="single" w:sz="4" w:space="0" w:color="000000"/>
                    <w:bottom w:val="single" w:sz="4" w:space="0" w:color="000000"/>
                    <w:right w:val="single" w:sz="4" w:space="0" w:color="000000"/>
                  </w:tcBorders>
                </w:tcPr>
                <w:p w14:paraId="151335D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w:t>
                  </w:r>
                </w:p>
              </w:tc>
            </w:tr>
            <w:tr w:rsidR="00236AB5" w:rsidRPr="008819AF" w14:paraId="151335DA"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151335D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Nízkovýhrevné plyny z koksárenských pecí</w:t>
                  </w:r>
                </w:p>
              </w:tc>
              <w:tc>
                <w:tcPr>
                  <w:tcW w:w="755" w:type="dxa"/>
                  <w:tcBorders>
                    <w:top w:val="single" w:sz="4" w:space="0" w:color="000000"/>
                    <w:left w:val="single" w:sz="4" w:space="0" w:color="000000"/>
                    <w:bottom w:val="single" w:sz="4" w:space="0" w:color="000000"/>
                    <w:right w:val="single" w:sz="4" w:space="0" w:color="000000"/>
                  </w:tcBorders>
                </w:tcPr>
                <w:p w14:paraId="151335D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400</w:t>
                  </w:r>
                </w:p>
              </w:tc>
            </w:tr>
            <w:tr w:rsidR="00236AB5" w:rsidRPr="008819AF" w14:paraId="151335DD"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151335D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Nízkovýhrevné plyny z vysokých pecí</w:t>
                  </w:r>
                </w:p>
              </w:tc>
              <w:tc>
                <w:tcPr>
                  <w:tcW w:w="755" w:type="dxa"/>
                  <w:tcBorders>
                    <w:top w:val="single" w:sz="4" w:space="0" w:color="000000"/>
                    <w:left w:val="single" w:sz="4" w:space="0" w:color="000000"/>
                    <w:bottom w:val="single" w:sz="4" w:space="0" w:color="000000"/>
                    <w:right w:val="single" w:sz="4" w:space="0" w:color="000000"/>
                  </w:tcBorders>
                </w:tcPr>
                <w:p w14:paraId="151335D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bl>
          <w:p w14:paraId="151335DE" w14:textId="77777777" w:rsidR="00236AB5" w:rsidRPr="008819AF" w:rsidRDefault="00236AB5" w:rsidP="00236AB5">
            <w:pPr>
              <w:ind w:left="215" w:hanging="215"/>
              <w:rPr>
                <w:rFonts w:eastAsia="Arial"/>
                <w:lang w:bidi="cs-CZ"/>
              </w:rPr>
            </w:pPr>
          </w:p>
          <w:p w14:paraId="151335DF" w14:textId="77777777" w:rsidR="00236AB5" w:rsidRPr="008819AF" w:rsidRDefault="00236AB5" w:rsidP="00236AB5">
            <w:pPr>
              <w:ind w:left="215" w:hanging="215"/>
              <w:rPr>
                <w:rFonts w:eastAsia="Arial"/>
              </w:rPr>
            </w:pPr>
            <w:r w:rsidRPr="008819AF">
              <w:rPr>
                <w:rFonts w:eastAsia="Arial"/>
                <w:lang w:bidi="cs-CZ"/>
              </w:rPr>
              <w:t>4. Emisné limity (mg/Nm3) pre NOx pre spaľovacie zariadenia používajúce tuhé alebo kvapalné palivá s výnimkou plynových turbín a plynových motorov</w:t>
            </w:r>
          </w:p>
          <w:tbl>
            <w:tblPr>
              <w:tblW w:w="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803"/>
              <w:gridCol w:w="1013"/>
              <w:gridCol w:w="917"/>
            </w:tblGrid>
            <w:tr w:rsidR="00236AB5" w:rsidRPr="008819AF" w14:paraId="151335E4" w14:textId="77777777">
              <w:trPr>
                <w:trHeight w:val="175"/>
                <w:jc w:val="center"/>
              </w:trPr>
              <w:tc>
                <w:tcPr>
                  <w:tcW w:w="1133" w:type="dxa"/>
                  <w:tcBorders>
                    <w:top w:val="single" w:sz="4" w:space="0" w:color="000000"/>
                    <w:left w:val="single" w:sz="4" w:space="0" w:color="000000"/>
                    <w:bottom w:val="single" w:sz="4" w:space="0" w:color="000000"/>
                    <w:right w:val="single" w:sz="4" w:space="0" w:color="000000"/>
                  </w:tcBorders>
                </w:tcPr>
                <w:p w14:paraId="151335E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Celkový menovitý tepelný </w:t>
                  </w:r>
                  <w:r w:rsidRPr="008819AF">
                    <w:rPr>
                      <w:rFonts w:ascii="Times New Roman" w:eastAsia="Arial" w:hAnsi="Times New Roman" w:cs="Times New Roman"/>
                      <w:color w:val="auto"/>
                      <w:sz w:val="20"/>
                      <w:szCs w:val="20"/>
                    </w:rPr>
                    <w:lastRenderedPageBreak/>
                    <w:t>príkon (MW)</w:t>
                  </w:r>
                </w:p>
              </w:tc>
              <w:tc>
                <w:tcPr>
                  <w:tcW w:w="1803" w:type="dxa"/>
                  <w:tcBorders>
                    <w:top w:val="single" w:sz="4" w:space="0" w:color="000000"/>
                    <w:left w:val="single" w:sz="4" w:space="0" w:color="000000"/>
                    <w:bottom w:val="single" w:sz="4" w:space="0" w:color="000000"/>
                    <w:right w:val="single" w:sz="4" w:space="0" w:color="000000"/>
                  </w:tcBorders>
                </w:tcPr>
                <w:p w14:paraId="151335E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Čierne a hnedé uhlie a iné tuhé palivá</w:t>
                  </w:r>
                </w:p>
              </w:tc>
              <w:tc>
                <w:tcPr>
                  <w:tcW w:w="1013" w:type="dxa"/>
                  <w:tcBorders>
                    <w:top w:val="single" w:sz="4" w:space="0" w:color="000000"/>
                    <w:left w:val="single" w:sz="4" w:space="0" w:color="000000"/>
                    <w:bottom w:val="single" w:sz="4" w:space="0" w:color="000000"/>
                    <w:right w:val="single" w:sz="4" w:space="0" w:color="000000"/>
                  </w:tcBorders>
                </w:tcPr>
                <w:p w14:paraId="151335E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Biomasa a rašelina</w:t>
                  </w:r>
                </w:p>
              </w:tc>
              <w:tc>
                <w:tcPr>
                  <w:tcW w:w="917" w:type="dxa"/>
                  <w:tcBorders>
                    <w:top w:val="single" w:sz="4" w:space="0" w:color="000000"/>
                    <w:left w:val="single" w:sz="4" w:space="0" w:color="000000"/>
                    <w:bottom w:val="single" w:sz="4" w:space="0" w:color="000000"/>
                    <w:right w:val="single" w:sz="4" w:space="0" w:color="000000"/>
                  </w:tcBorders>
                </w:tcPr>
                <w:p w14:paraId="151335E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Kvapalné palivá</w:t>
                  </w:r>
                </w:p>
              </w:tc>
            </w:tr>
            <w:tr w:rsidR="00236AB5" w:rsidRPr="008819AF" w14:paraId="151335EA" w14:textId="77777777">
              <w:trPr>
                <w:trHeight w:val="641"/>
                <w:jc w:val="center"/>
              </w:trPr>
              <w:tc>
                <w:tcPr>
                  <w:tcW w:w="1133" w:type="dxa"/>
                  <w:tcBorders>
                    <w:top w:val="single" w:sz="4" w:space="0" w:color="000000"/>
                    <w:left w:val="single" w:sz="4" w:space="0" w:color="000000"/>
                    <w:bottom w:val="single" w:sz="4" w:space="0" w:color="000000"/>
                    <w:right w:val="single" w:sz="4" w:space="0" w:color="000000"/>
                  </w:tcBorders>
                </w:tcPr>
                <w:p w14:paraId="151335E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50-100</w:t>
                  </w:r>
                </w:p>
              </w:tc>
              <w:tc>
                <w:tcPr>
                  <w:tcW w:w="1803" w:type="dxa"/>
                  <w:tcBorders>
                    <w:top w:val="single" w:sz="4" w:space="0" w:color="000000"/>
                    <w:left w:val="single" w:sz="4" w:space="0" w:color="000000"/>
                    <w:bottom w:val="single" w:sz="4" w:space="0" w:color="000000"/>
                    <w:right w:val="single" w:sz="4" w:space="0" w:color="000000"/>
                  </w:tcBorders>
                </w:tcPr>
                <w:p w14:paraId="151335E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p w14:paraId="151335E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400 v prípade spaľovania práškového hnedého uhlia</w:t>
                  </w:r>
                </w:p>
              </w:tc>
              <w:tc>
                <w:tcPr>
                  <w:tcW w:w="1013" w:type="dxa"/>
                  <w:tcBorders>
                    <w:top w:val="single" w:sz="4" w:space="0" w:color="000000"/>
                    <w:left w:val="single" w:sz="4" w:space="0" w:color="000000"/>
                    <w:bottom w:val="single" w:sz="4" w:space="0" w:color="000000"/>
                    <w:right w:val="single" w:sz="4" w:space="0" w:color="000000"/>
                  </w:tcBorders>
                </w:tcPr>
                <w:p w14:paraId="151335E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250</w:t>
                  </w:r>
                </w:p>
              </w:tc>
              <w:tc>
                <w:tcPr>
                  <w:tcW w:w="917" w:type="dxa"/>
                  <w:tcBorders>
                    <w:top w:val="single" w:sz="4" w:space="0" w:color="000000"/>
                    <w:left w:val="single" w:sz="4" w:space="0" w:color="000000"/>
                    <w:bottom w:val="single" w:sz="4" w:space="0" w:color="000000"/>
                    <w:right w:val="single" w:sz="4" w:space="0" w:color="000000"/>
                  </w:tcBorders>
                </w:tcPr>
                <w:p w14:paraId="151335E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tc>
            </w:tr>
            <w:tr w:rsidR="00236AB5" w:rsidRPr="008819AF" w14:paraId="151335EF" w14:textId="77777777">
              <w:trPr>
                <w:trHeight w:val="103"/>
                <w:jc w:val="center"/>
              </w:trPr>
              <w:tc>
                <w:tcPr>
                  <w:tcW w:w="1133" w:type="dxa"/>
                  <w:tcBorders>
                    <w:top w:val="single" w:sz="4" w:space="0" w:color="000000"/>
                    <w:left w:val="single" w:sz="4" w:space="0" w:color="000000"/>
                    <w:bottom w:val="single" w:sz="4" w:space="0" w:color="000000"/>
                    <w:right w:val="single" w:sz="4" w:space="0" w:color="000000"/>
                  </w:tcBorders>
                </w:tcPr>
                <w:p w14:paraId="151335E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100-300</w:t>
                  </w:r>
                </w:p>
              </w:tc>
              <w:tc>
                <w:tcPr>
                  <w:tcW w:w="1803" w:type="dxa"/>
                  <w:tcBorders>
                    <w:top w:val="single" w:sz="4" w:space="0" w:color="000000"/>
                    <w:left w:val="single" w:sz="4" w:space="0" w:color="000000"/>
                    <w:bottom w:val="single" w:sz="4" w:space="0" w:color="000000"/>
                    <w:right w:val="single" w:sz="4" w:space="0" w:color="000000"/>
                  </w:tcBorders>
                </w:tcPr>
                <w:p w14:paraId="151335E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13" w:type="dxa"/>
                  <w:tcBorders>
                    <w:top w:val="single" w:sz="4" w:space="0" w:color="000000"/>
                    <w:left w:val="single" w:sz="4" w:space="0" w:color="000000"/>
                    <w:bottom w:val="single" w:sz="4" w:space="0" w:color="000000"/>
                    <w:right w:val="single" w:sz="4" w:space="0" w:color="000000"/>
                  </w:tcBorders>
                </w:tcPr>
                <w:p w14:paraId="151335E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917" w:type="dxa"/>
                  <w:tcBorders>
                    <w:top w:val="single" w:sz="4" w:space="0" w:color="000000"/>
                    <w:left w:val="single" w:sz="4" w:space="0" w:color="000000"/>
                    <w:bottom w:val="single" w:sz="4" w:space="0" w:color="000000"/>
                    <w:right w:val="single" w:sz="4" w:space="0" w:color="000000"/>
                  </w:tcBorders>
                </w:tcPr>
                <w:p w14:paraId="151335E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tc>
            </w:tr>
            <w:tr w:rsidR="00236AB5" w:rsidRPr="008819AF" w14:paraId="151335F5" w14:textId="77777777">
              <w:trPr>
                <w:trHeight w:val="358"/>
                <w:jc w:val="center"/>
              </w:trPr>
              <w:tc>
                <w:tcPr>
                  <w:tcW w:w="1133" w:type="dxa"/>
                  <w:tcBorders>
                    <w:top w:val="single" w:sz="4" w:space="0" w:color="000000"/>
                    <w:left w:val="single" w:sz="4" w:space="0" w:color="000000"/>
                    <w:bottom w:val="single" w:sz="4" w:space="0" w:color="000000"/>
                    <w:right w:val="single" w:sz="4" w:space="0" w:color="000000"/>
                  </w:tcBorders>
                </w:tcPr>
                <w:p w14:paraId="151335F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w:t>
                  </w:r>
                </w:p>
              </w:tc>
              <w:tc>
                <w:tcPr>
                  <w:tcW w:w="1803" w:type="dxa"/>
                  <w:tcBorders>
                    <w:top w:val="single" w:sz="4" w:space="0" w:color="000000"/>
                    <w:left w:val="single" w:sz="4" w:space="0" w:color="000000"/>
                    <w:bottom w:val="single" w:sz="4" w:space="0" w:color="000000"/>
                    <w:right w:val="single" w:sz="4" w:space="0" w:color="000000"/>
                  </w:tcBorders>
                </w:tcPr>
                <w:p w14:paraId="151335F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p w14:paraId="151335F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 v prípade spaľovania práškového hnedého uhlia</w:t>
                  </w:r>
                </w:p>
              </w:tc>
              <w:tc>
                <w:tcPr>
                  <w:tcW w:w="1013" w:type="dxa"/>
                  <w:tcBorders>
                    <w:top w:val="single" w:sz="4" w:space="0" w:color="000000"/>
                    <w:left w:val="single" w:sz="4" w:space="0" w:color="000000"/>
                    <w:bottom w:val="single" w:sz="4" w:space="0" w:color="000000"/>
                    <w:right w:val="single" w:sz="4" w:space="0" w:color="000000"/>
                  </w:tcBorders>
                </w:tcPr>
                <w:p w14:paraId="151335F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tc>
              <w:tc>
                <w:tcPr>
                  <w:tcW w:w="917" w:type="dxa"/>
                  <w:tcBorders>
                    <w:top w:val="single" w:sz="4" w:space="0" w:color="000000"/>
                    <w:left w:val="single" w:sz="4" w:space="0" w:color="000000"/>
                    <w:bottom w:val="single" w:sz="4" w:space="0" w:color="000000"/>
                    <w:right w:val="single" w:sz="4" w:space="0" w:color="000000"/>
                  </w:tcBorders>
                </w:tcPr>
                <w:p w14:paraId="151335F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tc>
            </w:tr>
          </w:tbl>
          <w:p w14:paraId="151335F6" w14:textId="77777777" w:rsidR="00236AB5" w:rsidRPr="008819AF" w:rsidRDefault="00236AB5" w:rsidP="00236AB5">
            <w:pPr>
              <w:rPr>
                <w:rFonts w:eastAsia="Arial"/>
                <w:lang w:bidi="cs-CZ"/>
              </w:rPr>
            </w:pPr>
          </w:p>
          <w:p w14:paraId="151335F7" w14:textId="77777777" w:rsidR="00236AB5" w:rsidRPr="008819AF" w:rsidRDefault="00236AB5" w:rsidP="00236AB5">
            <w:pPr>
              <w:ind w:left="215" w:hanging="215"/>
              <w:rPr>
                <w:rFonts w:eastAsia="Arial"/>
                <w:lang w:bidi="cs-CZ"/>
              </w:rPr>
            </w:pPr>
            <w:r w:rsidRPr="008819AF">
              <w:rPr>
                <w:rFonts w:eastAsia="Arial"/>
                <w:lang w:bidi="cs-CZ"/>
              </w:rPr>
              <w:t>5. Emisný limit pre plynové turbíny (vrátane CCGT), ktoré ako kvapalné palivo používajú ľahké a stredné destiláty, je pre NOx stanovená na 50 mg/Nm3 a pre CO na 100 mg/Nm3.</w:t>
            </w:r>
          </w:p>
          <w:p w14:paraId="151335F8" w14:textId="77777777" w:rsidR="00236AB5" w:rsidRPr="008819AF" w:rsidRDefault="00236AB5" w:rsidP="00236AB5">
            <w:pPr>
              <w:rPr>
                <w:rFonts w:eastAsia="Arial"/>
                <w:lang w:bidi="cs-CZ"/>
              </w:rPr>
            </w:pPr>
            <w:r w:rsidRPr="008819AF">
              <w:rPr>
                <w:rFonts w:eastAsia="Arial"/>
                <w:lang w:bidi="cs-CZ"/>
              </w:rPr>
              <w:t>Na plynové turbíny používané na núdzovú prevádzku, ktoré sú v prevádzke menej ako 500 prevádzkových hodín ročne, sa neuplatňujú emisné limity stanovené v tomto bode. Prevádzkovateľ takéhoto zariadenia zaznamenáva využité prevádzkové hodiny.</w:t>
            </w:r>
          </w:p>
          <w:p w14:paraId="151335F9" w14:textId="77777777" w:rsidR="00236AB5" w:rsidRPr="008819AF" w:rsidRDefault="00236AB5" w:rsidP="00236AB5">
            <w:pPr>
              <w:ind w:left="215" w:hanging="215"/>
              <w:rPr>
                <w:rFonts w:eastAsia="Arial"/>
                <w:lang w:bidi="cs-CZ"/>
              </w:rPr>
            </w:pPr>
            <w:r w:rsidRPr="008819AF">
              <w:rPr>
                <w:rFonts w:eastAsia="Arial"/>
                <w:lang w:bidi="cs-CZ"/>
              </w:rPr>
              <w:t>6. Emisné limity (mg/Nm3) pre NOx a CO pre spaľovacie zariadenia spaľujúce plyn</w:t>
            </w:r>
          </w:p>
          <w:p w14:paraId="151335FA" w14:textId="77777777" w:rsidR="00236AB5" w:rsidRPr="008819AF" w:rsidRDefault="00236AB5" w:rsidP="00236AB5">
            <w:pPr>
              <w:ind w:left="215" w:hanging="215"/>
              <w:rPr>
                <w:rFonts w:eastAsia="Arial"/>
                <w:lang w:bidi="cs-CZ"/>
              </w:rPr>
            </w:pP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683"/>
              <w:gridCol w:w="888"/>
            </w:tblGrid>
            <w:tr w:rsidR="00236AB5" w:rsidRPr="008819AF" w14:paraId="151335FE" w14:textId="77777777">
              <w:trPr>
                <w:trHeight w:val="99"/>
                <w:jc w:val="center"/>
              </w:trPr>
              <w:tc>
                <w:tcPr>
                  <w:tcW w:w="3294" w:type="dxa"/>
                  <w:tcBorders>
                    <w:top w:val="single" w:sz="4" w:space="0" w:color="000000"/>
                    <w:left w:val="single" w:sz="4" w:space="0" w:color="000000"/>
                    <w:bottom w:val="single" w:sz="4" w:space="0" w:color="000000"/>
                    <w:right w:val="single" w:sz="4" w:space="0" w:color="000000"/>
                  </w:tcBorders>
                </w:tcPr>
                <w:p w14:paraId="151335FB" w14:textId="77777777" w:rsidR="00236AB5" w:rsidRPr="008819AF" w:rsidRDefault="00236AB5" w:rsidP="00236AB5">
                  <w:pPr>
                    <w:pStyle w:val="Default"/>
                    <w:rPr>
                      <w:rFonts w:ascii="Times New Roman" w:eastAsia="Arial" w:hAnsi="Times New Roman" w:cs="Times New Roman"/>
                      <w:color w:val="auto"/>
                      <w:sz w:val="20"/>
                      <w:szCs w:val="20"/>
                    </w:rPr>
                  </w:pPr>
                </w:p>
              </w:tc>
              <w:tc>
                <w:tcPr>
                  <w:tcW w:w="683" w:type="dxa"/>
                  <w:tcBorders>
                    <w:top w:val="single" w:sz="4" w:space="0" w:color="000000"/>
                    <w:left w:val="single" w:sz="4" w:space="0" w:color="000000"/>
                    <w:bottom w:val="single" w:sz="4" w:space="0" w:color="000000"/>
                    <w:right w:val="single" w:sz="4" w:space="0" w:color="000000"/>
                  </w:tcBorders>
                </w:tcPr>
                <w:p w14:paraId="151335F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NOx</w:t>
                  </w:r>
                </w:p>
              </w:tc>
              <w:tc>
                <w:tcPr>
                  <w:tcW w:w="888" w:type="dxa"/>
                  <w:tcBorders>
                    <w:top w:val="single" w:sz="4" w:space="0" w:color="000000"/>
                    <w:left w:val="single" w:sz="4" w:space="0" w:color="000000"/>
                    <w:bottom w:val="single" w:sz="4" w:space="0" w:color="000000"/>
                    <w:right w:val="single" w:sz="4" w:space="0" w:color="000000"/>
                  </w:tcBorders>
                </w:tcPr>
                <w:p w14:paraId="151335F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CO</w:t>
                  </w:r>
                </w:p>
              </w:tc>
            </w:tr>
            <w:tr w:rsidR="00236AB5" w:rsidRPr="008819AF" w14:paraId="15133602" w14:textId="77777777">
              <w:trPr>
                <w:trHeight w:val="199"/>
                <w:jc w:val="center"/>
              </w:trPr>
              <w:tc>
                <w:tcPr>
                  <w:tcW w:w="3294" w:type="dxa"/>
                  <w:tcBorders>
                    <w:top w:val="single" w:sz="4" w:space="0" w:color="000000"/>
                    <w:left w:val="single" w:sz="4" w:space="0" w:color="000000"/>
                    <w:bottom w:val="single" w:sz="4" w:space="0" w:color="000000"/>
                    <w:right w:val="single" w:sz="4" w:space="0" w:color="000000"/>
                  </w:tcBorders>
                </w:tcPr>
                <w:p w14:paraId="151335F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Spaľovacie zariadenia okrem plynových turbín a plynových motorov</w:t>
                  </w:r>
                </w:p>
              </w:tc>
              <w:tc>
                <w:tcPr>
                  <w:tcW w:w="683" w:type="dxa"/>
                  <w:tcBorders>
                    <w:top w:val="single" w:sz="4" w:space="0" w:color="000000"/>
                    <w:left w:val="single" w:sz="4" w:space="0" w:color="000000"/>
                    <w:bottom w:val="single" w:sz="4" w:space="0" w:color="000000"/>
                    <w:right w:val="single" w:sz="4" w:space="0" w:color="000000"/>
                  </w:tcBorders>
                </w:tcPr>
                <w:p w14:paraId="1513360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tc>
              <w:tc>
                <w:tcPr>
                  <w:tcW w:w="888" w:type="dxa"/>
                  <w:tcBorders>
                    <w:top w:val="single" w:sz="4" w:space="0" w:color="000000"/>
                    <w:left w:val="single" w:sz="4" w:space="0" w:color="000000"/>
                    <w:bottom w:val="single" w:sz="4" w:space="0" w:color="000000"/>
                    <w:right w:val="single" w:sz="4" w:space="0" w:color="000000"/>
                  </w:tcBorders>
                </w:tcPr>
                <w:p w14:paraId="1513360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tc>
            </w:tr>
            <w:tr w:rsidR="00236AB5" w:rsidRPr="008819AF" w14:paraId="15133606" w14:textId="77777777">
              <w:trPr>
                <w:trHeight w:val="103"/>
                <w:jc w:val="center"/>
              </w:trPr>
              <w:tc>
                <w:tcPr>
                  <w:tcW w:w="3294" w:type="dxa"/>
                  <w:tcBorders>
                    <w:top w:val="single" w:sz="4" w:space="0" w:color="000000"/>
                    <w:left w:val="single" w:sz="4" w:space="0" w:color="000000"/>
                    <w:bottom w:val="single" w:sz="4" w:space="0" w:color="000000"/>
                    <w:right w:val="single" w:sz="4" w:space="0" w:color="000000"/>
                  </w:tcBorders>
                </w:tcPr>
                <w:p w14:paraId="1513360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Plynové turbíny (vrátane CCGT)</w:t>
                  </w:r>
                </w:p>
              </w:tc>
              <w:tc>
                <w:tcPr>
                  <w:tcW w:w="683" w:type="dxa"/>
                  <w:tcBorders>
                    <w:top w:val="single" w:sz="4" w:space="0" w:color="000000"/>
                    <w:left w:val="single" w:sz="4" w:space="0" w:color="000000"/>
                    <w:bottom w:val="single" w:sz="4" w:space="0" w:color="000000"/>
                    <w:right w:val="single" w:sz="4" w:space="0" w:color="000000"/>
                  </w:tcBorders>
                </w:tcPr>
                <w:p w14:paraId="1513360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(1)</w:t>
                  </w:r>
                </w:p>
              </w:tc>
              <w:tc>
                <w:tcPr>
                  <w:tcW w:w="888" w:type="dxa"/>
                  <w:tcBorders>
                    <w:top w:val="single" w:sz="4" w:space="0" w:color="000000"/>
                    <w:left w:val="single" w:sz="4" w:space="0" w:color="000000"/>
                    <w:bottom w:val="single" w:sz="4" w:space="0" w:color="000000"/>
                    <w:right w:val="single" w:sz="4" w:space="0" w:color="000000"/>
                  </w:tcBorders>
                </w:tcPr>
                <w:p w14:paraId="1513360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tc>
            </w:tr>
            <w:tr w:rsidR="00236AB5" w:rsidRPr="008819AF" w14:paraId="1513360A" w14:textId="77777777">
              <w:trPr>
                <w:trHeight w:val="103"/>
                <w:jc w:val="center"/>
              </w:trPr>
              <w:tc>
                <w:tcPr>
                  <w:tcW w:w="3294" w:type="dxa"/>
                  <w:tcBorders>
                    <w:top w:val="single" w:sz="4" w:space="0" w:color="000000"/>
                    <w:left w:val="single" w:sz="4" w:space="0" w:color="000000"/>
                    <w:bottom w:val="single" w:sz="4" w:space="0" w:color="000000"/>
                    <w:right w:val="single" w:sz="4" w:space="0" w:color="000000"/>
                  </w:tcBorders>
                </w:tcPr>
                <w:p w14:paraId="1513360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Plynové motory</w:t>
                  </w:r>
                </w:p>
              </w:tc>
              <w:tc>
                <w:tcPr>
                  <w:tcW w:w="683" w:type="dxa"/>
                  <w:tcBorders>
                    <w:top w:val="single" w:sz="4" w:space="0" w:color="000000"/>
                    <w:left w:val="single" w:sz="4" w:space="0" w:color="000000"/>
                    <w:bottom w:val="single" w:sz="4" w:space="0" w:color="000000"/>
                    <w:right w:val="single" w:sz="4" w:space="0" w:color="000000"/>
                  </w:tcBorders>
                </w:tcPr>
                <w:p w14:paraId="1513360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75</w:t>
                  </w:r>
                </w:p>
              </w:tc>
              <w:tc>
                <w:tcPr>
                  <w:tcW w:w="888" w:type="dxa"/>
                  <w:tcBorders>
                    <w:top w:val="single" w:sz="4" w:space="0" w:color="000000"/>
                    <w:left w:val="single" w:sz="4" w:space="0" w:color="000000"/>
                    <w:bottom w:val="single" w:sz="4" w:space="0" w:color="000000"/>
                    <w:right w:val="single" w:sz="4" w:space="0" w:color="000000"/>
                  </w:tcBorders>
                </w:tcPr>
                <w:p w14:paraId="1513360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tc>
            </w:tr>
          </w:tbl>
          <w:p w14:paraId="1513360B" w14:textId="77777777" w:rsidR="00236AB5" w:rsidRPr="008819AF" w:rsidRDefault="00236AB5" w:rsidP="00236AB5">
            <w:pPr>
              <w:ind w:left="215" w:hanging="215"/>
              <w:rPr>
                <w:rFonts w:eastAsia="Arial"/>
                <w:lang w:bidi="cs-CZ"/>
              </w:rPr>
            </w:pPr>
            <w:r w:rsidRPr="008819AF">
              <w:rPr>
                <w:rFonts w:eastAsia="Arial"/>
                <w:lang w:bidi="cs-CZ"/>
              </w:rPr>
              <w:t>Poznámka</w:t>
            </w:r>
          </w:p>
          <w:p w14:paraId="1513360C" w14:textId="77777777" w:rsidR="00236AB5" w:rsidRPr="008819AF" w:rsidRDefault="00236AB5" w:rsidP="00236AB5">
            <w:pPr>
              <w:ind w:left="215" w:hanging="215"/>
              <w:rPr>
                <w:rFonts w:eastAsia="Arial"/>
                <w:lang w:bidi="cs-CZ"/>
              </w:rPr>
            </w:pPr>
            <w:r w:rsidRPr="008819AF">
              <w:rPr>
                <w:rFonts w:eastAsia="Arial"/>
                <w:lang w:bidi="cs-CZ"/>
              </w:rPr>
              <w:t>(1) Pre jednocyklové plynové turbíny, ktoré majú účinnosť vyššiu ako 35 % – určenú za podmienok základného zaťaženia podľa ISO –, je pre NOx emisný limit 50x</w:t>
            </w:r>
            <w:r w:rsidRPr="008819AF">
              <w:rPr>
                <w:rFonts w:eastAsia="Arial Greek"/>
                <w:lang w:bidi="cs-CZ"/>
              </w:rPr>
              <w:t xml:space="preserve">η/35, kde η je </w:t>
            </w:r>
            <w:r w:rsidRPr="008819AF">
              <w:rPr>
                <w:rFonts w:eastAsia="Arial"/>
                <w:lang w:bidi="cs-CZ"/>
              </w:rPr>
              <w:t>účinnosť plynovej turbíny za podmienok základného zaťaženia podľa ISO vyjadrená v percentách.</w:t>
            </w:r>
          </w:p>
          <w:p w14:paraId="1513360D" w14:textId="77777777" w:rsidR="00236AB5" w:rsidRPr="008819AF" w:rsidRDefault="00236AB5" w:rsidP="00236AB5">
            <w:pPr>
              <w:ind w:left="215" w:hanging="215"/>
              <w:rPr>
                <w:rFonts w:eastAsia="Arial"/>
                <w:lang w:bidi="cs-CZ"/>
              </w:rPr>
            </w:pPr>
            <w:r w:rsidRPr="008819AF">
              <w:rPr>
                <w:rFonts w:eastAsia="Arial"/>
                <w:lang w:bidi="cs-CZ"/>
              </w:rPr>
              <w:t>----------------------------------------------------------------------------------</w:t>
            </w:r>
          </w:p>
          <w:p w14:paraId="1513360E" w14:textId="77777777" w:rsidR="00236AB5" w:rsidRPr="008819AF" w:rsidRDefault="00236AB5" w:rsidP="00236AB5">
            <w:pPr>
              <w:ind w:left="215" w:hanging="13"/>
              <w:rPr>
                <w:rFonts w:eastAsia="Arial"/>
                <w:lang w:bidi="cs-CZ"/>
              </w:rPr>
            </w:pPr>
            <w:r w:rsidRPr="008819AF">
              <w:rPr>
                <w:rFonts w:eastAsia="Arial"/>
                <w:lang w:bidi="cs-CZ"/>
              </w:rPr>
              <w:t>Pre plynové turbíny (vrátane CCGT) sa emisné limity pre NOx a CO stanovené v tomto bode uplatňujú len pri záťaži vyššej ako 70 %.</w:t>
            </w:r>
          </w:p>
          <w:p w14:paraId="1513360F" w14:textId="77777777" w:rsidR="00236AB5" w:rsidRPr="008819AF" w:rsidRDefault="00236AB5" w:rsidP="00236AB5">
            <w:pPr>
              <w:ind w:left="215" w:hanging="215"/>
              <w:rPr>
                <w:rFonts w:eastAsia="Arial"/>
                <w:lang w:bidi="cs-CZ"/>
              </w:rPr>
            </w:pPr>
            <w:r w:rsidRPr="008819AF">
              <w:rPr>
                <w:rFonts w:eastAsia="Arial"/>
                <w:lang w:bidi="cs-CZ"/>
              </w:rPr>
              <w:t xml:space="preserve">Na plynové turbíny a plynové motory používané na núdzovú prevádzku, </w:t>
            </w:r>
            <w:r w:rsidRPr="008819AF">
              <w:rPr>
                <w:rFonts w:eastAsia="Arial"/>
                <w:lang w:bidi="cs-CZ"/>
              </w:rPr>
              <w:lastRenderedPageBreak/>
              <w:t>ktoré sú v prevádzke menej ako 500 prevádzkových hodín ročne, sa nevzťahujú emisné limity stanovené v tomto bode. Prevádzkovateľ takéhoto zariadenia zaznamenáva využité prevádzkové hodiny.</w:t>
            </w:r>
          </w:p>
          <w:p w14:paraId="15133610" w14:textId="77777777" w:rsidR="00236AB5" w:rsidRPr="008819AF" w:rsidRDefault="00236AB5" w:rsidP="00236AB5">
            <w:pPr>
              <w:ind w:left="215" w:hanging="215"/>
              <w:rPr>
                <w:rFonts w:eastAsia="Arial"/>
                <w:lang w:bidi="cs-CZ"/>
              </w:rPr>
            </w:pPr>
            <w:r w:rsidRPr="008819AF">
              <w:rPr>
                <w:rFonts w:eastAsia="Arial"/>
                <w:lang w:bidi="cs-CZ"/>
              </w:rPr>
              <w:t>7. Emisné limity (mg/Nm3) pre prach pre spaľovacie zariadenia používajúce tuhé alebo kvapalné palivá s výnimkou plynových turbín a plynových motorov</w:t>
            </w:r>
          </w:p>
          <w:p w14:paraId="15133611" w14:textId="77777777" w:rsidR="00236AB5" w:rsidRPr="008819AF" w:rsidRDefault="00236AB5" w:rsidP="00236AB5">
            <w:pPr>
              <w:ind w:left="215" w:hanging="215"/>
              <w:rPr>
                <w:rFonts w:eastAsia="Arial"/>
                <w:lang w:bidi="cs-CZ"/>
              </w:rPr>
            </w:pP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2432"/>
            </w:tblGrid>
            <w:tr w:rsidR="00236AB5" w:rsidRPr="008819AF" w14:paraId="15133613" w14:textId="77777777">
              <w:trPr>
                <w:trHeight w:val="90"/>
                <w:jc w:val="center"/>
              </w:trPr>
              <w:tc>
                <w:tcPr>
                  <w:tcW w:w="4865" w:type="dxa"/>
                  <w:gridSpan w:val="2"/>
                  <w:tcBorders>
                    <w:top w:val="single" w:sz="4" w:space="0" w:color="000000"/>
                    <w:left w:val="single" w:sz="4" w:space="0" w:color="000000"/>
                    <w:bottom w:val="single" w:sz="4" w:space="0" w:color="000000"/>
                    <w:right w:val="single" w:sz="4" w:space="0" w:color="000000"/>
                  </w:tcBorders>
                </w:tcPr>
                <w:p w14:paraId="1513361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Celkový menovitý tepelný príkon (MW)</w:t>
                  </w:r>
                </w:p>
              </w:tc>
            </w:tr>
            <w:tr w:rsidR="00236AB5" w:rsidRPr="008819AF" w14:paraId="15133616" w14:textId="77777777">
              <w:trPr>
                <w:trHeight w:val="103"/>
                <w:jc w:val="center"/>
              </w:trPr>
              <w:tc>
                <w:tcPr>
                  <w:tcW w:w="2433" w:type="dxa"/>
                  <w:tcBorders>
                    <w:top w:val="single" w:sz="4" w:space="0" w:color="000000"/>
                    <w:left w:val="single" w:sz="4" w:space="0" w:color="000000"/>
                    <w:bottom w:val="single" w:sz="4" w:space="0" w:color="000000"/>
                    <w:right w:val="single" w:sz="4" w:space="0" w:color="000000"/>
                  </w:tcBorders>
                </w:tcPr>
                <w:p w14:paraId="1513361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 300</w:t>
                  </w:r>
                </w:p>
              </w:tc>
              <w:tc>
                <w:tcPr>
                  <w:tcW w:w="2432" w:type="dxa"/>
                  <w:tcBorders>
                    <w:top w:val="single" w:sz="4" w:space="0" w:color="000000"/>
                    <w:left w:val="single" w:sz="4" w:space="0" w:color="000000"/>
                    <w:bottom w:val="single" w:sz="4" w:space="0" w:color="000000"/>
                    <w:right w:val="single" w:sz="4" w:space="0" w:color="000000"/>
                  </w:tcBorders>
                </w:tcPr>
                <w:p w14:paraId="1513361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r>
            <w:tr w:rsidR="00236AB5" w:rsidRPr="008819AF" w14:paraId="1513361A" w14:textId="77777777">
              <w:trPr>
                <w:trHeight w:val="262"/>
                <w:jc w:val="center"/>
              </w:trPr>
              <w:tc>
                <w:tcPr>
                  <w:tcW w:w="2433" w:type="dxa"/>
                  <w:tcBorders>
                    <w:top w:val="single" w:sz="4" w:space="0" w:color="000000"/>
                    <w:left w:val="single" w:sz="4" w:space="0" w:color="000000"/>
                    <w:bottom w:val="single" w:sz="4" w:space="0" w:color="000000"/>
                    <w:right w:val="single" w:sz="4" w:space="0" w:color="000000"/>
                  </w:tcBorders>
                </w:tcPr>
                <w:p w14:paraId="1513361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w:t>
                  </w:r>
                </w:p>
              </w:tc>
              <w:tc>
                <w:tcPr>
                  <w:tcW w:w="2432" w:type="dxa"/>
                  <w:tcBorders>
                    <w:top w:val="single" w:sz="4" w:space="0" w:color="000000"/>
                    <w:left w:val="single" w:sz="4" w:space="0" w:color="000000"/>
                    <w:bottom w:val="single" w:sz="4" w:space="0" w:color="000000"/>
                    <w:right w:val="single" w:sz="4" w:space="0" w:color="000000"/>
                  </w:tcBorders>
                </w:tcPr>
                <w:p w14:paraId="1513361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p w14:paraId="1513361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 pre biomasu a rašelinu</w:t>
                  </w:r>
                </w:p>
              </w:tc>
            </w:tr>
          </w:tbl>
          <w:p w14:paraId="1513361B" w14:textId="77777777" w:rsidR="00236AB5" w:rsidRPr="008819AF" w:rsidRDefault="00236AB5" w:rsidP="00236AB5">
            <w:pPr>
              <w:ind w:left="215" w:hanging="215"/>
              <w:rPr>
                <w:rFonts w:eastAsia="Arial"/>
                <w:lang w:bidi="cs-CZ"/>
              </w:rPr>
            </w:pPr>
            <w:r w:rsidRPr="008819AF">
              <w:rPr>
                <w:rFonts w:eastAsia="Arial"/>
                <w:lang w:bidi="cs-CZ"/>
              </w:rPr>
              <w:t>8. Emisné limity (mg/Nm3) pre prach pre spaľovacie zariadenia používajúce plynné palivá s výnimkou plynových turbín a plynových motorov</w:t>
            </w: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755"/>
            </w:tblGrid>
            <w:tr w:rsidR="00236AB5" w:rsidRPr="008819AF" w14:paraId="1513361E"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1513361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Všeobecne</w:t>
                  </w:r>
                </w:p>
              </w:tc>
              <w:tc>
                <w:tcPr>
                  <w:tcW w:w="755" w:type="dxa"/>
                  <w:tcBorders>
                    <w:top w:val="single" w:sz="4" w:space="0" w:color="000000"/>
                    <w:left w:val="single" w:sz="4" w:space="0" w:color="000000"/>
                    <w:bottom w:val="single" w:sz="4" w:space="0" w:color="000000"/>
                    <w:right w:val="single" w:sz="4" w:space="0" w:color="000000"/>
                  </w:tcBorders>
                </w:tcPr>
                <w:p w14:paraId="1513361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w:t>
                  </w:r>
                </w:p>
              </w:tc>
            </w:tr>
            <w:tr w:rsidR="00236AB5" w:rsidRPr="008819AF" w14:paraId="15133621"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1513361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Vysokopecný plyn</w:t>
                  </w:r>
                </w:p>
              </w:tc>
              <w:tc>
                <w:tcPr>
                  <w:tcW w:w="755" w:type="dxa"/>
                  <w:tcBorders>
                    <w:top w:val="single" w:sz="4" w:space="0" w:color="000000"/>
                    <w:left w:val="single" w:sz="4" w:space="0" w:color="000000"/>
                    <w:bottom w:val="single" w:sz="4" w:space="0" w:color="000000"/>
                    <w:right w:val="single" w:sz="4" w:space="0" w:color="000000"/>
                  </w:tcBorders>
                </w:tcPr>
                <w:p w14:paraId="1513362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r>
            <w:tr w:rsidR="00236AB5" w:rsidRPr="008819AF" w14:paraId="15133624"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1513362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Plyny vznikajúce v oceliarskom priemysle, ktoré sa môžu použiť inde</w:t>
                  </w:r>
                </w:p>
              </w:tc>
              <w:tc>
                <w:tcPr>
                  <w:tcW w:w="755" w:type="dxa"/>
                  <w:tcBorders>
                    <w:top w:val="single" w:sz="4" w:space="0" w:color="000000"/>
                    <w:left w:val="single" w:sz="4" w:space="0" w:color="000000"/>
                    <w:bottom w:val="single" w:sz="4" w:space="0" w:color="000000"/>
                    <w:right w:val="single" w:sz="4" w:space="0" w:color="000000"/>
                  </w:tcBorders>
                </w:tcPr>
                <w:p w14:paraId="1513362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r>
          </w:tbl>
          <w:p w14:paraId="15133625" w14:textId="77777777" w:rsidR="00236AB5" w:rsidRPr="008819AF" w:rsidRDefault="00236AB5" w:rsidP="00236AB5">
            <w:pPr>
              <w:rPr>
                <w:rFonts w:eastAsia="Arial"/>
                <w:lang w:bidi="cs-CZ"/>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626"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627"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628" w14:textId="77777777" w:rsidR="00236AB5" w:rsidRPr="008819AF" w:rsidRDefault="00236AB5" w:rsidP="00236AB5">
            <w:pPr>
              <w:jc w:val="center"/>
            </w:pPr>
            <w:r w:rsidRPr="008819AF">
              <w:t>Pr.4</w:t>
            </w:r>
          </w:p>
          <w:p w14:paraId="15133629" w14:textId="77777777" w:rsidR="00236AB5" w:rsidRPr="008819AF" w:rsidRDefault="00236AB5" w:rsidP="00236AB5">
            <w:pPr>
              <w:jc w:val="center"/>
            </w:pPr>
            <w:r w:rsidRPr="008819AF">
              <w:t>Časť III.</w:t>
            </w:r>
          </w:p>
        </w:tc>
        <w:tc>
          <w:tcPr>
            <w:tcW w:w="5664" w:type="dxa"/>
            <w:gridSpan w:val="5"/>
            <w:tcBorders>
              <w:top w:val="single" w:sz="4" w:space="0" w:color="000000"/>
              <w:left w:val="single" w:sz="6" w:space="0" w:color="000000"/>
              <w:bottom w:val="single" w:sz="6" w:space="0" w:color="000000"/>
              <w:right w:val="single" w:sz="6" w:space="0" w:color="000000"/>
            </w:tcBorders>
          </w:tcPr>
          <w:p w14:paraId="1513362A" w14:textId="77777777" w:rsidR="00236AB5" w:rsidRPr="008819AF" w:rsidRDefault="00236AB5" w:rsidP="00236AB5">
            <w:pPr>
              <w:pStyle w:val="Odsekzoznamu1"/>
              <w:spacing w:after="120"/>
              <w:ind w:left="0"/>
              <w:jc w:val="both"/>
              <w:rPr>
                <w:sz w:val="20"/>
                <w:szCs w:val="20"/>
              </w:rPr>
            </w:pPr>
            <w:r w:rsidRPr="008819AF">
              <w:rPr>
                <w:sz w:val="20"/>
                <w:szCs w:val="20"/>
              </w:rPr>
              <w:t xml:space="preserve">2.  Spaľovanie tuhých palív </w:t>
            </w:r>
          </w:p>
          <w:p w14:paraId="1513362B" w14:textId="77777777" w:rsidR="00236AB5" w:rsidRPr="008819AF" w:rsidRDefault="00236AB5" w:rsidP="00236AB5">
            <w:pPr>
              <w:spacing w:after="120"/>
              <w:ind w:left="34"/>
              <w:jc w:val="both"/>
            </w:pPr>
            <w:r w:rsidRPr="008819AF">
              <w:t>B. Emisné limity pre zariadenia Z4</w:t>
            </w:r>
          </w:p>
          <w:tbl>
            <w:tblPr>
              <w:tblStyle w:val="Mriekatabuky"/>
              <w:tblW w:w="55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111"/>
            </w:tblGrid>
            <w:tr w:rsidR="00236AB5" w:rsidRPr="008819AF" w14:paraId="1513362E" w14:textId="77777777" w:rsidTr="005950BD">
              <w:trPr>
                <w:jc w:val="center"/>
              </w:trPr>
              <w:tc>
                <w:tcPr>
                  <w:tcW w:w="1417" w:type="dxa"/>
                  <w:vMerge w:val="restart"/>
                  <w:vAlign w:val="center"/>
                </w:tcPr>
                <w:p w14:paraId="1513362C" w14:textId="77777777" w:rsidR="00236AB5" w:rsidRPr="008819AF" w:rsidRDefault="00236AB5" w:rsidP="00236AB5">
                  <w:pPr>
                    <w:jc w:val="both"/>
                    <w:rPr>
                      <w:sz w:val="18"/>
                      <w:szCs w:val="18"/>
                    </w:rPr>
                  </w:pPr>
                  <w:r w:rsidRPr="008819AF">
                    <w:rPr>
                      <w:b/>
                      <w:sz w:val="18"/>
                      <w:szCs w:val="18"/>
                    </w:rPr>
                    <w:t>Podmienky platnosti EL</w:t>
                  </w:r>
                </w:p>
              </w:tc>
              <w:tc>
                <w:tcPr>
                  <w:tcW w:w="4111" w:type="dxa"/>
                </w:tcPr>
                <w:p w14:paraId="1513362D" w14:textId="77777777" w:rsidR="00236AB5" w:rsidRPr="008819AF" w:rsidRDefault="00236AB5" w:rsidP="00236AB5">
                  <w:pPr>
                    <w:jc w:val="both"/>
                    <w:rPr>
                      <w:sz w:val="18"/>
                      <w:szCs w:val="18"/>
                    </w:rPr>
                  </w:pPr>
                  <w:r w:rsidRPr="008819AF">
                    <w:rPr>
                      <w:sz w:val="18"/>
                      <w:szCs w:val="18"/>
                    </w:rPr>
                    <w:t>Štandardné stavové podmienky, suchý plyn, O</w:t>
                  </w:r>
                  <w:r w:rsidRPr="008819AF">
                    <w:rPr>
                      <w:sz w:val="18"/>
                      <w:szCs w:val="18"/>
                      <w:vertAlign w:val="subscript"/>
                    </w:rPr>
                    <w:t>2 ref</w:t>
                  </w:r>
                  <w:r w:rsidRPr="008819AF">
                    <w:rPr>
                      <w:sz w:val="18"/>
                      <w:szCs w:val="18"/>
                    </w:rPr>
                    <w:t>: 6 % objemu</w:t>
                  </w:r>
                </w:p>
              </w:tc>
            </w:tr>
            <w:tr w:rsidR="00236AB5" w:rsidRPr="008819AF" w14:paraId="15133631" w14:textId="77777777" w:rsidTr="005950BD">
              <w:trPr>
                <w:jc w:val="center"/>
              </w:trPr>
              <w:tc>
                <w:tcPr>
                  <w:tcW w:w="1417" w:type="dxa"/>
                  <w:vMerge/>
                </w:tcPr>
                <w:p w14:paraId="1513362F" w14:textId="77777777" w:rsidR="00236AB5" w:rsidRPr="008819AF" w:rsidRDefault="00236AB5" w:rsidP="00236AB5">
                  <w:pPr>
                    <w:jc w:val="both"/>
                    <w:rPr>
                      <w:sz w:val="18"/>
                      <w:szCs w:val="18"/>
                    </w:rPr>
                  </w:pPr>
                </w:p>
              </w:tc>
              <w:tc>
                <w:tcPr>
                  <w:tcW w:w="4111" w:type="dxa"/>
                </w:tcPr>
                <w:p w14:paraId="15133630" w14:textId="77777777" w:rsidR="00236AB5" w:rsidRPr="008819AF" w:rsidRDefault="00236AB5" w:rsidP="00236AB5">
                  <w:pPr>
                    <w:jc w:val="both"/>
                    <w:rPr>
                      <w:sz w:val="18"/>
                      <w:szCs w:val="18"/>
                    </w:rPr>
                  </w:pPr>
                  <w:r w:rsidRPr="008819AF">
                    <w:rPr>
                      <w:sz w:val="18"/>
                      <w:szCs w:val="18"/>
                    </w:rPr>
                    <w:t xml:space="preserve">Emisný limit vyjadrený ako stupeň odsírenia možno uplatniť výlučne na domáce tuhé palivo podľa § 10 ods. 4.  </w:t>
                  </w:r>
                </w:p>
              </w:tc>
            </w:tr>
            <w:tr w:rsidR="00236AB5" w:rsidRPr="008819AF" w14:paraId="15133634" w14:textId="77777777" w:rsidTr="005950BD">
              <w:trPr>
                <w:jc w:val="center"/>
              </w:trPr>
              <w:tc>
                <w:tcPr>
                  <w:tcW w:w="1417" w:type="dxa"/>
                  <w:vMerge/>
                </w:tcPr>
                <w:p w14:paraId="15133632" w14:textId="77777777" w:rsidR="00236AB5" w:rsidRPr="008819AF" w:rsidRDefault="00236AB5" w:rsidP="00236AB5">
                  <w:pPr>
                    <w:jc w:val="both"/>
                    <w:rPr>
                      <w:sz w:val="18"/>
                      <w:szCs w:val="18"/>
                    </w:rPr>
                  </w:pPr>
                </w:p>
              </w:tc>
              <w:tc>
                <w:tcPr>
                  <w:tcW w:w="4111" w:type="dxa"/>
                </w:tcPr>
                <w:p w14:paraId="15133633" w14:textId="77777777" w:rsidR="00236AB5" w:rsidRPr="008819AF" w:rsidRDefault="00236AB5" w:rsidP="00236AB5">
                  <w:pPr>
                    <w:jc w:val="both"/>
                    <w:rPr>
                      <w:sz w:val="18"/>
                      <w:szCs w:val="18"/>
                    </w:rPr>
                  </w:pPr>
                  <w:r w:rsidRPr="008819AF">
                    <w:rPr>
                      <w:sz w:val="18"/>
                      <w:szCs w:val="18"/>
                    </w:rPr>
                    <w:t>Emisné limity pre ďalšie ZL sa neustanovujú a neuplatňujú sa ani všeobecné emisné limity. Pritom treba využiť dostupné opatrenia s ohľadom na primeranosť nákladov na obmedzenie ich emisií.</w:t>
                  </w:r>
                </w:p>
              </w:tc>
            </w:tr>
          </w:tbl>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3"/>
              <w:gridCol w:w="57"/>
              <w:gridCol w:w="567"/>
              <w:gridCol w:w="850"/>
              <w:gridCol w:w="567"/>
              <w:gridCol w:w="851"/>
              <w:gridCol w:w="992"/>
              <w:gridCol w:w="567"/>
              <w:gridCol w:w="560"/>
            </w:tblGrid>
            <w:tr w:rsidR="00236AB5" w:rsidRPr="008819AF" w14:paraId="15133638" w14:textId="77777777" w:rsidTr="005950BD">
              <w:trPr>
                <w:trHeight w:val="306"/>
                <w:jc w:val="center"/>
              </w:trPr>
              <w:tc>
                <w:tcPr>
                  <w:tcW w:w="1157" w:type="dxa"/>
                  <w:gridSpan w:val="3"/>
                  <w:tcBorders>
                    <w:top w:val="single" w:sz="2" w:space="0" w:color="auto"/>
                    <w:left w:val="single" w:sz="2" w:space="0" w:color="auto"/>
                    <w:bottom w:val="single" w:sz="2" w:space="0" w:color="auto"/>
                    <w:right w:val="single" w:sz="2" w:space="0" w:color="auto"/>
                  </w:tcBorders>
                  <w:vAlign w:val="center"/>
                </w:tcPr>
                <w:p w14:paraId="15133635" w14:textId="77777777" w:rsidR="00236AB5" w:rsidRPr="008819AF" w:rsidRDefault="00236AB5" w:rsidP="00236AB5">
                  <w:pPr>
                    <w:rPr>
                      <w:b/>
                      <w:sz w:val="18"/>
                      <w:szCs w:val="18"/>
                    </w:rPr>
                  </w:pPr>
                  <w:r w:rsidRPr="008819AF">
                    <w:rPr>
                      <w:b/>
                      <w:sz w:val="18"/>
                      <w:szCs w:val="18"/>
                    </w:rPr>
                    <w:t>MTP    [MW]</w:t>
                  </w:r>
                </w:p>
              </w:tc>
              <w:tc>
                <w:tcPr>
                  <w:tcW w:w="850" w:type="dxa"/>
                  <w:vMerge w:val="restart"/>
                  <w:tcBorders>
                    <w:top w:val="single" w:sz="2" w:space="0" w:color="auto"/>
                    <w:left w:val="single" w:sz="2" w:space="0" w:color="auto"/>
                    <w:bottom w:val="single" w:sz="2" w:space="0" w:color="auto"/>
                    <w:right w:val="single" w:sz="2" w:space="0" w:color="auto"/>
                  </w:tcBorders>
                  <w:vAlign w:val="center"/>
                </w:tcPr>
                <w:p w14:paraId="15133636" w14:textId="77777777" w:rsidR="00236AB5" w:rsidRPr="008819AF" w:rsidRDefault="00236AB5" w:rsidP="00236AB5">
                  <w:pPr>
                    <w:rPr>
                      <w:b/>
                      <w:sz w:val="18"/>
                      <w:szCs w:val="18"/>
                    </w:rPr>
                  </w:pPr>
                  <w:r w:rsidRPr="008819AF">
                    <w:rPr>
                      <w:b/>
                      <w:sz w:val="18"/>
                      <w:szCs w:val="18"/>
                    </w:rPr>
                    <w:t>Palivo</w:t>
                  </w:r>
                </w:p>
              </w:tc>
              <w:tc>
                <w:tcPr>
                  <w:tcW w:w="3537" w:type="dxa"/>
                  <w:gridSpan w:val="5"/>
                  <w:tcBorders>
                    <w:top w:val="single" w:sz="2" w:space="0" w:color="auto"/>
                    <w:left w:val="single" w:sz="2" w:space="0" w:color="auto"/>
                    <w:bottom w:val="single" w:sz="2" w:space="0" w:color="auto"/>
                    <w:right w:val="single" w:sz="2" w:space="0" w:color="auto"/>
                  </w:tcBorders>
                  <w:vAlign w:val="center"/>
                </w:tcPr>
                <w:p w14:paraId="15133637" w14:textId="77777777" w:rsidR="00236AB5" w:rsidRPr="008819AF" w:rsidRDefault="00236AB5" w:rsidP="00236AB5">
                  <w:pPr>
                    <w:jc w:val="center"/>
                    <w:rPr>
                      <w:b/>
                      <w:sz w:val="18"/>
                      <w:szCs w:val="18"/>
                    </w:rPr>
                  </w:pPr>
                  <w:r w:rsidRPr="008819AF">
                    <w:rPr>
                      <w:b/>
                      <w:sz w:val="18"/>
                      <w:szCs w:val="18"/>
                    </w:rPr>
                    <w:t>Emisný limit         [mg/m</w:t>
                  </w:r>
                  <w:r w:rsidRPr="008819AF">
                    <w:rPr>
                      <w:b/>
                      <w:sz w:val="18"/>
                      <w:szCs w:val="18"/>
                      <w:vertAlign w:val="superscript"/>
                    </w:rPr>
                    <w:t>3</w:t>
                  </w:r>
                  <w:r w:rsidRPr="008819AF">
                    <w:rPr>
                      <w:b/>
                      <w:sz w:val="18"/>
                      <w:szCs w:val="18"/>
                    </w:rPr>
                    <w:t>]</w:t>
                  </w:r>
                </w:p>
              </w:tc>
            </w:tr>
            <w:tr w:rsidR="00236AB5" w:rsidRPr="008819AF" w14:paraId="15133641" w14:textId="77777777" w:rsidTr="005950BD">
              <w:trPr>
                <w:trHeight w:val="306"/>
                <w:jc w:val="center"/>
              </w:trPr>
              <w:tc>
                <w:tcPr>
                  <w:tcW w:w="590" w:type="dxa"/>
                  <w:gridSpan w:val="2"/>
                  <w:tcBorders>
                    <w:top w:val="single" w:sz="2" w:space="0" w:color="auto"/>
                    <w:left w:val="single" w:sz="2" w:space="0" w:color="auto"/>
                    <w:bottom w:val="single" w:sz="2" w:space="0" w:color="auto"/>
                    <w:right w:val="single" w:sz="2" w:space="0" w:color="auto"/>
                  </w:tcBorders>
                  <w:vAlign w:val="center"/>
                </w:tcPr>
                <w:p w14:paraId="15133639" w14:textId="77777777" w:rsidR="00236AB5" w:rsidRPr="008819AF" w:rsidRDefault="00236AB5" w:rsidP="00236AB5">
                  <w:pPr>
                    <w:jc w:val="center"/>
                    <w:rPr>
                      <w:b/>
                      <w:sz w:val="18"/>
                      <w:szCs w:val="18"/>
                    </w:rPr>
                  </w:pPr>
                  <w:r w:rsidRPr="008819AF">
                    <w:rPr>
                      <w:b/>
                      <w:sz w:val="18"/>
                      <w:szCs w:val="18"/>
                    </w:rPr>
                    <w:lastRenderedPageBreak/>
                    <w:t>od</w:t>
                  </w:r>
                </w:p>
              </w:tc>
              <w:tc>
                <w:tcPr>
                  <w:tcW w:w="567" w:type="dxa"/>
                  <w:tcBorders>
                    <w:top w:val="single" w:sz="2" w:space="0" w:color="auto"/>
                    <w:left w:val="single" w:sz="2" w:space="0" w:color="auto"/>
                    <w:bottom w:val="single" w:sz="2" w:space="0" w:color="auto"/>
                    <w:right w:val="single" w:sz="2" w:space="0" w:color="auto"/>
                  </w:tcBorders>
                  <w:vAlign w:val="center"/>
                </w:tcPr>
                <w:p w14:paraId="1513363A" w14:textId="77777777" w:rsidR="00236AB5" w:rsidRPr="008819AF" w:rsidRDefault="00236AB5" w:rsidP="00236AB5">
                  <w:pPr>
                    <w:jc w:val="center"/>
                    <w:rPr>
                      <w:b/>
                      <w:sz w:val="18"/>
                      <w:szCs w:val="18"/>
                    </w:rPr>
                  </w:pPr>
                  <w:r w:rsidRPr="008819AF">
                    <w:rPr>
                      <w:b/>
                      <w:sz w:val="18"/>
                      <w:szCs w:val="18"/>
                    </w:rPr>
                    <w:t>Do</w:t>
                  </w:r>
                </w:p>
              </w:tc>
              <w:tc>
                <w:tcPr>
                  <w:tcW w:w="850" w:type="dxa"/>
                  <w:vMerge/>
                  <w:tcBorders>
                    <w:top w:val="single" w:sz="2" w:space="0" w:color="auto"/>
                    <w:left w:val="single" w:sz="2" w:space="0" w:color="auto"/>
                    <w:bottom w:val="single" w:sz="2" w:space="0" w:color="auto"/>
                    <w:right w:val="single" w:sz="2" w:space="0" w:color="auto"/>
                  </w:tcBorders>
                  <w:vAlign w:val="center"/>
                </w:tcPr>
                <w:p w14:paraId="1513363B" w14:textId="77777777" w:rsidR="00236AB5" w:rsidRPr="008819AF" w:rsidRDefault="00236AB5" w:rsidP="00236AB5">
                  <w:pPr>
                    <w:jc w:val="center"/>
                    <w:rPr>
                      <w:b/>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1513363C" w14:textId="77777777" w:rsidR="00236AB5" w:rsidRPr="008819AF" w:rsidRDefault="00236AB5" w:rsidP="00236AB5">
                  <w:pPr>
                    <w:ind w:left="-108" w:right="-108"/>
                    <w:jc w:val="center"/>
                    <w:rPr>
                      <w:b/>
                      <w:sz w:val="18"/>
                      <w:szCs w:val="18"/>
                    </w:rPr>
                  </w:pPr>
                  <w:r w:rsidRPr="008819AF">
                    <w:rPr>
                      <w:b/>
                      <w:sz w:val="18"/>
                      <w:szCs w:val="18"/>
                    </w:rPr>
                    <w:t>TZL</w:t>
                  </w:r>
                </w:p>
              </w:tc>
              <w:tc>
                <w:tcPr>
                  <w:tcW w:w="851" w:type="dxa"/>
                  <w:tcBorders>
                    <w:top w:val="single" w:sz="2" w:space="0" w:color="auto"/>
                    <w:left w:val="single" w:sz="2" w:space="0" w:color="auto"/>
                    <w:bottom w:val="single" w:sz="2" w:space="0" w:color="auto"/>
                    <w:right w:val="single" w:sz="2" w:space="0" w:color="auto"/>
                  </w:tcBorders>
                  <w:vAlign w:val="center"/>
                </w:tcPr>
                <w:p w14:paraId="1513363D" w14:textId="77777777" w:rsidR="00236AB5" w:rsidRPr="008819AF" w:rsidRDefault="00236AB5" w:rsidP="00236AB5">
                  <w:pPr>
                    <w:jc w:val="center"/>
                    <w:rPr>
                      <w:b/>
                      <w:sz w:val="18"/>
                      <w:szCs w:val="18"/>
                      <w:vertAlign w:val="subscript"/>
                    </w:rPr>
                  </w:pPr>
                  <w:r w:rsidRPr="008819AF">
                    <w:rPr>
                      <w:b/>
                      <w:sz w:val="18"/>
                      <w:szCs w:val="18"/>
                    </w:rPr>
                    <w:t>SO</w:t>
                  </w:r>
                  <w:r w:rsidRPr="008819AF">
                    <w:rPr>
                      <w:b/>
                      <w:sz w:val="18"/>
                      <w:szCs w:val="18"/>
                      <w:vertAlign w:val="subscript"/>
                    </w:rPr>
                    <w:t>2</w:t>
                  </w:r>
                </w:p>
              </w:tc>
              <w:tc>
                <w:tcPr>
                  <w:tcW w:w="992" w:type="dxa"/>
                  <w:tcBorders>
                    <w:top w:val="single" w:sz="2" w:space="0" w:color="auto"/>
                    <w:left w:val="single" w:sz="2" w:space="0" w:color="auto"/>
                    <w:bottom w:val="single" w:sz="2" w:space="0" w:color="auto"/>
                    <w:right w:val="single" w:sz="2" w:space="0" w:color="auto"/>
                  </w:tcBorders>
                  <w:vAlign w:val="center"/>
                </w:tcPr>
                <w:p w14:paraId="1513363E" w14:textId="77777777" w:rsidR="00236AB5" w:rsidRPr="008819AF" w:rsidRDefault="00236AB5" w:rsidP="00236AB5">
                  <w:pPr>
                    <w:jc w:val="center"/>
                    <w:rPr>
                      <w:b/>
                      <w:sz w:val="18"/>
                      <w:szCs w:val="18"/>
                    </w:rPr>
                  </w:pPr>
                  <w:r w:rsidRPr="008819AF">
                    <w:rPr>
                      <w:b/>
                      <w:sz w:val="18"/>
                      <w:szCs w:val="18"/>
                    </w:rPr>
                    <w:t>NO</w:t>
                  </w:r>
                  <w:r w:rsidRPr="008819AF">
                    <w:rPr>
                      <w:b/>
                      <w:sz w:val="18"/>
                      <w:szCs w:val="18"/>
                      <w:vertAlign w:val="subscript"/>
                    </w:rPr>
                    <w:t>X</w:t>
                  </w:r>
                </w:p>
              </w:tc>
              <w:tc>
                <w:tcPr>
                  <w:tcW w:w="567" w:type="dxa"/>
                  <w:tcBorders>
                    <w:top w:val="single" w:sz="2" w:space="0" w:color="auto"/>
                    <w:left w:val="single" w:sz="2" w:space="0" w:color="auto"/>
                    <w:bottom w:val="single" w:sz="2" w:space="0" w:color="auto"/>
                    <w:right w:val="single" w:sz="2" w:space="0" w:color="auto"/>
                  </w:tcBorders>
                  <w:vAlign w:val="center"/>
                </w:tcPr>
                <w:p w14:paraId="1513363F" w14:textId="77777777" w:rsidR="00236AB5" w:rsidRPr="008819AF" w:rsidRDefault="00236AB5" w:rsidP="00236AB5">
                  <w:pPr>
                    <w:jc w:val="center"/>
                    <w:rPr>
                      <w:b/>
                      <w:sz w:val="18"/>
                      <w:szCs w:val="18"/>
                    </w:rPr>
                  </w:pPr>
                  <w:r w:rsidRPr="008819AF">
                    <w:rPr>
                      <w:b/>
                      <w:sz w:val="18"/>
                      <w:szCs w:val="18"/>
                    </w:rPr>
                    <w:t>CO</w:t>
                  </w:r>
                </w:p>
              </w:tc>
              <w:tc>
                <w:tcPr>
                  <w:tcW w:w="560" w:type="dxa"/>
                  <w:tcBorders>
                    <w:top w:val="single" w:sz="2" w:space="0" w:color="auto"/>
                    <w:left w:val="single" w:sz="2" w:space="0" w:color="auto"/>
                    <w:bottom w:val="single" w:sz="2" w:space="0" w:color="auto"/>
                    <w:right w:val="single" w:sz="2" w:space="0" w:color="auto"/>
                  </w:tcBorders>
                  <w:vAlign w:val="center"/>
                </w:tcPr>
                <w:p w14:paraId="15133640" w14:textId="77777777" w:rsidR="00236AB5" w:rsidRPr="008819AF" w:rsidRDefault="00236AB5" w:rsidP="00236AB5">
                  <w:pPr>
                    <w:ind w:right="-115"/>
                    <w:jc w:val="center"/>
                    <w:rPr>
                      <w:b/>
                      <w:sz w:val="18"/>
                      <w:szCs w:val="18"/>
                    </w:rPr>
                  </w:pPr>
                  <w:r w:rsidRPr="008819AF">
                    <w:rPr>
                      <w:b/>
                      <w:sz w:val="18"/>
                      <w:szCs w:val="18"/>
                    </w:rPr>
                    <w:t>TOC</w:t>
                  </w:r>
                </w:p>
              </w:tc>
            </w:tr>
            <w:tr w:rsidR="00236AB5" w:rsidRPr="008819AF" w14:paraId="1513364A" w14:textId="77777777" w:rsidTr="005950BD">
              <w:trPr>
                <w:trHeight w:val="306"/>
                <w:jc w:val="center"/>
              </w:trPr>
              <w:tc>
                <w:tcPr>
                  <w:tcW w:w="590" w:type="dxa"/>
                  <w:gridSpan w:val="2"/>
                  <w:vMerge w:val="restart"/>
                  <w:tcBorders>
                    <w:top w:val="single" w:sz="2" w:space="0" w:color="auto"/>
                    <w:left w:val="single" w:sz="2" w:space="0" w:color="auto"/>
                    <w:bottom w:val="single" w:sz="2" w:space="0" w:color="auto"/>
                    <w:right w:val="single" w:sz="2" w:space="0" w:color="auto"/>
                  </w:tcBorders>
                  <w:vAlign w:val="center"/>
                </w:tcPr>
                <w:p w14:paraId="15133642" w14:textId="77777777" w:rsidR="00236AB5" w:rsidRPr="008819AF" w:rsidRDefault="00236AB5" w:rsidP="00236AB5">
                  <w:pPr>
                    <w:rPr>
                      <w:sz w:val="18"/>
                      <w:szCs w:val="18"/>
                    </w:rPr>
                  </w:pPr>
                  <w:r w:rsidRPr="008819AF">
                    <w:rPr>
                      <w:sz w:val="18"/>
                      <w:szCs w:val="18"/>
                    </w:rPr>
                    <w:t>≥ 50</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15133643" w14:textId="77777777" w:rsidR="00236AB5" w:rsidRPr="008819AF" w:rsidRDefault="00236AB5" w:rsidP="00236AB5">
                  <w:pPr>
                    <w:ind w:right="-108"/>
                    <w:rPr>
                      <w:sz w:val="18"/>
                      <w:szCs w:val="18"/>
                    </w:rPr>
                  </w:pPr>
                  <w:r w:rsidRPr="008819AF">
                    <w:rPr>
                      <w:sz w:val="18"/>
                      <w:szCs w:val="18"/>
                    </w:rPr>
                    <w:t>&lt; 100</w:t>
                  </w:r>
                </w:p>
              </w:tc>
              <w:tc>
                <w:tcPr>
                  <w:tcW w:w="850" w:type="dxa"/>
                  <w:tcBorders>
                    <w:top w:val="single" w:sz="2" w:space="0" w:color="auto"/>
                    <w:left w:val="single" w:sz="2" w:space="0" w:color="auto"/>
                    <w:bottom w:val="single" w:sz="2" w:space="0" w:color="auto"/>
                    <w:right w:val="single" w:sz="2" w:space="0" w:color="auto"/>
                  </w:tcBorders>
                  <w:vAlign w:val="center"/>
                </w:tcPr>
                <w:p w14:paraId="15133644" w14:textId="77777777" w:rsidR="00236AB5" w:rsidRPr="008819AF" w:rsidRDefault="00236AB5" w:rsidP="00236AB5">
                  <w:pPr>
                    <w:ind w:left="-108" w:right="-108"/>
                    <w:jc w:val="center"/>
                    <w:rPr>
                      <w:sz w:val="18"/>
                      <w:szCs w:val="18"/>
                    </w:rPr>
                  </w:pPr>
                  <w:r w:rsidRPr="008819AF">
                    <w:rPr>
                      <w:sz w:val="18"/>
                      <w:szCs w:val="18"/>
                    </w:rPr>
                    <w:t>všeobecne</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15133645" w14:textId="77777777" w:rsidR="00236AB5" w:rsidRPr="008819AF" w:rsidRDefault="00236AB5" w:rsidP="00236AB5">
                  <w:pPr>
                    <w:jc w:val="center"/>
                    <w:rPr>
                      <w:sz w:val="18"/>
                      <w:szCs w:val="18"/>
                    </w:rPr>
                  </w:pPr>
                  <w:r w:rsidRPr="008819AF">
                    <w:rPr>
                      <w:sz w:val="18"/>
                      <w:szCs w:val="18"/>
                    </w:rPr>
                    <w:t>20</w:t>
                  </w:r>
                </w:p>
              </w:tc>
              <w:tc>
                <w:tcPr>
                  <w:tcW w:w="851" w:type="dxa"/>
                  <w:tcBorders>
                    <w:top w:val="single" w:sz="2" w:space="0" w:color="auto"/>
                    <w:left w:val="single" w:sz="2" w:space="0" w:color="auto"/>
                    <w:bottom w:val="single" w:sz="2" w:space="0" w:color="auto"/>
                    <w:right w:val="single" w:sz="2" w:space="0" w:color="auto"/>
                  </w:tcBorders>
                  <w:vAlign w:val="center"/>
                </w:tcPr>
                <w:p w14:paraId="15133646" w14:textId="77777777" w:rsidR="00236AB5" w:rsidRPr="008819AF" w:rsidRDefault="00236AB5" w:rsidP="00236AB5">
                  <w:pPr>
                    <w:jc w:val="center"/>
                    <w:rPr>
                      <w:sz w:val="18"/>
                      <w:szCs w:val="18"/>
                    </w:rPr>
                  </w:pPr>
                  <w:r w:rsidRPr="008819AF">
                    <w:rPr>
                      <w:sz w:val="18"/>
                      <w:szCs w:val="18"/>
                    </w:rPr>
                    <w:t>400</w:t>
                  </w:r>
                </w:p>
              </w:tc>
              <w:tc>
                <w:tcPr>
                  <w:tcW w:w="992" w:type="dxa"/>
                  <w:tcBorders>
                    <w:top w:val="single" w:sz="2" w:space="0" w:color="auto"/>
                    <w:left w:val="single" w:sz="2" w:space="0" w:color="auto"/>
                    <w:bottom w:val="single" w:sz="2" w:space="0" w:color="auto"/>
                    <w:right w:val="single" w:sz="2" w:space="0" w:color="auto"/>
                  </w:tcBorders>
                  <w:vAlign w:val="center"/>
                </w:tcPr>
                <w:p w14:paraId="15133647" w14:textId="77777777" w:rsidR="00236AB5" w:rsidRPr="008819AF" w:rsidRDefault="00236AB5" w:rsidP="00236AB5">
                  <w:pPr>
                    <w:ind w:left="-108" w:right="-108"/>
                    <w:jc w:val="center"/>
                    <w:rPr>
                      <w:sz w:val="18"/>
                      <w:szCs w:val="18"/>
                      <w:vertAlign w:val="superscript"/>
                    </w:rPr>
                  </w:pPr>
                  <w:r w:rsidRPr="008819AF">
                    <w:rPr>
                      <w:sz w:val="18"/>
                      <w:szCs w:val="18"/>
                    </w:rPr>
                    <w:t>300, 400</w:t>
                  </w:r>
                  <w:r w:rsidRPr="008819AF">
                    <w:rPr>
                      <w:sz w:val="18"/>
                      <w:szCs w:val="18"/>
                      <w:vertAlign w:val="superscript"/>
                    </w:rPr>
                    <w:t>1)</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15133648" w14:textId="77777777" w:rsidR="00236AB5" w:rsidRPr="008819AF" w:rsidRDefault="00236AB5" w:rsidP="00236AB5">
                  <w:pPr>
                    <w:jc w:val="center"/>
                    <w:rPr>
                      <w:sz w:val="18"/>
                      <w:szCs w:val="18"/>
                    </w:rPr>
                  </w:pPr>
                  <w:r w:rsidRPr="008819AF">
                    <w:rPr>
                      <w:sz w:val="18"/>
                      <w:szCs w:val="18"/>
                    </w:rPr>
                    <w:t>250</w:t>
                  </w:r>
                </w:p>
              </w:tc>
              <w:tc>
                <w:tcPr>
                  <w:tcW w:w="560" w:type="dxa"/>
                  <w:tcBorders>
                    <w:top w:val="single" w:sz="2" w:space="0" w:color="auto"/>
                    <w:left w:val="single" w:sz="2" w:space="0" w:color="auto"/>
                    <w:bottom w:val="single" w:sz="2" w:space="0" w:color="auto"/>
                    <w:right w:val="single" w:sz="2" w:space="0" w:color="auto"/>
                  </w:tcBorders>
                </w:tcPr>
                <w:p w14:paraId="15133649" w14:textId="77777777" w:rsidR="00236AB5" w:rsidRPr="008819AF" w:rsidRDefault="00236AB5" w:rsidP="00236AB5">
                  <w:pPr>
                    <w:jc w:val="center"/>
                    <w:rPr>
                      <w:sz w:val="18"/>
                      <w:szCs w:val="18"/>
                    </w:rPr>
                  </w:pPr>
                  <w:r w:rsidRPr="008819AF">
                    <w:rPr>
                      <w:sz w:val="18"/>
                      <w:szCs w:val="18"/>
                    </w:rPr>
                    <w:t>-</w:t>
                  </w:r>
                </w:p>
              </w:tc>
            </w:tr>
            <w:tr w:rsidR="00236AB5" w:rsidRPr="008819AF" w14:paraId="15133653"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1513364B" w14:textId="77777777" w:rsidR="00236AB5" w:rsidRPr="008819AF" w:rsidRDefault="00236AB5"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1513364C" w14:textId="77777777" w:rsidR="00236AB5" w:rsidRPr="008819AF" w:rsidRDefault="00236AB5"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1513364D" w14:textId="77777777" w:rsidR="00236AB5" w:rsidRPr="008819AF" w:rsidRDefault="00236AB5" w:rsidP="00236AB5">
                  <w:pPr>
                    <w:ind w:right="-108"/>
                    <w:rPr>
                      <w:sz w:val="18"/>
                      <w:szCs w:val="18"/>
                    </w:rPr>
                  </w:pPr>
                  <w:r w:rsidRPr="008819AF">
                    <w:rPr>
                      <w:sz w:val="18"/>
                      <w:szCs w:val="18"/>
                    </w:rPr>
                    <w:t>biomasa</w:t>
                  </w:r>
                </w:p>
              </w:tc>
              <w:tc>
                <w:tcPr>
                  <w:tcW w:w="567" w:type="dxa"/>
                  <w:vMerge/>
                  <w:tcBorders>
                    <w:top w:val="single" w:sz="2" w:space="0" w:color="auto"/>
                    <w:left w:val="single" w:sz="2" w:space="0" w:color="auto"/>
                    <w:bottom w:val="single" w:sz="2" w:space="0" w:color="auto"/>
                    <w:right w:val="single" w:sz="2" w:space="0" w:color="auto"/>
                  </w:tcBorders>
                  <w:vAlign w:val="center"/>
                </w:tcPr>
                <w:p w14:paraId="1513364E" w14:textId="77777777" w:rsidR="00236AB5" w:rsidRPr="008819AF" w:rsidRDefault="00236AB5" w:rsidP="00236AB5">
                  <w:pPr>
                    <w:rPr>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1513364F" w14:textId="77777777" w:rsidR="00236AB5" w:rsidRPr="008819AF" w:rsidRDefault="00236AB5" w:rsidP="00236AB5">
                  <w:pPr>
                    <w:jc w:val="center"/>
                    <w:rPr>
                      <w:sz w:val="18"/>
                      <w:szCs w:val="18"/>
                    </w:rPr>
                  </w:pPr>
                  <w:r w:rsidRPr="008819AF">
                    <w:rPr>
                      <w:sz w:val="18"/>
                      <w:szCs w:val="18"/>
                    </w:rPr>
                    <w:t>200</w:t>
                  </w:r>
                </w:p>
              </w:tc>
              <w:tc>
                <w:tcPr>
                  <w:tcW w:w="992" w:type="dxa"/>
                  <w:tcBorders>
                    <w:top w:val="single" w:sz="2" w:space="0" w:color="auto"/>
                    <w:left w:val="single" w:sz="2" w:space="0" w:color="auto"/>
                    <w:bottom w:val="single" w:sz="2" w:space="0" w:color="auto"/>
                    <w:right w:val="single" w:sz="2" w:space="0" w:color="auto"/>
                  </w:tcBorders>
                  <w:vAlign w:val="center"/>
                </w:tcPr>
                <w:p w14:paraId="15133650" w14:textId="77777777" w:rsidR="00236AB5" w:rsidRPr="008819AF" w:rsidRDefault="00236AB5" w:rsidP="00236AB5">
                  <w:pPr>
                    <w:jc w:val="center"/>
                    <w:rPr>
                      <w:sz w:val="18"/>
                      <w:szCs w:val="18"/>
                    </w:rPr>
                  </w:pPr>
                  <w:r w:rsidRPr="008819AF">
                    <w:rPr>
                      <w:sz w:val="18"/>
                      <w:szCs w:val="18"/>
                    </w:rPr>
                    <w:t>250</w:t>
                  </w:r>
                </w:p>
              </w:tc>
              <w:tc>
                <w:tcPr>
                  <w:tcW w:w="567" w:type="dxa"/>
                  <w:vMerge/>
                  <w:tcBorders>
                    <w:top w:val="single" w:sz="2" w:space="0" w:color="auto"/>
                    <w:left w:val="single" w:sz="2" w:space="0" w:color="auto"/>
                    <w:bottom w:val="single" w:sz="2" w:space="0" w:color="auto"/>
                    <w:right w:val="single" w:sz="2" w:space="0" w:color="auto"/>
                  </w:tcBorders>
                  <w:vAlign w:val="center"/>
                </w:tcPr>
                <w:p w14:paraId="15133651" w14:textId="77777777" w:rsidR="00236AB5" w:rsidRPr="008819AF" w:rsidRDefault="00236AB5"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15133652" w14:textId="77777777" w:rsidR="00236AB5" w:rsidRPr="008819AF" w:rsidRDefault="00236AB5" w:rsidP="00236AB5">
                  <w:pPr>
                    <w:jc w:val="center"/>
                    <w:rPr>
                      <w:sz w:val="18"/>
                      <w:szCs w:val="18"/>
                    </w:rPr>
                  </w:pPr>
                  <w:r w:rsidRPr="008819AF">
                    <w:rPr>
                      <w:sz w:val="18"/>
                      <w:szCs w:val="18"/>
                    </w:rPr>
                    <w:t>50</w:t>
                  </w:r>
                </w:p>
              </w:tc>
            </w:tr>
            <w:tr w:rsidR="00236AB5" w:rsidRPr="008819AF" w14:paraId="1513365C"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15133654" w14:textId="77777777" w:rsidR="00236AB5" w:rsidRPr="008819AF" w:rsidRDefault="00236AB5"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15133655" w14:textId="77777777" w:rsidR="00236AB5" w:rsidRPr="008819AF" w:rsidRDefault="00236AB5"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15133656" w14:textId="77777777" w:rsidR="00236AB5" w:rsidRPr="008819AF" w:rsidRDefault="00236AB5" w:rsidP="00236AB5">
                  <w:pPr>
                    <w:rPr>
                      <w:sz w:val="18"/>
                      <w:szCs w:val="18"/>
                    </w:rPr>
                  </w:pPr>
                  <w:r w:rsidRPr="008819AF">
                    <w:rPr>
                      <w:sz w:val="18"/>
                      <w:szCs w:val="18"/>
                    </w:rPr>
                    <w:t>rašelina</w:t>
                  </w:r>
                </w:p>
              </w:tc>
              <w:tc>
                <w:tcPr>
                  <w:tcW w:w="567" w:type="dxa"/>
                  <w:vMerge/>
                  <w:tcBorders>
                    <w:top w:val="single" w:sz="2" w:space="0" w:color="auto"/>
                    <w:left w:val="single" w:sz="2" w:space="0" w:color="auto"/>
                    <w:bottom w:val="single" w:sz="2" w:space="0" w:color="auto"/>
                    <w:right w:val="single" w:sz="2" w:space="0" w:color="auto"/>
                  </w:tcBorders>
                  <w:vAlign w:val="center"/>
                </w:tcPr>
                <w:p w14:paraId="15133657" w14:textId="77777777" w:rsidR="00236AB5" w:rsidRPr="008819AF" w:rsidRDefault="00236AB5" w:rsidP="00236AB5">
                  <w:pPr>
                    <w:rPr>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15133658" w14:textId="77777777" w:rsidR="00236AB5" w:rsidRPr="008819AF" w:rsidRDefault="00236AB5" w:rsidP="00236AB5">
                  <w:pPr>
                    <w:jc w:val="center"/>
                    <w:rPr>
                      <w:sz w:val="18"/>
                      <w:szCs w:val="18"/>
                    </w:rPr>
                  </w:pPr>
                  <w:r w:rsidRPr="008819AF">
                    <w:rPr>
                      <w:sz w:val="18"/>
                      <w:szCs w:val="18"/>
                    </w:rPr>
                    <w:t>300</w:t>
                  </w:r>
                </w:p>
              </w:tc>
              <w:tc>
                <w:tcPr>
                  <w:tcW w:w="992" w:type="dxa"/>
                  <w:tcBorders>
                    <w:top w:val="single" w:sz="2" w:space="0" w:color="auto"/>
                    <w:left w:val="single" w:sz="2" w:space="0" w:color="auto"/>
                    <w:bottom w:val="single" w:sz="2" w:space="0" w:color="auto"/>
                    <w:right w:val="single" w:sz="2" w:space="0" w:color="auto"/>
                  </w:tcBorders>
                  <w:vAlign w:val="center"/>
                </w:tcPr>
                <w:p w14:paraId="15133659" w14:textId="77777777" w:rsidR="00236AB5" w:rsidRPr="008819AF" w:rsidRDefault="00236AB5" w:rsidP="00236AB5">
                  <w:pPr>
                    <w:jc w:val="center"/>
                    <w:rPr>
                      <w:sz w:val="18"/>
                      <w:szCs w:val="18"/>
                    </w:rPr>
                  </w:pPr>
                  <w:r w:rsidRPr="008819AF">
                    <w:rPr>
                      <w:sz w:val="18"/>
                      <w:szCs w:val="18"/>
                    </w:rPr>
                    <w:t>250</w:t>
                  </w:r>
                </w:p>
              </w:tc>
              <w:tc>
                <w:tcPr>
                  <w:tcW w:w="567" w:type="dxa"/>
                  <w:vMerge/>
                  <w:tcBorders>
                    <w:top w:val="single" w:sz="2" w:space="0" w:color="auto"/>
                    <w:left w:val="single" w:sz="2" w:space="0" w:color="auto"/>
                    <w:bottom w:val="single" w:sz="2" w:space="0" w:color="auto"/>
                    <w:right w:val="single" w:sz="2" w:space="0" w:color="auto"/>
                  </w:tcBorders>
                  <w:vAlign w:val="center"/>
                </w:tcPr>
                <w:p w14:paraId="1513365A" w14:textId="77777777" w:rsidR="00236AB5" w:rsidRPr="008819AF" w:rsidRDefault="00236AB5"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1513365B" w14:textId="77777777" w:rsidR="00236AB5" w:rsidRPr="008819AF" w:rsidRDefault="00236AB5" w:rsidP="00236AB5">
                  <w:pPr>
                    <w:jc w:val="center"/>
                    <w:rPr>
                      <w:sz w:val="18"/>
                      <w:szCs w:val="18"/>
                    </w:rPr>
                  </w:pPr>
                  <w:r w:rsidRPr="008819AF">
                    <w:rPr>
                      <w:sz w:val="18"/>
                      <w:szCs w:val="18"/>
                    </w:rPr>
                    <w:t>-</w:t>
                  </w:r>
                </w:p>
              </w:tc>
            </w:tr>
            <w:tr w:rsidR="00236AB5" w:rsidRPr="008819AF" w14:paraId="15133665" w14:textId="77777777" w:rsidTr="005950BD">
              <w:trPr>
                <w:trHeight w:val="306"/>
                <w:jc w:val="center"/>
              </w:trPr>
              <w:tc>
                <w:tcPr>
                  <w:tcW w:w="590" w:type="dxa"/>
                  <w:gridSpan w:val="2"/>
                  <w:vMerge w:val="restart"/>
                  <w:tcBorders>
                    <w:top w:val="single" w:sz="2" w:space="0" w:color="auto"/>
                    <w:left w:val="single" w:sz="2" w:space="0" w:color="auto"/>
                    <w:bottom w:val="single" w:sz="2" w:space="0" w:color="auto"/>
                    <w:right w:val="single" w:sz="2" w:space="0" w:color="auto"/>
                  </w:tcBorders>
                  <w:vAlign w:val="center"/>
                </w:tcPr>
                <w:p w14:paraId="1513365D" w14:textId="77777777" w:rsidR="00236AB5" w:rsidRPr="008819AF" w:rsidRDefault="00236AB5" w:rsidP="00236AB5">
                  <w:pPr>
                    <w:ind w:right="-108"/>
                    <w:rPr>
                      <w:sz w:val="18"/>
                      <w:szCs w:val="18"/>
                    </w:rPr>
                  </w:pPr>
                  <w:r w:rsidRPr="008819AF">
                    <w:rPr>
                      <w:sz w:val="18"/>
                      <w:szCs w:val="18"/>
                    </w:rPr>
                    <w:t>≥ 100</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1513365E" w14:textId="77777777" w:rsidR="00236AB5" w:rsidRPr="008819AF" w:rsidRDefault="00236AB5" w:rsidP="00236AB5">
                  <w:pPr>
                    <w:ind w:right="-108"/>
                    <w:rPr>
                      <w:sz w:val="18"/>
                      <w:szCs w:val="18"/>
                    </w:rPr>
                  </w:pPr>
                  <w:r w:rsidRPr="008819AF">
                    <w:rPr>
                      <w:sz w:val="18"/>
                      <w:szCs w:val="18"/>
                    </w:rPr>
                    <w:t>≥ 300</w:t>
                  </w:r>
                </w:p>
              </w:tc>
              <w:tc>
                <w:tcPr>
                  <w:tcW w:w="850" w:type="dxa"/>
                  <w:tcBorders>
                    <w:top w:val="single" w:sz="2" w:space="0" w:color="auto"/>
                    <w:left w:val="single" w:sz="2" w:space="0" w:color="auto"/>
                    <w:bottom w:val="single" w:sz="2" w:space="0" w:color="auto"/>
                    <w:right w:val="single" w:sz="2" w:space="0" w:color="auto"/>
                  </w:tcBorders>
                  <w:vAlign w:val="center"/>
                </w:tcPr>
                <w:p w14:paraId="1513365F" w14:textId="77777777" w:rsidR="00236AB5" w:rsidRPr="008819AF" w:rsidRDefault="00236AB5" w:rsidP="00236AB5">
                  <w:pPr>
                    <w:ind w:left="-108" w:right="-108"/>
                    <w:jc w:val="center"/>
                    <w:rPr>
                      <w:sz w:val="18"/>
                      <w:szCs w:val="18"/>
                    </w:rPr>
                  </w:pPr>
                  <w:r w:rsidRPr="008819AF">
                    <w:rPr>
                      <w:sz w:val="18"/>
                      <w:szCs w:val="18"/>
                    </w:rPr>
                    <w:t>všeobecne</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15133660" w14:textId="77777777" w:rsidR="00236AB5" w:rsidRPr="008819AF" w:rsidRDefault="00236AB5" w:rsidP="00236AB5">
                  <w:pPr>
                    <w:jc w:val="center"/>
                    <w:rPr>
                      <w:sz w:val="18"/>
                      <w:szCs w:val="18"/>
                    </w:rPr>
                  </w:pPr>
                  <w:r w:rsidRPr="008819AF">
                    <w:rPr>
                      <w:sz w:val="18"/>
                      <w:szCs w:val="18"/>
                    </w:rPr>
                    <w:t>20</w:t>
                  </w:r>
                </w:p>
              </w:tc>
              <w:tc>
                <w:tcPr>
                  <w:tcW w:w="851" w:type="dxa"/>
                  <w:tcBorders>
                    <w:top w:val="single" w:sz="2" w:space="0" w:color="auto"/>
                    <w:left w:val="single" w:sz="2" w:space="0" w:color="auto"/>
                    <w:bottom w:val="single" w:sz="2" w:space="0" w:color="auto"/>
                    <w:right w:val="single" w:sz="2" w:space="0" w:color="auto"/>
                  </w:tcBorders>
                  <w:vAlign w:val="center"/>
                </w:tcPr>
                <w:p w14:paraId="15133661" w14:textId="77777777" w:rsidR="00236AB5" w:rsidRPr="008819AF" w:rsidRDefault="00236AB5" w:rsidP="00236AB5">
                  <w:pPr>
                    <w:jc w:val="center"/>
                    <w:rPr>
                      <w:sz w:val="18"/>
                      <w:szCs w:val="18"/>
                    </w:rPr>
                  </w:pPr>
                  <w:r w:rsidRPr="008819AF">
                    <w:rPr>
                      <w:sz w:val="18"/>
                      <w:szCs w:val="18"/>
                    </w:rPr>
                    <w:t>200</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15133662" w14:textId="77777777" w:rsidR="00236AB5" w:rsidRPr="008819AF" w:rsidRDefault="00236AB5" w:rsidP="00236AB5">
                  <w:pPr>
                    <w:jc w:val="center"/>
                    <w:rPr>
                      <w:sz w:val="18"/>
                      <w:szCs w:val="18"/>
                    </w:rPr>
                  </w:pPr>
                  <w:r w:rsidRPr="008819AF">
                    <w:rPr>
                      <w:sz w:val="18"/>
                      <w:szCs w:val="18"/>
                    </w:rPr>
                    <w:t>200</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15133663" w14:textId="77777777" w:rsidR="00236AB5" w:rsidRPr="008819AF" w:rsidRDefault="00236AB5" w:rsidP="00236AB5">
                  <w:pPr>
                    <w:jc w:val="center"/>
                    <w:rPr>
                      <w:sz w:val="18"/>
                      <w:szCs w:val="18"/>
                    </w:rPr>
                  </w:pPr>
                  <w:r w:rsidRPr="008819AF">
                    <w:rPr>
                      <w:sz w:val="18"/>
                      <w:szCs w:val="18"/>
                    </w:rPr>
                    <w:t>250</w:t>
                  </w:r>
                </w:p>
              </w:tc>
              <w:tc>
                <w:tcPr>
                  <w:tcW w:w="560" w:type="dxa"/>
                  <w:tcBorders>
                    <w:top w:val="single" w:sz="2" w:space="0" w:color="auto"/>
                    <w:left w:val="single" w:sz="2" w:space="0" w:color="auto"/>
                    <w:bottom w:val="single" w:sz="2" w:space="0" w:color="auto"/>
                    <w:right w:val="single" w:sz="2" w:space="0" w:color="auto"/>
                  </w:tcBorders>
                </w:tcPr>
                <w:p w14:paraId="15133664" w14:textId="77777777" w:rsidR="00236AB5" w:rsidRPr="008819AF" w:rsidRDefault="00236AB5" w:rsidP="00236AB5">
                  <w:pPr>
                    <w:jc w:val="center"/>
                    <w:rPr>
                      <w:sz w:val="18"/>
                      <w:szCs w:val="18"/>
                    </w:rPr>
                  </w:pPr>
                  <w:r w:rsidRPr="008819AF">
                    <w:rPr>
                      <w:sz w:val="18"/>
                      <w:szCs w:val="18"/>
                    </w:rPr>
                    <w:t>-</w:t>
                  </w:r>
                </w:p>
              </w:tc>
            </w:tr>
            <w:tr w:rsidR="00236AB5" w:rsidRPr="008819AF" w14:paraId="1513366E"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15133666" w14:textId="77777777" w:rsidR="00236AB5" w:rsidRPr="008819AF" w:rsidRDefault="00236AB5"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15133667" w14:textId="77777777" w:rsidR="00236AB5" w:rsidRPr="008819AF" w:rsidRDefault="00236AB5"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15133668" w14:textId="77777777" w:rsidR="00236AB5" w:rsidRPr="008819AF" w:rsidRDefault="00236AB5" w:rsidP="00236AB5">
                  <w:pPr>
                    <w:rPr>
                      <w:sz w:val="18"/>
                      <w:szCs w:val="18"/>
                    </w:rPr>
                  </w:pPr>
                  <w:r w:rsidRPr="008819AF">
                    <w:rPr>
                      <w:sz w:val="18"/>
                      <w:szCs w:val="18"/>
                    </w:rPr>
                    <w:t>biomasa</w:t>
                  </w:r>
                </w:p>
              </w:tc>
              <w:tc>
                <w:tcPr>
                  <w:tcW w:w="567" w:type="dxa"/>
                  <w:vMerge/>
                  <w:tcBorders>
                    <w:top w:val="single" w:sz="2" w:space="0" w:color="auto"/>
                    <w:left w:val="single" w:sz="2" w:space="0" w:color="auto"/>
                    <w:bottom w:val="single" w:sz="2" w:space="0" w:color="auto"/>
                    <w:right w:val="single" w:sz="2" w:space="0" w:color="auto"/>
                  </w:tcBorders>
                  <w:vAlign w:val="center"/>
                </w:tcPr>
                <w:p w14:paraId="15133669" w14:textId="77777777" w:rsidR="00236AB5" w:rsidRPr="008819AF" w:rsidRDefault="00236AB5" w:rsidP="00236AB5">
                  <w:pPr>
                    <w:jc w:val="center"/>
                    <w:rPr>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1513366A" w14:textId="77777777" w:rsidR="00236AB5" w:rsidRPr="008819AF" w:rsidRDefault="00236AB5" w:rsidP="00236AB5">
                  <w:pPr>
                    <w:jc w:val="center"/>
                    <w:rPr>
                      <w:sz w:val="18"/>
                      <w:szCs w:val="18"/>
                    </w:rPr>
                  </w:pPr>
                  <w:r w:rsidRPr="008819AF">
                    <w:rPr>
                      <w:sz w:val="18"/>
                      <w:szCs w:val="18"/>
                    </w:rPr>
                    <w:t>200</w:t>
                  </w:r>
                </w:p>
              </w:tc>
              <w:tc>
                <w:tcPr>
                  <w:tcW w:w="992" w:type="dxa"/>
                  <w:vMerge/>
                  <w:tcBorders>
                    <w:top w:val="single" w:sz="2" w:space="0" w:color="auto"/>
                    <w:left w:val="single" w:sz="2" w:space="0" w:color="auto"/>
                    <w:bottom w:val="single" w:sz="2" w:space="0" w:color="auto"/>
                    <w:right w:val="single" w:sz="2" w:space="0" w:color="auto"/>
                  </w:tcBorders>
                  <w:vAlign w:val="center"/>
                </w:tcPr>
                <w:p w14:paraId="1513366B" w14:textId="77777777" w:rsidR="00236AB5" w:rsidRPr="008819AF" w:rsidRDefault="00236AB5" w:rsidP="00236AB5">
                  <w:pPr>
                    <w:jc w:val="cente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1513366C" w14:textId="77777777" w:rsidR="00236AB5" w:rsidRPr="008819AF" w:rsidRDefault="00236AB5"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1513366D" w14:textId="77777777" w:rsidR="00236AB5" w:rsidRPr="008819AF" w:rsidRDefault="00236AB5" w:rsidP="00236AB5">
                  <w:pPr>
                    <w:jc w:val="center"/>
                    <w:rPr>
                      <w:sz w:val="18"/>
                      <w:szCs w:val="18"/>
                    </w:rPr>
                  </w:pPr>
                  <w:r w:rsidRPr="008819AF">
                    <w:rPr>
                      <w:sz w:val="18"/>
                      <w:szCs w:val="18"/>
                    </w:rPr>
                    <w:t>50</w:t>
                  </w:r>
                </w:p>
              </w:tc>
            </w:tr>
            <w:tr w:rsidR="00236AB5" w:rsidRPr="008819AF" w14:paraId="15133677"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1513366F" w14:textId="77777777" w:rsidR="00236AB5" w:rsidRPr="008819AF" w:rsidRDefault="00236AB5"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15133670" w14:textId="77777777" w:rsidR="00236AB5" w:rsidRPr="008819AF" w:rsidRDefault="00236AB5"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15133671" w14:textId="77777777" w:rsidR="00236AB5" w:rsidRPr="008819AF" w:rsidRDefault="00236AB5" w:rsidP="00236AB5">
                  <w:pPr>
                    <w:rPr>
                      <w:sz w:val="18"/>
                      <w:szCs w:val="18"/>
                    </w:rPr>
                  </w:pPr>
                  <w:r w:rsidRPr="008819AF">
                    <w:rPr>
                      <w:sz w:val="18"/>
                      <w:szCs w:val="18"/>
                    </w:rPr>
                    <w:t>rašelina</w:t>
                  </w:r>
                </w:p>
              </w:tc>
              <w:tc>
                <w:tcPr>
                  <w:tcW w:w="567" w:type="dxa"/>
                  <w:vMerge/>
                  <w:tcBorders>
                    <w:top w:val="single" w:sz="2" w:space="0" w:color="auto"/>
                    <w:left w:val="single" w:sz="2" w:space="0" w:color="auto"/>
                    <w:bottom w:val="single" w:sz="2" w:space="0" w:color="auto"/>
                    <w:right w:val="single" w:sz="2" w:space="0" w:color="auto"/>
                  </w:tcBorders>
                  <w:vAlign w:val="center"/>
                </w:tcPr>
                <w:p w14:paraId="15133672" w14:textId="77777777" w:rsidR="00236AB5" w:rsidRPr="008819AF" w:rsidRDefault="00236AB5" w:rsidP="00236AB5">
                  <w:pPr>
                    <w:jc w:val="center"/>
                    <w:rPr>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15133673" w14:textId="77777777" w:rsidR="00236AB5" w:rsidRPr="008819AF" w:rsidRDefault="00236AB5" w:rsidP="00236AB5">
                  <w:pPr>
                    <w:ind w:left="-108" w:right="-108"/>
                    <w:jc w:val="center"/>
                    <w:rPr>
                      <w:sz w:val="18"/>
                      <w:szCs w:val="18"/>
                    </w:rPr>
                  </w:pPr>
                  <w:r w:rsidRPr="008819AF">
                    <w:rPr>
                      <w:sz w:val="18"/>
                      <w:szCs w:val="18"/>
                    </w:rPr>
                    <w:t>300, 250</w:t>
                  </w:r>
                  <w:r w:rsidRPr="008819AF">
                    <w:rPr>
                      <w:sz w:val="18"/>
                      <w:szCs w:val="18"/>
                      <w:vertAlign w:val="superscript"/>
                    </w:rPr>
                    <w:t>2</w:t>
                  </w:r>
                  <w:r w:rsidRPr="008819AF">
                    <w:rPr>
                      <w:sz w:val="18"/>
                      <w:szCs w:val="18"/>
                    </w:rPr>
                    <w:t xml:space="preserve">) </w:t>
                  </w:r>
                </w:p>
              </w:tc>
              <w:tc>
                <w:tcPr>
                  <w:tcW w:w="992" w:type="dxa"/>
                  <w:vMerge/>
                  <w:tcBorders>
                    <w:top w:val="single" w:sz="2" w:space="0" w:color="auto"/>
                    <w:left w:val="single" w:sz="2" w:space="0" w:color="auto"/>
                    <w:bottom w:val="single" w:sz="2" w:space="0" w:color="auto"/>
                    <w:right w:val="single" w:sz="2" w:space="0" w:color="auto"/>
                  </w:tcBorders>
                  <w:vAlign w:val="center"/>
                </w:tcPr>
                <w:p w14:paraId="15133674" w14:textId="77777777" w:rsidR="00236AB5" w:rsidRPr="008819AF" w:rsidRDefault="00236AB5" w:rsidP="00236AB5">
                  <w:pPr>
                    <w:jc w:val="cente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15133675" w14:textId="77777777" w:rsidR="00236AB5" w:rsidRPr="008819AF" w:rsidRDefault="00236AB5"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15133676" w14:textId="77777777" w:rsidR="00236AB5" w:rsidRPr="008819AF" w:rsidRDefault="00236AB5" w:rsidP="00236AB5">
                  <w:pPr>
                    <w:jc w:val="center"/>
                    <w:rPr>
                      <w:sz w:val="18"/>
                      <w:szCs w:val="18"/>
                    </w:rPr>
                  </w:pPr>
                  <w:r w:rsidRPr="008819AF">
                    <w:rPr>
                      <w:sz w:val="18"/>
                      <w:szCs w:val="18"/>
                    </w:rPr>
                    <w:t>-</w:t>
                  </w:r>
                </w:p>
              </w:tc>
            </w:tr>
            <w:tr w:rsidR="00236AB5" w:rsidRPr="008819AF" w14:paraId="15133680" w14:textId="77777777" w:rsidTr="005950BD">
              <w:trPr>
                <w:trHeight w:val="306"/>
                <w:jc w:val="center"/>
              </w:trPr>
              <w:tc>
                <w:tcPr>
                  <w:tcW w:w="590" w:type="dxa"/>
                  <w:gridSpan w:val="2"/>
                  <w:vMerge w:val="restart"/>
                  <w:tcBorders>
                    <w:top w:val="single" w:sz="2" w:space="0" w:color="auto"/>
                    <w:left w:val="single" w:sz="2" w:space="0" w:color="auto"/>
                    <w:bottom w:val="single" w:sz="2" w:space="0" w:color="auto"/>
                    <w:right w:val="single" w:sz="2" w:space="0" w:color="auto"/>
                  </w:tcBorders>
                  <w:vAlign w:val="center"/>
                </w:tcPr>
                <w:p w14:paraId="15133678" w14:textId="77777777" w:rsidR="00236AB5" w:rsidRPr="008819AF" w:rsidRDefault="00236AB5" w:rsidP="00236AB5">
                  <w:pPr>
                    <w:ind w:right="-108"/>
                    <w:rPr>
                      <w:sz w:val="18"/>
                      <w:szCs w:val="18"/>
                    </w:rPr>
                  </w:pPr>
                  <w:r w:rsidRPr="008819AF">
                    <w:rPr>
                      <w:sz w:val="18"/>
                      <w:szCs w:val="18"/>
                    </w:rPr>
                    <w:softHyphen/>
                    <w:t>&gt; 300</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15133679" w14:textId="77777777" w:rsidR="00236AB5" w:rsidRPr="008819AF" w:rsidRDefault="00236AB5" w:rsidP="00236AB5">
                  <w:pPr>
                    <w:jc w:val="center"/>
                    <w:rPr>
                      <w:sz w:val="18"/>
                      <w:szCs w:val="18"/>
                    </w:rPr>
                  </w:pPr>
                  <w:r w:rsidRPr="008819AF">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1513367A" w14:textId="77777777" w:rsidR="00236AB5" w:rsidRPr="008819AF" w:rsidRDefault="00236AB5" w:rsidP="00236AB5">
                  <w:pPr>
                    <w:ind w:left="-108" w:right="-108"/>
                    <w:jc w:val="center"/>
                    <w:rPr>
                      <w:sz w:val="18"/>
                      <w:szCs w:val="18"/>
                    </w:rPr>
                  </w:pPr>
                  <w:r w:rsidRPr="008819AF">
                    <w:rPr>
                      <w:sz w:val="18"/>
                      <w:szCs w:val="18"/>
                    </w:rPr>
                    <w:t>všeobecne</w:t>
                  </w:r>
                </w:p>
              </w:tc>
              <w:tc>
                <w:tcPr>
                  <w:tcW w:w="567" w:type="dxa"/>
                  <w:tcBorders>
                    <w:top w:val="single" w:sz="2" w:space="0" w:color="auto"/>
                    <w:left w:val="single" w:sz="2" w:space="0" w:color="auto"/>
                    <w:bottom w:val="single" w:sz="2" w:space="0" w:color="auto"/>
                    <w:right w:val="single" w:sz="2" w:space="0" w:color="auto"/>
                  </w:tcBorders>
                  <w:vAlign w:val="center"/>
                </w:tcPr>
                <w:p w14:paraId="1513367B" w14:textId="77777777" w:rsidR="00236AB5" w:rsidRPr="008819AF" w:rsidRDefault="00236AB5" w:rsidP="00236AB5">
                  <w:pPr>
                    <w:jc w:val="center"/>
                    <w:rPr>
                      <w:sz w:val="18"/>
                      <w:szCs w:val="18"/>
                    </w:rPr>
                  </w:pPr>
                  <w:r w:rsidRPr="008819AF">
                    <w:rPr>
                      <w:sz w:val="18"/>
                      <w:szCs w:val="18"/>
                    </w:rPr>
                    <w:t>10</w:t>
                  </w:r>
                </w:p>
              </w:tc>
              <w:tc>
                <w:tcPr>
                  <w:tcW w:w="851" w:type="dxa"/>
                  <w:tcBorders>
                    <w:top w:val="single" w:sz="2" w:space="0" w:color="auto"/>
                    <w:left w:val="single" w:sz="2" w:space="0" w:color="auto"/>
                    <w:bottom w:val="single" w:sz="2" w:space="0" w:color="auto"/>
                    <w:right w:val="single" w:sz="2" w:space="0" w:color="auto"/>
                  </w:tcBorders>
                  <w:vAlign w:val="center"/>
                </w:tcPr>
                <w:p w14:paraId="1513367C" w14:textId="77777777" w:rsidR="00236AB5" w:rsidRPr="008819AF" w:rsidRDefault="00236AB5" w:rsidP="00236AB5">
                  <w:pPr>
                    <w:ind w:left="-108" w:right="-108"/>
                    <w:jc w:val="center"/>
                    <w:rPr>
                      <w:sz w:val="18"/>
                      <w:szCs w:val="18"/>
                    </w:rPr>
                  </w:pPr>
                  <w:r w:rsidRPr="008819AF">
                    <w:rPr>
                      <w:sz w:val="18"/>
                      <w:szCs w:val="18"/>
                    </w:rPr>
                    <w:t>150, 200</w:t>
                  </w:r>
                  <w:r w:rsidRPr="008819AF">
                    <w:rPr>
                      <w:sz w:val="18"/>
                      <w:szCs w:val="18"/>
                      <w:vertAlign w:val="superscript"/>
                    </w:rPr>
                    <w:t>3</w:t>
                  </w:r>
                  <w:r w:rsidRPr="008819AF">
                    <w:rPr>
                      <w:sz w:val="18"/>
                      <w:szCs w:val="18"/>
                    </w:rPr>
                    <w:t>)</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1513367D" w14:textId="77777777" w:rsidR="00236AB5" w:rsidRPr="008819AF" w:rsidRDefault="00236AB5" w:rsidP="00236AB5">
                  <w:pPr>
                    <w:jc w:val="center"/>
                    <w:rPr>
                      <w:sz w:val="18"/>
                      <w:szCs w:val="18"/>
                    </w:rPr>
                  </w:pPr>
                  <w:r w:rsidRPr="008819AF">
                    <w:rPr>
                      <w:sz w:val="18"/>
                      <w:szCs w:val="18"/>
                    </w:rPr>
                    <w:t>150, 200</w:t>
                  </w:r>
                  <w:r w:rsidRPr="008819AF">
                    <w:rPr>
                      <w:sz w:val="18"/>
                      <w:szCs w:val="18"/>
                      <w:vertAlign w:val="superscript"/>
                    </w:rPr>
                    <w:t>1</w:t>
                  </w:r>
                  <w:r w:rsidRPr="008819AF">
                    <w:rPr>
                      <w:sz w:val="18"/>
                      <w:szCs w:val="18"/>
                    </w:rPr>
                    <w:t>)</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1513367E" w14:textId="77777777" w:rsidR="00236AB5" w:rsidRPr="008819AF" w:rsidRDefault="00236AB5" w:rsidP="00236AB5">
                  <w:pPr>
                    <w:jc w:val="center"/>
                    <w:rPr>
                      <w:sz w:val="18"/>
                      <w:szCs w:val="18"/>
                    </w:rPr>
                  </w:pPr>
                  <w:r w:rsidRPr="008819AF">
                    <w:rPr>
                      <w:sz w:val="18"/>
                      <w:szCs w:val="18"/>
                    </w:rPr>
                    <w:t>250</w:t>
                  </w:r>
                </w:p>
              </w:tc>
              <w:tc>
                <w:tcPr>
                  <w:tcW w:w="560" w:type="dxa"/>
                  <w:tcBorders>
                    <w:top w:val="single" w:sz="2" w:space="0" w:color="auto"/>
                    <w:left w:val="single" w:sz="2" w:space="0" w:color="auto"/>
                    <w:bottom w:val="single" w:sz="2" w:space="0" w:color="auto"/>
                    <w:right w:val="single" w:sz="2" w:space="0" w:color="auto"/>
                  </w:tcBorders>
                </w:tcPr>
                <w:p w14:paraId="1513367F" w14:textId="77777777" w:rsidR="00236AB5" w:rsidRPr="008819AF" w:rsidRDefault="00236AB5" w:rsidP="00236AB5">
                  <w:pPr>
                    <w:jc w:val="center"/>
                    <w:rPr>
                      <w:sz w:val="18"/>
                      <w:szCs w:val="18"/>
                    </w:rPr>
                  </w:pPr>
                  <w:r w:rsidRPr="008819AF">
                    <w:rPr>
                      <w:sz w:val="18"/>
                      <w:szCs w:val="18"/>
                    </w:rPr>
                    <w:t>-</w:t>
                  </w:r>
                </w:p>
              </w:tc>
            </w:tr>
            <w:tr w:rsidR="00236AB5" w:rsidRPr="008819AF" w14:paraId="15133689"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15133681" w14:textId="77777777" w:rsidR="00236AB5" w:rsidRPr="008819AF" w:rsidRDefault="00236AB5"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15133682" w14:textId="77777777" w:rsidR="00236AB5" w:rsidRPr="008819AF" w:rsidRDefault="00236AB5"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15133683" w14:textId="77777777" w:rsidR="00236AB5" w:rsidRPr="008819AF" w:rsidRDefault="00236AB5" w:rsidP="00236AB5">
                  <w:pPr>
                    <w:rPr>
                      <w:sz w:val="18"/>
                      <w:szCs w:val="18"/>
                    </w:rPr>
                  </w:pPr>
                  <w:r w:rsidRPr="008819AF">
                    <w:rPr>
                      <w:sz w:val="18"/>
                      <w:szCs w:val="18"/>
                    </w:rPr>
                    <w:t>biomasa</w:t>
                  </w:r>
                </w:p>
              </w:tc>
              <w:tc>
                <w:tcPr>
                  <w:tcW w:w="567" w:type="dxa"/>
                  <w:tcBorders>
                    <w:top w:val="single" w:sz="2" w:space="0" w:color="auto"/>
                    <w:left w:val="single" w:sz="2" w:space="0" w:color="auto"/>
                    <w:bottom w:val="single" w:sz="2" w:space="0" w:color="auto"/>
                    <w:right w:val="single" w:sz="2" w:space="0" w:color="auto"/>
                  </w:tcBorders>
                  <w:vAlign w:val="center"/>
                </w:tcPr>
                <w:p w14:paraId="15133684" w14:textId="77777777" w:rsidR="00236AB5" w:rsidRPr="008819AF" w:rsidRDefault="00236AB5" w:rsidP="00236AB5">
                  <w:pPr>
                    <w:jc w:val="center"/>
                    <w:rPr>
                      <w:sz w:val="18"/>
                      <w:szCs w:val="18"/>
                    </w:rPr>
                  </w:pPr>
                  <w:r w:rsidRPr="008819AF">
                    <w:rPr>
                      <w:sz w:val="18"/>
                      <w:szCs w:val="18"/>
                    </w:rPr>
                    <w:t>20</w:t>
                  </w:r>
                </w:p>
              </w:tc>
              <w:tc>
                <w:tcPr>
                  <w:tcW w:w="851" w:type="dxa"/>
                  <w:tcBorders>
                    <w:top w:val="single" w:sz="2" w:space="0" w:color="auto"/>
                    <w:left w:val="single" w:sz="2" w:space="0" w:color="auto"/>
                    <w:bottom w:val="single" w:sz="2" w:space="0" w:color="auto"/>
                    <w:right w:val="single" w:sz="2" w:space="0" w:color="auto"/>
                  </w:tcBorders>
                  <w:vAlign w:val="center"/>
                </w:tcPr>
                <w:p w14:paraId="15133685" w14:textId="77777777" w:rsidR="00236AB5" w:rsidRPr="008819AF" w:rsidRDefault="00236AB5" w:rsidP="00236AB5">
                  <w:pPr>
                    <w:jc w:val="center"/>
                    <w:rPr>
                      <w:sz w:val="18"/>
                      <w:szCs w:val="18"/>
                    </w:rPr>
                  </w:pPr>
                  <w:r w:rsidRPr="008819AF">
                    <w:rPr>
                      <w:sz w:val="18"/>
                      <w:szCs w:val="18"/>
                    </w:rPr>
                    <w:t>150</w:t>
                  </w:r>
                </w:p>
              </w:tc>
              <w:tc>
                <w:tcPr>
                  <w:tcW w:w="992" w:type="dxa"/>
                  <w:vMerge/>
                  <w:tcBorders>
                    <w:top w:val="single" w:sz="2" w:space="0" w:color="auto"/>
                    <w:left w:val="single" w:sz="2" w:space="0" w:color="auto"/>
                    <w:bottom w:val="single" w:sz="2" w:space="0" w:color="auto"/>
                    <w:right w:val="single" w:sz="2" w:space="0" w:color="auto"/>
                  </w:tcBorders>
                  <w:vAlign w:val="center"/>
                </w:tcPr>
                <w:p w14:paraId="15133686" w14:textId="77777777" w:rsidR="00236AB5" w:rsidRPr="008819AF" w:rsidRDefault="00236AB5" w:rsidP="00236AB5">
                  <w:pPr>
                    <w:jc w:val="cente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15133687" w14:textId="77777777" w:rsidR="00236AB5" w:rsidRPr="008819AF" w:rsidRDefault="00236AB5"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15133688" w14:textId="77777777" w:rsidR="00236AB5" w:rsidRPr="008819AF" w:rsidRDefault="00236AB5" w:rsidP="00236AB5">
                  <w:pPr>
                    <w:jc w:val="center"/>
                    <w:rPr>
                      <w:sz w:val="18"/>
                      <w:szCs w:val="18"/>
                    </w:rPr>
                  </w:pPr>
                  <w:r w:rsidRPr="008819AF">
                    <w:rPr>
                      <w:sz w:val="18"/>
                      <w:szCs w:val="18"/>
                    </w:rPr>
                    <w:t>50</w:t>
                  </w:r>
                </w:p>
              </w:tc>
            </w:tr>
            <w:tr w:rsidR="00236AB5" w:rsidRPr="008819AF" w14:paraId="15133692"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1513368A" w14:textId="77777777" w:rsidR="00236AB5" w:rsidRPr="008819AF" w:rsidRDefault="00236AB5"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1513368B" w14:textId="77777777" w:rsidR="00236AB5" w:rsidRPr="008819AF" w:rsidRDefault="00236AB5"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1513368C" w14:textId="77777777" w:rsidR="00236AB5" w:rsidRPr="008819AF" w:rsidRDefault="00236AB5" w:rsidP="00236AB5">
                  <w:pPr>
                    <w:rPr>
                      <w:sz w:val="18"/>
                      <w:szCs w:val="18"/>
                    </w:rPr>
                  </w:pPr>
                  <w:r w:rsidRPr="008819AF">
                    <w:rPr>
                      <w:sz w:val="18"/>
                      <w:szCs w:val="18"/>
                    </w:rPr>
                    <w:t>rašelina</w:t>
                  </w:r>
                </w:p>
              </w:tc>
              <w:tc>
                <w:tcPr>
                  <w:tcW w:w="567" w:type="dxa"/>
                  <w:tcBorders>
                    <w:top w:val="single" w:sz="2" w:space="0" w:color="auto"/>
                    <w:left w:val="single" w:sz="2" w:space="0" w:color="auto"/>
                    <w:bottom w:val="single" w:sz="2" w:space="0" w:color="auto"/>
                    <w:right w:val="single" w:sz="2" w:space="0" w:color="auto"/>
                  </w:tcBorders>
                  <w:vAlign w:val="center"/>
                </w:tcPr>
                <w:p w14:paraId="1513368D" w14:textId="77777777" w:rsidR="00236AB5" w:rsidRPr="008819AF" w:rsidRDefault="00236AB5" w:rsidP="00236AB5">
                  <w:pPr>
                    <w:jc w:val="center"/>
                    <w:rPr>
                      <w:sz w:val="18"/>
                      <w:szCs w:val="18"/>
                    </w:rPr>
                  </w:pPr>
                  <w:r w:rsidRPr="008819AF">
                    <w:rPr>
                      <w:sz w:val="18"/>
                      <w:szCs w:val="18"/>
                    </w:rPr>
                    <w:t>20</w:t>
                  </w:r>
                </w:p>
              </w:tc>
              <w:tc>
                <w:tcPr>
                  <w:tcW w:w="851" w:type="dxa"/>
                  <w:tcBorders>
                    <w:top w:val="single" w:sz="2" w:space="0" w:color="auto"/>
                    <w:left w:val="single" w:sz="2" w:space="0" w:color="auto"/>
                    <w:bottom w:val="single" w:sz="2" w:space="0" w:color="auto"/>
                    <w:right w:val="single" w:sz="2" w:space="0" w:color="auto"/>
                  </w:tcBorders>
                  <w:vAlign w:val="center"/>
                </w:tcPr>
                <w:p w14:paraId="1513368E" w14:textId="77777777" w:rsidR="00236AB5" w:rsidRPr="008819AF" w:rsidRDefault="00236AB5" w:rsidP="00236AB5">
                  <w:pPr>
                    <w:ind w:left="-108" w:right="-108"/>
                    <w:jc w:val="center"/>
                    <w:rPr>
                      <w:sz w:val="18"/>
                      <w:szCs w:val="18"/>
                    </w:rPr>
                  </w:pPr>
                  <w:r w:rsidRPr="008819AF">
                    <w:rPr>
                      <w:sz w:val="18"/>
                      <w:szCs w:val="18"/>
                    </w:rPr>
                    <w:t>150, 200</w:t>
                  </w:r>
                  <w:r w:rsidRPr="008819AF">
                    <w:rPr>
                      <w:sz w:val="18"/>
                      <w:szCs w:val="18"/>
                      <w:vertAlign w:val="superscript"/>
                    </w:rPr>
                    <w:t>2</w:t>
                  </w:r>
                  <w:r w:rsidRPr="008819AF">
                    <w:rPr>
                      <w:sz w:val="18"/>
                      <w:szCs w:val="18"/>
                    </w:rPr>
                    <w:t>)</w:t>
                  </w:r>
                </w:p>
              </w:tc>
              <w:tc>
                <w:tcPr>
                  <w:tcW w:w="992" w:type="dxa"/>
                  <w:vMerge/>
                  <w:tcBorders>
                    <w:top w:val="single" w:sz="2" w:space="0" w:color="auto"/>
                    <w:left w:val="single" w:sz="2" w:space="0" w:color="auto"/>
                    <w:bottom w:val="single" w:sz="2" w:space="0" w:color="auto"/>
                    <w:right w:val="single" w:sz="2" w:space="0" w:color="auto"/>
                  </w:tcBorders>
                  <w:vAlign w:val="center"/>
                </w:tcPr>
                <w:p w14:paraId="1513368F" w14:textId="77777777" w:rsidR="00236AB5" w:rsidRPr="008819AF" w:rsidRDefault="00236AB5" w:rsidP="00236AB5">
                  <w:pPr>
                    <w:jc w:val="cente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15133690" w14:textId="77777777" w:rsidR="00236AB5" w:rsidRPr="008819AF" w:rsidRDefault="00236AB5"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15133691" w14:textId="77777777" w:rsidR="00236AB5" w:rsidRPr="008819AF" w:rsidRDefault="00236AB5" w:rsidP="00236AB5">
                  <w:pPr>
                    <w:jc w:val="center"/>
                    <w:rPr>
                      <w:sz w:val="18"/>
                      <w:szCs w:val="18"/>
                    </w:rPr>
                  </w:pPr>
                  <w:r w:rsidRPr="008819AF">
                    <w:rPr>
                      <w:sz w:val="18"/>
                      <w:szCs w:val="18"/>
                    </w:rPr>
                    <w:t>-</w:t>
                  </w:r>
                </w:p>
              </w:tc>
            </w:tr>
            <w:tr w:rsidR="00236AB5" w:rsidRPr="008819AF" w14:paraId="15133695" w14:textId="77777777" w:rsidTr="005950BD">
              <w:trPr>
                <w:trHeight w:val="306"/>
                <w:jc w:val="center"/>
              </w:trPr>
              <w:tc>
                <w:tcPr>
                  <w:tcW w:w="1157" w:type="dxa"/>
                  <w:gridSpan w:val="3"/>
                  <w:tcBorders>
                    <w:top w:val="single" w:sz="2" w:space="0" w:color="auto"/>
                    <w:left w:val="single" w:sz="2" w:space="0" w:color="auto"/>
                    <w:bottom w:val="single" w:sz="2" w:space="0" w:color="auto"/>
                    <w:right w:val="single" w:sz="2" w:space="0" w:color="auto"/>
                  </w:tcBorders>
                </w:tcPr>
                <w:p w14:paraId="15133693" w14:textId="77777777" w:rsidR="00236AB5" w:rsidRPr="008819AF" w:rsidRDefault="00236AB5" w:rsidP="00236AB5">
                  <w:pPr>
                    <w:rPr>
                      <w:sz w:val="18"/>
                      <w:szCs w:val="18"/>
                    </w:rPr>
                  </w:pPr>
                  <w:r w:rsidRPr="008819AF">
                    <w:rPr>
                      <w:b/>
                      <w:sz w:val="18"/>
                      <w:szCs w:val="18"/>
                    </w:rPr>
                    <w:t>MTP [MW]</w:t>
                  </w:r>
                </w:p>
              </w:tc>
              <w:tc>
                <w:tcPr>
                  <w:tcW w:w="4387" w:type="dxa"/>
                  <w:gridSpan w:val="6"/>
                  <w:tcBorders>
                    <w:top w:val="single" w:sz="2" w:space="0" w:color="auto"/>
                    <w:left w:val="single" w:sz="2" w:space="0" w:color="auto"/>
                    <w:bottom w:val="single" w:sz="2" w:space="0" w:color="auto"/>
                    <w:right w:val="single" w:sz="2" w:space="0" w:color="auto"/>
                  </w:tcBorders>
                </w:tcPr>
                <w:p w14:paraId="15133694" w14:textId="77777777" w:rsidR="00236AB5" w:rsidRPr="008819AF" w:rsidRDefault="00236AB5" w:rsidP="00236AB5">
                  <w:pPr>
                    <w:jc w:val="center"/>
                    <w:rPr>
                      <w:b/>
                      <w:sz w:val="18"/>
                      <w:szCs w:val="18"/>
                    </w:rPr>
                  </w:pPr>
                  <w:r w:rsidRPr="008819AF">
                    <w:rPr>
                      <w:b/>
                      <w:sz w:val="18"/>
                      <w:szCs w:val="18"/>
                    </w:rPr>
                    <w:t>Stupeň odsírenia   [%]</w:t>
                  </w:r>
                </w:p>
              </w:tc>
            </w:tr>
            <w:tr w:rsidR="00236AB5" w:rsidRPr="008819AF" w14:paraId="15133699" w14:textId="77777777" w:rsidTr="005950BD">
              <w:trPr>
                <w:trHeight w:val="306"/>
                <w:jc w:val="center"/>
              </w:trPr>
              <w:tc>
                <w:tcPr>
                  <w:tcW w:w="533" w:type="dxa"/>
                  <w:tcBorders>
                    <w:top w:val="single" w:sz="2" w:space="0" w:color="auto"/>
                    <w:left w:val="single" w:sz="2" w:space="0" w:color="auto"/>
                    <w:bottom w:val="single" w:sz="2" w:space="0" w:color="auto"/>
                    <w:right w:val="single" w:sz="2" w:space="0" w:color="auto"/>
                  </w:tcBorders>
                </w:tcPr>
                <w:p w14:paraId="15133696" w14:textId="77777777" w:rsidR="00236AB5" w:rsidRPr="008819AF" w:rsidRDefault="00236AB5" w:rsidP="00236AB5">
                  <w:pPr>
                    <w:ind w:right="-108"/>
                    <w:rPr>
                      <w:sz w:val="18"/>
                      <w:szCs w:val="18"/>
                    </w:rPr>
                  </w:pPr>
                  <w:r w:rsidRPr="008819AF">
                    <w:rPr>
                      <w:sz w:val="18"/>
                      <w:szCs w:val="18"/>
                    </w:rPr>
                    <w:t xml:space="preserve">≥ 50 </w:t>
                  </w:r>
                </w:p>
              </w:tc>
              <w:tc>
                <w:tcPr>
                  <w:tcW w:w="624" w:type="dxa"/>
                  <w:gridSpan w:val="2"/>
                  <w:tcBorders>
                    <w:top w:val="single" w:sz="2" w:space="0" w:color="auto"/>
                    <w:left w:val="single" w:sz="2" w:space="0" w:color="auto"/>
                    <w:bottom w:val="single" w:sz="2" w:space="0" w:color="auto"/>
                    <w:right w:val="single" w:sz="2" w:space="0" w:color="auto"/>
                  </w:tcBorders>
                </w:tcPr>
                <w:p w14:paraId="15133697" w14:textId="77777777" w:rsidR="00236AB5" w:rsidRPr="008819AF" w:rsidRDefault="00236AB5" w:rsidP="00236AB5">
                  <w:pPr>
                    <w:ind w:right="-108"/>
                    <w:rPr>
                      <w:sz w:val="18"/>
                      <w:szCs w:val="18"/>
                    </w:rPr>
                  </w:pPr>
                  <w:r w:rsidRPr="008819AF">
                    <w:rPr>
                      <w:sz w:val="18"/>
                      <w:szCs w:val="18"/>
                    </w:rPr>
                    <w:t>&lt; 100</w:t>
                  </w:r>
                </w:p>
              </w:tc>
              <w:tc>
                <w:tcPr>
                  <w:tcW w:w="4387" w:type="dxa"/>
                  <w:gridSpan w:val="6"/>
                  <w:tcBorders>
                    <w:top w:val="single" w:sz="2" w:space="0" w:color="auto"/>
                    <w:left w:val="single" w:sz="2" w:space="0" w:color="auto"/>
                    <w:bottom w:val="single" w:sz="2" w:space="0" w:color="auto"/>
                    <w:right w:val="single" w:sz="2" w:space="0" w:color="auto"/>
                  </w:tcBorders>
                </w:tcPr>
                <w:p w14:paraId="15133698" w14:textId="77777777" w:rsidR="00236AB5" w:rsidRPr="008819AF" w:rsidRDefault="00236AB5" w:rsidP="00236AB5">
                  <w:pPr>
                    <w:jc w:val="center"/>
                    <w:rPr>
                      <w:sz w:val="18"/>
                      <w:szCs w:val="18"/>
                    </w:rPr>
                  </w:pPr>
                  <w:r w:rsidRPr="008819AF">
                    <w:rPr>
                      <w:sz w:val="18"/>
                      <w:szCs w:val="18"/>
                    </w:rPr>
                    <w:t>93</w:t>
                  </w:r>
                </w:p>
              </w:tc>
            </w:tr>
            <w:tr w:rsidR="00236AB5" w:rsidRPr="008819AF" w14:paraId="1513369D" w14:textId="77777777" w:rsidTr="005950BD">
              <w:trPr>
                <w:trHeight w:val="306"/>
                <w:jc w:val="center"/>
              </w:trPr>
              <w:tc>
                <w:tcPr>
                  <w:tcW w:w="533" w:type="dxa"/>
                  <w:tcBorders>
                    <w:top w:val="single" w:sz="2" w:space="0" w:color="auto"/>
                    <w:left w:val="single" w:sz="2" w:space="0" w:color="auto"/>
                    <w:bottom w:val="single" w:sz="2" w:space="0" w:color="auto"/>
                    <w:right w:val="single" w:sz="2" w:space="0" w:color="auto"/>
                  </w:tcBorders>
                </w:tcPr>
                <w:p w14:paraId="1513369A" w14:textId="77777777" w:rsidR="00236AB5" w:rsidRPr="008819AF" w:rsidRDefault="00236AB5" w:rsidP="00236AB5">
                  <w:pPr>
                    <w:ind w:right="-108"/>
                    <w:rPr>
                      <w:sz w:val="18"/>
                      <w:szCs w:val="18"/>
                    </w:rPr>
                  </w:pPr>
                  <w:r w:rsidRPr="008819AF">
                    <w:rPr>
                      <w:sz w:val="18"/>
                      <w:szCs w:val="18"/>
                    </w:rPr>
                    <w:t>≥ 100</w:t>
                  </w:r>
                </w:p>
              </w:tc>
              <w:tc>
                <w:tcPr>
                  <w:tcW w:w="624" w:type="dxa"/>
                  <w:gridSpan w:val="2"/>
                  <w:tcBorders>
                    <w:top w:val="single" w:sz="2" w:space="0" w:color="auto"/>
                    <w:left w:val="single" w:sz="2" w:space="0" w:color="auto"/>
                    <w:bottom w:val="single" w:sz="2" w:space="0" w:color="auto"/>
                    <w:right w:val="single" w:sz="2" w:space="0" w:color="auto"/>
                  </w:tcBorders>
                </w:tcPr>
                <w:p w14:paraId="1513369B" w14:textId="77777777" w:rsidR="00236AB5" w:rsidRPr="008819AF" w:rsidRDefault="00236AB5" w:rsidP="00236AB5">
                  <w:pPr>
                    <w:ind w:right="-108"/>
                    <w:rPr>
                      <w:sz w:val="18"/>
                      <w:szCs w:val="18"/>
                    </w:rPr>
                  </w:pPr>
                  <w:r w:rsidRPr="008819AF">
                    <w:rPr>
                      <w:sz w:val="18"/>
                      <w:szCs w:val="18"/>
                    </w:rPr>
                    <w:t>≤ 300</w:t>
                  </w:r>
                </w:p>
              </w:tc>
              <w:tc>
                <w:tcPr>
                  <w:tcW w:w="4387" w:type="dxa"/>
                  <w:gridSpan w:val="6"/>
                  <w:tcBorders>
                    <w:top w:val="single" w:sz="2" w:space="0" w:color="auto"/>
                    <w:left w:val="single" w:sz="2" w:space="0" w:color="auto"/>
                    <w:bottom w:val="single" w:sz="2" w:space="0" w:color="auto"/>
                    <w:right w:val="single" w:sz="2" w:space="0" w:color="auto"/>
                  </w:tcBorders>
                </w:tcPr>
                <w:p w14:paraId="1513369C" w14:textId="77777777" w:rsidR="00236AB5" w:rsidRPr="008819AF" w:rsidRDefault="00236AB5" w:rsidP="00236AB5">
                  <w:pPr>
                    <w:jc w:val="center"/>
                    <w:rPr>
                      <w:sz w:val="18"/>
                      <w:szCs w:val="18"/>
                    </w:rPr>
                  </w:pPr>
                  <w:r w:rsidRPr="008819AF">
                    <w:rPr>
                      <w:sz w:val="18"/>
                      <w:szCs w:val="18"/>
                    </w:rPr>
                    <w:t>93</w:t>
                  </w:r>
                </w:p>
              </w:tc>
            </w:tr>
            <w:tr w:rsidR="00236AB5" w:rsidRPr="008819AF" w14:paraId="151336A0" w14:textId="77777777" w:rsidTr="005950BD">
              <w:trPr>
                <w:trHeight w:val="306"/>
                <w:jc w:val="center"/>
              </w:trPr>
              <w:tc>
                <w:tcPr>
                  <w:tcW w:w="1157" w:type="dxa"/>
                  <w:gridSpan w:val="3"/>
                  <w:tcBorders>
                    <w:top w:val="single" w:sz="2" w:space="0" w:color="auto"/>
                    <w:left w:val="single" w:sz="2" w:space="0" w:color="auto"/>
                    <w:bottom w:val="single" w:sz="2" w:space="0" w:color="auto"/>
                    <w:right w:val="single" w:sz="2" w:space="0" w:color="auto"/>
                  </w:tcBorders>
                  <w:vAlign w:val="center"/>
                </w:tcPr>
                <w:p w14:paraId="1513369E" w14:textId="77777777" w:rsidR="00236AB5" w:rsidRPr="008819AF" w:rsidRDefault="00236AB5" w:rsidP="00236AB5">
                  <w:pPr>
                    <w:jc w:val="center"/>
                    <w:rPr>
                      <w:sz w:val="18"/>
                      <w:szCs w:val="18"/>
                    </w:rPr>
                  </w:pPr>
                  <w:r w:rsidRPr="008819AF">
                    <w:rPr>
                      <w:sz w:val="18"/>
                      <w:szCs w:val="18"/>
                    </w:rPr>
                    <w:t>&gt; 300</w:t>
                  </w:r>
                </w:p>
              </w:tc>
              <w:tc>
                <w:tcPr>
                  <w:tcW w:w="4387" w:type="dxa"/>
                  <w:gridSpan w:val="6"/>
                  <w:tcBorders>
                    <w:top w:val="single" w:sz="2" w:space="0" w:color="auto"/>
                    <w:left w:val="single" w:sz="2" w:space="0" w:color="auto"/>
                    <w:bottom w:val="single" w:sz="2" w:space="0" w:color="auto"/>
                    <w:right w:val="single" w:sz="2" w:space="0" w:color="auto"/>
                  </w:tcBorders>
                  <w:vAlign w:val="center"/>
                </w:tcPr>
                <w:p w14:paraId="1513369F" w14:textId="77777777" w:rsidR="00236AB5" w:rsidRPr="008819AF" w:rsidRDefault="00236AB5" w:rsidP="00236AB5">
                  <w:pPr>
                    <w:jc w:val="center"/>
                    <w:rPr>
                      <w:sz w:val="18"/>
                      <w:szCs w:val="18"/>
                    </w:rPr>
                  </w:pPr>
                  <w:r w:rsidRPr="008819AF">
                    <w:rPr>
                      <w:sz w:val="18"/>
                      <w:szCs w:val="18"/>
                    </w:rPr>
                    <w:t>97</w:t>
                  </w:r>
                </w:p>
              </w:tc>
            </w:tr>
          </w:tbl>
          <w:p w14:paraId="151336A1" w14:textId="77777777" w:rsidR="00236AB5" w:rsidRPr="008819AF" w:rsidRDefault="00236AB5" w:rsidP="00236AB5">
            <w:pPr>
              <w:ind w:left="238" w:hanging="238"/>
            </w:pPr>
            <w:r w:rsidRPr="008819AF">
              <w:rPr>
                <w:vertAlign w:val="superscript"/>
              </w:rPr>
              <w:t>1</w:t>
            </w:r>
            <w:r w:rsidRPr="008819AF">
              <w:t>) Platí pre spaľovanie práškového hnedého uhlia.</w:t>
            </w:r>
          </w:p>
          <w:p w14:paraId="151336A2" w14:textId="77777777" w:rsidR="00236AB5" w:rsidRPr="008819AF" w:rsidRDefault="00236AB5" w:rsidP="00236AB5">
            <w:pPr>
              <w:ind w:left="238" w:hanging="238"/>
            </w:pPr>
            <w:r w:rsidRPr="008819AF">
              <w:rPr>
                <w:vertAlign w:val="superscript"/>
              </w:rPr>
              <w:t>2</w:t>
            </w:r>
            <w:r w:rsidRPr="008819AF">
              <w:t xml:space="preserve">) Platí pre spaľovanie na fluidnom lôžku.  </w:t>
            </w:r>
          </w:p>
          <w:p w14:paraId="151336A3" w14:textId="77777777" w:rsidR="00236AB5" w:rsidRPr="008819AF" w:rsidRDefault="00236AB5" w:rsidP="00236AB5">
            <w:pPr>
              <w:ind w:left="238" w:hanging="238"/>
            </w:pPr>
            <w:r w:rsidRPr="008819AF">
              <w:rPr>
                <w:vertAlign w:val="superscript"/>
              </w:rPr>
              <w:t>3</w:t>
            </w:r>
            <w:r w:rsidRPr="008819AF">
              <w:t>) Platí pre spaľovanie na fluidnom lôžku s cirkulujúcou alebo pretlakovou vrstvou.</w:t>
            </w:r>
          </w:p>
          <w:p w14:paraId="151336A4" w14:textId="77777777" w:rsidR="00236AB5" w:rsidRPr="008819AF" w:rsidRDefault="00236AB5" w:rsidP="00236AB5">
            <w:pPr>
              <w:ind w:left="240" w:hanging="240"/>
            </w:pPr>
          </w:p>
          <w:p w14:paraId="151336A5" w14:textId="77777777" w:rsidR="00236AB5" w:rsidRPr="008819AF" w:rsidRDefault="00236AB5" w:rsidP="00236AB5">
            <w:pPr>
              <w:pStyle w:val="Odsekzoznamu1"/>
              <w:keepNext/>
              <w:spacing w:after="120"/>
              <w:ind w:left="0"/>
              <w:jc w:val="both"/>
              <w:rPr>
                <w:sz w:val="20"/>
                <w:szCs w:val="20"/>
              </w:rPr>
            </w:pPr>
            <w:r w:rsidRPr="008819AF">
              <w:rPr>
                <w:sz w:val="20"/>
                <w:szCs w:val="20"/>
              </w:rPr>
              <w:t>3. Spaľovanie kvapalných palív okrem spaľovania v plynových turbínach a piestových spaľovacích motoroch</w:t>
            </w:r>
          </w:p>
          <w:p w14:paraId="151336A6" w14:textId="77777777" w:rsidR="00236AB5" w:rsidRPr="008819AF" w:rsidRDefault="00236AB5" w:rsidP="00236AB5">
            <w:pPr>
              <w:spacing w:after="120"/>
              <w:ind w:left="34"/>
              <w:jc w:val="both"/>
            </w:pPr>
            <w:r w:rsidRPr="008819AF">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63"/>
              <w:gridCol w:w="947"/>
              <w:gridCol w:w="905"/>
              <w:gridCol w:w="1001"/>
              <w:gridCol w:w="927"/>
              <w:gridCol w:w="1001"/>
            </w:tblGrid>
            <w:tr w:rsidR="00236AB5" w:rsidRPr="008819AF" w14:paraId="151336A9" w14:textId="77777777" w:rsidTr="005950BD">
              <w:trPr>
                <w:trHeight w:val="340"/>
                <w:jc w:val="center"/>
              </w:trPr>
              <w:tc>
                <w:tcPr>
                  <w:tcW w:w="2834" w:type="dxa"/>
                  <w:gridSpan w:val="2"/>
                  <w:vMerge w:val="restart"/>
                  <w:vAlign w:val="center"/>
                </w:tcPr>
                <w:p w14:paraId="151336A7" w14:textId="77777777" w:rsidR="00236AB5" w:rsidRPr="008819AF" w:rsidRDefault="00236AB5" w:rsidP="00236AB5">
                  <w:pPr>
                    <w:rPr>
                      <w:b/>
                      <w:sz w:val="18"/>
                      <w:szCs w:val="18"/>
                    </w:rPr>
                  </w:pPr>
                  <w:r w:rsidRPr="008819AF">
                    <w:rPr>
                      <w:b/>
                      <w:sz w:val="18"/>
                      <w:szCs w:val="18"/>
                    </w:rPr>
                    <w:t>Podmienky platnosti  EL</w:t>
                  </w:r>
                </w:p>
              </w:tc>
              <w:tc>
                <w:tcPr>
                  <w:tcW w:w="6454" w:type="dxa"/>
                  <w:gridSpan w:val="4"/>
                  <w:vAlign w:val="center"/>
                </w:tcPr>
                <w:p w14:paraId="151336A8" w14:textId="77777777" w:rsidR="00236AB5" w:rsidRPr="008819AF" w:rsidRDefault="00236AB5" w:rsidP="00236AB5">
                  <w:pPr>
                    <w:rPr>
                      <w:sz w:val="18"/>
                      <w:szCs w:val="18"/>
                    </w:rPr>
                  </w:pPr>
                  <w:r w:rsidRPr="008819AF">
                    <w:rPr>
                      <w:sz w:val="18"/>
                      <w:szCs w:val="18"/>
                    </w:rPr>
                    <w:t>Štandardné stavové podmienky, suchý plyn, O</w:t>
                  </w:r>
                  <w:r w:rsidRPr="008819AF">
                    <w:rPr>
                      <w:sz w:val="18"/>
                      <w:szCs w:val="18"/>
                      <w:vertAlign w:val="subscript"/>
                    </w:rPr>
                    <w:t>2 ref</w:t>
                  </w:r>
                  <w:r w:rsidRPr="008819AF">
                    <w:rPr>
                      <w:sz w:val="18"/>
                      <w:szCs w:val="18"/>
                    </w:rPr>
                    <w:t>: 3 % objemu</w:t>
                  </w:r>
                </w:p>
              </w:tc>
            </w:tr>
            <w:tr w:rsidR="00236AB5" w:rsidRPr="008819AF" w14:paraId="151336AC" w14:textId="77777777" w:rsidTr="005950BD">
              <w:trPr>
                <w:trHeight w:val="340"/>
                <w:jc w:val="center"/>
              </w:trPr>
              <w:tc>
                <w:tcPr>
                  <w:tcW w:w="2834" w:type="dxa"/>
                  <w:gridSpan w:val="2"/>
                  <w:vMerge/>
                </w:tcPr>
                <w:p w14:paraId="151336AA" w14:textId="77777777" w:rsidR="00236AB5" w:rsidRPr="008819AF" w:rsidRDefault="00236AB5" w:rsidP="00236AB5">
                  <w:pPr>
                    <w:rPr>
                      <w:b/>
                      <w:sz w:val="18"/>
                      <w:szCs w:val="18"/>
                    </w:rPr>
                  </w:pPr>
                </w:p>
              </w:tc>
              <w:tc>
                <w:tcPr>
                  <w:tcW w:w="6454" w:type="dxa"/>
                  <w:gridSpan w:val="4"/>
                  <w:vAlign w:val="center"/>
                </w:tcPr>
                <w:p w14:paraId="151336AB" w14:textId="77777777" w:rsidR="00236AB5" w:rsidRPr="008819AF" w:rsidRDefault="00236AB5" w:rsidP="00236AB5">
                  <w:pPr>
                    <w:rPr>
                      <w:sz w:val="18"/>
                      <w:szCs w:val="18"/>
                    </w:rPr>
                  </w:pPr>
                  <w:r w:rsidRPr="008819AF">
                    <w:rPr>
                      <w:sz w:val="18"/>
                      <w:szCs w:val="18"/>
                    </w:rPr>
                    <w:t>Ak sa emisné limity pre TZL dosahujú bez odlučovania, všeobecné emisné limity podľa prílohy č. 3 pre tuhé anorganické znečisťujúce látky zaradené v 2. skupine sa neuplatňujú.</w:t>
                  </w:r>
                </w:p>
              </w:tc>
            </w:tr>
            <w:tr w:rsidR="00236AB5" w:rsidRPr="008819AF" w14:paraId="151336AF" w14:textId="77777777" w:rsidTr="005950BD">
              <w:trPr>
                <w:trHeight w:val="340"/>
                <w:jc w:val="center"/>
              </w:trPr>
              <w:tc>
                <w:tcPr>
                  <w:tcW w:w="2834" w:type="dxa"/>
                  <w:gridSpan w:val="2"/>
                  <w:vAlign w:val="center"/>
                </w:tcPr>
                <w:p w14:paraId="151336AD" w14:textId="77777777" w:rsidR="00236AB5" w:rsidRPr="008819AF" w:rsidRDefault="00236AB5" w:rsidP="00236AB5">
                  <w:pPr>
                    <w:rPr>
                      <w:b/>
                      <w:sz w:val="18"/>
                      <w:szCs w:val="18"/>
                    </w:rPr>
                  </w:pPr>
                  <w:r w:rsidRPr="008819AF">
                    <w:rPr>
                      <w:b/>
                      <w:sz w:val="18"/>
                      <w:szCs w:val="18"/>
                    </w:rPr>
                    <w:t>MTP             [MW]</w:t>
                  </w:r>
                </w:p>
              </w:tc>
              <w:tc>
                <w:tcPr>
                  <w:tcW w:w="6454" w:type="dxa"/>
                  <w:gridSpan w:val="4"/>
                  <w:vAlign w:val="center"/>
                </w:tcPr>
                <w:p w14:paraId="151336AE" w14:textId="77777777" w:rsidR="00236AB5" w:rsidRPr="008819AF" w:rsidRDefault="00236AB5" w:rsidP="00236AB5">
                  <w:pPr>
                    <w:jc w:val="center"/>
                    <w:rPr>
                      <w:sz w:val="18"/>
                      <w:szCs w:val="18"/>
                    </w:rPr>
                  </w:pPr>
                  <w:r w:rsidRPr="008819AF">
                    <w:rPr>
                      <w:b/>
                      <w:sz w:val="18"/>
                      <w:szCs w:val="18"/>
                    </w:rPr>
                    <w:t>Emisný limit        [mg/m</w:t>
                  </w:r>
                  <w:r w:rsidRPr="008819AF">
                    <w:rPr>
                      <w:b/>
                      <w:sz w:val="18"/>
                      <w:szCs w:val="18"/>
                      <w:vertAlign w:val="superscript"/>
                    </w:rPr>
                    <w:t>3</w:t>
                  </w:r>
                  <w:r w:rsidRPr="008819AF">
                    <w:rPr>
                      <w:b/>
                      <w:sz w:val="18"/>
                      <w:szCs w:val="18"/>
                    </w:rPr>
                    <w:t>]</w:t>
                  </w:r>
                </w:p>
              </w:tc>
            </w:tr>
            <w:tr w:rsidR="00236AB5" w:rsidRPr="008819AF" w14:paraId="151336B6" w14:textId="77777777" w:rsidTr="005950BD">
              <w:trPr>
                <w:trHeight w:val="340"/>
                <w:jc w:val="center"/>
              </w:trPr>
              <w:tc>
                <w:tcPr>
                  <w:tcW w:w="1242" w:type="dxa"/>
                  <w:vAlign w:val="center"/>
                </w:tcPr>
                <w:p w14:paraId="151336B0" w14:textId="77777777" w:rsidR="00236AB5" w:rsidRPr="008819AF" w:rsidRDefault="00236AB5" w:rsidP="00236AB5">
                  <w:pPr>
                    <w:jc w:val="center"/>
                    <w:rPr>
                      <w:b/>
                      <w:sz w:val="18"/>
                      <w:szCs w:val="18"/>
                    </w:rPr>
                  </w:pPr>
                  <w:r w:rsidRPr="008819AF">
                    <w:rPr>
                      <w:b/>
                      <w:sz w:val="18"/>
                      <w:szCs w:val="18"/>
                    </w:rPr>
                    <w:t>Od</w:t>
                  </w:r>
                </w:p>
              </w:tc>
              <w:tc>
                <w:tcPr>
                  <w:tcW w:w="1592" w:type="dxa"/>
                  <w:vAlign w:val="center"/>
                </w:tcPr>
                <w:p w14:paraId="151336B1" w14:textId="77777777" w:rsidR="00236AB5" w:rsidRPr="008819AF" w:rsidRDefault="00236AB5" w:rsidP="00236AB5">
                  <w:pPr>
                    <w:jc w:val="center"/>
                    <w:rPr>
                      <w:b/>
                      <w:sz w:val="18"/>
                      <w:szCs w:val="18"/>
                    </w:rPr>
                  </w:pPr>
                  <w:r w:rsidRPr="008819AF">
                    <w:rPr>
                      <w:b/>
                      <w:sz w:val="18"/>
                      <w:szCs w:val="18"/>
                    </w:rPr>
                    <w:t>do</w:t>
                  </w:r>
                </w:p>
              </w:tc>
              <w:tc>
                <w:tcPr>
                  <w:tcW w:w="1512" w:type="dxa"/>
                  <w:vAlign w:val="center"/>
                </w:tcPr>
                <w:p w14:paraId="151336B2" w14:textId="77777777" w:rsidR="00236AB5" w:rsidRPr="008819AF" w:rsidRDefault="00236AB5" w:rsidP="00236AB5">
                  <w:pPr>
                    <w:jc w:val="center"/>
                    <w:rPr>
                      <w:b/>
                      <w:sz w:val="18"/>
                      <w:szCs w:val="18"/>
                    </w:rPr>
                  </w:pPr>
                  <w:r w:rsidRPr="008819AF">
                    <w:rPr>
                      <w:b/>
                      <w:sz w:val="18"/>
                      <w:szCs w:val="18"/>
                    </w:rPr>
                    <w:t>TZL</w:t>
                  </w:r>
                </w:p>
              </w:tc>
              <w:tc>
                <w:tcPr>
                  <w:tcW w:w="1694" w:type="dxa"/>
                  <w:vAlign w:val="center"/>
                </w:tcPr>
                <w:p w14:paraId="151336B3" w14:textId="77777777" w:rsidR="00236AB5" w:rsidRPr="008819AF" w:rsidRDefault="00236AB5" w:rsidP="00236AB5">
                  <w:pPr>
                    <w:jc w:val="center"/>
                    <w:rPr>
                      <w:b/>
                      <w:sz w:val="18"/>
                      <w:szCs w:val="18"/>
                      <w:vertAlign w:val="subscript"/>
                    </w:rPr>
                  </w:pPr>
                  <w:r w:rsidRPr="008819AF">
                    <w:rPr>
                      <w:b/>
                      <w:sz w:val="18"/>
                      <w:szCs w:val="18"/>
                    </w:rPr>
                    <w:t>SO</w:t>
                  </w:r>
                  <w:r w:rsidRPr="008819AF">
                    <w:rPr>
                      <w:b/>
                      <w:sz w:val="18"/>
                      <w:szCs w:val="18"/>
                      <w:vertAlign w:val="subscript"/>
                    </w:rPr>
                    <w:t>2</w:t>
                  </w:r>
                </w:p>
              </w:tc>
              <w:tc>
                <w:tcPr>
                  <w:tcW w:w="1554" w:type="dxa"/>
                  <w:vAlign w:val="center"/>
                </w:tcPr>
                <w:p w14:paraId="151336B4" w14:textId="77777777" w:rsidR="00236AB5" w:rsidRPr="008819AF" w:rsidRDefault="00236AB5" w:rsidP="00236AB5">
                  <w:pPr>
                    <w:jc w:val="center"/>
                    <w:rPr>
                      <w:b/>
                      <w:sz w:val="18"/>
                      <w:szCs w:val="18"/>
                    </w:rPr>
                  </w:pPr>
                  <w:r w:rsidRPr="008819AF">
                    <w:rPr>
                      <w:b/>
                      <w:sz w:val="18"/>
                      <w:szCs w:val="18"/>
                    </w:rPr>
                    <w:t>NOx</w:t>
                  </w:r>
                </w:p>
              </w:tc>
              <w:tc>
                <w:tcPr>
                  <w:tcW w:w="1694" w:type="dxa"/>
                  <w:vAlign w:val="center"/>
                </w:tcPr>
                <w:p w14:paraId="151336B5" w14:textId="77777777" w:rsidR="00236AB5" w:rsidRPr="008819AF" w:rsidRDefault="00236AB5" w:rsidP="00236AB5">
                  <w:pPr>
                    <w:jc w:val="center"/>
                    <w:rPr>
                      <w:b/>
                      <w:sz w:val="18"/>
                      <w:szCs w:val="18"/>
                    </w:rPr>
                  </w:pPr>
                  <w:r w:rsidRPr="008819AF">
                    <w:rPr>
                      <w:b/>
                      <w:sz w:val="18"/>
                      <w:szCs w:val="18"/>
                    </w:rPr>
                    <w:t>CO</w:t>
                  </w:r>
                </w:p>
              </w:tc>
            </w:tr>
            <w:tr w:rsidR="00236AB5" w:rsidRPr="008819AF" w14:paraId="151336BD" w14:textId="77777777" w:rsidTr="005950BD">
              <w:trPr>
                <w:trHeight w:val="340"/>
                <w:jc w:val="center"/>
              </w:trPr>
              <w:tc>
                <w:tcPr>
                  <w:tcW w:w="1242" w:type="dxa"/>
                  <w:vAlign w:val="center"/>
                </w:tcPr>
                <w:p w14:paraId="151336B7" w14:textId="77777777" w:rsidR="00236AB5" w:rsidRPr="008819AF" w:rsidRDefault="00236AB5" w:rsidP="00236AB5">
                  <w:pPr>
                    <w:jc w:val="center"/>
                    <w:rPr>
                      <w:sz w:val="18"/>
                      <w:szCs w:val="18"/>
                    </w:rPr>
                  </w:pPr>
                  <w:r w:rsidRPr="008819AF">
                    <w:rPr>
                      <w:sz w:val="18"/>
                      <w:szCs w:val="18"/>
                    </w:rPr>
                    <w:t>≥ 50</w:t>
                  </w:r>
                </w:p>
              </w:tc>
              <w:tc>
                <w:tcPr>
                  <w:tcW w:w="1592" w:type="dxa"/>
                  <w:vAlign w:val="center"/>
                </w:tcPr>
                <w:p w14:paraId="151336B8" w14:textId="77777777" w:rsidR="00236AB5" w:rsidRPr="008819AF" w:rsidRDefault="00236AB5" w:rsidP="00236AB5">
                  <w:pPr>
                    <w:jc w:val="center"/>
                    <w:rPr>
                      <w:sz w:val="18"/>
                      <w:szCs w:val="18"/>
                    </w:rPr>
                  </w:pPr>
                  <w:r w:rsidRPr="008819AF">
                    <w:rPr>
                      <w:sz w:val="18"/>
                      <w:szCs w:val="18"/>
                    </w:rPr>
                    <w:t>&lt; 100</w:t>
                  </w:r>
                </w:p>
              </w:tc>
              <w:tc>
                <w:tcPr>
                  <w:tcW w:w="1512" w:type="dxa"/>
                  <w:vAlign w:val="center"/>
                </w:tcPr>
                <w:p w14:paraId="151336B9" w14:textId="77777777" w:rsidR="00236AB5" w:rsidRPr="008819AF" w:rsidRDefault="00236AB5" w:rsidP="00236AB5">
                  <w:pPr>
                    <w:jc w:val="center"/>
                    <w:rPr>
                      <w:sz w:val="18"/>
                      <w:szCs w:val="18"/>
                    </w:rPr>
                  </w:pPr>
                  <w:r w:rsidRPr="008819AF">
                    <w:rPr>
                      <w:sz w:val="18"/>
                      <w:szCs w:val="18"/>
                    </w:rPr>
                    <w:t>20</w:t>
                  </w:r>
                </w:p>
              </w:tc>
              <w:tc>
                <w:tcPr>
                  <w:tcW w:w="1694" w:type="dxa"/>
                  <w:vAlign w:val="center"/>
                </w:tcPr>
                <w:p w14:paraId="151336BA" w14:textId="77777777" w:rsidR="00236AB5" w:rsidRPr="008819AF" w:rsidRDefault="00236AB5" w:rsidP="00236AB5">
                  <w:pPr>
                    <w:jc w:val="center"/>
                    <w:rPr>
                      <w:sz w:val="18"/>
                      <w:szCs w:val="18"/>
                    </w:rPr>
                  </w:pPr>
                  <w:r w:rsidRPr="008819AF">
                    <w:rPr>
                      <w:sz w:val="18"/>
                      <w:szCs w:val="18"/>
                    </w:rPr>
                    <w:t>350</w:t>
                  </w:r>
                </w:p>
              </w:tc>
              <w:tc>
                <w:tcPr>
                  <w:tcW w:w="1554" w:type="dxa"/>
                  <w:vAlign w:val="center"/>
                </w:tcPr>
                <w:p w14:paraId="151336BB" w14:textId="77777777" w:rsidR="00236AB5" w:rsidRPr="008819AF" w:rsidRDefault="00236AB5" w:rsidP="00236AB5">
                  <w:pPr>
                    <w:jc w:val="center"/>
                    <w:rPr>
                      <w:sz w:val="18"/>
                      <w:szCs w:val="18"/>
                    </w:rPr>
                  </w:pPr>
                  <w:r w:rsidRPr="008819AF">
                    <w:rPr>
                      <w:sz w:val="18"/>
                      <w:szCs w:val="18"/>
                    </w:rPr>
                    <w:t>300</w:t>
                  </w:r>
                </w:p>
              </w:tc>
              <w:tc>
                <w:tcPr>
                  <w:tcW w:w="1694" w:type="dxa"/>
                  <w:vAlign w:val="center"/>
                </w:tcPr>
                <w:p w14:paraId="151336BC" w14:textId="77777777" w:rsidR="00236AB5" w:rsidRPr="008819AF" w:rsidRDefault="00236AB5" w:rsidP="00236AB5">
                  <w:pPr>
                    <w:jc w:val="center"/>
                    <w:rPr>
                      <w:sz w:val="18"/>
                      <w:szCs w:val="18"/>
                    </w:rPr>
                  </w:pPr>
                  <w:r w:rsidRPr="008819AF">
                    <w:rPr>
                      <w:sz w:val="18"/>
                      <w:szCs w:val="18"/>
                    </w:rPr>
                    <w:t>175</w:t>
                  </w:r>
                </w:p>
              </w:tc>
            </w:tr>
            <w:tr w:rsidR="00236AB5" w:rsidRPr="008819AF" w14:paraId="151336C4" w14:textId="77777777" w:rsidTr="005950BD">
              <w:trPr>
                <w:trHeight w:val="340"/>
                <w:jc w:val="center"/>
              </w:trPr>
              <w:tc>
                <w:tcPr>
                  <w:tcW w:w="1242" w:type="dxa"/>
                  <w:vAlign w:val="center"/>
                </w:tcPr>
                <w:p w14:paraId="151336BE" w14:textId="77777777" w:rsidR="00236AB5" w:rsidRPr="008819AF" w:rsidRDefault="00236AB5" w:rsidP="00236AB5">
                  <w:pPr>
                    <w:jc w:val="center"/>
                    <w:rPr>
                      <w:sz w:val="18"/>
                      <w:szCs w:val="18"/>
                    </w:rPr>
                  </w:pPr>
                  <w:r w:rsidRPr="008819AF">
                    <w:rPr>
                      <w:sz w:val="18"/>
                      <w:szCs w:val="18"/>
                    </w:rPr>
                    <w:t>≥ 100</w:t>
                  </w:r>
                </w:p>
              </w:tc>
              <w:tc>
                <w:tcPr>
                  <w:tcW w:w="1592" w:type="dxa"/>
                  <w:vAlign w:val="center"/>
                </w:tcPr>
                <w:p w14:paraId="151336BF" w14:textId="77777777" w:rsidR="00236AB5" w:rsidRPr="008819AF" w:rsidRDefault="00236AB5" w:rsidP="00236AB5">
                  <w:pPr>
                    <w:jc w:val="center"/>
                    <w:rPr>
                      <w:sz w:val="18"/>
                      <w:szCs w:val="18"/>
                    </w:rPr>
                  </w:pPr>
                  <w:r w:rsidRPr="008819AF">
                    <w:rPr>
                      <w:sz w:val="18"/>
                      <w:szCs w:val="18"/>
                    </w:rPr>
                    <w:t>≤ 300</w:t>
                  </w:r>
                </w:p>
              </w:tc>
              <w:tc>
                <w:tcPr>
                  <w:tcW w:w="1512" w:type="dxa"/>
                  <w:vAlign w:val="center"/>
                </w:tcPr>
                <w:p w14:paraId="151336C0" w14:textId="77777777" w:rsidR="00236AB5" w:rsidRPr="008819AF" w:rsidRDefault="00236AB5" w:rsidP="00236AB5">
                  <w:pPr>
                    <w:jc w:val="center"/>
                    <w:rPr>
                      <w:sz w:val="18"/>
                      <w:szCs w:val="18"/>
                    </w:rPr>
                  </w:pPr>
                  <w:r w:rsidRPr="008819AF">
                    <w:rPr>
                      <w:sz w:val="18"/>
                      <w:szCs w:val="18"/>
                    </w:rPr>
                    <w:t>20</w:t>
                  </w:r>
                </w:p>
              </w:tc>
              <w:tc>
                <w:tcPr>
                  <w:tcW w:w="1694" w:type="dxa"/>
                  <w:vAlign w:val="center"/>
                </w:tcPr>
                <w:p w14:paraId="151336C1" w14:textId="77777777" w:rsidR="00236AB5" w:rsidRPr="008819AF" w:rsidRDefault="00236AB5" w:rsidP="00236AB5">
                  <w:pPr>
                    <w:jc w:val="center"/>
                    <w:rPr>
                      <w:sz w:val="18"/>
                      <w:szCs w:val="18"/>
                    </w:rPr>
                  </w:pPr>
                  <w:r w:rsidRPr="008819AF">
                    <w:rPr>
                      <w:sz w:val="18"/>
                      <w:szCs w:val="18"/>
                    </w:rPr>
                    <w:t>200</w:t>
                  </w:r>
                </w:p>
              </w:tc>
              <w:tc>
                <w:tcPr>
                  <w:tcW w:w="1554" w:type="dxa"/>
                  <w:vAlign w:val="center"/>
                </w:tcPr>
                <w:p w14:paraId="151336C2" w14:textId="77777777" w:rsidR="00236AB5" w:rsidRPr="008819AF" w:rsidRDefault="00236AB5" w:rsidP="00236AB5">
                  <w:pPr>
                    <w:jc w:val="center"/>
                    <w:rPr>
                      <w:sz w:val="18"/>
                      <w:szCs w:val="18"/>
                    </w:rPr>
                  </w:pPr>
                  <w:r w:rsidRPr="008819AF">
                    <w:rPr>
                      <w:sz w:val="18"/>
                      <w:szCs w:val="18"/>
                    </w:rPr>
                    <w:t>150</w:t>
                  </w:r>
                </w:p>
              </w:tc>
              <w:tc>
                <w:tcPr>
                  <w:tcW w:w="1694" w:type="dxa"/>
                  <w:vAlign w:val="center"/>
                </w:tcPr>
                <w:p w14:paraId="151336C3" w14:textId="77777777" w:rsidR="00236AB5" w:rsidRPr="008819AF" w:rsidRDefault="00236AB5" w:rsidP="00236AB5">
                  <w:pPr>
                    <w:jc w:val="center"/>
                    <w:rPr>
                      <w:sz w:val="18"/>
                      <w:szCs w:val="18"/>
                    </w:rPr>
                  </w:pPr>
                  <w:r w:rsidRPr="008819AF">
                    <w:rPr>
                      <w:sz w:val="18"/>
                      <w:szCs w:val="18"/>
                    </w:rPr>
                    <w:t>175</w:t>
                  </w:r>
                </w:p>
              </w:tc>
            </w:tr>
            <w:tr w:rsidR="00236AB5" w:rsidRPr="008819AF" w14:paraId="151336CB" w14:textId="77777777" w:rsidTr="005950BD">
              <w:trPr>
                <w:trHeight w:val="340"/>
                <w:jc w:val="center"/>
              </w:trPr>
              <w:tc>
                <w:tcPr>
                  <w:tcW w:w="1242" w:type="dxa"/>
                  <w:vAlign w:val="center"/>
                </w:tcPr>
                <w:p w14:paraId="151336C5" w14:textId="77777777" w:rsidR="00236AB5" w:rsidRPr="008819AF" w:rsidRDefault="00236AB5" w:rsidP="00236AB5">
                  <w:pPr>
                    <w:jc w:val="center"/>
                    <w:rPr>
                      <w:sz w:val="18"/>
                      <w:szCs w:val="18"/>
                    </w:rPr>
                  </w:pPr>
                  <w:r w:rsidRPr="008819AF">
                    <w:rPr>
                      <w:sz w:val="18"/>
                      <w:szCs w:val="18"/>
                    </w:rPr>
                    <w:t>&gt; 300</w:t>
                  </w:r>
                </w:p>
              </w:tc>
              <w:tc>
                <w:tcPr>
                  <w:tcW w:w="1592" w:type="dxa"/>
                  <w:vAlign w:val="center"/>
                </w:tcPr>
                <w:p w14:paraId="151336C6" w14:textId="77777777" w:rsidR="00236AB5" w:rsidRPr="008819AF" w:rsidRDefault="00236AB5" w:rsidP="00236AB5">
                  <w:pPr>
                    <w:jc w:val="center"/>
                    <w:rPr>
                      <w:sz w:val="18"/>
                      <w:szCs w:val="18"/>
                    </w:rPr>
                  </w:pPr>
                  <w:r w:rsidRPr="008819AF">
                    <w:rPr>
                      <w:sz w:val="18"/>
                      <w:szCs w:val="18"/>
                    </w:rPr>
                    <w:t>-</w:t>
                  </w:r>
                </w:p>
              </w:tc>
              <w:tc>
                <w:tcPr>
                  <w:tcW w:w="1512" w:type="dxa"/>
                  <w:vAlign w:val="center"/>
                </w:tcPr>
                <w:p w14:paraId="151336C7" w14:textId="77777777" w:rsidR="00236AB5" w:rsidRPr="008819AF" w:rsidRDefault="00236AB5" w:rsidP="00236AB5">
                  <w:pPr>
                    <w:jc w:val="center"/>
                    <w:rPr>
                      <w:sz w:val="18"/>
                      <w:szCs w:val="18"/>
                    </w:rPr>
                  </w:pPr>
                  <w:r w:rsidRPr="008819AF">
                    <w:rPr>
                      <w:sz w:val="18"/>
                      <w:szCs w:val="18"/>
                    </w:rPr>
                    <w:t>10</w:t>
                  </w:r>
                </w:p>
              </w:tc>
              <w:tc>
                <w:tcPr>
                  <w:tcW w:w="1694" w:type="dxa"/>
                  <w:vAlign w:val="center"/>
                </w:tcPr>
                <w:p w14:paraId="151336C8" w14:textId="77777777" w:rsidR="00236AB5" w:rsidRPr="008819AF" w:rsidRDefault="00236AB5" w:rsidP="00236AB5">
                  <w:pPr>
                    <w:jc w:val="center"/>
                    <w:rPr>
                      <w:sz w:val="18"/>
                      <w:szCs w:val="18"/>
                    </w:rPr>
                  </w:pPr>
                  <w:r w:rsidRPr="008819AF">
                    <w:rPr>
                      <w:sz w:val="18"/>
                      <w:szCs w:val="18"/>
                    </w:rPr>
                    <w:t>150</w:t>
                  </w:r>
                </w:p>
              </w:tc>
              <w:tc>
                <w:tcPr>
                  <w:tcW w:w="1554" w:type="dxa"/>
                  <w:vAlign w:val="center"/>
                </w:tcPr>
                <w:p w14:paraId="151336C9" w14:textId="77777777" w:rsidR="00236AB5" w:rsidRPr="008819AF" w:rsidRDefault="00236AB5" w:rsidP="00236AB5">
                  <w:pPr>
                    <w:jc w:val="center"/>
                    <w:rPr>
                      <w:sz w:val="18"/>
                      <w:szCs w:val="18"/>
                    </w:rPr>
                  </w:pPr>
                  <w:r w:rsidRPr="008819AF">
                    <w:rPr>
                      <w:sz w:val="18"/>
                      <w:szCs w:val="18"/>
                    </w:rPr>
                    <w:t>100</w:t>
                  </w:r>
                </w:p>
              </w:tc>
              <w:tc>
                <w:tcPr>
                  <w:tcW w:w="1694" w:type="dxa"/>
                  <w:vAlign w:val="center"/>
                </w:tcPr>
                <w:p w14:paraId="151336CA" w14:textId="77777777" w:rsidR="00236AB5" w:rsidRPr="008819AF" w:rsidRDefault="00236AB5" w:rsidP="00236AB5">
                  <w:pPr>
                    <w:jc w:val="center"/>
                    <w:rPr>
                      <w:sz w:val="18"/>
                      <w:szCs w:val="18"/>
                    </w:rPr>
                  </w:pPr>
                  <w:r w:rsidRPr="008819AF">
                    <w:rPr>
                      <w:sz w:val="18"/>
                      <w:szCs w:val="18"/>
                    </w:rPr>
                    <w:t>175</w:t>
                  </w:r>
                </w:p>
              </w:tc>
            </w:tr>
          </w:tbl>
          <w:p w14:paraId="151336CC" w14:textId="77777777" w:rsidR="00236AB5" w:rsidRPr="008819AF" w:rsidRDefault="00236AB5" w:rsidP="00236AB5">
            <w:pPr>
              <w:pStyle w:val="Hlavika"/>
              <w:ind w:left="72" w:hanging="1"/>
              <w:rPr>
                <w:rFonts w:ascii="Times New Roman" w:hAnsi="Times New Roman" w:cs="Times New Roman"/>
              </w:rPr>
            </w:pPr>
          </w:p>
          <w:p w14:paraId="151336CD" w14:textId="77777777" w:rsidR="00236AB5" w:rsidRPr="008819AF" w:rsidRDefault="00236AB5" w:rsidP="00236AB5">
            <w:pPr>
              <w:pStyle w:val="Odsekzoznamu1"/>
              <w:keepNext/>
              <w:spacing w:after="120"/>
              <w:ind w:left="0"/>
              <w:jc w:val="both"/>
              <w:rPr>
                <w:sz w:val="20"/>
                <w:szCs w:val="20"/>
              </w:rPr>
            </w:pPr>
            <w:r w:rsidRPr="008819AF">
              <w:rPr>
                <w:sz w:val="20"/>
                <w:szCs w:val="20"/>
              </w:rPr>
              <w:t>4. Spaľovanie plynných palív okrem spaľovania v plynových turbínach a piestových spaľovacích motoroch</w:t>
            </w:r>
          </w:p>
          <w:p w14:paraId="151336CE" w14:textId="77777777" w:rsidR="00236AB5" w:rsidRPr="008819AF" w:rsidRDefault="00236AB5" w:rsidP="00236AB5">
            <w:pPr>
              <w:spacing w:after="120"/>
              <w:ind w:left="34"/>
              <w:jc w:val="both"/>
            </w:pPr>
            <w:r w:rsidRPr="008819AF">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38"/>
              <w:gridCol w:w="1227"/>
              <w:gridCol w:w="1051"/>
              <w:gridCol w:w="1032"/>
              <w:gridCol w:w="707"/>
              <w:gridCol w:w="689"/>
            </w:tblGrid>
            <w:tr w:rsidR="00236AB5" w:rsidRPr="008819AF" w14:paraId="151336D1" w14:textId="77777777" w:rsidTr="005950BD">
              <w:trPr>
                <w:jc w:val="center"/>
              </w:trPr>
              <w:tc>
                <w:tcPr>
                  <w:tcW w:w="3510" w:type="dxa"/>
                  <w:gridSpan w:val="2"/>
                </w:tcPr>
                <w:p w14:paraId="151336CF" w14:textId="77777777" w:rsidR="00236AB5" w:rsidRPr="008819AF" w:rsidRDefault="00236AB5" w:rsidP="00236AB5">
                  <w:pPr>
                    <w:rPr>
                      <w:sz w:val="18"/>
                      <w:szCs w:val="18"/>
                    </w:rPr>
                  </w:pPr>
                  <w:r w:rsidRPr="008819AF">
                    <w:rPr>
                      <w:b/>
                      <w:sz w:val="18"/>
                      <w:szCs w:val="18"/>
                    </w:rPr>
                    <w:t>Podmienky platnosti  EL</w:t>
                  </w:r>
                </w:p>
              </w:tc>
              <w:tc>
                <w:tcPr>
                  <w:tcW w:w="5778" w:type="dxa"/>
                  <w:gridSpan w:val="4"/>
                  <w:vAlign w:val="center"/>
                </w:tcPr>
                <w:p w14:paraId="151336D0" w14:textId="77777777" w:rsidR="00236AB5" w:rsidRPr="008819AF" w:rsidRDefault="00236AB5" w:rsidP="00236AB5">
                  <w:pPr>
                    <w:rPr>
                      <w:sz w:val="18"/>
                      <w:szCs w:val="18"/>
                    </w:rPr>
                  </w:pPr>
                  <w:r w:rsidRPr="008819AF">
                    <w:rPr>
                      <w:sz w:val="18"/>
                      <w:szCs w:val="18"/>
                    </w:rPr>
                    <w:t>Štandardné stavové podmienky, suchý plyn, O</w:t>
                  </w:r>
                  <w:r w:rsidRPr="008819AF">
                    <w:rPr>
                      <w:sz w:val="18"/>
                      <w:szCs w:val="18"/>
                      <w:vertAlign w:val="subscript"/>
                    </w:rPr>
                    <w:t>2 ref</w:t>
                  </w:r>
                  <w:r w:rsidRPr="008819AF">
                    <w:rPr>
                      <w:sz w:val="18"/>
                      <w:szCs w:val="18"/>
                    </w:rPr>
                    <w:t>: 3 % objemu</w:t>
                  </w:r>
                </w:p>
              </w:tc>
            </w:tr>
            <w:tr w:rsidR="00236AB5" w:rsidRPr="008819AF" w14:paraId="151336D6" w14:textId="77777777" w:rsidTr="005950BD">
              <w:trPr>
                <w:trHeight w:val="199"/>
                <w:jc w:val="center"/>
              </w:trPr>
              <w:tc>
                <w:tcPr>
                  <w:tcW w:w="1384" w:type="dxa"/>
                  <w:vMerge w:val="restart"/>
                  <w:vAlign w:val="center"/>
                </w:tcPr>
                <w:p w14:paraId="151336D2" w14:textId="77777777" w:rsidR="00236AB5" w:rsidRPr="008819AF" w:rsidRDefault="00236AB5" w:rsidP="00236AB5">
                  <w:pPr>
                    <w:jc w:val="center"/>
                    <w:rPr>
                      <w:b/>
                      <w:sz w:val="18"/>
                      <w:szCs w:val="18"/>
                    </w:rPr>
                  </w:pPr>
                  <w:r w:rsidRPr="008819AF">
                    <w:rPr>
                      <w:b/>
                      <w:sz w:val="18"/>
                      <w:szCs w:val="18"/>
                    </w:rPr>
                    <w:t>MTP</w:t>
                  </w:r>
                </w:p>
                <w:p w14:paraId="151336D3" w14:textId="77777777" w:rsidR="00236AB5" w:rsidRPr="008819AF" w:rsidRDefault="00236AB5" w:rsidP="00236AB5">
                  <w:pPr>
                    <w:jc w:val="center"/>
                    <w:rPr>
                      <w:b/>
                      <w:sz w:val="18"/>
                      <w:szCs w:val="18"/>
                    </w:rPr>
                  </w:pPr>
                  <w:r w:rsidRPr="008819AF">
                    <w:rPr>
                      <w:b/>
                      <w:sz w:val="18"/>
                      <w:szCs w:val="18"/>
                    </w:rPr>
                    <w:t>[MW]</w:t>
                  </w:r>
                </w:p>
              </w:tc>
              <w:tc>
                <w:tcPr>
                  <w:tcW w:w="2126" w:type="dxa"/>
                  <w:vMerge w:val="restart"/>
                  <w:vAlign w:val="center"/>
                </w:tcPr>
                <w:p w14:paraId="151336D4" w14:textId="77777777" w:rsidR="00236AB5" w:rsidRPr="008819AF" w:rsidRDefault="00236AB5" w:rsidP="00236AB5">
                  <w:pPr>
                    <w:rPr>
                      <w:b/>
                      <w:sz w:val="18"/>
                      <w:szCs w:val="18"/>
                    </w:rPr>
                  </w:pPr>
                  <w:r w:rsidRPr="008819AF">
                    <w:rPr>
                      <w:b/>
                      <w:sz w:val="18"/>
                      <w:szCs w:val="18"/>
                    </w:rPr>
                    <w:t>Palivo</w:t>
                  </w:r>
                </w:p>
              </w:tc>
              <w:tc>
                <w:tcPr>
                  <w:tcW w:w="5778" w:type="dxa"/>
                  <w:gridSpan w:val="4"/>
                  <w:vAlign w:val="center"/>
                </w:tcPr>
                <w:p w14:paraId="151336D5" w14:textId="77777777" w:rsidR="00236AB5" w:rsidRPr="008819AF" w:rsidRDefault="00236AB5" w:rsidP="00236AB5">
                  <w:pPr>
                    <w:jc w:val="center"/>
                    <w:rPr>
                      <w:sz w:val="18"/>
                      <w:szCs w:val="18"/>
                    </w:rPr>
                  </w:pPr>
                  <w:r w:rsidRPr="008819AF">
                    <w:rPr>
                      <w:b/>
                      <w:sz w:val="18"/>
                      <w:szCs w:val="18"/>
                    </w:rPr>
                    <w:t>Emisný limit       [mg/m</w:t>
                  </w:r>
                  <w:r w:rsidRPr="008819AF">
                    <w:rPr>
                      <w:b/>
                      <w:sz w:val="18"/>
                      <w:szCs w:val="18"/>
                      <w:vertAlign w:val="superscript"/>
                    </w:rPr>
                    <w:t>3</w:t>
                  </w:r>
                  <w:r w:rsidRPr="008819AF">
                    <w:rPr>
                      <w:b/>
                      <w:sz w:val="18"/>
                      <w:szCs w:val="18"/>
                    </w:rPr>
                    <w:t>]</w:t>
                  </w:r>
                </w:p>
              </w:tc>
            </w:tr>
            <w:tr w:rsidR="00236AB5" w:rsidRPr="008819AF" w14:paraId="151336DD" w14:textId="77777777" w:rsidTr="005950BD">
              <w:trPr>
                <w:trHeight w:val="288"/>
                <w:jc w:val="center"/>
              </w:trPr>
              <w:tc>
                <w:tcPr>
                  <w:tcW w:w="1384" w:type="dxa"/>
                  <w:vMerge/>
                </w:tcPr>
                <w:p w14:paraId="151336D7" w14:textId="77777777" w:rsidR="00236AB5" w:rsidRPr="008819AF" w:rsidRDefault="00236AB5" w:rsidP="00236AB5">
                  <w:pPr>
                    <w:jc w:val="center"/>
                    <w:rPr>
                      <w:b/>
                      <w:sz w:val="18"/>
                      <w:szCs w:val="18"/>
                    </w:rPr>
                  </w:pPr>
                </w:p>
              </w:tc>
              <w:tc>
                <w:tcPr>
                  <w:tcW w:w="2126" w:type="dxa"/>
                  <w:vMerge/>
                  <w:vAlign w:val="center"/>
                </w:tcPr>
                <w:p w14:paraId="151336D8" w14:textId="77777777" w:rsidR="00236AB5" w:rsidRPr="008819AF" w:rsidRDefault="00236AB5" w:rsidP="00236AB5">
                  <w:pPr>
                    <w:jc w:val="center"/>
                    <w:rPr>
                      <w:b/>
                      <w:sz w:val="18"/>
                      <w:szCs w:val="18"/>
                    </w:rPr>
                  </w:pPr>
                </w:p>
              </w:tc>
              <w:tc>
                <w:tcPr>
                  <w:tcW w:w="1790" w:type="dxa"/>
                  <w:vAlign w:val="center"/>
                </w:tcPr>
                <w:p w14:paraId="151336D9" w14:textId="77777777" w:rsidR="00236AB5" w:rsidRPr="008819AF" w:rsidRDefault="00236AB5" w:rsidP="00236AB5">
                  <w:pPr>
                    <w:jc w:val="center"/>
                    <w:rPr>
                      <w:b/>
                      <w:sz w:val="18"/>
                      <w:szCs w:val="18"/>
                    </w:rPr>
                  </w:pPr>
                  <w:r w:rsidRPr="008819AF">
                    <w:rPr>
                      <w:b/>
                      <w:sz w:val="18"/>
                      <w:szCs w:val="18"/>
                    </w:rPr>
                    <w:t>TZL</w:t>
                  </w:r>
                </w:p>
              </w:tc>
              <w:tc>
                <w:tcPr>
                  <w:tcW w:w="1754" w:type="dxa"/>
                  <w:vAlign w:val="center"/>
                </w:tcPr>
                <w:p w14:paraId="151336DA" w14:textId="77777777" w:rsidR="00236AB5" w:rsidRPr="008819AF" w:rsidRDefault="00236AB5" w:rsidP="00236AB5">
                  <w:pPr>
                    <w:jc w:val="center"/>
                    <w:rPr>
                      <w:b/>
                      <w:sz w:val="18"/>
                      <w:szCs w:val="18"/>
                      <w:vertAlign w:val="subscript"/>
                    </w:rPr>
                  </w:pPr>
                  <w:r w:rsidRPr="008819AF">
                    <w:rPr>
                      <w:b/>
                      <w:sz w:val="18"/>
                      <w:szCs w:val="18"/>
                    </w:rPr>
                    <w:t>SO</w:t>
                  </w:r>
                  <w:r w:rsidRPr="008819AF">
                    <w:rPr>
                      <w:b/>
                      <w:sz w:val="18"/>
                      <w:szCs w:val="18"/>
                      <w:vertAlign w:val="subscript"/>
                    </w:rPr>
                    <w:t>2</w:t>
                  </w:r>
                </w:p>
              </w:tc>
              <w:tc>
                <w:tcPr>
                  <w:tcW w:w="1134" w:type="dxa"/>
                  <w:vAlign w:val="center"/>
                </w:tcPr>
                <w:p w14:paraId="151336DB" w14:textId="77777777" w:rsidR="00236AB5" w:rsidRPr="008819AF" w:rsidRDefault="00236AB5" w:rsidP="00236AB5">
                  <w:pPr>
                    <w:jc w:val="center"/>
                    <w:rPr>
                      <w:b/>
                      <w:sz w:val="18"/>
                      <w:szCs w:val="18"/>
                    </w:rPr>
                  </w:pPr>
                  <w:r w:rsidRPr="008819AF">
                    <w:rPr>
                      <w:b/>
                      <w:sz w:val="18"/>
                      <w:szCs w:val="18"/>
                    </w:rPr>
                    <w:t>NOx</w:t>
                  </w:r>
                </w:p>
              </w:tc>
              <w:tc>
                <w:tcPr>
                  <w:tcW w:w="1100" w:type="dxa"/>
                  <w:vAlign w:val="center"/>
                </w:tcPr>
                <w:p w14:paraId="151336DC" w14:textId="77777777" w:rsidR="00236AB5" w:rsidRPr="008819AF" w:rsidRDefault="00236AB5" w:rsidP="00236AB5">
                  <w:pPr>
                    <w:jc w:val="center"/>
                    <w:rPr>
                      <w:b/>
                      <w:sz w:val="18"/>
                      <w:szCs w:val="18"/>
                    </w:rPr>
                  </w:pPr>
                  <w:r w:rsidRPr="008819AF">
                    <w:rPr>
                      <w:b/>
                      <w:sz w:val="18"/>
                      <w:szCs w:val="18"/>
                    </w:rPr>
                    <w:t>CO</w:t>
                  </w:r>
                </w:p>
              </w:tc>
            </w:tr>
            <w:tr w:rsidR="00236AB5" w:rsidRPr="008819AF" w14:paraId="151336E5" w14:textId="77777777" w:rsidTr="005950BD">
              <w:trPr>
                <w:trHeight w:val="340"/>
                <w:jc w:val="center"/>
              </w:trPr>
              <w:tc>
                <w:tcPr>
                  <w:tcW w:w="1384" w:type="dxa"/>
                  <w:vAlign w:val="center"/>
                </w:tcPr>
                <w:p w14:paraId="151336DE" w14:textId="77777777" w:rsidR="00236AB5" w:rsidRPr="008819AF" w:rsidRDefault="00236AB5" w:rsidP="00236AB5">
                  <w:pPr>
                    <w:jc w:val="center"/>
                    <w:rPr>
                      <w:sz w:val="18"/>
                      <w:szCs w:val="18"/>
                    </w:rPr>
                  </w:pPr>
                  <w:r w:rsidRPr="008819AF">
                    <w:rPr>
                      <w:sz w:val="18"/>
                      <w:szCs w:val="18"/>
                    </w:rPr>
                    <w:sym w:font="Symbol" w:char="F0B3"/>
                  </w:r>
                  <w:r w:rsidRPr="008819AF">
                    <w:rPr>
                      <w:sz w:val="18"/>
                      <w:szCs w:val="18"/>
                    </w:rPr>
                    <w:t xml:space="preserve"> 50</w:t>
                  </w:r>
                </w:p>
              </w:tc>
              <w:tc>
                <w:tcPr>
                  <w:tcW w:w="2126" w:type="dxa"/>
                  <w:vAlign w:val="center"/>
                </w:tcPr>
                <w:p w14:paraId="151336DF" w14:textId="77777777" w:rsidR="00236AB5" w:rsidRPr="008819AF" w:rsidRDefault="00236AB5" w:rsidP="00236AB5">
                  <w:pPr>
                    <w:rPr>
                      <w:sz w:val="18"/>
                      <w:szCs w:val="18"/>
                    </w:rPr>
                  </w:pPr>
                  <w:r w:rsidRPr="008819AF">
                    <w:rPr>
                      <w:sz w:val="18"/>
                      <w:szCs w:val="18"/>
                    </w:rPr>
                    <w:t>Všeobecne,  ZPN,</w:t>
                  </w:r>
                </w:p>
                <w:p w14:paraId="151336E0" w14:textId="77777777" w:rsidR="00236AB5" w:rsidRPr="008819AF" w:rsidRDefault="00236AB5" w:rsidP="00236AB5">
                  <w:pPr>
                    <w:rPr>
                      <w:sz w:val="18"/>
                      <w:szCs w:val="18"/>
                    </w:rPr>
                  </w:pPr>
                  <w:r w:rsidRPr="008819AF">
                    <w:rPr>
                      <w:sz w:val="18"/>
                      <w:szCs w:val="18"/>
                    </w:rPr>
                    <w:t>Rafinérske plyny</w:t>
                  </w:r>
                </w:p>
              </w:tc>
              <w:tc>
                <w:tcPr>
                  <w:tcW w:w="1790" w:type="dxa"/>
                  <w:vAlign w:val="center"/>
                </w:tcPr>
                <w:p w14:paraId="151336E1" w14:textId="77777777" w:rsidR="00236AB5" w:rsidRPr="008819AF" w:rsidRDefault="00236AB5" w:rsidP="00236AB5">
                  <w:pPr>
                    <w:jc w:val="center"/>
                    <w:rPr>
                      <w:sz w:val="18"/>
                      <w:szCs w:val="18"/>
                    </w:rPr>
                  </w:pPr>
                  <w:r w:rsidRPr="008819AF">
                    <w:rPr>
                      <w:sz w:val="18"/>
                      <w:szCs w:val="18"/>
                    </w:rPr>
                    <w:t>5</w:t>
                  </w:r>
                </w:p>
              </w:tc>
              <w:tc>
                <w:tcPr>
                  <w:tcW w:w="1754" w:type="dxa"/>
                  <w:vAlign w:val="center"/>
                </w:tcPr>
                <w:p w14:paraId="151336E2" w14:textId="77777777" w:rsidR="00236AB5" w:rsidRPr="008819AF" w:rsidRDefault="00236AB5" w:rsidP="00236AB5">
                  <w:pPr>
                    <w:jc w:val="center"/>
                    <w:rPr>
                      <w:sz w:val="18"/>
                      <w:szCs w:val="18"/>
                    </w:rPr>
                  </w:pPr>
                  <w:r w:rsidRPr="008819AF">
                    <w:rPr>
                      <w:sz w:val="18"/>
                      <w:szCs w:val="18"/>
                    </w:rPr>
                    <w:t xml:space="preserve">35 </w:t>
                  </w:r>
                </w:p>
              </w:tc>
              <w:tc>
                <w:tcPr>
                  <w:tcW w:w="1134" w:type="dxa"/>
                  <w:vAlign w:val="center"/>
                </w:tcPr>
                <w:p w14:paraId="151336E3" w14:textId="77777777" w:rsidR="00236AB5" w:rsidRPr="008819AF" w:rsidRDefault="00236AB5" w:rsidP="00236AB5">
                  <w:pPr>
                    <w:jc w:val="center"/>
                    <w:rPr>
                      <w:sz w:val="18"/>
                      <w:szCs w:val="18"/>
                    </w:rPr>
                  </w:pPr>
                  <w:r w:rsidRPr="008819AF">
                    <w:rPr>
                      <w:sz w:val="18"/>
                      <w:szCs w:val="18"/>
                    </w:rPr>
                    <w:t>100</w:t>
                  </w:r>
                </w:p>
              </w:tc>
              <w:tc>
                <w:tcPr>
                  <w:tcW w:w="1100" w:type="dxa"/>
                  <w:vAlign w:val="center"/>
                </w:tcPr>
                <w:p w14:paraId="151336E4" w14:textId="77777777" w:rsidR="00236AB5" w:rsidRPr="008819AF" w:rsidRDefault="00236AB5" w:rsidP="00236AB5">
                  <w:pPr>
                    <w:jc w:val="center"/>
                    <w:rPr>
                      <w:sz w:val="18"/>
                      <w:szCs w:val="18"/>
                    </w:rPr>
                  </w:pPr>
                  <w:r w:rsidRPr="008819AF">
                    <w:rPr>
                      <w:sz w:val="18"/>
                      <w:szCs w:val="18"/>
                    </w:rPr>
                    <w:t>100</w:t>
                  </w:r>
                </w:p>
              </w:tc>
            </w:tr>
            <w:tr w:rsidR="00236AB5" w:rsidRPr="008819AF" w14:paraId="151336EC" w14:textId="77777777" w:rsidTr="005950BD">
              <w:trPr>
                <w:trHeight w:val="340"/>
                <w:jc w:val="center"/>
              </w:trPr>
              <w:tc>
                <w:tcPr>
                  <w:tcW w:w="1384" w:type="dxa"/>
                  <w:vAlign w:val="center"/>
                </w:tcPr>
                <w:p w14:paraId="151336E6" w14:textId="77777777" w:rsidR="00236AB5" w:rsidRPr="008819AF" w:rsidRDefault="00236AB5" w:rsidP="00236AB5">
                  <w:pPr>
                    <w:jc w:val="center"/>
                    <w:rPr>
                      <w:sz w:val="18"/>
                      <w:szCs w:val="18"/>
                    </w:rPr>
                  </w:pPr>
                  <w:r w:rsidRPr="008819AF">
                    <w:rPr>
                      <w:sz w:val="18"/>
                      <w:szCs w:val="18"/>
                    </w:rPr>
                    <w:sym w:font="Symbol" w:char="F0B3"/>
                  </w:r>
                  <w:r w:rsidRPr="008819AF">
                    <w:rPr>
                      <w:sz w:val="18"/>
                      <w:szCs w:val="18"/>
                    </w:rPr>
                    <w:t xml:space="preserve"> 50</w:t>
                  </w:r>
                </w:p>
              </w:tc>
              <w:tc>
                <w:tcPr>
                  <w:tcW w:w="2126" w:type="dxa"/>
                  <w:vAlign w:val="center"/>
                </w:tcPr>
                <w:p w14:paraId="151336E7" w14:textId="77777777" w:rsidR="00236AB5" w:rsidRPr="008819AF" w:rsidRDefault="00236AB5" w:rsidP="00236AB5">
                  <w:pPr>
                    <w:rPr>
                      <w:sz w:val="18"/>
                      <w:szCs w:val="18"/>
                    </w:rPr>
                  </w:pPr>
                  <w:r w:rsidRPr="008819AF">
                    <w:rPr>
                      <w:sz w:val="18"/>
                      <w:szCs w:val="18"/>
                    </w:rPr>
                    <w:t>Skvapalnené uhľovodíkové plyny</w:t>
                  </w:r>
                </w:p>
              </w:tc>
              <w:tc>
                <w:tcPr>
                  <w:tcW w:w="1790" w:type="dxa"/>
                  <w:vAlign w:val="center"/>
                </w:tcPr>
                <w:p w14:paraId="151336E8" w14:textId="77777777" w:rsidR="00236AB5" w:rsidRPr="008819AF" w:rsidRDefault="00236AB5" w:rsidP="00236AB5">
                  <w:pPr>
                    <w:jc w:val="center"/>
                    <w:rPr>
                      <w:sz w:val="18"/>
                      <w:szCs w:val="18"/>
                    </w:rPr>
                  </w:pPr>
                  <w:r w:rsidRPr="008819AF">
                    <w:rPr>
                      <w:sz w:val="18"/>
                      <w:szCs w:val="18"/>
                    </w:rPr>
                    <w:t>5</w:t>
                  </w:r>
                </w:p>
              </w:tc>
              <w:tc>
                <w:tcPr>
                  <w:tcW w:w="1754" w:type="dxa"/>
                  <w:vAlign w:val="center"/>
                </w:tcPr>
                <w:p w14:paraId="151336E9" w14:textId="77777777" w:rsidR="00236AB5" w:rsidRPr="008819AF" w:rsidRDefault="00236AB5" w:rsidP="00236AB5">
                  <w:pPr>
                    <w:jc w:val="center"/>
                    <w:rPr>
                      <w:sz w:val="18"/>
                      <w:szCs w:val="18"/>
                    </w:rPr>
                  </w:pPr>
                  <w:r w:rsidRPr="008819AF">
                    <w:rPr>
                      <w:sz w:val="18"/>
                      <w:szCs w:val="18"/>
                    </w:rPr>
                    <w:t>5</w:t>
                  </w:r>
                </w:p>
              </w:tc>
              <w:tc>
                <w:tcPr>
                  <w:tcW w:w="1134" w:type="dxa"/>
                  <w:vAlign w:val="center"/>
                </w:tcPr>
                <w:p w14:paraId="151336EA" w14:textId="77777777" w:rsidR="00236AB5" w:rsidRPr="008819AF" w:rsidRDefault="00236AB5" w:rsidP="00236AB5">
                  <w:pPr>
                    <w:jc w:val="center"/>
                    <w:rPr>
                      <w:sz w:val="18"/>
                      <w:szCs w:val="18"/>
                    </w:rPr>
                  </w:pPr>
                  <w:r w:rsidRPr="008819AF">
                    <w:rPr>
                      <w:sz w:val="18"/>
                      <w:szCs w:val="18"/>
                    </w:rPr>
                    <w:t>100</w:t>
                  </w:r>
                </w:p>
              </w:tc>
              <w:tc>
                <w:tcPr>
                  <w:tcW w:w="1100" w:type="dxa"/>
                  <w:vAlign w:val="center"/>
                </w:tcPr>
                <w:p w14:paraId="151336EB" w14:textId="77777777" w:rsidR="00236AB5" w:rsidRPr="008819AF" w:rsidRDefault="00236AB5" w:rsidP="00236AB5">
                  <w:pPr>
                    <w:jc w:val="center"/>
                    <w:rPr>
                      <w:sz w:val="18"/>
                      <w:szCs w:val="18"/>
                    </w:rPr>
                  </w:pPr>
                  <w:r w:rsidRPr="008819AF">
                    <w:rPr>
                      <w:sz w:val="18"/>
                      <w:szCs w:val="18"/>
                    </w:rPr>
                    <w:t>100</w:t>
                  </w:r>
                </w:p>
              </w:tc>
            </w:tr>
            <w:tr w:rsidR="00236AB5" w:rsidRPr="008819AF" w14:paraId="151336F3" w14:textId="77777777" w:rsidTr="005950BD">
              <w:trPr>
                <w:trHeight w:val="340"/>
                <w:jc w:val="center"/>
              </w:trPr>
              <w:tc>
                <w:tcPr>
                  <w:tcW w:w="1384" w:type="dxa"/>
                  <w:vAlign w:val="center"/>
                </w:tcPr>
                <w:p w14:paraId="151336ED" w14:textId="77777777" w:rsidR="00236AB5" w:rsidRPr="008819AF" w:rsidRDefault="00236AB5" w:rsidP="00236AB5">
                  <w:pPr>
                    <w:jc w:val="center"/>
                    <w:rPr>
                      <w:sz w:val="18"/>
                      <w:szCs w:val="18"/>
                    </w:rPr>
                  </w:pPr>
                  <w:r w:rsidRPr="008819AF">
                    <w:rPr>
                      <w:sz w:val="18"/>
                      <w:szCs w:val="18"/>
                    </w:rPr>
                    <w:sym w:font="Symbol" w:char="F0B3"/>
                  </w:r>
                  <w:r w:rsidRPr="008819AF">
                    <w:rPr>
                      <w:sz w:val="18"/>
                      <w:szCs w:val="18"/>
                    </w:rPr>
                    <w:t xml:space="preserve"> 50</w:t>
                  </w:r>
                </w:p>
              </w:tc>
              <w:tc>
                <w:tcPr>
                  <w:tcW w:w="2126" w:type="dxa"/>
                  <w:vAlign w:val="center"/>
                </w:tcPr>
                <w:p w14:paraId="151336EE" w14:textId="77777777" w:rsidR="00236AB5" w:rsidRPr="008819AF" w:rsidRDefault="00236AB5" w:rsidP="00236AB5">
                  <w:pPr>
                    <w:rPr>
                      <w:sz w:val="18"/>
                      <w:szCs w:val="18"/>
                    </w:rPr>
                  </w:pPr>
                  <w:r w:rsidRPr="008819AF">
                    <w:rPr>
                      <w:sz w:val="18"/>
                      <w:szCs w:val="18"/>
                    </w:rPr>
                    <w:t>Priemyselné plyny</w:t>
                  </w:r>
                </w:p>
              </w:tc>
              <w:tc>
                <w:tcPr>
                  <w:tcW w:w="1790" w:type="dxa"/>
                  <w:vAlign w:val="center"/>
                </w:tcPr>
                <w:p w14:paraId="151336EF" w14:textId="77777777" w:rsidR="00236AB5" w:rsidRPr="008819AF" w:rsidRDefault="00236AB5" w:rsidP="00236AB5">
                  <w:pPr>
                    <w:jc w:val="center"/>
                    <w:rPr>
                      <w:sz w:val="18"/>
                      <w:szCs w:val="18"/>
                    </w:rPr>
                  </w:pPr>
                  <w:r w:rsidRPr="008819AF">
                    <w:rPr>
                      <w:sz w:val="18"/>
                      <w:szCs w:val="18"/>
                    </w:rPr>
                    <w:t>5, 10</w:t>
                  </w:r>
                  <w:r w:rsidRPr="008819AF">
                    <w:rPr>
                      <w:sz w:val="18"/>
                      <w:szCs w:val="18"/>
                      <w:vertAlign w:val="superscript"/>
                    </w:rPr>
                    <w:t>1</w:t>
                  </w:r>
                  <w:r w:rsidRPr="008819AF">
                    <w:rPr>
                      <w:sz w:val="18"/>
                      <w:szCs w:val="18"/>
                    </w:rPr>
                    <w:t>), 30</w:t>
                  </w:r>
                  <w:r w:rsidRPr="008819AF">
                    <w:rPr>
                      <w:sz w:val="18"/>
                      <w:szCs w:val="18"/>
                      <w:vertAlign w:val="superscript"/>
                    </w:rPr>
                    <w:t>2</w:t>
                  </w:r>
                  <w:r w:rsidRPr="008819AF">
                    <w:rPr>
                      <w:sz w:val="18"/>
                      <w:szCs w:val="18"/>
                    </w:rPr>
                    <w:t>)</w:t>
                  </w:r>
                </w:p>
              </w:tc>
              <w:tc>
                <w:tcPr>
                  <w:tcW w:w="1754" w:type="dxa"/>
                  <w:vAlign w:val="center"/>
                </w:tcPr>
                <w:p w14:paraId="151336F0" w14:textId="77777777" w:rsidR="00236AB5" w:rsidRPr="008819AF" w:rsidRDefault="00236AB5" w:rsidP="00236AB5">
                  <w:pPr>
                    <w:jc w:val="center"/>
                    <w:rPr>
                      <w:sz w:val="18"/>
                      <w:szCs w:val="18"/>
                    </w:rPr>
                  </w:pPr>
                  <w:r w:rsidRPr="008819AF">
                    <w:rPr>
                      <w:sz w:val="18"/>
                      <w:szCs w:val="18"/>
                    </w:rPr>
                    <w:t>35, 200</w:t>
                  </w:r>
                  <w:r w:rsidRPr="008819AF">
                    <w:rPr>
                      <w:sz w:val="18"/>
                      <w:szCs w:val="18"/>
                      <w:vertAlign w:val="superscript"/>
                    </w:rPr>
                    <w:t>3</w:t>
                  </w:r>
                  <w:r w:rsidRPr="008819AF">
                    <w:rPr>
                      <w:sz w:val="18"/>
                      <w:szCs w:val="18"/>
                    </w:rPr>
                    <w:t>), 400</w:t>
                  </w:r>
                  <w:r w:rsidRPr="008819AF">
                    <w:rPr>
                      <w:sz w:val="18"/>
                      <w:szCs w:val="18"/>
                      <w:vertAlign w:val="superscript"/>
                    </w:rPr>
                    <w:t>4</w:t>
                  </w:r>
                  <w:r w:rsidRPr="008819AF">
                    <w:rPr>
                      <w:sz w:val="18"/>
                      <w:szCs w:val="18"/>
                    </w:rPr>
                    <w:t>)</w:t>
                  </w:r>
                </w:p>
              </w:tc>
              <w:tc>
                <w:tcPr>
                  <w:tcW w:w="1134" w:type="dxa"/>
                  <w:vAlign w:val="center"/>
                </w:tcPr>
                <w:p w14:paraId="151336F1" w14:textId="77777777" w:rsidR="00236AB5" w:rsidRPr="008819AF" w:rsidRDefault="00236AB5" w:rsidP="00236AB5">
                  <w:pPr>
                    <w:jc w:val="center"/>
                    <w:rPr>
                      <w:sz w:val="18"/>
                      <w:szCs w:val="18"/>
                    </w:rPr>
                  </w:pPr>
                  <w:r w:rsidRPr="008819AF">
                    <w:rPr>
                      <w:sz w:val="18"/>
                      <w:szCs w:val="18"/>
                    </w:rPr>
                    <w:t>100</w:t>
                  </w:r>
                </w:p>
              </w:tc>
              <w:tc>
                <w:tcPr>
                  <w:tcW w:w="1100" w:type="dxa"/>
                  <w:vAlign w:val="center"/>
                </w:tcPr>
                <w:p w14:paraId="151336F2" w14:textId="77777777" w:rsidR="00236AB5" w:rsidRPr="008819AF" w:rsidRDefault="00236AB5" w:rsidP="00236AB5">
                  <w:pPr>
                    <w:jc w:val="center"/>
                    <w:rPr>
                      <w:sz w:val="18"/>
                      <w:szCs w:val="18"/>
                    </w:rPr>
                  </w:pPr>
                  <w:r w:rsidRPr="008819AF">
                    <w:rPr>
                      <w:sz w:val="18"/>
                      <w:szCs w:val="18"/>
                    </w:rPr>
                    <w:t>100</w:t>
                  </w:r>
                </w:p>
              </w:tc>
            </w:tr>
          </w:tbl>
          <w:p w14:paraId="151336F4" w14:textId="77777777" w:rsidR="00236AB5" w:rsidRPr="008819AF" w:rsidRDefault="00236AB5" w:rsidP="00236AB5">
            <w:pPr>
              <w:tabs>
                <w:tab w:val="left" w:pos="7740"/>
              </w:tabs>
              <w:ind w:left="240" w:hanging="240"/>
            </w:pPr>
            <w:r w:rsidRPr="008819AF">
              <w:rPr>
                <w:vertAlign w:val="superscript"/>
              </w:rPr>
              <w:t>1</w:t>
            </w:r>
            <w:r w:rsidRPr="008819AF">
              <w:t>) Platí pre vysokopecný plyn.</w:t>
            </w:r>
            <w:r w:rsidRPr="008819AF">
              <w:tab/>
            </w:r>
          </w:p>
          <w:p w14:paraId="151336F5" w14:textId="77777777" w:rsidR="00236AB5" w:rsidRPr="008819AF" w:rsidRDefault="00236AB5" w:rsidP="00236AB5">
            <w:pPr>
              <w:ind w:left="240" w:hanging="240"/>
            </w:pPr>
            <w:r w:rsidRPr="008819AF">
              <w:rPr>
                <w:vertAlign w:val="superscript"/>
              </w:rPr>
              <w:t>2</w:t>
            </w:r>
            <w:r w:rsidRPr="008819AF">
              <w:t>) Platí pre plyny z výroby ocele; spaľovať ich možno aj v iných zariadeniach.</w:t>
            </w:r>
          </w:p>
          <w:p w14:paraId="151336F6" w14:textId="77777777" w:rsidR="00236AB5" w:rsidRPr="008819AF" w:rsidRDefault="00236AB5" w:rsidP="00236AB5">
            <w:pPr>
              <w:ind w:left="240" w:hanging="240"/>
            </w:pPr>
            <w:r w:rsidRPr="008819AF">
              <w:rPr>
                <w:vertAlign w:val="superscript"/>
              </w:rPr>
              <w:t>3</w:t>
            </w:r>
            <w:r w:rsidRPr="008819AF">
              <w:t>) Platí pre nízkovýhrevný vysokopecný plyn.</w:t>
            </w:r>
          </w:p>
          <w:p w14:paraId="151336F7" w14:textId="77777777" w:rsidR="00236AB5" w:rsidRPr="008819AF" w:rsidRDefault="00236AB5" w:rsidP="00236AB5">
            <w:pPr>
              <w:ind w:left="238" w:hanging="238"/>
            </w:pPr>
            <w:r w:rsidRPr="008819AF">
              <w:rPr>
                <w:vertAlign w:val="superscript"/>
              </w:rPr>
              <w:t>4</w:t>
            </w:r>
            <w:r w:rsidRPr="008819AF">
              <w:t>) Platí pre nízkovýhrevný koksárenský plyn.</w:t>
            </w:r>
          </w:p>
          <w:p w14:paraId="151336F8" w14:textId="77777777" w:rsidR="00236AB5" w:rsidRPr="008819AF" w:rsidRDefault="00236AB5" w:rsidP="00236AB5">
            <w:pPr>
              <w:pStyle w:val="Hlavika"/>
              <w:ind w:left="72" w:hanging="1"/>
              <w:rPr>
                <w:rFonts w:ascii="Times New Roman" w:hAnsi="Times New Roman" w:cs="Times New Roman"/>
              </w:rPr>
            </w:pPr>
          </w:p>
          <w:p w14:paraId="151336F9" w14:textId="77777777" w:rsidR="00236AB5" w:rsidRPr="008819AF" w:rsidRDefault="00236AB5" w:rsidP="00236AB5">
            <w:pPr>
              <w:pStyle w:val="Odsekzoznamu1"/>
              <w:spacing w:after="120"/>
              <w:ind w:left="0"/>
              <w:jc w:val="both"/>
              <w:rPr>
                <w:sz w:val="20"/>
                <w:szCs w:val="20"/>
              </w:rPr>
            </w:pPr>
            <w:r w:rsidRPr="008819AF">
              <w:rPr>
                <w:sz w:val="20"/>
                <w:szCs w:val="20"/>
              </w:rPr>
              <w:t>5. Veľké spaľovacie zariadenia zložené z plynových turbín</w:t>
            </w:r>
          </w:p>
          <w:p w14:paraId="151336FA" w14:textId="77777777" w:rsidR="00236AB5" w:rsidRPr="008819AF" w:rsidRDefault="00236AB5" w:rsidP="00236AB5">
            <w:pPr>
              <w:spacing w:after="120"/>
              <w:ind w:left="34"/>
              <w:jc w:val="both"/>
            </w:pPr>
            <w:r w:rsidRPr="008819AF">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1"/>
              <w:gridCol w:w="957"/>
              <w:gridCol w:w="1479"/>
              <w:gridCol w:w="818"/>
              <w:gridCol w:w="818"/>
              <w:gridCol w:w="741"/>
            </w:tblGrid>
            <w:tr w:rsidR="00236AB5" w:rsidRPr="008819AF" w14:paraId="151336FD" w14:textId="77777777" w:rsidTr="005950BD">
              <w:trPr>
                <w:trHeight w:val="409"/>
                <w:jc w:val="center"/>
              </w:trPr>
              <w:tc>
                <w:tcPr>
                  <w:tcW w:w="1688" w:type="dxa"/>
                  <w:gridSpan w:val="2"/>
                  <w:vMerge w:val="restart"/>
                  <w:vAlign w:val="center"/>
                </w:tcPr>
                <w:p w14:paraId="151336FB" w14:textId="77777777" w:rsidR="00236AB5" w:rsidRPr="008819AF" w:rsidRDefault="00236AB5" w:rsidP="00236AB5">
                  <w:pPr>
                    <w:rPr>
                      <w:b/>
                      <w:sz w:val="18"/>
                      <w:szCs w:val="18"/>
                    </w:rPr>
                  </w:pPr>
                  <w:r w:rsidRPr="008819AF">
                    <w:rPr>
                      <w:b/>
                      <w:sz w:val="18"/>
                      <w:szCs w:val="18"/>
                    </w:rPr>
                    <w:t>Podmienky platnosti  EL</w:t>
                  </w:r>
                </w:p>
              </w:tc>
              <w:tc>
                <w:tcPr>
                  <w:tcW w:w="3856" w:type="dxa"/>
                  <w:gridSpan w:val="4"/>
                  <w:vAlign w:val="center"/>
                </w:tcPr>
                <w:p w14:paraId="151336FC" w14:textId="77777777" w:rsidR="00236AB5" w:rsidRPr="008819AF" w:rsidRDefault="00236AB5" w:rsidP="00236AB5">
                  <w:pPr>
                    <w:rPr>
                      <w:sz w:val="18"/>
                      <w:szCs w:val="18"/>
                    </w:rPr>
                  </w:pPr>
                  <w:r w:rsidRPr="008819AF">
                    <w:rPr>
                      <w:sz w:val="18"/>
                      <w:szCs w:val="18"/>
                    </w:rPr>
                    <w:t>Štandardné stavové podmienky, suchý plyn, O</w:t>
                  </w:r>
                  <w:r w:rsidRPr="008819AF">
                    <w:rPr>
                      <w:sz w:val="18"/>
                      <w:szCs w:val="18"/>
                      <w:vertAlign w:val="subscript"/>
                    </w:rPr>
                    <w:t>2 ref</w:t>
                  </w:r>
                  <w:r w:rsidRPr="008819AF">
                    <w:rPr>
                      <w:sz w:val="18"/>
                      <w:szCs w:val="18"/>
                    </w:rPr>
                    <w:t>:  15 % objemu</w:t>
                  </w:r>
                </w:p>
              </w:tc>
            </w:tr>
            <w:tr w:rsidR="00236AB5" w:rsidRPr="008819AF" w14:paraId="15133700" w14:textId="77777777" w:rsidTr="005950BD">
              <w:trPr>
                <w:jc w:val="center"/>
              </w:trPr>
              <w:tc>
                <w:tcPr>
                  <w:tcW w:w="1688" w:type="dxa"/>
                  <w:gridSpan w:val="2"/>
                  <w:vMerge/>
                  <w:vAlign w:val="center"/>
                </w:tcPr>
                <w:p w14:paraId="151336FE" w14:textId="77777777" w:rsidR="00236AB5" w:rsidRPr="008819AF" w:rsidRDefault="00236AB5" w:rsidP="00236AB5">
                  <w:pPr>
                    <w:rPr>
                      <w:b/>
                      <w:sz w:val="18"/>
                      <w:szCs w:val="18"/>
                    </w:rPr>
                  </w:pPr>
                </w:p>
              </w:tc>
              <w:tc>
                <w:tcPr>
                  <w:tcW w:w="3856" w:type="dxa"/>
                  <w:gridSpan w:val="4"/>
                  <w:vAlign w:val="center"/>
                </w:tcPr>
                <w:p w14:paraId="151336FF" w14:textId="77777777" w:rsidR="00236AB5" w:rsidRPr="008819AF" w:rsidRDefault="00236AB5" w:rsidP="00236AB5">
                  <w:pPr>
                    <w:rPr>
                      <w:sz w:val="18"/>
                      <w:szCs w:val="18"/>
                    </w:rPr>
                  </w:pPr>
                  <w:r w:rsidRPr="008819AF">
                    <w:rPr>
                      <w:sz w:val="18"/>
                      <w:szCs w:val="18"/>
                    </w:rPr>
                    <w:t>V prípade plynových turbín s kombinovaným cyklom s dodatočným spaľovaním  možno stanoviť  referenčný obsah O</w:t>
                  </w:r>
                  <w:r w:rsidRPr="008819AF">
                    <w:rPr>
                      <w:sz w:val="18"/>
                      <w:szCs w:val="18"/>
                      <w:vertAlign w:val="subscript"/>
                    </w:rPr>
                    <w:t>2</w:t>
                  </w:r>
                  <w:r w:rsidRPr="008819AF">
                    <w:rPr>
                      <w:sz w:val="18"/>
                      <w:szCs w:val="18"/>
                    </w:rPr>
                    <w:t xml:space="preserve"> s prihliadnutím  na špecifické  vlastnosti daného zariadenia.</w:t>
                  </w:r>
                </w:p>
              </w:tc>
            </w:tr>
            <w:tr w:rsidR="00236AB5" w:rsidRPr="008819AF" w14:paraId="15133703" w14:textId="77777777" w:rsidTr="005950BD">
              <w:trPr>
                <w:jc w:val="center"/>
              </w:trPr>
              <w:tc>
                <w:tcPr>
                  <w:tcW w:w="1688" w:type="dxa"/>
                  <w:gridSpan w:val="2"/>
                  <w:vMerge/>
                  <w:vAlign w:val="center"/>
                </w:tcPr>
                <w:p w14:paraId="15133701" w14:textId="77777777" w:rsidR="00236AB5" w:rsidRPr="008819AF" w:rsidRDefault="00236AB5" w:rsidP="00236AB5">
                  <w:pPr>
                    <w:rPr>
                      <w:b/>
                      <w:sz w:val="18"/>
                      <w:szCs w:val="18"/>
                    </w:rPr>
                  </w:pPr>
                </w:p>
              </w:tc>
              <w:tc>
                <w:tcPr>
                  <w:tcW w:w="3856" w:type="dxa"/>
                  <w:gridSpan w:val="4"/>
                  <w:vAlign w:val="center"/>
                </w:tcPr>
                <w:p w14:paraId="15133702" w14:textId="77777777" w:rsidR="00236AB5" w:rsidRPr="008819AF" w:rsidRDefault="00236AB5" w:rsidP="00236AB5">
                  <w:pPr>
                    <w:ind w:right="-108"/>
                    <w:rPr>
                      <w:sz w:val="18"/>
                      <w:szCs w:val="18"/>
                    </w:rPr>
                  </w:pPr>
                  <w:r w:rsidRPr="008819AF">
                    <w:rPr>
                      <w:sz w:val="18"/>
                      <w:szCs w:val="18"/>
                    </w:rPr>
                    <w:t>Pre plynové turbíny (vrátane CCGT) platia EL pri zaťažení &gt; 70  %.</w:t>
                  </w:r>
                </w:p>
              </w:tc>
            </w:tr>
            <w:tr w:rsidR="00236AB5" w:rsidRPr="008819AF" w14:paraId="15133706" w14:textId="77777777" w:rsidTr="005950BD">
              <w:trPr>
                <w:jc w:val="center"/>
              </w:trPr>
              <w:tc>
                <w:tcPr>
                  <w:tcW w:w="1688" w:type="dxa"/>
                  <w:gridSpan w:val="2"/>
                  <w:vMerge/>
                  <w:vAlign w:val="center"/>
                </w:tcPr>
                <w:p w14:paraId="15133704" w14:textId="77777777" w:rsidR="00236AB5" w:rsidRPr="008819AF" w:rsidRDefault="00236AB5" w:rsidP="00236AB5">
                  <w:pPr>
                    <w:rPr>
                      <w:b/>
                      <w:sz w:val="18"/>
                      <w:szCs w:val="18"/>
                    </w:rPr>
                  </w:pPr>
                </w:p>
              </w:tc>
              <w:tc>
                <w:tcPr>
                  <w:tcW w:w="3856" w:type="dxa"/>
                  <w:gridSpan w:val="4"/>
                  <w:vAlign w:val="center"/>
                </w:tcPr>
                <w:p w14:paraId="15133705" w14:textId="77777777" w:rsidR="00236AB5" w:rsidRPr="008819AF" w:rsidRDefault="00236AB5" w:rsidP="00236AB5">
                  <w:pPr>
                    <w:ind w:right="175"/>
                    <w:jc w:val="both"/>
                    <w:rPr>
                      <w:sz w:val="18"/>
                      <w:szCs w:val="18"/>
                    </w:rPr>
                  </w:pPr>
                  <w:r w:rsidRPr="008819AF">
                    <w:rPr>
                      <w:sz w:val="18"/>
                      <w:szCs w:val="18"/>
                    </w:rPr>
                    <w:t>Na plynové turbíny určené výlučne na núdzovú prevádzku, ak sú v prevádzke &lt; 500 h/rok, sa emisné limity neuplatňujú.</w:t>
                  </w:r>
                </w:p>
              </w:tc>
            </w:tr>
            <w:tr w:rsidR="00236AB5" w:rsidRPr="008819AF" w14:paraId="15133709" w14:textId="77777777" w:rsidTr="005950BD">
              <w:trPr>
                <w:jc w:val="center"/>
              </w:trPr>
              <w:tc>
                <w:tcPr>
                  <w:tcW w:w="1688" w:type="dxa"/>
                  <w:gridSpan w:val="2"/>
                  <w:vMerge/>
                  <w:vAlign w:val="center"/>
                </w:tcPr>
                <w:p w14:paraId="15133707" w14:textId="77777777" w:rsidR="00236AB5" w:rsidRPr="008819AF" w:rsidRDefault="00236AB5" w:rsidP="00236AB5">
                  <w:pPr>
                    <w:rPr>
                      <w:b/>
                      <w:sz w:val="18"/>
                      <w:szCs w:val="18"/>
                    </w:rPr>
                  </w:pPr>
                </w:p>
              </w:tc>
              <w:tc>
                <w:tcPr>
                  <w:tcW w:w="3856" w:type="dxa"/>
                  <w:gridSpan w:val="4"/>
                  <w:vAlign w:val="center"/>
                </w:tcPr>
                <w:p w14:paraId="15133708" w14:textId="77777777" w:rsidR="00236AB5" w:rsidRPr="008819AF" w:rsidRDefault="00236AB5" w:rsidP="00236AB5">
                  <w:pPr>
                    <w:ind w:right="175"/>
                    <w:jc w:val="both"/>
                    <w:rPr>
                      <w:sz w:val="18"/>
                      <w:szCs w:val="18"/>
                    </w:rPr>
                  </w:pPr>
                  <w:r w:rsidRPr="008819AF">
                    <w:rPr>
                      <w:sz w:val="18"/>
                      <w:szCs w:val="18"/>
                    </w:rPr>
                    <w:t>Ak sa emisné limity pre TZL dosahujú bez odlučovania, všeobecné emisné limity podľa prílohy č. 3 pre tuhé anorganické znečisťujúce látky zaradené v 2. skupine sa neuplatňujú.</w:t>
                  </w:r>
                </w:p>
              </w:tc>
            </w:tr>
            <w:tr w:rsidR="00236AB5" w:rsidRPr="008819AF" w14:paraId="1513370E" w14:textId="77777777" w:rsidTr="005950BD">
              <w:trPr>
                <w:jc w:val="center"/>
              </w:trPr>
              <w:tc>
                <w:tcPr>
                  <w:tcW w:w="731" w:type="dxa"/>
                  <w:vMerge w:val="restart"/>
                  <w:vAlign w:val="center"/>
                </w:tcPr>
                <w:p w14:paraId="1513370A" w14:textId="77777777" w:rsidR="00236AB5" w:rsidRPr="008819AF" w:rsidRDefault="00236AB5" w:rsidP="00236AB5">
                  <w:pPr>
                    <w:ind w:right="-108"/>
                    <w:rPr>
                      <w:b/>
                      <w:sz w:val="18"/>
                      <w:szCs w:val="18"/>
                    </w:rPr>
                  </w:pPr>
                  <w:r w:rsidRPr="008819AF">
                    <w:rPr>
                      <w:b/>
                      <w:sz w:val="18"/>
                      <w:szCs w:val="18"/>
                    </w:rPr>
                    <w:t>MTP</w:t>
                  </w:r>
                </w:p>
                <w:p w14:paraId="1513370B" w14:textId="77777777" w:rsidR="00236AB5" w:rsidRPr="008819AF" w:rsidRDefault="00236AB5" w:rsidP="00236AB5">
                  <w:pPr>
                    <w:rPr>
                      <w:b/>
                      <w:sz w:val="18"/>
                      <w:szCs w:val="18"/>
                    </w:rPr>
                  </w:pPr>
                  <w:r w:rsidRPr="008819AF">
                    <w:rPr>
                      <w:b/>
                      <w:sz w:val="18"/>
                      <w:szCs w:val="18"/>
                    </w:rPr>
                    <w:lastRenderedPageBreak/>
                    <w:t>[MW]</w:t>
                  </w:r>
                </w:p>
              </w:tc>
              <w:tc>
                <w:tcPr>
                  <w:tcW w:w="957" w:type="dxa"/>
                  <w:vMerge w:val="restart"/>
                  <w:vAlign w:val="center"/>
                </w:tcPr>
                <w:p w14:paraId="1513370C" w14:textId="77777777" w:rsidR="00236AB5" w:rsidRPr="008819AF" w:rsidRDefault="00236AB5" w:rsidP="00236AB5">
                  <w:pPr>
                    <w:rPr>
                      <w:b/>
                      <w:sz w:val="18"/>
                      <w:szCs w:val="18"/>
                    </w:rPr>
                  </w:pPr>
                  <w:r w:rsidRPr="008819AF">
                    <w:rPr>
                      <w:b/>
                      <w:sz w:val="18"/>
                      <w:szCs w:val="18"/>
                    </w:rPr>
                    <w:lastRenderedPageBreak/>
                    <w:t xml:space="preserve">Plynové </w:t>
                  </w:r>
                  <w:r w:rsidRPr="008819AF">
                    <w:rPr>
                      <w:b/>
                      <w:sz w:val="18"/>
                      <w:szCs w:val="18"/>
                    </w:rPr>
                    <w:lastRenderedPageBreak/>
                    <w:t>turbíny</w:t>
                  </w:r>
                </w:p>
              </w:tc>
              <w:tc>
                <w:tcPr>
                  <w:tcW w:w="3856" w:type="dxa"/>
                  <w:gridSpan w:val="4"/>
                  <w:vAlign w:val="center"/>
                </w:tcPr>
                <w:p w14:paraId="1513370D" w14:textId="77777777" w:rsidR="00236AB5" w:rsidRPr="008819AF" w:rsidRDefault="00236AB5" w:rsidP="00236AB5">
                  <w:pPr>
                    <w:jc w:val="center"/>
                    <w:rPr>
                      <w:sz w:val="18"/>
                      <w:szCs w:val="18"/>
                    </w:rPr>
                  </w:pPr>
                  <w:r w:rsidRPr="008819AF">
                    <w:rPr>
                      <w:b/>
                      <w:sz w:val="18"/>
                      <w:szCs w:val="18"/>
                    </w:rPr>
                    <w:lastRenderedPageBreak/>
                    <w:t xml:space="preserve">Emisný limit        </w:t>
                  </w:r>
                </w:p>
              </w:tc>
            </w:tr>
            <w:tr w:rsidR="00236AB5" w:rsidRPr="008819AF" w14:paraId="15133714" w14:textId="77777777" w:rsidTr="005950BD">
              <w:trPr>
                <w:trHeight w:val="413"/>
                <w:jc w:val="center"/>
              </w:trPr>
              <w:tc>
                <w:tcPr>
                  <w:tcW w:w="731" w:type="dxa"/>
                  <w:vMerge/>
                  <w:vAlign w:val="center"/>
                </w:tcPr>
                <w:p w14:paraId="1513370F" w14:textId="77777777" w:rsidR="00236AB5" w:rsidRPr="008819AF" w:rsidRDefault="00236AB5" w:rsidP="00236AB5">
                  <w:pPr>
                    <w:rPr>
                      <w:sz w:val="18"/>
                      <w:szCs w:val="18"/>
                    </w:rPr>
                  </w:pPr>
                </w:p>
              </w:tc>
              <w:tc>
                <w:tcPr>
                  <w:tcW w:w="957" w:type="dxa"/>
                  <w:vMerge/>
                  <w:vAlign w:val="center"/>
                </w:tcPr>
                <w:p w14:paraId="15133710" w14:textId="77777777" w:rsidR="00236AB5" w:rsidRPr="008819AF" w:rsidRDefault="00236AB5" w:rsidP="00236AB5">
                  <w:pPr>
                    <w:rPr>
                      <w:sz w:val="18"/>
                      <w:szCs w:val="18"/>
                    </w:rPr>
                  </w:pPr>
                </w:p>
              </w:tc>
              <w:tc>
                <w:tcPr>
                  <w:tcW w:w="1479" w:type="dxa"/>
                  <w:vMerge w:val="restart"/>
                  <w:vAlign w:val="center"/>
                </w:tcPr>
                <w:p w14:paraId="15133711" w14:textId="77777777" w:rsidR="00236AB5" w:rsidRPr="008819AF" w:rsidRDefault="00236AB5" w:rsidP="00236AB5">
                  <w:pPr>
                    <w:rPr>
                      <w:b/>
                      <w:sz w:val="18"/>
                      <w:szCs w:val="18"/>
                    </w:rPr>
                  </w:pPr>
                  <w:r w:rsidRPr="008819AF">
                    <w:rPr>
                      <w:b/>
                      <w:sz w:val="18"/>
                      <w:szCs w:val="18"/>
                    </w:rPr>
                    <w:t>Tmavosť dymu</w:t>
                  </w:r>
                </w:p>
                <w:p w14:paraId="15133712" w14:textId="77777777" w:rsidR="00236AB5" w:rsidRPr="008819AF" w:rsidRDefault="00236AB5" w:rsidP="00236AB5">
                  <w:pPr>
                    <w:rPr>
                      <w:b/>
                      <w:sz w:val="18"/>
                      <w:szCs w:val="18"/>
                    </w:rPr>
                  </w:pPr>
                  <w:r w:rsidRPr="008819AF">
                    <w:rPr>
                      <w:b/>
                      <w:sz w:val="18"/>
                      <w:szCs w:val="18"/>
                    </w:rPr>
                    <w:sym w:font="Symbol" w:char="F05B"/>
                  </w:r>
                  <w:r w:rsidRPr="008819AF">
                    <w:rPr>
                      <w:b/>
                      <w:sz w:val="18"/>
                      <w:szCs w:val="18"/>
                    </w:rPr>
                    <w:t>st. Bacharacha</w:t>
                  </w:r>
                  <w:r w:rsidRPr="008819AF">
                    <w:rPr>
                      <w:b/>
                      <w:sz w:val="18"/>
                      <w:szCs w:val="18"/>
                    </w:rPr>
                    <w:sym w:font="Symbol" w:char="F05D"/>
                  </w:r>
                </w:p>
              </w:tc>
              <w:tc>
                <w:tcPr>
                  <w:tcW w:w="2377" w:type="dxa"/>
                  <w:gridSpan w:val="3"/>
                  <w:vAlign w:val="center"/>
                </w:tcPr>
                <w:p w14:paraId="15133713" w14:textId="77777777" w:rsidR="00236AB5" w:rsidRPr="008819AF" w:rsidRDefault="00236AB5" w:rsidP="00236AB5">
                  <w:pPr>
                    <w:jc w:val="center"/>
                    <w:rPr>
                      <w:b/>
                      <w:sz w:val="18"/>
                      <w:szCs w:val="18"/>
                    </w:rPr>
                  </w:pPr>
                  <w:r w:rsidRPr="008819AF">
                    <w:rPr>
                      <w:b/>
                      <w:sz w:val="18"/>
                      <w:szCs w:val="18"/>
                    </w:rPr>
                    <w:t xml:space="preserve">Hmotnostná koncentrácia  </w:t>
                  </w:r>
                  <w:r w:rsidRPr="008819AF">
                    <w:rPr>
                      <w:b/>
                      <w:sz w:val="18"/>
                      <w:szCs w:val="18"/>
                    </w:rPr>
                    <w:sym w:font="Symbol" w:char="F05B"/>
                  </w:r>
                  <w:r w:rsidRPr="008819AF">
                    <w:rPr>
                      <w:b/>
                      <w:sz w:val="18"/>
                      <w:szCs w:val="18"/>
                    </w:rPr>
                    <w:t>mg/m</w:t>
                  </w:r>
                  <w:r w:rsidRPr="008819AF">
                    <w:rPr>
                      <w:b/>
                      <w:sz w:val="18"/>
                      <w:szCs w:val="18"/>
                      <w:vertAlign w:val="superscript"/>
                    </w:rPr>
                    <w:t>3</w:t>
                  </w:r>
                  <w:r w:rsidRPr="008819AF">
                    <w:rPr>
                      <w:b/>
                      <w:sz w:val="18"/>
                      <w:szCs w:val="18"/>
                    </w:rPr>
                    <w:sym w:font="Symbol" w:char="F05D"/>
                  </w:r>
                </w:p>
              </w:tc>
            </w:tr>
            <w:tr w:rsidR="00236AB5" w:rsidRPr="008819AF" w14:paraId="1513371B" w14:textId="77777777" w:rsidTr="005950BD">
              <w:trPr>
                <w:trHeight w:val="412"/>
                <w:jc w:val="center"/>
              </w:trPr>
              <w:tc>
                <w:tcPr>
                  <w:tcW w:w="731" w:type="dxa"/>
                  <w:vMerge/>
                  <w:vAlign w:val="center"/>
                </w:tcPr>
                <w:p w14:paraId="15133715" w14:textId="77777777" w:rsidR="00236AB5" w:rsidRPr="008819AF" w:rsidRDefault="00236AB5" w:rsidP="00236AB5">
                  <w:pPr>
                    <w:rPr>
                      <w:sz w:val="18"/>
                      <w:szCs w:val="18"/>
                    </w:rPr>
                  </w:pPr>
                </w:p>
              </w:tc>
              <w:tc>
                <w:tcPr>
                  <w:tcW w:w="957" w:type="dxa"/>
                  <w:vMerge/>
                  <w:vAlign w:val="center"/>
                </w:tcPr>
                <w:p w14:paraId="15133716" w14:textId="77777777" w:rsidR="00236AB5" w:rsidRPr="008819AF" w:rsidRDefault="00236AB5" w:rsidP="00236AB5">
                  <w:pPr>
                    <w:rPr>
                      <w:sz w:val="18"/>
                      <w:szCs w:val="18"/>
                    </w:rPr>
                  </w:pPr>
                </w:p>
              </w:tc>
              <w:tc>
                <w:tcPr>
                  <w:tcW w:w="1479" w:type="dxa"/>
                  <w:vMerge/>
                  <w:vAlign w:val="center"/>
                </w:tcPr>
                <w:p w14:paraId="15133717" w14:textId="77777777" w:rsidR="00236AB5" w:rsidRPr="008819AF" w:rsidRDefault="00236AB5" w:rsidP="00236AB5">
                  <w:pPr>
                    <w:rPr>
                      <w:b/>
                      <w:sz w:val="18"/>
                      <w:szCs w:val="18"/>
                    </w:rPr>
                  </w:pPr>
                </w:p>
              </w:tc>
              <w:tc>
                <w:tcPr>
                  <w:tcW w:w="818" w:type="dxa"/>
                  <w:vAlign w:val="center"/>
                </w:tcPr>
                <w:p w14:paraId="15133718" w14:textId="77777777" w:rsidR="00236AB5" w:rsidRPr="008819AF" w:rsidRDefault="00236AB5" w:rsidP="00236AB5">
                  <w:pPr>
                    <w:jc w:val="center"/>
                    <w:rPr>
                      <w:b/>
                      <w:sz w:val="18"/>
                      <w:szCs w:val="18"/>
                      <w:vertAlign w:val="subscript"/>
                    </w:rPr>
                  </w:pPr>
                  <w:r w:rsidRPr="008819AF">
                    <w:rPr>
                      <w:b/>
                      <w:sz w:val="18"/>
                      <w:szCs w:val="18"/>
                    </w:rPr>
                    <w:t>SO</w:t>
                  </w:r>
                  <w:r w:rsidRPr="008819AF">
                    <w:rPr>
                      <w:b/>
                      <w:sz w:val="18"/>
                      <w:szCs w:val="18"/>
                      <w:vertAlign w:val="subscript"/>
                    </w:rPr>
                    <w:t>2</w:t>
                  </w:r>
                </w:p>
              </w:tc>
              <w:tc>
                <w:tcPr>
                  <w:tcW w:w="818" w:type="dxa"/>
                  <w:vAlign w:val="center"/>
                </w:tcPr>
                <w:p w14:paraId="15133719" w14:textId="77777777" w:rsidR="00236AB5" w:rsidRPr="008819AF" w:rsidRDefault="00236AB5" w:rsidP="00236AB5">
                  <w:pPr>
                    <w:jc w:val="center"/>
                    <w:rPr>
                      <w:b/>
                      <w:sz w:val="18"/>
                      <w:szCs w:val="18"/>
                    </w:rPr>
                  </w:pPr>
                  <w:r w:rsidRPr="008819AF">
                    <w:rPr>
                      <w:b/>
                      <w:sz w:val="18"/>
                      <w:szCs w:val="18"/>
                    </w:rPr>
                    <w:t>NOx</w:t>
                  </w:r>
                </w:p>
              </w:tc>
              <w:tc>
                <w:tcPr>
                  <w:tcW w:w="741" w:type="dxa"/>
                  <w:vAlign w:val="center"/>
                </w:tcPr>
                <w:p w14:paraId="1513371A" w14:textId="77777777" w:rsidR="00236AB5" w:rsidRPr="008819AF" w:rsidRDefault="00236AB5" w:rsidP="00236AB5">
                  <w:pPr>
                    <w:jc w:val="center"/>
                    <w:rPr>
                      <w:b/>
                      <w:sz w:val="18"/>
                      <w:szCs w:val="18"/>
                    </w:rPr>
                  </w:pPr>
                  <w:r w:rsidRPr="008819AF">
                    <w:rPr>
                      <w:b/>
                      <w:sz w:val="18"/>
                      <w:szCs w:val="18"/>
                    </w:rPr>
                    <w:t>CO</w:t>
                  </w:r>
                </w:p>
              </w:tc>
            </w:tr>
            <w:tr w:rsidR="00236AB5" w:rsidRPr="008819AF" w14:paraId="15133724" w14:textId="77777777" w:rsidTr="005950BD">
              <w:trPr>
                <w:jc w:val="center"/>
              </w:trPr>
              <w:tc>
                <w:tcPr>
                  <w:tcW w:w="731" w:type="dxa"/>
                  <w:vAlign w:val="center"/>
                </w:tcPr>
                <w:p w14:paraId="1513371C" w14:textId="77777777" w:rsidR="00236AB5" w:rsidRPr="008819AF" w:rsidRDefault="00236AB5" w:rsidP="00236AB5">
                  <w:pPr>
                    <w:jc w:val="center"/>
                    <w:rPr>
                      <w:sz w:val="18"/>
                      <w:szCs w:val="18"/>
                    </w:rPr>
                  </w:pPr>
                  <w:r w:rsidRPr="008819AF">
                    <w:rPr>
                      <w:sz w:val="18"/>
                      <w:szCs w:val="18"/>
                    </w:rPr>
                    <w:sym w:font="Symbol" w:char="F0B3"/>
                  </w:r>
                  <w:r w:rsidRPr="008819AF">
                    <w:rPr>
                      <w:sz w:val="18"/>
                      <w:szCs w:val="18"/>
                    </w:rPr>
                    <w:t xml:space="preserve"> 50</w:t>
                  </w:r>
                </w:p>
              </w:tc>
              <w:tc>
                <w:tcPr>
                  <w:tcW w:w="957" w:type="dxa"/>
                  <w:vAlign w:val="center"/>
                </w:tcPr>
                <w:p w14:paraId="1513371D" w14:textId="77777777" w:rsidR="00236AB5" w:rsidRPr="008819AF" w:rsidRDefault="00236AB5" w:rsidP="00236AB5">
                  <w:pPr>
                    <w:ind w:right="132"/>
                    <w:rPr>
                      <w:sz w:val="18"/>
                      <w:szCs w:val="18"/>
                    </w:rPr>
                  </w:pPr>
                  <w:r w:rsidRPr="008819AF">
                    <w:rPr>
                      <w:sz w:val="18"/>
                      <w:szCs w:val="18"/>
                    </w:rPr>
                    <w:t xml:space="preserve">Kvapalné palivo </w:t>
                  </w:r>
                </w:p>
                <w:p w14:paraId="1513371E" w14:textId="77777777" w:rsidR="00236AB5" w:rsidRPr="008819AF" w:rsidRDefault="00236AB5" w:rsidP="00236AB5">
                  <w:pPr>
                    <w:rPr>
                      <w:sz w:val="18"/>
                      <w:szCs w:val="18"/>
                    </w:rPr>
                  </w:pPr>
                  <w:r w:rsidRPr="008819AF">
                    <w:rPr>
                      <w:sz w:val="18"/>
                      <w:szCs w:val="18"/>
                    </w:rPr>
                    <w:t>- ľahké a stredné destiláty</w:t>
                  </w:r>
                </w:p>
              </w:tc>
              <w:tc>
                <w:tcPr>
                  <w:tcW w:w="1479" w:type="dxa"/>
                  <w:vAlign w:val="center"/>
                </w:tcPr>
                <w:p w14:paraId="1513371F" w14:textId="77777777" w:rsidR="00236AB5" w:rsidRPr="008819AF" w:rsidRDefault="00236AB5" w:rsidP="00236AB5">
                  <w:pPr>
                    <w:ind w:left="-108" w:right="-108"/>
                    <w:rPr>
                      <w:sz w:val="18"/>
                      <w:szCs w:val="18"/>
                      <w:vertAlign w:val="superscript"/>
                    </w:rPr>
                  </w:pPr>
                  <w:r w:rsidRPr="008819AF">
                    <w:rPr>
                      <w:sz w:val="18"/>
                      <w:szCs w:val="18"/>
                    </w:rPr>
                    <w:t xml:space="preserve"> trvalá prevádzka: 2.st.</w:t>
                  </w:r>
                </w:p>
                <w:p w14:paraId="15133720" w14:textId="77777777" w:rsidR="00236AB5" w:rsidRPr="008819AF" w:rsidRDefault="00236AB5" w:rsidP="00236AB5">
                  <w:pPr>
                    <w:rPr>
                      <w:sz w:val="18"/>
                      <w:szCs w:val="18"/>
                    </w:rPr>
                  </w:pPr>
                  <w:r w:rsidRPr="008819AF">
                    <w:rPr>
                      <w:sz w:val="18"/>
                      <w:szCs w:val="18"/>
                    </w:rPr>
                    <w:t xml:space="preserve">nábeh: </w:t>
                  </w:r>
                  <w:smartTag w:uri="urn:schemas-microsoft-com:office:smarttags" w:element="metricconverter">
                    <w:smartTagPr>
                      <w:attr w:name="ProductID" w:val="3 st"/>
                    </w:smartTagPr>
                    <w:r w:rsidRPr="008819AF">
                      <w:rPr>
                        <w:sz w:val="18"/>
                        <w:szCs w:val="18"/>
                      </w:rPr>
                      <w:t>3 st</w:t>
                    </w:r>
                  </w:smartTag>
                  <w:r w:rsidRPr="008819AF">
                    <w:rPr>
                      <w:sz w:val="18"/>
                      <w:szCs w:val="18"/>
                    </w:rPr>
                    <w:t xml:space="preserve">. </w:t>
                  </w:r>
                </w:p>
              </w:tc>
              <w:tc>
                <w:tcPr>
                  <w:tcW w:w="818" w:type="dxa"/>
                  <w:vAlign w:val="center"/>
                </w:tcPr>
                <w:p w14:paraId="15133721" w14:textId="77777777" w:rsidR="00236AB5" w:rsidRPr="008819AF" w:rsidRDefault="00236AB5" w:rsidP="00236AB5">
                  <w:pPr>
                    <w:jc w:val="center"/>
                    <w:rPr>
                      <w:sz w:val="18"/>
                      <w:szCs w:val="18"/>
                    </w:rPr>
                  </w:pPr>
                  <w:r w:rsidRPr="008819AF">
                    <w:rPr>
                      <w:sz w:val="18"/>
                      <w:szCs w:val="18"/>
                    </w:rPr>
                    <w:t>600</w:t>
                  </w:r>
                </w:p>
              </w:tc>
              <w:tc>
                <w:tcPr>
                  <w:tcW w:w="818" w:type="dxa"/>
                  <w:vAlign w:val="center"/>
                </w:tcPr>
                <w:p w14:paraId="15133722" w14:textId="77777777" w:rsidR="00236AB5" w:rsidRPr="008819AF" w:rsidRDefault="00236AB5" w:rsidP="00236AB5">
                  <w:pPr>
                    <w:jc w:val="center"/>
                    <w:rPr>
                      <w:sz w:val="18"/>
                      <w:szCs w:val="18"/>
                    </w:rPr>
                  </w:pPr>
                  <w:r w:rsidRPr="008819AF">
                    <w:rPr>
                      <w:sz w:val="18"/>
                      <w:szCs w:val="18"/>
                    </w:rPr>
                    <w:t>50</w:t>
                  </w:r>
                </w:p>
              </w:tc>
              <w:tc>
                <w:tcPr>
                  <w:tcW w:w="741" w:type="dxa"/>
                  <w:vAlign w:val="center"/>
                </w:tcPr>
                <w:p w14:paraId="15133723" w14:textId="77777777" w:rsidR="00236AB5" w:rsidRPr="008819AF" w:rsidRDefault="00236AB5" w:rsidP="00236AB5">
                  <w:pPr>
                    <w:jc w:val="center"/>
                    <w:rPr>
                      <w:sz w:val="18"/>
                      <w:szCs w:val="18"/>
                    </w:rPr>
                  </w:pPr>
                  <w:r w:rsidRPr="008819AF">
                    <w:rPr>
                      <w:sz w:val="18"/>
                      <w:szCs w:val="18"/>
                    </w:rPr>
                    <w:t>100</w:t>
                  </w:r>
                </w:p>
              </w:tc>
            </w:tr>
            <w:tr w:rsidR="00236AB5" w:rsidRPr="008819AF" w14:paraId="1513372B" w14:textId="77777777" w:rsidTr="005950BD">
              <w:trPr>
                <w:trHeight w:val="334"/>
                <w:jc w:val="center"/>
              </w:trPr>
              <w:tc>
                <w:tcPr>
                  <w:tcW w:w="731" w:type="dxa"/>
                  <w:vAlign w:val="center"/>
                </w:tcPr>
                <w:p w14:paraId="15133725" w14:textId="77777777" w:rsidR="00236AB5" w:rsidRPr="008819AF" w:rsidRDefault="00236AB5" w:rsidP="00236AB5">
                  <w:pPr>
                    <w:jc w:val="center"/>
                    <w:rPr>
                      <w:sz w:val="18"/>
                      <w:szCs w:val="18"/>
                    </w:rPr>
                  </w:pPr>
                  <w:r w:rsidRPr="008819AF">
                    <w:rPr>
                      <w:sz w:val="18"/>
                      <w:szCs w:val="18"/>
                    </w:rPr>
                    <w:sym w:font="Symbol" w:char="F0B3"/>
                  </w:r>
                  <w:r w:rsidRPr="008819AF">
                    <w:rPr>
                      <w:sz w:val="18"/>
                      <w:szCs w:val="18"/>
                    </w:rPr>
                    <w:t xml:space="preserve"> 50</w:t>
                  </w:r>
                </w:p>
              </w:tc>
              <w:tc>
                <w:tcPr>
                  <w:tcW w:w="957" w:type="dxa"/>
                  <w:vAlign w:val="center"/>
                </w:tcPr>
                <w:p w14:paraId="15133726" w14:textId="77777777" w:rsidR="00236AB5" w:rsidRPr="008819AF" w:rsidRDefault="00236AB5" w:rsidP="00236AB5">
                  <w:pPr>
                    <w:rPr>
                      <w:sz w:val="18"/>
                      <w:szCs w:val="18"/>
                    </w:rPr>
                  </w:pPr>
                  <w:r w:rsidRPr="008819AF">
                    <w:rPr>
                      <w:sz w:val="18"/>
                      <w:szCs w:val="18"/>
                    </w:rPr>
                    <w:t>Plynné palivo</w:t>
                  </w:r>
                </w:p>
              </w:tc>
              <w:tc>
                <w:tcPr>
                  <w:tcW w:w="1479" w:type="dxa"/>
                  <w:vAlign w:val="center"/>
                </w:tcPr>
                <w:p w14:paraId="15133727" w14:textId="77777777" w:rsidR="00236AB5" w:rsidRPr="008819AF" w:rsidRDefault="00236AB5" w:rsidP="00236AB5">
                  <w:pPr>
                    <w:jc w:val="center"/>
                    <w:rPr>
                      <w:sz w:val="18"/>
                      <w:szCs w:val="18"/>
                    </w:rPr>
                  </w:pPr>
                  <w:r w:rsidRPr="008819AF">
                    <w:rPr>
                      <w:sz w:val="18"/>
                      <w:szCs w:val="18"/>
                    </w:rPr>
                    <w:t>-</w:t>
                  </w:r>
                </w:p>
              </w:tc>
              <w:tc>
                <w:tcPr>
                  <w:tcW w:w="818" w:type="dxa"/>
                  <w:vAlign w:val="center"/>
                </w:tcPr>
                <w:p w14:paraId="15133728" w14:textId="77777777" w:rsidR="00236AB5" w:rsidRPr="008819AF" w:rsidRDefault="00236AB5" w:rsidP="00236AB5">
                  <w:pPr>
                    <w:jc w:val="center"/>
                    <w:rPr>
                      <w:sz w:val="18"/>
                      <w:szCs w:val="18"/>
                    </w:rPr>
                  </w:pPr>
                  <w:r w:rsidRPr="008819AF">
                    <w:rPr>
                      <w:sz w:val="18"/>
                      <w:szCs w:val="18"/>
                    </w:rPr>
                    <w:t>-</w:t>
                  </w:r>
                </w:p>
              </w:tc>
              <w:tc>
                <w:tcPr>
                  <w:tcW w:w="818" w:type="dxa"/>
                  <w:vAlign w:val="center"/>
                </w:tcPr>
                <w:p w14:paraId="15133729" w14:textId="77777777" w:rsidR="00236AB5" w:rsidRPr="008819AF" w:rsidRDefault="00236AB5" w:rsidP="00236AB5">
                  <w:pPr>
                    <w:jc w:val="center"/>
                    <w:rPr>
                      <w:sz w:val="18"/>
                      <w:szCs w:val="18"/>
                    </w:rPr>
                  </w:pPr>
                  <w:r w:rsidRPr="008819AF">
                    <w:rPr>
                      <w:sz w:val="18"/>
                      <w:szCs w:val="18"/>
                    </w:rPr>
                    <w:t>50</w:t>
                  </w:r>
                  <w:r w:rsidRPr="008819AF">
                    <w:rPr>
                      <w:sz w:val="18"/>
                      <w:szCs w:val="18"/>
                      <w:vertAlign w:val="superscript"/>
                    </w:rPr>
                    <w:t>1</w:t>
                  </w:r>
                  <w:r w:rsidRPr="008819AF">
                    <w:rPr>
                      <w:sz w:val="18"/>
                      <w:szCs w:val="18"/>
                    </w:rPr>
                    <w:t xml:space="preserve">)  </w:t>
                  </w:r>
                </w:p>
              </w:tc>
              <w:tc>
                <w:tcPr>
                  <w:tcW w:w="741" w:type="dxa"/>
                  <w:vAlign w:val="center"/>
                </w:tcPr>
                <w:p w14:paraId="1513372A" w14:textId="77777777" w:rsidR="00236AB5" w:rsidRPr="008819AF" w:rsidRDefault="00236AB5" w:rsidP="00236AB5">
                  <w:pPr>
                    <w:jc w:val="center"/>
                    <w:rPr>
                      <w:sz w:val="18"/>
                      <w:szCs w:val="18"/>
                    </w:rPr>
                  </w:pPr>
                  <w:r w:rsidRPr="008819AF">
                    <w:rPr>
                      <w:sz w:val="18"/>
                      <w:szCs w:val="18"/>
                    </w:rPr>
                    <w:t>100</w:t>
                  </w:r>
                </w:p>
              </w:tc>
            </w:tr>
          </w:tbl>
          <w:p w14:paraId="1513372C" w14:textId="77777777" w:rsidR="00236AB5" w:rsidRPr="008819AF" w:rsidRDefault="00236AB5" w:rsidP="00236AB5">
            <w:pPr>
              <w:ind w:left="284" w:hanging="284"/>
              <w:jc w:val="both"/>
            </w:pPr>
            <w:r w:rsidRPr="008819AF">
              <w:rPr>
                <w:vertAlign w:val="superscript"/>
              </w:rPr>
              <w:t>1</w:t>
            </w:r>
            <w:r w:rsidRPr="008819AF">
              <w:t>) Pre jednocyklové plynové turbíny, ktoré majú účinnosť &gt; 35 % pri základnom zaťažení určenom podľa podmienok ISO, sa emisný limit pre NOx vypočíta podľa vzťahu:       EL = 50 x η / 35,</w:t>
            </w:r>
          </w:p>
          <w:p w14:paraId="1513372D" w14:textId="77777777" w:rsidR="00236AB5" w:rsidRPr="008819AF" w:rsidRDefault="00236AB5" w:rsidP="00236AB5">
            <w:pPr>
              <w:ind w:left="284" w:hanging="284"/>
            </w:pPr>
            <w:r w:rsidRPr="008819AF">
              <w:t xml:space="preserve">     kde η je účinnosť plynovej turbíny v %  pri základnom zaťažení ISO. </w:t>
            </w:r>
          </w:p>
          <w:p w14:paraId="1513372E" w14:textId="77777777" w:rsidR="00236AB5" w:rsidRPr="008819AF" w:rsidRDefault="00236AB5" w:rsidP="00236AB5">
            <w:pPr>
              <w:ind w:left="240" w:hanging="240"/>
            </w:pPr>
          </w:p>
          <w:p w14:paraId="1513372F" w14:textId="77777777" w:rsidR="00236AB5" w:rsidRPr="008819AF" w:rsidRDefault="00236AB5" w:rsidP="00236AB5">
            <w:pPr>
              <w:widowControl w:val="0"/>
              <w:ind w:left="284" w:hanging="284"/>
            </w:pPr>
            <w:r w:rsidRPr="008819AF">
              <w:t>6.  Veľké spaľovacie zariadenia zložené zo stacionárnych piestových spaľovacích motorov</w:t>
            </w:r>
          </w:p>
          <w:p w14:paraId="15133730" w14:textId="77777777" w:rsidR="00236AB5" w:rsidRPr="008819AF" w:rsidRDefault="00236AB5" w:rsidP="00236AB5">
            <w:pPr>
              <w:spacing w:before="120" w:after="120"/>
              <w:ind w:left="34"/>
              <w:jc w:val="both"/>
            </w:pPr>
            <w:r w:rsidRPr="008819AF">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6"/>
              <w:gridCol w:w="627"/>
              <w:gridCol w:w="865"/>
              <w:gridCol w:w="1182"/>
              <w:gridCol w:w="1182"/>
              <w:gridCol w:w="1102"/>
            </w:tblGrid>
            <w:tr w:rsidR="00236AB5" w:rsidRPr="008819AF" w14:paraId="15133734" w14:textId="77777777" w:rsidTr="005950BD">
              <w:trPr>
                <w:cantSplit/>
                <w:trHeight w:val="509"/>
                <w:jc w:val="center"/>
              </w:trPr>
              <w:tc>
                <w:tcPr>
                  <w:tcW w:w="3357" w:type="dxa"/>
                  <w:gridSpan w:val="3"/>
                  <w:vMerge w:val="restart"/>
                  <w:shd w:val="clear" w:color="auto" w:fill="FFFFFF" w:themeFill="background1"/>
                  <w:vAlign w:val="center"/>
                </w:tcPr>
                <w:p w14:paraId="15133731" w14:textId="77777777" w:rsidR="00236AB5" w:rsidRPr="008819AF" w:rsidRDefault="00236AB5" w:rsidP="00236AB5">
                  <w:pPr>
                    <w:pStyle w:val="Normln"/>
                    <w:keepNext/>
                    <w:rPr>
                      <w:b/>
                      <w:sz w:val="18"/>
                      <w:szCs w:val="18"/>
                      <w:lang w:val="sk-SK"/>
                    </w:rPr>
                  </w:pPr>
                  <w:r w:rsidRPr="008819AF">
                    <w:rPr>
                      <w:b/>
                      <w:sz w:val="18"/>
                      <w:szCs w:val="18"/>
                      <w:lang w:val="sk-SK"/>
                    </w:rPr>
                    <w:t>Podmienky platnosti EL</w:t>
                  </w:r>
                </w:p>
              </w:tc>
              <w:tc>
                <w:tcPr>
                  <w:tcW w:w="5855" w:type="dxa"/>
                  <w:gridSpan w:val="3"/>
                  <w:shd w:val="clear" w:color="auto" w:fill="FFFFFF" w:themeFill="background1"/>
                </w:tcPr>
                <w:p w14:paraId="15133732" w14:textId="77777777" w:rsidR="00236AB5" w:rsidRPr="008819AF" w:rsidRDefault="00236AB5" w:rsidP="00236AB5">
                  <w:pPr>
                    <w:pStyle w:val="Normln"/>
                    <w:keepNext/>
                    <w:rPr>
                      <w:sz w:val="18"/>
                      <w:szCs w:val="18"/>
                      <w:lang w:val="sk-SK"/>
                    </w:rPr>
                  </w:pPr>
                  <w:r w:rsidRPr="008819AF">
                    <w:rPr>
                      <w:sz w:val="18"/>
                      <w:szCs w:val="18"/>
                      <w:lang w:val="sk-SK"/>
                    </w:rPr>
                    <w:t xml:space="preserve">Štandardné stavové podmienky, suchý plyn, </w:t>
                  </w:r>
                </w:p>
                <w:p w14:paraId="15133733" w14:textId="77777777" w:rsidR="00236AB5" w:rsidRPr="008819AF" w:rsidRDefault="00236AB5" w:rsidP="00236AB5">
                  <w:pPr>
                    <w:pStyle w:val="Normln"/>
                    <w:keepNext/>
                    <w:rPr>
                      <w:sz w:val="18"/>
                      <w:szCs w:val="18"/>
                      <w:lang w:val="sk-SK"/>
                    </w:rPr>
                  </w:pPr>
                  <w:r w:rsidRPr="008819AF">
                    <w:rPr>
                      <w:sz w:val="18"/>
                      <w:szCs w:val="18"/>
                      <w:lang w:val="sk-SK"/>
                    </w:rPr>
                    <w:t>O</w:t>
                  </w:r>
                  <w:r w:rsidRPr="008819AF">
                    <w:rPr>
                      <w:sz w:val="18"/>
                      <w:szCs w:val="18"/>
                      <w:vertAlign w:val="subscript"/>
                      <w:lang w:val="sk-SK"/>
                    </w:rPr>
                    <w:t>2 ref</w:t>
                  </w:r>
                  <w:r w:rsidRPr="008819AF">
                    <w:rPr>
                      <w:sz w:val="18"/>
                      <w:szCs w:val="18"/>
                      <w:lang w:val="sk-SK"/>
                    </w:rPr>
                    <w:t>: 15 % objemu</w:t>
                  </w:r>
                </w:p>
              </w:tc>
            </w:tr>
            <w:tr w:rsidR="00236AB5" w:rsidRPr="008819AF" w14:paraId="15133737" w14:textId="77777777" w:rsidTr="005950BD">
              <w:trPr>
                <w:cantSplit/>
                <w:trHeight w:val="509"/>
                <w:jc w:val="center"/>
              </w:trPr>
              <w:tc>
                <w:tcPr>
                  <w:tcW w:w="3357" w:type="dxa"/>
                  <w:gridSpan w:val="3"/>
                  <w:vMerge/>
                  <w:shd w:val="clear" w:color="auto" w:fill="FFFFFF" w:themeFill="background1"/>
                </w:tcPr>
                <w:p w14:paraId="15133735" w14:textId="77777777" w:rsidR="00236AB5" w:rsidRPr="008819AF" w:rsidRDefault="00236AB5" w:rsidP="00236AB5">
                  <w:pPr>
                    <w:pStyle w:val="Normln"/>
                    <w:keepNext/>
                    <w:rPr>
                      <w:sz w:val="18"/>
                      <w:szCs w:val="18"/>
                      <w:lang w:val="sk-SK"/>
                    </w:rPr>
                  </w:pPr>
                </w:p>
              </w:tc>
              <w:tc>
                <w:tcPr>
                  <w:tcW w:w="5855" w:type="dxa"/>
                  <w:gridSpan w:val="3"/>
                  <w:shd w:val="clear" w:color="auto" w:fill="FFFFFF" w:themeFill="background1"/>
                </w:tcPr>
                <w:p w14:paraId="15133736" w14:textId="77777777" w:rsidR="00236AB5" w:rsidRPr="008819AF" w:rsidRDefault="00236AB5" w:rsidP="00236AB5">
                  <w:pPr>
                    <w:pStyle w:val="Normln"/>
                    <w:keepNext/>
                    <w:rPr>
                      <w:sz w:val="18"/>
                      <w:szCs w:val="18"/>
                      <w:lang w:val="sk-SK"/>
                    </w:rPr>
                  </w:pPr>
                  <w:r w:rsidRPr="008819AF">
                    <w:rPr>
                      <w:sz w:val="18"/>
                      <w:szCs w:val="18"/>
                      <w:lang w:val="sk-SK"/>
                    </w:rPr>
                    <w:t>Na piestové spaľovacie motory určené výlučne na núdzovú  prevádzku, ak  sú v prevádzke &lt; 500 h/rok, sa emisné limity neuplatňujú.</w:t>
                  </w:r>
                </w:p>
              </w:tc>
            </w:tr>
            <w:tr w:rsidR="00236AB5" w:rsidRPr="008819AF" w14:paraId="1513373A" w14:textId="77777777" w:rsidTr="005950BD">
              <w:trPr>
                <w:cantSplit/>
                <w:trHeight w:val="509"/>
                <w:jc w:val="center"/>
              </w:trPr>
              <w:tc>
                <w:tcPr>
                  <w:tcW w:w="3357" w:type="dxa"/>
                  <w:gridSpan w:val="3"/>
                  <w:vMerge/>
                  <w:shd w:val="clear" w:color="auto" w:fill="FFFFFF" w:themeFill="background1"/>
                </w:tcPr>
                <w:p w14:paraId="15133738" w14:textId="77777777" w:rsidR="00236AB5" w:rsidRPr="008819AF" w:rsidRDefault="00236AB5" w:rsidP="00236AB5">
                  <w:pPr>
                    <w:pStyle w:val="Normln"/>
                    <w:keepNext/>
                    <w:rPr>
                      <w:sz w:val="18"/>
                      <w:szCs w:val="18"/>
                      <w:lang w:val="sk-SK"/>
                    </w:rPr>
                  </w:pPr>
                </w:p>
              </w:tc>
              <w:tc>
                <w:tcPr>
                  <w:tcW w:w="5855" w:type="dxa"/>
                  <w:gridSpan w:val="3"/>
                  <w:shd w:val="clear" w:color="auto" w:fill="FFFFFF" w:themeFill="background1"/>
                </w:tcPr>
                <w:p w14:paraId="15133739" w14:textId="77777777" w:rsidR="00236AB5" w:rsidRPr="008819AF" w:rsidRDefault="00236AB5" w:rsidP="00236AB5">
                  <w:pPr>
                    <w:pStyle w:val="Normln"/>
                    <w:keepNext/>
                    <w:rPr>
                      <w:sz w:val="18"/>
                      <w:szCs w:val="18"/>
                      <w:lang w:val="sk-SK"/>
                    </w:rPr>
                  </w:pPr>
                  <w:r w:rsidRPr="008819AF">
                    <w:rPr>
                      <w:sz w:val="18"/>
                      <w:szCs w:val="18"/>
                      <w:lang w:val="sk-SK"/>
                    </w:rPr>
                    <w:t>Ak sa emisné limity pre TZL dosahujú bez odlučovania, všeobecné emisné limity podľa prílohy č.3 pre tuhé anorganické znečisťujúce látky zaradené v 2. skupine sa neuplatňujú.</w:t>
                  </w:r>
                </w:p>
              </w:tc>
            </w:tr>
            <w:tr w:rsidR="00236AB5" w:rsidRPr="008819AF" w14:paraId="1513373F" w14:textId="77777777" w:rsidTr="005950BD">
              <w:trPr>
                <w:cantSplit/>
                <w:trHeight w:val="379"/>
                <w:jc w:val="center"/>
              </w:trPr>
              <w:tc>
                <w:tcPr>
                  <w:tcW w:w="928" w:type="dxa"/>
                  <w:vMerge w:val="restart"/>
                  <w:shd w:val="clear" w:color="auto" w:fill="FFFFFF" w:themeFill="background1"/>
                  <w:vAlign w:val="center"/>
                </w:tcPr>
                <w:p w14:paraId="1513373B" w14:textId="77777777" w:rsidR="00236AB5" w:rsidRPr="008819AF" w:rsidRDefault="00236AB5" w:rsidP="00236AB5">
                  <w:pPr>
                    <w:pStyle w:val="Normln"/>
                    <w:jc w:val="center"/>
                    <w:rPr>
                      <w:b/>
                      <w:sz w:val="18"/>
                      <w:szCs w:val="18"/>
                      <w:lang w:val="sk-SK"/>
                    </w:rPr>
                  </w:pPr>
                  <w:r w:rsidRPr="008819AF">
                    <w:rPr>
                      <w:b/>
                      <w:sz w:val="18"/>
                      <w:szCs w:val="18"/>
                      <w:lang w:val="sk-SK"/>
                    </w:rPr>
                    <w:t>MTP [MW]</w:t>
                  </w:r>
                </w:p>
              </w:tc>
              <w:tc>
                <w:tcPr>
                  <w:tcW w:w="2429" w:type="dxa"/>
                  <w:gridSpan w:val="2"/>
                  <w:vMerge w:val="restart"/>
                  <w:shd w:val="clear" w:color="auto" w:fill="FFFFFF" w:themeFill="background1"/>
                  <w:vAlign w:val="center"/>
                </w:tcPr>
                <w:p w14:paraId="1513373C" w14:textId="77777777" w:rsidR="00236AB5" w:rsidRPr="008819AF" w:rsidRDefault="00236AB5" w:rsidP="00236AB5">
                  <w:pPr>
                    <w:pStyle w:val="Normln"/>
                    <w:rPr>
                      <w:b/>
                      <w:sz w:val="18"/>
                      <w:szCs w:val="18"/>
                      <w:lang w:val="sk-SK"/>
                    </w:rPr>
                  </w:pPr>
                  <w:r w:rsidRPr="008819AF">
                    <w:rPr>
                      <w:b/>
                      <w:sz w:val="18"/>
                      <w:szCs w:val="18"/>
                      <w:lang w:val="sk-SK"/>
                    </w:rPr>
                    <w:t>Typy motorov</w:t>
                  </w:r>
                </w:p>
                <w:p w14:paraId="1513373D" w14:textId="77777777" w:rsidR="00236AB5" w:rsidRPr="008819AF" w:rsidRDefault="00236AB5" w:rsidP="00236AB5">
                  <w:pPr>
                    <w:pStyle w:val="Normln"/>
                    <w:jc w:val="center"/>
                    <w:rPr>
                      <w:b/>
                      <w:sz w:val="18"/>
                      <w:szCs w:val="18"/>
                      <w:lang w:val="sk-SK"/>
                    </w:rPr>
                  </w:pPr>
                </w:p>
              </w:tc>
              <w:tc>
                <w:tcPr>
                  <w:tcW w:w="5855" w:type="dxa"/>
                  <w:gridSpan w:val="3"/>
                  <w:shd w:val="clear" w:color="auto" w:fill="FFFFFF" w:themeFill="background1"/>
                  <w:vAlign w:val="center"/>
                </w:tcPr>
                <w:p w14:paraId="1513373E" w14:textId="77777777" w:rsidR="00236AB5" w:rsidRPr="008819AF" w:rsidRDefault="00236AB5" w:rsidP="00236AB5">
                  <w:pPr>
                    <w:pStyle w:val="Normln"/>
                    <w:jc w:val="center"/>
                    <w:rPr>
                      <w:b/>
                      <w:sz w:val="18"/>
                      <w:szCs w:val="18"/>
                      <w:lang w:val="sk-SK"/>
                    </w:rPr>
                  </w:pPr>
                  <w:r w:rsidRPr="008819AF">
                    <w:rPr>
                      <w:b/>
                      <w:sz w:val="18"/>
                      <w:szCs w:val="18"/>
                      <w:lang w:val="sk-SK"/>
                    </w:rPr>
                    <w:t xml:space="preserve">Emisný limit </w:t>
                  </w:r>
                  <w:r w:rsidRPr="008819AF">
                    <w:rPr>
                      <w:b/>
                      <w:sz w:val="18"/>
                      <w:szCs w:val="18"/>
                      <w:lang w:val="sk-SK"/>
                    </w:rPr>
                    <w:sym w:font="Symbol" w:char="F05B"/>
                  </w:r>
                  <w:r w:rsidRPr="008819AF">
                    <w:rPr>
                      <w:b/>
                      <w:sz w:val="18"/>
                      <w:szCs w:val="18"/>
                      <w:lang w:val="sk-SK"/>
                    </w:rPr>
                    <w:t>mg/m</w:t>
                  </w:r>
                  <w:r w:rsidRPr="008819AF">
                    <w:rPr>
                      <w:b/>
                      <w:sz w:val="18"/>
                      <w:szCs w:val="18"/>
                      <w:vertAlign w:val="superscript"/>
                      <w:lang w:val="sk-SK"/>
                    </w:rPr>
                    <w:t>3</w:t>
                  </w:r>
                  <w:r w:rsidRPr="008819AF">
                    <w:rPr>
                      <w:b/>
                      <w:sz w:val="18"/>
                      <w:szCs w:val="18"/>
                      <w:lang w:val="sk-SK"/>
                    </w:rPr>
                    <w:sym w:font="Symbol" w:char="F05D"/>
                  </w:r>
                </w:p>
              </w:tc>
            </w:tr>
            <w:tr w:rsidR="00236AB5" w:rsidRPr="008819AF" w14:paraId="15133745" w14:textId="77777777" w:rsidTr="005950BD">
              <w:trPr>
                <w:cantSplit/>
                <w:trHeight w:hRule="exact" w:val="420"/>
                <w:jc w:val="center"/>
              </w:trPr>
              <w:tc>
                <w:tcPr>
                  <w:tcW w:w="928" w:type="dxa"/>
                  <w:vMerge/>
                  <w:shd w:val="clear" w:color="auto" w:fill="FFFFFF" w:themeFill="background1"/>
                  <w:vAlign w:val="center"/>
                </w:tcPr>
                <w:p w14:paraId="15133740" w14:textId="77777777" w:rsidR="00236AB5" w:rsidRPr="008819AF" w:rsidRDefault="00236AB5" w:rsidP="00236AB5">
                  <w:pPr>
                    <w:pStyle w:val="Normln"/>
                    <w:rPr>
                      <w:b/>
                      <w:sz w:val="18"/>
                      <w:szCs w:val="18"/>
                      <w:lang w:val="sk-SK"/>
                    </w:rPr>
                  </w:pPr>
                </w:p>
              </w:tc>
              <w:tc>
                <w:tcPr>
                  <w:tcW w:w="2429" w:type="dxa"/>
                  <w:gridSpan w:val="2"/>
                  <w:vMerge/>
                  <w:shd w:val="clear" w:color="auto" w:fill="FFFFFF" w:themeFill="background1"/>
                </w:tcPr>
                <w:p w14:paraId="15133741" w14:textId="77777777" w:rsidR="00236AB5" w:rsidRPr="008819AF" w:rsidRDefault="00236AB5" w:rsidP="00236AB5">
                  <w:pPr>
                    <w:pStyle w:val="Normln"/>
                    <w:jc w:val="center"/>
                    <w:rPr>
                      <w:b/>
                      <w:sz w:val="18"/>
                      <w:szCs w:val="18"/>
                      <w:lang w:val="sk-SK"/>
                    </w:rPr>
                  </w:pPr>
                </w:p>
              </w:tc>
              <w:tc>
                <w:tcPr>
                  <w:tcW w:w="1999" w:type="dxa"/>
                  <w:shd w:val="clear" w:color="auto" w:fill="FFFFFF" w:themeFill="background1"/>
                  <w:vAlign w:val="center"/>
                </w:tcPr>
                <w:p w14:paraId="15133742" w14:textId="77777777" w:rsidR="00236AB5" w:rsidRPr="008819AF" w:rsidRDefault="00236AB5" w:rsidP="00236AB5">
                  <w:pPr>
                    <w:pStyle w:val="Normln"/>
                    <w:jc w:val="center"/>
                    <w:rPr>
                      <w:b/>
                      <w:sz w:val="18"/>
                      <w:szCs w:val="18"/>
                      <w:lang w:val="sk-SK"/>
                    </w:rPr>
                  </w:pPr>
                  <w:r w:rsidRPr="008819AF">
                    <w:rPr>
                      <w:b/>
                      <w:sz w:val="18"/>
                      <w:szCs w:val="18"/>
                      <w:lang w:val="sk-SK"/>
                    </w:rPr>
                    <w:t>TZL</w:t>
                  </w:r>
                </w:p>
              </w:tc>
              <w:tc>
                <w:tcPr>
                  <w:tcW w:w="2000" w:type="dxa"/>
                  <w:shd w:val="clear" w:color="auto" w:fill="FFFFFF" w:themeFill="background1"/>
                  <w:vAlign w:val="center"/>
                </w:tcPr>
                <w:p w14:paraId="15133743" w14:textId="77777777" w:rsidR="00236AB5" w:rsidRPr="008819AF" w:rsidRDefault="00236AB5" w:rsidP="00236AB5">
                  <w:pPr>
                    <w:pStyle w:val="Normln"/>
                    <w:jc w:val="center"/>
                    <w:rPr>
                      <w:b/>
                      <w:sz w:val="18"/>
                      <w:szCs w:val="18"/>
                      <w:vertAlign w:val="subscript"/>
                      <w:lang w:val="sk-SK"/>
                    </w:rPr>
                  </w:pPr>
                  <w:r w:rsidRPr="008819AF">
                    <w:rPr>
                      <w:b/>
                      <w:sz w:val="18"/>
                      <w:szCs w:val="18"/>
                      <w:lang w:val="sk-SK"/>
                    </w:rPr>
                    <w:t>NO</w:t>
                  </w:r>
                  <w:r w:rsidRPr="008819AF">
                    <w:rPr>
                      <w:b/>
                      <w:sz w:val="18"/>
                      <w:szCs w:val="18"/>
                      <w:vertAlign w:val="subscript"/>
                      <w:lang w:val="sk-SK"/>
                    </w:rPr>
                    <w:t>X</w:t>
                  </w:r>
                </w:p>
              </w:tc>
              <w:tc>
                <w:tcPr>
                  <w:tcW w:w="1856" w:type="dxa"/>
                  <w:shd w:val="clear" w:color="auto" w:fill="FFFFFF" w:themeFill="background1"/>
                  <w:vAlign w:val="center"/>
                </w:tcPr>
                <w:p w14:paraId="15133744" w14:textId="77777777" w:rsidR="00236AB5" w:rsidRPr="008819AF" w:rsidRDefault="00236AB5" w:rsidP="00236AB5">
                  <w:pPr>
                    <w:pStyle w:val="Normln"/>
                    <w:ind w:left="356" w:hanging="426"/>
                    <w:jc w:val="center"/>
                    <w:rPr>
                      <w:b/>
                      <w:sz w:val="18"/>
                      <w:szCs w:val="18"/>
                      <w:lang w:val="sk-SK"/>
                    </w:rPr>
                  </w:pPr>
                  <w:r w:rsidRPr="008819AF">
                    <w:rPr>
                      <w:b/>
                      <w:sz w:val="18"/>
                      <w:szCs w:val="18"/>
                      <w:lang w:val="sk-SK"/>
                    </w:rPr>
                    <w:t>CO</w:t>
                  </w:r>
                </w:p>
              </w:tc>
            </w:tr>
            <w:tr w:rsidR="00236AB5" w:rsidRPr="008819AF" w14:paraId="1513374C" w14:textId="77777777" w:rsidTr="005950BD">
              <w:trPr>
                <w:cantSplit/>
                <w:trHeight w:hRule="exact" w:val="304"/>
                <w:jc w:val="center"/>
              </w:trPr>
              <w:tc>
                <w:tcPr>
                  <w:tcW w:w="928" w:type="dxa"/>
                  <w:shd w:val="clear" w:color="auto" w:fill="FFFFFF" w:themeFill="background1"/>
                  <w:vAlign w:val="center"/>
                </w:tcPr>
                <w:p w14:paraId="15133746" w14:textId="77777777" w:rsidR="00236AB5" w:rsidRPr="008819AF" w:rsidRDefault="00236AB5" w:rsidP="00236AB5">
                  <w:pPr>
                    <w:pStyle w:val="Normln"/>
                    <w:jc w:val="center"/>
                    <w:rPr>
                      <w:sz w:val="18"/>
                      <w:szCs w:val="18"/>
                      <w:lang w:val="sk-SK"/>
                    </w:rPr>
                  </w:pPr>
                  <w:r w:rsidRPr="008819AF">
                    <w:rPr>
                      <w:sz w:val="18"/>
                      <w:szCs w:val="18"/>
                      <w:lang w:val="sk-SK"/>
                    </w:rPr>
                    <w:sym w:font="Symbol" w:char="F0B3"/>
                  </w:r>
                  <w:r w:rsidRPr="008819AF">
                    <w:rPr>
                      <w:sz w:val="18"/>
                      <w:szCs w:val="18"/>
                      <w:lang w:val="sk-SK"/>
                    </w:rPr>
                    <w:t xml:space="preserve"> 50</w:t>
                  </w:r>
                </w:p>
              </w:tc>
              <w:tc>
                <w:tcPr>
                  <w:tcW w:w="2429" w:type="dxa"/>
                  <w:gridSpan w:val="2"/>
                  <w:shd w:val="clear" w:color="auto" w:fill="FFFFFF" w:themeFill="background1"/>
                  <w:vAlign w:val="center"/>
                </w:tcPr>
                <w:p w14:paraId="15133747" w14:textId="77777777" w:rsidR="00236AB5" w:rsidRPr="008819AF" w:rsidRDefault="00236AB5" w:rsidP="00236AB5">
                  <w:pPr>
                    <w:pStyle w:val="Normln"/>
                    <w:rPr>
                      <w:sz w:val="18"/>
                      <w:szCs w:val="18"/>
                      <w:lang w:val="sk-SK"/>
                    </w:rPr>
                  </w:pPr>
                  <w:r w:rsidRPr="008819AF">
                    <w:rPr>
                      <w:sz w:val="18"/>
                      <w:szCs w:val="18"/>
                      <w:lang w:val="sk-SK"/>
                    </w:rPr>
                    <w:t>Vznetové motory</w:t>
                  </w:r>
                </w:p>
                <w:p w14:paraId="15133748" w14:textId="77777777" w:rsidR="00236AB5" w:rsidRPr="008819AF" w:rsidRDefault="00236AB5" w:rsidP="00236AB5">
                  <w:pPr>
                    <w:pStyle w:val="Normln"/>
                    <w:jc w:val="center"/>
                    <w:rPr>
                      <w:sz w:val="18"/>
                      <w:szCs w:val="18"/>
                      <w:lang w:val="sk-SK"/>
                    </w:rPr>
                  </w:pPr>
                </w:p>
              </w:tc>
              <w:tc>
                <w:tcPr>
                  <w:tcW w:w="1999" w:type="dxa"/>
                  <w:shd w:val="clear" w:color="auto" w:fill="FFFFFF" w:themeFill="background1"/>
                  <w:vAlign w:val="center"/>
                </w:tcPr>
                <w:p w14:paraId="15133749" w14:textId="77777777" w:rsidR="00236AB5" w:rsidRPr="008819AF" w:rsidRDefault="00236AB5" w:rsidP="00236AB5">
                  <w:pPr>
                    <w:pStyle w:val="Normln"/>
                    <w:jc w:val="center"/>
                    <w:rPr>
                      <w:sz w:val="18"/>
                      <w:szCs w:val="18"/>
                      <w:lang w:val="sk-SK"/>
                    </w:rPr>
                  </w:pPr>
                  <w:r w:rsidRPr="008819AF">
                    <w:rPr>
                      <w:sz w:val="18"/>
                      <w:szCs w:val="18"/>
                      <w:lang w:val="sk-SK"/>
                    </w:rPr>
                    <w:t>10, 30</w:t>
                  </w:r>
                  <w:r w:rsidRPr="008819AF">
                    <w:rPr>
                      <w:sz w:val="18"/>
                      <w:szCs w:val="18"/>
                      <w:vertAlign w:val="superscript"/>
                      <w:lang w:val="sk-SK"/>
                    </w:rPr>
                    <w:t>1</w:t>
                  </w:r>
                  <w:r w:rsidRPr="008819AF">
                    <w:rPr>
                      <w:sz w:val="18"/>
                      <w:szCs w:val="18"/>
                      <w:lang w:val="sk-SK"/>
                    </w:rPr>
                    <w:t>)</w:t>
                  </w:r>
                </w:p>
              </w:tc>
              <w:tc>
                <w:tcPr>
                  <w:tcW w:w="2000" w:type="dxa"/>
                  <w:shd w:val="clear" w:color="auto" w:fill="FFFFFF" w:themeFill="background1"/>
                  <w:vAlign w:val="center"/>
                </w:tcPr>
                <w:p w14:paraId="1513374A" w14:textId="77777777" w:rsidR="00236AB5" w:rsidRPr="008819AF" w:rsidRDefault="00236AB5" w:rsidP="00236AB5">
                  <w:pPr>
                    <w:pStyle w:val="Normln"/>
                    <w:jc w:val="center"/>
                    <w:rPr>
                      <w:sz w:val="18"/>
                      <w:szCs w:val="18"/>
                      <w:lang w:val="sk-SK"/>
                    </w:rPr>
                  </w:pPr>
                  <w:r w:rsidRPr="008819AF">
                    <w:rPr>
                      <w:sz w:val="18"/>
                      <w:szCs w:val="18"/>
                      <w:lang w:val="sk-SK"/>
                    </w:rPr>
                    <w:t>190</w:t>
                  </w:r>
                </w:p>
              </w:tc>
              <w:tc>
                <w:tcPr>
                  <w:tcW w:w="1856" w:type="dxa"/>
                  <w:shd w:val="clear" w:color="auto" w:fill="FFFFFF" w:themeFill="background1"/>
                  <w:vAlign w:val="center"/>
                </w:tcPr>
                <w:p w14:paraId="1513374B" w14:textId="77777777" w:rsidR="00236AB5" w:rsidRPr="008819AF" w:rsidRDefault="00236AB5" w:rsidP="00236AB5">
                  <w:pPr>
                    <w:pStyle w:val="Normln"/>
                    <w:jc w:val="center"/>
                    <w:rPr>
                      <w:sz w:val="18"/>
                      <w:szCs w:val="18"/>
                      <w:lang w:val="sk-SK"/>
                    </w:rPr>
                  </w:pPr>
                  <w:r w:rsidRPr="008819AF">
                    <w:rPr>
                      <w:sz w:val="18"/>
                      <w:szCs w:val="18"/>
                      <w:lang w:val="sk-SK"/>
                    </w:rPr>
                    <w:t xml:space="preserve">250 </w:t>
                  </w:r>
                </w:p>
              </w:tc>
            </w:tr>
            <w:tr w:rsidR="00236AB5" w:rsidRPr="008819AF" w14:paraId="15133754" w14:textId="77777777" w:rsidTr="005950BD">
              <w:trPr>
                <w:cantSplit/>
                <w:trHeight w:hRule="exact" w:val="577"/>
                <w:jc w:val="center"/>
              </w:trPr>
              <w:tc>
                <w:tcPr>
                  <w:tcW w:w="928" w:type="dxa"/>
                  <w:shd w:val="clear" w:color="auto" w:fill="FFFFFF" w:themeFill="background1"/>
                  <w:vAlign w:val="center"/>
                </w:tcPr>
                <w:p w14:paraId="1513374D" w14:textId="77777777" w:rsidR="00236AB5" w:rsidRPr="008819AF" w:rsidRDefault="00236AB5" w:rsidP="00236AB5">
                  <w:pPr>
                    <w:pStyle w:val="Normln"/>
                    <w:jc w:val="center"/>
                    <w:rPr>
                      <w:sz w:val="18"/>
                      <w:szCs w:val="18"/>
                      <w:lang w:val="sk-SK"/>
                    </w:rPr>
                  </w:pPr>
                  <w:r w:rsidRPr="008819AF">
                    <w:rPr>
                      <w:sz w:val="18"/>
                      <w:szCs w:val="18"/>
                      <w:lang w:val="sk-SK"/>
                    </w:rPr>
                    <w:sym w:font="Symbol" w:char="F0B3"/>
                  </w:r>
                  <w:r w:rsidRPr="008819AF">
                    <w:rPr>
                      <w:sz w:val="18"/>
                      <w:szCs w:val="18"/>
                      <w:lang w:val="sk-SK"/>
                    </w:rPr>
                    <w:t xml:space="preserve"> 50</w:t>
                  </w:r>
                </w:p>
              </w:tc>
              <w:tc>
                <w:tcPr>
                  <w:tcW w:w="1000" w:type="dxa"/>
                  <w:vMerge w:val="restart"/>
                  <w:shd w:val="clear" w:color="auto" w:fill="FFFFFF" w:themeFill="background1"/>
                  <w:vAlign w:val="center"/>
                </w:tcPr>
                <w:p w14:paraId="1513374E" w14:textId="77777777" w:rsidR="00236AB5" w:rsidRPr="008819AF" w:rsidRDefault="00236AB5" w:rsidP="00236AB5">
                  <w:pPr>
                    <w:pStyle w:val="Normln"/>
                    <w:ind w:left="72" w:right="-70" w:hanging="72"/>
                    <w:rPr>
                      <w:sz w:val="18"/>
                      <w:szCs w:val="18"/>
                      <w:lang w:val="sk-SK"/>
                    </w:rPr>
                  </w:pPr>
                  <w:r w:rsidRPr="008819AF">
                    <w:rPr>
                      <w:sz w:val="18"/>
                      <w:szCs w:val="18"/>
                      <w:lang w:val="sk-SK"/>
                    </w:rPr>
                    <w:t>Záži-hové moto-ry</w:t>
                  </w:r>
                </w:p>
              </w:tc>
              <w:tc>
                <w:tcPr>
                  <w:tcW w:w="1429" w:type="dxa"/>
                  <w:shd w:val="clear" w:color="auto" w:fill="FFFFFF" w:themeFill="background1"/>
                  <w:vAlign w:val="center"/>
                </w:tcPr>
                <w:p w14:paraId="1513374F" w14:textId="77777777" w:rsidR="00236AB5" w:rsidRPr="008819AF" w:rsidRDefault="00236AB5" w:rsidP="00236AB5">
                  <w:pPr>
                    <w:pStyle w:val="Normln"/>
                    <w:rPr>
                      <w:sz w:val="18"/>
                      <w:szCs w:val="18"/>
                      <w:lang w:val="sk-SK"/>
                    </w:rPr>
                  </w:pPr>
                  <w:r w:rsidRPr="008819AF">
                    <w:rPr>
                      <w:sz w:val="18"/>
                      <w:szCs w:val="18"/>
                      <w:lang w:val="sk-SK"/>
                    </w:rPr>
                    <w:t>Kvapalné</w:t>
                  </w:r>
                </w:p>
                <w:p w14:paraId="15133750" w14:textId="77777777" w:rsidR="00236AB5" w:rsidRPr="008819AF" w:rsidRDefault="00236AB5" w:rsidP="00236AB5">
                  <w:pPr>
                    <w:pStyle w:val="Normln"/>
                    <w:rPr>
                      <w:sz w:val="18"/>
                      <w:szCs w:val="18"/>
                      <w:lang w:val="sk-SK"/>
                    </w:rPr>
                  </w:pPr>
                  <w:r w:rsidRPr="008819AF">
                    <w:rPr>
                      <w:sz w:val="18"/>
                      <w:szCs w:val="18"/>
                      <w:lang w:val="sk-SK"/>
                    </w:rPr>
                    <w:t xml:space="preserve">palivo </w:t>
                  </w:r>
                </w:p>
              </w:tc>
              <w:tc>
                <w:tcPr>
                  <w:tcW w:w="1999" w:type="dxa"/>
                  <w:shd w:val="clear" w:color="auto" w:fill="FFFFFF" w:themeFill="background1"/>
                  <w:vAlign w:val="center"/>
                </w:tcPr>
                <w:p w14:paraId="15133751" w14:textId="77777777" w:rsidR="00236AB5" w:rsidRPr="008819AF" w:rsidRDefault="00236AB5" w:rsidP="00236AB5">
                  <w:pPr>
                    <w:pStyle w:val="Normln"/>
                    <w:jc w:val="center"/>
                    <w:rPr>
                      <w:sz w:val="18"/>
                      <w:szCs w:val="18"/>
                      <w:lang w:val="sk-SK"/>
                    </w:rPr>
                  </w:pPr>
                  <w:r w:rsidRPr="008819AF">
                    <w:rPr>
                      <w:sz w:val="18"/>
                      <w:szCs w:val="18"/>
                      <w:lang w:val="sk-SK"/>
                    </w:rPr>
                    <w:t>30</w:t>
                  </w:r>
                </w:p>
              </w:tc>
              <w:tc>
                <w:tcPr>
                  <w:tcW w:w="2000" w:type="dxa"/>
                  <w:shd w:val="clear" w:color="auto" w:fill="FFFFFF" w:themeFill="background1"/>
                  <w:vAlign w:val="center"/>
                </w:tcPr>
                <w:p w14:paraId="15133752" w14:textId="77777777" w:rsidR="00236AB5" w:rsidRPr="008819AF" w:rsidRDefault="00236AB5" w:rsidP="00236AB5">
                  <w:pPr>
                    <w:pStyle w:val="Normln"/>
                    <w:jc w:val="center"/>
                    <w:rPr>
                      <w:sz w:val="18"/>
                      <w:szCs w:val="18"/>
                      <w:lang w:val="sk-SK"/>
                    </w:rPr>
                  </w:pPr>
                  <w:r w:rsidRPr="008819AF">
                    <w:rPr>
                      <w:sz w:val="18"/>
                      <w:szCs w:val="18"/>
                      <w:lang w:val="sk-SK"/>
                    </w:rPr>
                    <w:t>190</w:t>
                  </w:r>
                </w:p>
              </w:tc>
              <w:tc>
                <w:tcPr>
                  <w:tcW w:w="1856" w:type="dxa"/>
                  <w:shd w:val="clear" w:color="auto" w:fill="FFFFFF" w:themeFill="background1"/>
                  <w:vAlign w:val="center"/>
                </w:tcPr>
                <w:p w14:paraId="15133753" w14:textId="77777777" w:rsidR="00236AB5" w:rsidRPr="008819AF" w:rsidRDefault="00236AB5" w:rsidP="00236AB5">
                  <w:pPr>
                    <w:pStyle w:val="Normln"/>
                    <w:jc w:val="center"/>
                    <w:rPr>
                      <w:sz w:val="18"/>
                      <w:szCs w:val="18"/>
                      <w:lang w:val="sk-SK"/>
                    </w:rPr>
                  </w:pPr>
                  <w:r w:rsidRPr="008819AF">
                    <w:rPr>
                      <w:sz w:val="18"/>
                      <w:szCs w:val="18"/>
                      <w:lang w:val="sk-SK"/>
                    </w:rPr>
                    <w:t xml:space="preserve">250 </w:t>
                  </w:r>
                </w:p>
              </w:tc>
            </w:tr>
            <w:tr w:rsidR="00236AB5" w:rsidRPr="008819AF" w14:paraId="1513375B" w14:textId="77777777" w:rsidTr="005950BD">
              <w:trPr>
                <w:cantSplit/>
                <w:trHeight w:hRule="exact" w:val="510"/>
                <w:jc w:val="center"/>
              </w:trPr>
              <w:tc>
                <w:tcPr>
                  <w:tcW w:w="928" w:type="dxa"/>
                  <w:shd w:val="clear" w:color="auto" w:fill="FFFFFF" w:themeFill="background1"/>
                  <w:vAlign w:val="center"/>
                </w:tcPr>
                <w:p w14:paraId="15133755" w14:textId="77777777" w:rsidR="00236AB5" w:rsidRPr="008819AF" w:rsidRDefault="00236AB5" w:rsidP="00236AB5">
                  <w:pPr>
                    <w:pStyle w:val="Normln"/>
                    <w:jc w:val="center"/>
                    <w:rPr>
                      <w:sz w:val="18"/>
                      <w:szCs w:val="18"/>
                      <w:lang w:val="sk-SK"/>
                    </w:rPr>
                  </w:pPr>
                  <w:r w:rsidRPr="008819AF">
                    <w:rPr>
                      <w:sz w:val="18"/>
                      <w:szCs w:val="18"/>
                      <w:lang w:val="sk-SK"/>
                    </w:rPr>
                    <w:sym w:font="Symbol" w:char="F0B3"/>
                  </w:r>
                  <w:r w:rsidRPr="008819AF">
                    <w:rPr>
                      <w:sz w:val="18"/>
                      <w:szCs w:val="18"/>
                      <w:lang w:val="sk-SK"/>
                    </w:rPr>
                    <w:t xml:space="preserve"> 50</w:t>
                  </w:r>
                </w:p>
              </w:tc>
              <w:tc>
                <w:tcPr>
                  <w:tcW w:w="1000" w:type="dxa"/>
                  <w:vMerge/>
                  <w:shd w:val="clear" w:color="auto" w:fill="FFFFFF" w:themeFill="background1"/>
                </w:tcPr>
                <w:p w14:paraId="15133756" w14:textId="77777777" w:rsidR="00236AB5" w:rsidRPr="008819AF" w:rsidRDefault="00236AB5" w:rsidP="00236AB5">
                  <w:pPr>
                    <w:pStyle w:val="Normln"/>
                    <w:rPr>
                      <w:sz w:val="18"/>
                      <w:szCs w:val="18"/>
                      <w:lang w:val="sk-SK"/>
                    </w:rPr>
                  </w:pPr>
                </w:p>
              </w:tc>
              <w:tc>
                <w:tcPr>
                  <w:tcW w:w="1429" w:type="dxa"/>
                  <w:shd w:val="clear" w:color="auto" w:fill="FFFFFF" w:themeFill="background1"/>
                  <w:vAlign w:val="center"/>
                </w:tcPr>
                <w:p w14:paraId="15133757" w14:textId="77777777" w:rsidR="00236AB5" w:rsidRPr="008819AF" w:rsidRDefault="00236AB5" w:rsidP="00236AB5">
                  <w:pPr>
                    <w:pStyle w:val="Normln"/>
                    <w:rPr>
                      <w:sz w:val="18"/>
                      <w:szCs w:val="18"/>
                      <w:lang w:val="sk-SK"/>
                    </w:rPr>
                  </w:pPr>
                  <w:r w:rsidRPr="008819AF">
                    <w:rPr>
                      <w:sz w:val="18"/>
                      <w:szCs w:val="18"/>
                      <w:lang w:val="sk-SK"/>
                    </w:rPr>
                    <w:t>Plynné palivo</w:t>
                  </w:r>
                </w:p>
              </w:tc>
              <w:tc>
                <w:tcPr>
                  <w:tcW w:w="1999" w:type="dxa"/>
                  <w:shd w:val="clear" w:color="auto" w:fill="FFFFFF" w:themeFill="background1"/>
                  <w:vAlign w:val="center"/>
                </w:tcPr>
                <w:p w14:paraId="15133758" w14:textId="77777777" w:rsidR="00236AB5" w:rsidRPr="008819AF" w:rsidRDefault="00236AB5" w:rsidP="00236AB5">
                  <w:pPr>
                    <w:pStyle w:val="Normln"/>
                    <w:jc w:val="center"/>
                    <w:rPr>
                      <w:sz w:val="18"/>
                      <w:szCs w:val="18"/>
                      <w:lang w:val="sk-SK"/>
                    </w:rPr>
                  </w:pPr>
                  <w:r w:rsidRPr="008819AF">
                    <w:rPr>
                      <w:sz w:val="18"/>
                      <w:szCs w:val="18"/>
                      <w:lang w:val="sk-SK"/>
                    </w:rPr>
                    <w:t>-</w:t>
                  </w:r>
                </w:p>
              </w:tc>
              <w:tc>
                <w:tcPr>
                  <w:tcW w:w="2000" w:type="dxa"/>
                  <w:shd w:val="clear" w:color="auto" w:fill="FFFFFF" w:themeFill="background1"/>
                  <w:vAlign w:val="center"/>
                </w:tcPr>
                <w:p w14:paraId="15133759" w14:textId="77777777" w:rsidR="00236AB5" w:rsidRPr="008819AF" w:rsidRDefault="00236AB5" w:rsidP="00236AB5">
                  <w:pPr>
                    <w:pStyle w:val="Normln"/>
                    <w:jc w:val="center"/>
                    <w:rPr>
                      <w:sz w:val="18"/>
                      <w:szCs w:val="18"/>
                      <w:lang w:val="sk-SK"/>
                    </w:rPr>
                  </w:pPr>
                  <w:r w:rsidRPr="008819AF">
                    <w:rPr>
                      <w:sz w:val="18"/>
                      <w:szCs w:val="18"/>
                      <w:lang w:val="sk-SK"/>
                    </w:rPr>
                    <w:t xml:space="preserve">75 </w:t>
                  </w:r>
                </w:p>
              </w:tc>
              <w:tc>
                <w:tcPr>
                  <w:tcW w:w="1856" w:type="dxa"/>
                  <w:shd w:val="clear" w:color="auto" w:fill="FFFFFF" w:themeFill="background1"/>
                  <w:vAlign w:val="center"/>
                </w:tcPr>
                <w:p w14:paraId="1513375A" w14:textId="77777777" w:rsidR="00236AB5" w:rsidRPr="008819AF" w:rsidRDefault="00236AB5" w:rsidP="00236AB5">
                  <w:pPr>
                    <w:pStyle w:val="Normln"/>
                    <w:jc w:val="center"/>
                    <w:rPr>
                      <w:sz w:val="18"/>
                      <w:szCs w:val="18"/>
                      <w:lang w:val="sk-SK"/>
                    </w:rPr>
                  </w:pPr>
                  <w:r w:rsidRPr="008819AF">
                    <w:rPr>
                      <w:sz w:val="18"/>
                      <w:szCs w:val="18"/>
                      <w:lang w:val="sk-SK"/>
                    </w:rPr>
                    <w:t xml:space="preserve">100 </w:t>
                  </w:r>
                </w:p>
              </w:tc>
            </w:tr>
          </w:tbl>
          <w:p w14:paraId="1513375C" w14:textId="77777777" w:rsidR="00236AB5" w:rsidRPr="008819AF" w:rsidRDefault="00236AB5" w:rsidP="00236AB5">
            <w:pPr>
              <w:pStyle w:val="Normln"/>
              <w:spacing w:before="60"/>
              <w:rPr>
                <w:lang w:bidi="cs-CZ"/>
              </w:rPr>
            </w:pPr>
            <w:r w:rsidRPr="008819AF">
              <w:rPr>
                <w:vertAlign w:val="superscript"/>
                <w:lang w:val="sk-SK"/>
              </w:rPr>
              <w:lastRenderedPageBreak/>
              <w:t>1</w:t>
            </w:r>
            <w:r w:rsidRPr="008819AF">
              <w:rPr>
                <w:sz w:val="20"/>
                <w:szCs w:val="20"/>
                <w:lang w:val="sk-SK"/>
              </w:rPr>
              <w:t xml:space="preserve">) Platí pre spaľovanie kvapalných palív. </w:t>
            </w:r>
          </w:p>
        </w:tc>
        <w:tc>
          <w:tcPr>
            <w:tcW w:w="429" w:type="dxa"/>
            <w:tcBorders>
              <w:top w:val="single" w:sz="4" w:space="0" w:color="000000"/>
              <w:left w:val="single" w:sz="6" w:space="0" w:color="000000"/>
              <w:bottom w:val="single" w:sz="6" w:space="0" w:color="000000"/>
              <w:right w:val="single" w:sz="6" w:space="0" w:color="000000"/>
            </w:tcBorders>
          </w:tcPr>
          <w:p w14:paraId="1513375D"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75E" w14:textId="77777777" w:rsidR="00236AB5" w:rsidRPr="008819AF" w:rsidRDefault="00236AB5" w:rsidP="00236AB5">
            <w:pPr>
              <w:ind w:left="215" w:hanging="215"/>
              <w:rPr>
                <w:rFonts w:eastAsia="Arial"/>
              </w:rPr>
            </w:pPr>
          </w:p>
        </w:tc>
      </w:tr>
      <w:tr w:rsidR="00236AB5" w:rsidRPr="008819AF" w14:paraId="1513376F"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760" w14:textId="77777777" w:rsidR="00236AB5" w:rsidRPr="008819AF" w:rsidRDefault="00236AB5" w:rsidP="00236AB5">
            <w:pPr>
              <w:ind w:right="-70"/>
              <w:rPr>
                <w:rFonts w:eastAsia="Arial"/>
                <w:lang w:bidi="cs-CZ"/>
              </w:rPr>
            </w:pPr>
          </w:p>
          <w:p w14:paraId="15133761"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762" w14:textId="77777777" w:rsidR="00236AB5" w:rsidRPr="008819AF" w:rsidRDefault="00236AB5" w:rsidP="00236AB5">
            <w:pPr>
              <w:ind w:left="214" w:hanging="214"/>
              <w:rPr>
                <w:rFonts w:eastAsia="Arial"/>
                <w:lang w:bidi="cs-CZ"/>
              </w:rPr>
            </w:pPr>
            <w:r w:rsidRPr="008819AF">
              <w:rPr>
                <w:rFonts w:eastAsia="Arial"/>
                <w:lang w:bidi="cs-CZ"/>
              </w:rPr>
              <w:t xml:space="preserve">ČASŤ 3 </w:t>
            </w:r>
            <w:r w:rsidRPr="008819AF">
              <w:rPr>
                <w:rFonts w:eastAsia="Arial"/>
                <w:i/>
                <w:iCs/>
                <w:lang w:bidi="cs-CZ"/>
              </w:rPr>
              <w:t>Monitorovanie emisií</w:t>
            </w:r>
          </w:p>
          <w:p w14:paraId="15133763" w14:textId="77777777" w:rsidR="00236AB5" w:rsidRPr="008819AF" w:rsidRDefault="00236AB5" w:rsidP="00236AB5">
            <w:pPr>
              <w:ind w:left="214" w:hanging="214"/>
              <w:rPr>
                <w:rFonts w:eastAsia="Arial"/>
                <w:lang w:bidi="cs-CZ"/>
              </w:rPr>
            </w:pPr>
            <w:r w:rsidRPr="008819AF">
              <w:rPr>
                <w:rFonts w:eastAsia="Arial"/>
                <w:lang w:bidi="cs-CZ"/>
              </w:rPr>
              <w:t>1. Koncentrácie SO2, NOx a prachu v odpadových plynoch z každého spaľovacieho zariadenia s celkovým menovitým tepelným príkonom 100 MW alebo vyšším sa merajú kontinuálne.</w:t>
            </w:r>
          </w:p>
          <w:p w14:paraId="15133764" w14:textId="77777777" w:rsidR="00236AB5" w:rsidRPr="008819AF" w:rsidRDefault="00236AB5" w:rsidP="00236AB5">
            <w:pPr>
              <w:ind w:left="215" w:hanging="1"/>
              <w:rPr>
                <w:rFonts w:eastAsia="Arial"/>
                <w:lang w:bidi="cs-CZ"/>
              </w:rPr>
            </w:pPr>
            <w:r w:rsidRPr="008819AF">
              <w:rPr>
                <w:rFonts w:eastAsia="Arial"/>
                <w:lang w:bidi="cs-CZ"/>
              </w:rPr>
              <w:t>Koncentrácie CO v odpadových plynoch z každého spaľovacieho zariadenia spaľujúceho plynné palivá s celkovým menovitým tepelným príkonom 100 MW alebo vyšším sa merajú kontinuálne.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765"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3766"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767"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3768" w14:textId="77777777" w:rsidR="00236AB5" w:rsidRPr="008819AF" w:rsidRDefault="00236AB5" w:rsidP="00236AB5">
            <w:pPr>
              <w:jc w:val="center"/>
            </w:pPr>
            <w:r w:rsidRPr="008819AF">
              <w:t>§8</w:t>
            </w:r>
          </w:p>
          <w:p w14:paraId="15133769" w14:textId="77777777" w:rsidR="00236AB5" w:rsidRPr="008819AF" w:rsidRDefault="00236AB5" w:rsidP="00236AB5">
            <w:pPr>
              <w:jc w:val="center"/>
            </w:pPr>
            <w:r w:rsidRPr="008819AF">
              <w:t>O1</w:t>
            </w:r>
          </w:p>
        </w:tc>
        <w:tc>
          <w:tcPr>
            <w:tcW w:w="5664" w:type="dxa"/>
            <w:gridSpan w:val="5"/>
            <w:tcBorders>
              <w:top w:val="single" w:sz="4" w:space="0" w:color="000000"/>
              <w:left w:val="single" w:sz="6" w:space="0" w:color="000000"/>
              <w:bottom w:val="single" w:sz="6" w:space="0" w:color="000000"/>
              <w:right w:val="single" w:sz="6" w:space="0" w:color="000000"/>
            </w:tcBorders>
          </w:tcPr>
          <w:p w14:paraId="1513376A" w14:textId="77777777" w:rsidR="00236AB5" w:rsidRPr="008819AF" w:rsidRDefault="00236AB5" w:rsidP="00236AB5">
            <w:pPr>
              <w:rPr>
                <w:rFonts w:eastAsia="Arial"/>
              </w:rPr>
            </w:pPr>
            <w:r w:rsidRPr="008819AF">
              <w:rPr>
                <w:rFonts w:eastAsia="Arial"/>
              </w:rPr>
              <w:t>(1)</w:t>
            </w:r>
            <w:r w:rsidRPr="008819AF">
              <w:rPr>
                <w:rFonts w:eastAsia="Arial"/>
              </w:rPr>
              <w:tab/>
              <w:t>Kontinuálnym meraním sa zisťuje hmotnostná koncentrácia a množstvo emisie pre oxid siričitý, oxidy dusíka vyjadrené ako oxid dusičitý, tuhé znečisťujúce látky a pre oxid uhoľnatý, ak ide o</w:t>
            </w:r>
          </w:p>
          <w:p w14:paraId="1513376B" w14:textId="77777777" w:rsidR="00236AB5" w:rsidRPr="008819AF" w:rsidRDefault="00236AB5" w:rsidP="00236AB5">
            <w:pPr>
              <w:rPr>
                <w:rFonts w:eastAsia="Arial"/>
              </w:rPr>
            </w:pPr>
            <w:r w:rsidRPr="008819AF">
              <w:rPr>
                <w:rFonts w:eastAsia="Arial"/>
              </w:rPr>
              <w:t>a)</w:t>
            </w:r>
            <w:r w:rsidRPr="008819AF">
              <w:rPr>
                <w:rFonts w:eastAsia="Arial"/>
              </w:rPr>
              <w:tab/>
              <w:t>veľké spaľovacie zariadenie podľa § 20 ods. 6 písm. a) zákona, ktorého celkový menovitý tepelný príkon je 100 MW alebo väčší, alebo</w:t>
            </w:r>
          </w:p>
          <w:p w14:paraId="1513376C" w14:textId="77777777" w:rsidR="00236AB5" w:rsidRPr="008819AF" w:rsidRDefault="00236AB5" w:rsidP="00236AB5">
            <w:pPr>
              <w:rPr>
                <w:rFonts w:eastAsia="Arial"/>
              </w:rPr>
            </w:pPr>
            <w:r w:rsidRPr="008819AF">
              <w:rPr>
                <w:rFonts w:eastAsia="Arial"/>
              </w:rPr>
              <w:t>b)</w:t>
            </w:r>
            <w:r w:rsidRPr="008819AF">
              <w:rPr>
                <w:rFonts w:eastAsia="Arial"/>
              </w:rPr>
              <w:tab/>
              <w:t>jednotlivú plynovú turbínu, ktorej menovitý tepelný príkon je 50 MW alebo väčší.</w:t>
            </w:r>
          </w:p>
        </w:tc>
        <w:tc>
          <w:tcPr>
            <w:tcW w:w="429" w:type="dxa"/>
            <w:tcBorders>
              <w:top w:val="single" w:sz="4" w:space="0" w:color="000000"/>
              <w:left w:val="single" w:sz="6" w:space="0" w:color="000000"/>
              <w:bottom w:val="single" w:sz="6" w:space="0" w:color="000000"/>
              <w:right w:val="single" w:sz="6" w:space="0" w:color="000000"/>
            </w:tcBorders>
          </w:tcPr>
          <w:p w14:paraId="1513376D" w14:textId="77777777" w:rsidR="00236AB5" w:rsidRPr="008819AF" w:rsidRDefault="00236AB5" w:rsidP="00236AB5"/>
        </w:tc>
        <w:tc>
          <w:tcPr>
            <w:tcW w:w="821" w:type="dxa"/>
            <w:gridSpan w:val="3"/>
            <w:tcBorders>
              <w:top w:val="single" w:sz="4" w:space="0" w:color="000000"/>
              <w:left w:val="single" w:sz="6" w:space="0" w:color="000000"/>
              <w:bottom w:val="single" w:sz="6" w:space="0" w:color="000000"/>
              <w:right w:val="single" w:sz="6" w:space="0" w:color="000000"/>
            </w:tcBorders>
          </w:tcPr>
          <w:p w14:paraId="1513376E" w14:textId="77777777" w:rsidR="00236AB5" w:rsidRPr="008819AF" w:rsidRDefault="00236AB5" w:rsidP="00236AB5">
            <w:pPr>
              <w:ind w:left="6"/>
              <w:rPr>
                <w:rFonts w:eastAsia="Arial"/>
              </w:rPr>
            </w:pPr>
          </w:p>
        </w:tc>
      </w:tr>
      <w:tr w:rsidR="00236AB5" w:rsidRPr="008819AF" w14:paraId="15133798"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770"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771" w14:textId="77777777" w:rsidR="00236AB5" w:rsidRPr="008819AF" w:rsidRDefault="00236AB5" w:rsidP="00236AB5">
            <w:pPr>
              <w:ind w:left="215" w:hanging="215"/>
              <w:rPr>
                <w:rFonts w:eastAsia="Arial"/>
                <w:lang w:bidi="cs-CZ"/>
              </w:rPr>
            </w:pPr>
            <w:r w:rsidRPr="008819AF">
              <w:rPr>
                <w:rFonts w:eastAsia="Arial"/>
                <w:lang w:bidi="cs-CZ"/>
              </w:rPr>
              <w:t>2. Príslušný orgán sa môže rozhodnúť nepožadovať kontinuálne merania uvedené v bode 1 v týchto prípadoch:</w:t>
            </w:r>
          </w:p>
          <w:p w14:paraId="15133772" w14:textId="77777777" w:rsidR="00236AB5" w:rsidRPr="008819AF" w:rsidRDefault="00236AB5" w:rsidP="00236AB5">
            <w:pPr>
              <w:ind w:left="214" w:hanging="214"/>
              <w:rPr>
                <w:rFonts w:eastAsia="Arial"/>
                <w:lang w:bidi="cs-CZ"/>
              </w:rPr>
            </w:pPr>
            <w:r w:rsidRPr="008819AF">
              <w:rPr>
                <w:rFonts w:eastAsia="Arial"/>
                <w:lang w:bidi="cs-CZ"/>
              </w:rPr>
              <w:t>a) pre spaľovacie zariadenia so životnosťou menšou ako 10 000 prevádzkových hodín;</w:t>
            </w:r>
          </w:p>
          <w:p w14:paraId="15133773" w14:textId="77777777" w:rsidR="00236AB5" w:rsidRPr="008819AF" w:rsidRDefault="00236AB5" w:rsidP="00236AB5">
            <w:pPr>
              <w:ind w:left="214" w:hanging="214"/>
              <w:rPr>
                <w:rFonts w:eastAsia="Arial"/>
                <w:lang w:bidi="cs-CZ"/>
              </w:rPr>
            </w:pPr>
            <w:r w:rsidRPr="008819AF">
              <w:rPr>
                <w:rFonts w:eastAsia="Arial"/>
                <w:lang w:bidi="cs-CZ"/>
              </w:rPr>
              <w:t>b) pre SO2 a prach zo spaľovacích zariadení spaľujúcich zemný plyn;</w:t>
            </w:r>
          </w:p>
          <w:p w14:paraId="15133774" w14:textId="77777777" w:rsidR="00236AB5" w:rsidRPr="008819AF" w:rsidRDefault="00236AB5" w:rsidP="00236AB5">
            <w:pPr>
              <w:ind w:left="214" w:hanging="214"/>
              <w:rPr>
                <w:rFonts w:eastAsia="Arial"/>
                <w:lang w:bidi="cs-CZ"/>
              </w:rPr>
            </w:pPr>
            <w:r w:rsidRPr="008819AF">
              <w:rPr>
                <w:rFonts w:eastAsia="Arial"/>
                <w:lang w:bidi="cs-CZ"/>
              </w:rPr>
              <w:t>c) pre SO2 zo spaľovacích zariadení spaľujúcich olej so známym obsahom síry, ak nie je nainštalované zariadenie na odsírenie odpadového plynu;</w:t>
            </w:r>
          </w:p>
          <w:p w14:paraId="15133775" w14:textId="77777777" w:rsidR="00236AB5" w:rsidRPr="008819AF" w:rsidRDefault="00236AB5" w:rsidP="00236AB5">
            <w:pPr>
              <w:ind w:left="214" w:hanging="214"/>
              <w:rPr>
                <w:rFonts w:eastAsia="Arial"/>
                <w:lang w:bidi="cs-CZ"/>
              </w:rPr>
            </w:pPr>
            <w:r w:rsidRPr="008819AF">
              <w:rPr>
                <w:rFonts w:eastAsia="Arial"/>
                <w:lang w:bidi="cs-CZ"/>
              </w:rPr>
              <w:t>d) pre SO2 zo spaľovacích zariadení spaľujúcich biomasu, ak prevádzkovateľ môže preukázať, že emisie SO2 nemôžu byť za žiadnych okolností vyššie ako predpísané emisné limity.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776"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3777"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778" w14:textId="77777777" w:rsidR="00236AB5" w:rsidRPr="008819AF" w:rsidRDefault="00236AB5" w:rsidP="00236AB5">
            <w:pPr>
              <w:jc w:val="center"/>
              <w:rPr>
                <w:rFonts w:eastAsia="Arial"/>
                <w:lang w:bidi="cs-CZ"/>
              </w:rPr>
            </w:pPr>
            <w:r w:rsidRPr="008819AF">
              <w:rPr>
                <w:rFonts w:eastAsia="Arial"/>
                <w:lang w:bidi="cs-CZ"/>
              </w:rPr>
              <w:t>NZ</w:t>
            </w:r>
          </w:p>
          <w:p w14:paraId="15133779" w14:textId="77777777" w:rsidR="00236AB5" w:rsidRPr="008819AF" w:rsidRDefault="00236AB5" w:rsidP="00236AB5">
            <w:pPr>
              <w:jc w:val="center"/>
              <w:rPr>
                <w:rFonts w:eastAsia="Arial"/>
                <w:lang w:bidi="cs-CZ"/>
              </w:rPr>
            </w:pPr>
          </w:p>
          <w:p w14:paraId="1513377A" w14:textId="77777777" w:rsidR="00236AB5" w:rsidRPr="008819AF" w:rsidRDefault="00236AB5" w:rsidP="00236AB5">
            <w:pPr>
              <w:jc w:val="center"/>
              <w:rPr>
                <w:rFonts w:eastAsia="Arial"/>
                <w:lang w:bidi="cs-CZ"/>
              </w:rPr>
            </w:pPr>
          </w:p>
          <w:p w14:paraId="1513377B" w14:textId="77777777" w:rsidR="00236AB5" w:rsidRPr="008819AF" w:rsidRDefault="00236AB5" w:rsidP="00236AB5">
            <w:pPr>
              <w:jc w:val="center"/>
              <w:rPr>
                <w:rFonts w:eastAsia="Arial"/>
                <w:lang w:bidi="cs-CZ"/>
              </w:rPr>
            </w:pPr>
          </w:p>
          <w:p w14:paraId="1513377C" w14:textId="77777777" w:rsidR="00236AB5" w:rsidRPr="008819AF" w:rsidRDefault="00236AB5" w:rsidP="00236AB5">
            <w:pPr>
              <w:jc w:val="center"/>
              <w:rPr>
                <w:rFonts w:eastAsia="Arial"/>
                <w:lang w:bidi="cs-CZ"/>
              </w:rPr>
            </w:pPr>
          </w:p>
          <w:p w14:paraId="1513377D" w14:textId="77777777" w:rsidR="00236AB5" w:rsidRPr="008819AF" w:rsidRDefault="00236AB5" w:rsidP="00236AB5">
            <w:pPr>
              <w:jc w:val="center"/>
              <w:rPr>
                <w:rFonts w:eastAsia="Arial"/>
                <w:lang w:bidi="cs-CZ"/>
              </w:rPr>
            </w:pPr>
          </w:p>
          <w:p w14:paraId="1513377E" w14:textId="77777777" w:rsidR="00236AB5" w:rsidRPr="008819AF" w:rsidRDefault="00236AB5" w:rsidP="00236AB5">
            <w:pPr>
              <w:jc w:val="center"/>
              <w:rPr>
                <w:rFonts w:eastAsia="Arial"/>
                <w:lang w:bidi="cs-CZ"/>
              </w:rPr>
            </w:pPr>
          </w:p>
          <w:p w14:paraId="1513377F" w14:textId="77777777" w:rsidR="00236AB5" w:rsidRPr="008819AF" w:rsidRDefault="00236AB5" w:rsidP="00236AB5">
            <w:pPr>
              <w:jc w:val="center"/>
              <w:rPr>
                <w:rFonts w:eastAsia="Arial"/>
                <w:lang w:bidi="cs-CZ"/>
              </w:rPr>
            </w:pPr>
          </w:p>
          <w:p w14:paraId="15133780" w14:textId="77777777" w:rsidR="00236AB5" w:rsidRPr="008819AF" w:rsidRDefault="00236AB5" w:rsidP="00236AB5">
            <w:pPr>
              <w:jc w:val="center"/>
              <w:rPr>
                <w:rFonts w:eastAsia="Arial"/>
                <w:lang w:bidi="cs-CZ"/>
              </w:rPr>
            </w:pPr>
          </w:p>
          <w:p w14:paraId="15133781"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3782" w14:textId="77777777" w:rsidR="00236AB5" w:rsidRPr="008819AF" w:rsidRDefault="00236AB5" w:rsidP="00236AB5">
            <w:pPr>
              <w:jc w:val="center"/>
            </w:pPr>
            <w:r w:rsidRPr="008819AF">
              <w:t>§ 44</w:t>
            </w:r>
          </w:p>
          <w:p w14:paraId="15133783" w14:textId="77777777" w:rsidR="00236AB5" w:rsidRPr="008819AF" w:rsidRDefault="00236AB5" w:rsidP="00236AB5">
            <w:pPr>
              <w:jc w:val="center"/>
            </w:pPr>
            <w:r w:rsidRPr="008819AF">
              <w:t>O2</w:t>
            </w:r>
          </w:p>
          <w:p w14:paraId="15133784" w14:textId="77777777" w:rsidR="00236AB5" w:rsidRPr="008819AF" w:rsidRDefault="00236AB5" w:rsidP="00236AB5">
            <w:pPr>
              <w:jc w:val="center"/>
            </w:pPr>
            <w:r w:rsidRPr="008819AF">
              <w:t>P d)</w:t>
            </w:r>
          </w:p>
          <w:p w14:paraId="15133785" w14:textId="77777777" w:rsidR="00236AB5" w:rsidRPr="008819AF" w:rsidRDefault="00236AB5" w:rsidP="00236AB5">
            <w:pPr>
              <w:jc w:val="center"/>
            </w:pPr>
          </w:p>
          <w:p w14:paraId="15133786" w14:textId="77777777" w:rsidR="00236AB5" w:rsidRPr="008819AF" w:rsidRDefault="00236AB5" w:rsidP="00236AB5">
            <w:pPr>
              <w:jc w:val="center"/>
            </w:pPr>
          </w:p>
          <w:p w14:paraId="15133787" w14:textId="77777777" w:rsidR="00236AB5" w:rsidRPr="008819AF" w:rsidRDefault="00236AB5" w:rsidP="00236AB5">
            <w:pPr>
              <w:jc w:val="center"/>
            </w:pPr>
          </w:p>
          <w:p w14:paraId="15133788" w14:textId="77777777" w:rsidR="00236AB5" w:rsidRPr="008819AF" w:rsidRDefault="00236AB5" w:rsidP="00236AB5">
            <w:pPr>
              <w:jc w:val="center"/>
            </w:pPr>
          </w:p>
          <w:p w14:paraId="15133789" w14:textId="77777777" w:rsidR="00236AB5" w:rsidRPr="008819AF" w:rsidRDefault="00236AB5" w:rsidP="00236AB5">
            <w:pPr>
              <w:jc w:val="center"/>
            </w:pPr>
          </w:p>
          <w:p w14:paraId="1513378A" w14:textId="77777777" w:rsidR="00236AB5" w:rsidRPr="008819AF" w:rsidRDefault="00236AB5" w:rsidP="00236AB5">
            <w:pPr>
              <w:jc w:val="center"/>
            </w:pPr>
          </w:p>
          <w:p w14:paraId="1513378B" w14:textId="77777777" w:rsidR="00236AB5" w:rsidRPr="008819AF" w:rsidRDefault="00236AB5" w:rsidP="00236AB5">
            <w:pPr>
              <w:jc w:val="center"/>
            </w:pPr>
            <w:r w:rsidRPr="008819AF">
              <w:t>§8</w:t>
            </w:r>
          </w:p>
          <w:p w14:paraId="1513378C" w14:textId="77777777" w:rsidR="00236AB5" w:rsidRPr="008819AF" w:rsidRDefault="00236AB5" w:rsidP="00236AB5">
            <w:pPr>
              <w:jc w:val="center"/>
            </w:pPr>
            <w:r w:rsidRPr="008819AF">
              <w:t>O2</w:t>
            </w:r>
          </w:p>
        </w:tc>
        <w:tc>
          <w:tcPr>
            <w:tcW w:w="5664" w:type="dxa"/>
            <w:gridSpan w:val="5"/>
            <w:tcBorders>
              <w:top w:val="single" w:sz="4" w:space="0" w:color="000000"/>
              <w:left w:val="single" w:sz="6" w:space="0" w:color="000000"/>
              <w:bottom w:val="single" w:sz="6" w:space="0" w:color="000000"/>
              <w:right w:val="single" w:sz="6" w:space="0" w:color="000000"/>
            </w:tcBorders>
          </w:tcPr>
          <w:p w14:paraId="1513378D" w14:textId="77777777" w:rsidR="00236AB5" w:rsidRPr="008819AF" w:rsidRDefault="00236AB5" w:rsidP="00236AB5">
            <w:pPr>
              <w:rPr>
                <w:rFonts w:eastAsia="Arial"/>
              </w:rPr>
            </w:pPr>
            <w:r w:rsidRPr="008819AF">
              <w:rPr>
                <w:rFonts w:eastAsia="Arial"/>
              </w:rPr>
              <w:t>(2)</w:t>
            </w:r>
            <w:r w:rsidRPr="008819AF">
              <w:rPr>
                <w:rFonts w:eastAsia="Arial"/>
              </w:rPr>
              <w:tab/>
              <w:t>Okresný úrad môže v konaní podľa odseku 1 písm. a) a d)</w:t>
            </w:r>
          </w:p>
          <w:p w14:paraId="1513378E" w14:textId="77777777" w:rsidR="00236AB5" w:rsidRPr="008819AF" w:rsidRDefault="00236AB5" w:rsidP="00236AB5">
            <w:pPr>
              <w:rPr>
                <w:rFonts w:eastAsia="Arial"/>
              </w:rPr>
            </w:pPr>
            <w:r w:rsidRPr="008819AF">
              <w:rPr>
                <w:rFonts w:eastAsia="Arial"/>
              </w:rPr>
              <w:t>d) určiť spôsob zisťovania hodnoty emisnej veličiny podľa § 22 ods. 2 vrátane určenia osobitných podmienok merania a času ich trvania, nahradenia  kontinuálneho merania diskontinuálnym meraním alebo technickým výpočtom, nahradenia diskontinuálneho merania technickým výpočtom, skrátenia alebo predĺženia intervalu periodického diskontinuálneho merania a upustenia od merania, len ak to ustanovuje vykonávací predpis podľa § 62 písm. g),</w:t>
            </w:r>
          </w:p>
          <w:p w14:paraId="1513378F" w14:textId="77777777" w:rsidR="00236AB5" w:rsidRPr="008819AF" w:rsidRDefault="00236AB5" w:rsidP="00236AB5">
            <w:pPr>
              <w:rPr>
                <w:rFonts w:eastAsia="Arial"/>
              </w:rPr>
            </w:pPr>
          </w:p>
          <w:p w14:paraId="15133790" w14:textId="77777777" w:rsidR="00236AB5" w:rsidRPr="008819AF" w:rsidRDefault="00236AB5" w:rsidP="00236AB5">
            <w:pPr>
              <w:rPr>
                <w:rFonts w:eastAsia="Arial"/>
              </w:rPr>
            </w:pPr>
            <w:r w:rsidRPr="008819AF">
              <w:rPr>
                <w:rFonts w:eastAsia="Arial"/>
              </w:rPr>
              <w:t>(2)</w:t>
            </w:r>
            <w:r w:rsidRPr="008819AF">
              <w:rPr>
                <w:rFonts w:eastAsia="Arial"/>
              </w:rPr>
              <w:tab/>
              <w:t xml:space="preserve">Kontinuálne meranie môže byť podľa § 44 ods. 2 písm. d) a h) zákona nahradené periodickým meraním, ak ide o </w:t>
            </w:r>
          </w:p>
          <w:p w14:paraId="15133791" w14:textId="77777777" w:rsidR="00236AB5" w:rsidRPr="008819AF" w:rsidRDefault="00236AB5" w:rsidP="00236AB5">
            <w:pPr>
              <w:rPr>
                <w:rFonts w:eastAsia="Arial"/>
              </w:rPr>
            </w:pPr>
            <w:r w:rsidRPr="008819AF">
              <w:rPr>
                <w:rFonts w:eastAsia="Arial"/>
              </w:rPr>
              <w:t>a)</w:t>
            </w:r>
            <w:r w:rsidRPr="008819AF">
              <w:rPr>
                <w:rFonts w:eastAsia="Arial"/>
              </w:rPr>
              <w:tab/>
              <w:t>spaľovacie zariadenie, ktorého povolená životnosť je kratšia ako 10 000 prevádzkových hodín,</w:t>
            </w:r>
          </w:p>
          <w:p w14:paraId="15133792" w14:textId="77777777" w:rsidR="00236AB5" w:rsidRPr="008819AF" w:rsidRDefault="00236AB5" w:rsidP="00236AB5">
            <w:pPr>
              <w:rPr>
                <w:rFonts w:eastAsia="Arial"/>
              </w:rPr>
            </w:pPr>
            <w:r w:rsidRPr="008819AF">
              <w:rPr>
                <w:rFonts w:eastAsia="Arial"/>
              </w:rPr>
              <w:t>b)</w:t>
            </w:r>
            <w:r w:rsidRPr="008819AF">
              <w:rPr>
                <w:rFonts w:eastAsia="Arial"/>
              </w:rPr>
              <w:tab/>
              <w:t>oxid siričitý a tuhé znečisťujúce látky a spaľovanie zemného plynu,</w:t>
            </w:r>
          </w:p>
          <w:p w14:paraId="15133793" w14:textId="77777777" w:rsidR="00236AB5" w:rsidRPr="008819AF" w:rsidRDefault="00236AB5" w:rsidP="00236AB5">
            <w:pPr>
              <w:rPr>
                <w:rFonts w:eastAsia="Arial"/>
              </w:rPr>
            </w:pPr>
            <w:r w:rsidRPr="008819AF">
              <w:rPr>
                <w:rFonts w:eastAsia="Arial"/>
              </w:rPr>
              <w:t>c)</w:t>
            </w:r>
            <w:r w:rsidRPr="008819AF">
              <w:rPr>
                <w:rFonts w:eastAsia="Arial"/>
              </w:rPr>
              <w:tab/>
              <w:t>oxid siričitý a spaľovanie kvapalného paliva so známym obsahom síry, ak sa dodržanie určeného emisného limitu dosahuje bez odsírenia spalín,</w:t>
            </w:r>
          </w:p>
          <w:p w14:paraId="15133794" w14:textId="77777777" w:rsidR="00236AB5" w:rsidRPr="008819AF" w:rsidRDefault="00236AB5" w:rsidP="00236AB5">
            <w:pPr>
              <w:rPr>
                <w:rFonts w:eastAsia="Arial"/>
              </w:rPr>
            </w:pPr>
            <w:r w:rsidRPr="008819AF">
              <w:rPr>
                <w:rFonts w:eastAsia="Arial"/>
              </w:rPr>
              <w:t>d)</w:t>
            </w:r>
            <w:r w:rsidRPr="008819AF">
              <w:rPr>
                <w:rFonts w:eastAsia="Arial"/>
              </w:rPr>
              <w:tab/>
              <w:t>oxid siričitý a spaľovanie biomasy, ak sa technickým výpočtom alebo jednorazovým meraním preukáže, že najvyššia hodnota emisnej veličiny oxidu siričitého počas ustálenej prevádzky v súlade s povolením nemôže byť za žiadnych okolností vyššia ako hodnota určeného emisného limitu.</w:t>
            </w:r>
          </w:p>
        </w:tc>
        <w:tc>
          <w:tcPr>
            <w:tcW w:w="429" w:type="dxa"/>
            <w:tcBorders>
              <w:top w:val="single" w:sz="4" w:space="0" w:color="000000"/>
              <w:left w:val="single" w:sz="6" w:space="0" w:color="000000"/>
              <w:bottom w:val="single" w:sz="6" w:space="0" w:color="000000"/>
              <w:right w:val="single" w:sz="6" w:space="0" w:color="000000"/>
            </w:tcBorders>
          </w:tcPr>
          <w:p w14:paraId="15133795" w14:textId="77777777" w:rsidR="00236AB5" w:rsidRPr="008819AF" w:rsidRDefault="00236AB5" w:rsidP="00236AB5">
            <w:pPr>
              <w:ind w:left="215" w:hanging="215"/>
              <w:rPr>
                <w:rFonts w:eastAsia="Arial"/>
                <w:lang w:bidi="cs-CZ"/>
              </w:rPr>
            </w:pPr>
            <w:r w:rsidRPr="008819AF">
              <w:rPr>
                <w:rFonts w:eastAsia="Arial"/>
                <w:lang w:bidi="cs-CZ"/>
              </w:rPr>
              <w:t>Ú</w:t>
            </w:r>
          </w:p>
          <w:p w14:paraId="15133796" w14:textId="77777777" w:rsidR="00236AB5" w:rsidRPr="008819AF" w:rsidRDefault="00236AB5" w:rsidP="00236AB5"/>
        </w:tc>
        <w:tc>
          <w:tcPr>
            <w:tcW w:w="821" w:type="dxa"/>
            <w:gridSpan w:val="3"/>
            <w:tcBorders>
              <w:top w:val="single" w:sz="4" w:space="0" w:color="000000"/>
              <w:left w:val="single" w:sz="6" w:space="0" w:color="000000"/>
              <w:bottom w:val="single" w:sz="6" w:space="0" w:color="000000"/>
              <w:right w:val="single" w:sz="6" w:space="0" w:color="000000"/>
            </w:tcBorders>
          </w:tcPr>
          <w:p w14:paraId="15133797" w14:textId="77777777" w:rsidR="00236AB5" w:rsidRPr="008819AF" w:rsidRDefault="00236AB5" w:rsidP="00236AB5">
            <w:pPr>
              <w:ind w:left="6"/>
              <w:rPr>
                <w:rFonts w:eastAsia="Arial"/>
              </w:rPr>
            </w:pPr>
          </w:p>
        </w:tc>
      </w:tr>
      <w:tr w:rsidR="00236AB5" w:rsidRPr="008819AF" w14:paraId="151337A8" w14:textId="77777777" w:rsidTr="003E351D">
        <w:trPr>
          <w:trHeight w:val="341"/>
          <w:jc w:val="center"/>
        </w:trPr>
        <w:tc>
          <w:tcPr>
            <w:tcW w:w="483" w:type="dxa"/>
            <w:tcBorders>
              <w:top w:val="single" w:sz="4" w:space="0" w:color="000000"/>
              <w:left w:val="single" w:sz="6" w:space="0" w:color="000000"/>
              <w:bottom w:val="single" w:sz="6" w:space="0" w:color="000000"/>
              <w:right w:val="single" w:sz="6" w:space="0" w:color="000000"/>
            </w:tcBorders>
          </w:tcPr>
          <w:p w14:paraId="15133799"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79A" w14:textId="77777777" w:rsidR="00236AB5" w:rsidRPr="008819AF" w:rsidRDefault="00236AB5" w:rsidP="00236AB5">
            <w:pPr>
              <w:ind w:left="214" w:hanging="214"/>
              <w:rPr>
                <w:rFonts w:eastAsia="Arial"/>
              </w:rPr>
            </w:pPr>
            <w:r w:rsidRPr="008819AF">
              <w:rPr>
                <w:rFonts w:eastAsia="Arial"/>
                <w:lang w:bidi="cs-CZ"/>
              </w:rPr>
              <w:t xml:space="preserve">3. Keď sa nepožadujú kontinuálne merania, najmenej každých </w:t>
            </w:r>
            <w:r w:rsidRPr="008819AF">
              <w:rPr>
                <w:rFonts w:eastAsia="Arial"/>
                <w:u w:val="single"/>
                <w:lang w:bidi="cs-CZ"/>
              </w:rPr>
              <w:t>šesť mesiacov</w:t>
            </w:r>
            <w:r w:rsidRPr="008819AF">
              <w:rPr>
                <w:rFonts w:eastAsia="Arial"/>
                <w:lang w:bidi="cs-CZ"/>
              </w:rPr>
              <w:t xml:space="preserve"> sa musia vykonať merania SOx, NOx, prachu a v prípade zariadení na spaľovanie plynu aj CO.</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79B"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379C"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79D"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379E" w14:textId="77777777" w:rsidR="00236AB5" w:rsidRPr="008819AF" w:rsidRDefault="00236AB5" w:rsidP="00236AB5">
            <w:pPr>
              <w:jc w:val="center"/>
            </w:pPr>
            <w:r w:rsidRPr="008819AF">
              <w:t>§8</w:t>
            </w:r>
          </w:p>
          <w:p w14:paraId="1513379F" w14:textId="77777777" w:rsidR="00236AB5" w:rsidRPr="008819AF" w:rsidRDefault="00236AB5" w:rsidP="00236AB5">
            <w:pPr>
              <w:jc w:val="center"/>
            </w:pPr>
            <w:r w:rsidRPr="008819AF">
              <w:t>O5</w:t>
            </w:r>
          </w:p>
          <w:p w14:paraId="151337A0" w14:textId="77777777" w:rsidR="00236AB5" w:rsidRPr="008819AF" w:rsidRDefault="00236AB5" w:rsidP="00236AB5">
            <w:pPr>
              <w:jc w:val="center"/>
            </w:pPr>
            <w:r w:rsidRPr="008819AF">
              <w:t>Pa)</w:t>
            </w:r>
          </w:p>
        </w:tc>
        <w:tc>
          <w:tcPr>
            <w:tcW w:w="5664" w:type="dxa"/>
            <w:gridSpan w:val="5"/>
            <w:tcBorders>
              <w:top w:val="single" w:sz="4" w:space="0" w:color="000000"/>
              <w:left w:val="single" w:sz="6" w:space="0" w:color="000000"/>
              <w:bottom w:val="single" w:sz="6" w:space="0" w:color="000000"/>
              <w:right w:val="single" w:sz="6" w:space="0" w:color="000000"/>
            </w:tcBorders>
          </w:tcPr>
          <w:p w14:paraId="151337A1" w14:textId="77777777" w:rsidR="00236AB5" w:rsidRPr="008819AF" w:rsidRDefault="00236AB5" w:rsidP="00236AB5">
            <w:pPr>
              <w:rPr>
                <w:rFonts w:eastAsia="Arial"/>
              </w:rPr>
            </w:pPr>
            <w:r w:rsidRPr="008819AF">
              <w:rPr>
                <w:rFonts w:eastAsia="Arial"/>
              </w:rPr>
              <w:t>(5)</w:t>
            </w:r>
            <w:r w:rsidRPr="008819AF">
              <w:rPr>
                <w:rFonts w:eastAsia="Arial"/>
              </w:rPr>
              <w:tab/>
              <w:t>Periodickým meraním sa zisťujú údaje o dodržaní emisných limitov v odpadových plynoch pre znečisťujúce látky, pre ktoré je ustanovený alebo určený emisný limit podľa § 34 ods. 3 písm. a) zákona, pre celkovú ortuť podľa písmena b) prvého bodu a pre oxid uhoľnatý pre všetky spaľovacie zariadenia, najmenej raz za</w:t>
            </w:r>
          </w:p>
          <w:p w14:paraId="151337A2" w14:textId="77777777" w:rsidR="00236AB5" w:rsidRPr="008819AF" w:rsidRDefault="00236AB5" w:rsidP="00236AB5">
            <w:pPr>
              <w:rPr>
                <w:rFonts w:eastAsia="Arial"/>
              </w:rPr>
            </w:pPr>
            <w:r w:rsidRPr="008819AF">
              <w:rPr>
                <w:rFonts w:eastAsia="Arial"/>
              </w:rPr>
              <w:t>a)</w:t>
            </w:r>
            <w:r w:rsidRPr="008819AF">
              <w:rPr>
                <w:rFonts w:eastAsia="Arial"/>
              </w:rPr>
              <w:tab/>
              <w:t>šesť kalendárnych mesiacov, ak ide o spaľovacie zariadenie, ktorého celkový menovitý tepelný príkon sa rovná alebo je väčší ako</w:t>
            </w:r>
          </w:p>
          <w:p w14:paraId="151337A3" w14:textId="77777777" w:rsidR="00236AB5" w:rsidRPr="008819AF" w:rsidRDefault="00236AB5" w:rsidP="00236AB5">
            <w:pPr>
              <w:rPr>
                <w:rFonts w:eastAsia="Arial"/>
              </w:rPr>
            </w:pPr>
            <w:r w:rsidRPr="008819AF">
              <w:rPr>
                <w:rFonts w:eastAsia="Arial"/>
              </w:rPr>
              <w:lastRenderedPageBreak/>
              <w:t>1. 100 MW, ktoré je iné ako plynová turbína a ide o nahradenie kontinuálneho merania periodickým meraním podľa odseku 2,</w:t>
            </w:r>
          </w:p>
          <w:p w14:paraId="151337A4" w14:textId="77777777" w:rsidR="00236AB5" w:rsidRPr="008819AF" w:rsidRDefault="00236AB5" w:rsidP="00236AB5">
            <w:pPr>
              <w:rPr>
                <w:rFonts w:eastAsia="Arial"/>
              </w:rPr>
            </w:pPr>
            <w:r w:rsidRPr="008819AF">
              <w:rPr>
                <w:rFonts w:eastAsia="Arial"/>
              </w:rPr>
              <w:t>2. 50 MW, ak ide o plynovú turbínu a o nahradenie kontinuálneho merania periodickým meraním podľa odseku 2,</w:t>
            </w:r>
          </w:p>
          <w:p w14:paraId="151337A5" w14:textId="77777777" w:rsidR="00236AB5" w:rsidRPr="008819AF" w:rsidRDefault="00236AB5" w:rsidP="00236AB5">
            <w:pPr>
              <w:rPr>
                <w:rFonts w:eastAsia="Arial"/>
              </w:rPr>
            </w:pPr>
            <w:r w:rsidRPr="008819AF">
              <w:rPr>
                <w:rFonts w:eastAsia="Arial"/>
              </w:rPr>
              <w:t>3. 50 MW a menší ako 100 MW, ak ide o iné spaľovacie zariadenie ako podľa druhého bodu,</w:t>
            </w:r>
          </w:p>
        </w:tc>
        <w:tc>
          <w:tcPr>
            <w:tcW w:w="429" w:type="dxa"/>
            <w:tcBorders>
              <w:top w:val="single" w:sz="4" w:space="0" w:color="000000"/>
              <w:left w:val="single" w:sz="6" w:space="0" w:color="000000"/>
              <w:bottom w:val="single" w:sz="6" w:space="0" w:color="000000"/>
              <w:right w:val="single" w:sz="6" w:space="0" w:color="000000"/>
            </w:tcBorders>
          </w:tcPr>
          <w:p w14:paraId="151337A6" w14:textId="77777777" w:rsidR="00236AB5" w:rsidRPr="008819AF" w:rsidRDefault="00236AB5" w:rsidP="00236AB5"/>
        </w:tc>
        <w:tc>
          <w:tcPr>
            <w:tcW w:w="821" w:type="dxa"/>
            <w:gridSpan w:val="3"/>
            <w:tcBorders>
              <w:top w:val="single" w:sz="4" w:space="0" w:color="000000"/>
              <w:left w:val="single" w:sz="6" w:space="0" w:color="000000"/>
              <w:bottom w:val="single" w:sz="6" w:space="0" w:color="000000"/>
              <w:right w:val="single" w:sz="6" w:space="0" w:color="000000"/>
            </w:tcBorders>
          </w:tcPr>
          <w:p w14:paraId="151337A7" w14:textId="77777777" w:rsidR="00236AB5" w:rsidRPr="008819AF" w:rsidRDefault="00236AB5" w:rsidP="00236AB5">
            <w:pPr>
              <w:ind w:left="6"/>
              <w:rPr>
                <w:rFonts w:eastAsia="Arial"/>
              </w:rPr>
            </w:pPr>
          </w:p>
        </w:tc>
      </w:tr>
      <w:tr w:rsidR="00236AB5" w:rsidRPr="008819AF" w14:paraId="151337B7"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7A9"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7AA" w14:textId="77777777" w:rsidR="00236AB5" w:rsidRPr="008819AF" w:rsidRDefault="00236AB5" w:rsidP="00236AB5">
            <w:pPr>
              <w:ind w:left="214" w:hanging="214"/>
              <w:rPr>
                <w:rFonts w:eastAsia="Arial"/>
              </w:rPr>
            </w:pPr>
            <w:r w:rsidRPr="008819AF">
              <w:rPr>
                <w:rFonts w:eastAsia="Arial"/>
                <w:lang w:bidi="cs-CZ"/>
              </w:rPr>
              <w:t>4. Pre spaľovacie zariadenia spaľujúce čierne alebo hnedé uhlie sa emisie celkovej ortuti merajú najmenej raz ročne.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7AB"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37AC"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7AD"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37AE" w14:textId="77777777" w:rsidR="00236AB5" w:rsidRPr="008819AF" w:rsidRDefault="00236AB5" w:rsidP="00236AB5">
            <w:pPr>
              <w:jc w:val="center"/>
            </w:pPr>
            <w:r w:rsidRPr="008819AF">
              <w:t>§8</w:t>
            </w:r>
          </w:p>
          <w:p w14:paraId="151337AF" w14:textId="77777777" w:rsidR="00236AB5" w:rsidRPr="008819AF" w:rsidRDefault="00236AB5" w:rsidP="00236AB5">
            <w:pPr>
              <w:jc w:val="center"/>
            </w:pPr>
            <w:r w:rsidRPr="008819AF">
              <w:t>O5</w:t>
            </w:r>
          </w:p>
          <w:p w14:paraId="151337B0" w14:textId="77777777" w:rsidR="00236AB5" w:rsidRPr="008819AF" w:rsidRDefault="00236AB5" w:rsidP="00236AB5">
            <w:pPr>
              <w:jc w:val="center"/>
            </w:pPr>
            <w:r w:rsidRPr="008819AF">
              <w:t>Pb)</w:t>
            </w:r>
          </w:p>
        </w:tc>
        <w:tc>
          <w:tcPr>
            <w:tcW w:w="5664" w:type="dxa"/>
            <w:gridSpan w:val="5"/>
            <w:tcBorders>
              <w:top w:val="single" w:sz="4" w:space="0" w:color="000000"/>
              <w:left w:val="single" w:sz="6" w:space="0" w:color="000000"/>
              <w:bottom w:val="single" w:sz="6" w:space="0" w:color="000000"/>
              <w:right w:val="single" w:sz="6" w:space="0" w:color="000000"/>
            </w:tcBorders>
          </w:tcPr>
          <w:p w14:paraId="151337B1" w14:textId="77777777" w:rsidR="00236AB5" w:rsidRPr="008819AF" w:rsidRDefault="00236AB5" w:rsidP="00236AB5">
            <w:pPr>
              <w:rPr>
                <w:rFonts w:eastAsia="Arial"/>
              </w:rPr>
            </w:pPr>
            <w:r w:rsidRPr="008819AF">
              <w:rPr>
                <w:rFonts w:eastAsia="Arial"/>
              </w:rPr>
              <w:t>(5)</w:t>
            </w:r>
            <w:r w:rsidRPr="008819AF">
              <w:rPr>
                <w:rFonts w:eastAsia="Arial"/>
              </w:rPr>
              <w:tab/>
              <w:t>Periodickým meraním sa zisťujú údaje o dodržaní emisných limitov v odpadových plynoch pre znečisťujúce látky, pre ktoré je ustanovený alebo určený emisný limit podľa § 34 ods. 3 písm. a) zákona, pre celkovú ortuť podľa písmena b) prvého bodu a pre oxid uhoľnatý pre všetky spaľovacie zariadenia, najmenej raz za</w:t>
            </w:r>
          </w:p>
          <w:p w14:paraId="151337B2" w14:textId="77777777" w:rsidR="00236AB5" w:rsidRPr="008819AF" w:rsidRDefault="00236AB5" w:rsidP="00236AB5">
            <w:pPr>
              <w:rPr>
                <w:rFonts w:eastAsia="Arial"/>
              </w:rPr>
            </w:pPr>
            <w:r w:rsidRPr="008819AF">
              <w:rPr>
                <w:rFonts w:eastAsia="Arial"/>
              </w:rPr>
              <w:t>b)</w:t>
            </w:r>
            <w:r w:rsidRPr="008819AF">
              <w:rPr>
                <w:rFonts w:eastAsia="Arial"/>
              </w:rPr>
              <w:tab/>
              <w:t>12 kalendárnych mesiacov, ak ide o</w:t>
            </w:r>
          </w:p>
          <w:p w14:paraId="151337B3" w14:textId="77777777" w:rsidR="00236AB5" w:rsidRPr="008819AF" w:rsidRDefault="00236AB5" w:rsidP="00236AB5">
            <w:pPr>
              <w:rPr>
                <w:rFonts w:eastAsia="Arial"/>
              </w:rPr>
            </w:pPr>
            <w:r w:rsidRPr="008819AF">
              <w:rPr>
                <w:rFonts w:eastAsia="Arial"/>
              </w:rPr>
              <w:t>1. veľké spaľovacie zariadenie na spaľovanie čierneho uhlia alebo hnedého uhlia a meranie hmotnostnej koncentrácie emisie celkovej ortuti,</w:t>
            </w:r>
          </w:p>
          <w:p w14:paraId="151337B4" w14:textId="77777777" w:rsidR="00236AB5" w:rsidRPr="008819AF" w:rsidRDefault="00236AB5" w:rsidP="00236AB5">
            <w:pPr>
              <w:rPr>
                <w:rFonts w:eastAsia="Arial"/>
              </w:rPr>
            </w:pPr>
            <w:r w:rsidRPr="008819AF">
              <w:rPr>
                <w:rFonts w:eastAsia="Arial"/>
              </w:rPr>
              <w:t>2. väčšie stredné spaľovacie zariadenie, ktorého celkový menovitý tepelný príkon je väčší ako 20 MW,</w:t>
            </w:r>
          </w:p>
        </w:tc>
        <w:tc>
          <w:tcPr>
            <w:tcW w:w="429" w:type="dxa"/>
            <w:tcBorders>
              <w:top w:val="single" w:sz="4" w:space="0" w:color="000000"/>
              <w:left w:val="single" w:sz="6" w:space="0" w:color="000000"/>
              <w:bottom w:val="single" w:sz="6" w:space="0" w:color="000000"/>
              <w:right w:val="single" w:sz="6" w:space="0" w:color="000000"/>
            </w:tcBorders>
          </w:tcPr>
          <w:p w14:paraId="151337B5" w14:textId="77777777" w:rsidR="00236AB5" w:rsidRPr="008819AF" w:rsidRDefault="00236AB5" w:rsidP="00236AB5"/>
        </w:tc>
        <w:tc>
          <w:tcPr>
            <w:tcW w:w="821" w:type="dxa"/>
            <w:gridSpan w:val="3"/>
            <w:tcBorders>
              <w:top w:val="single" w:sz="4" w:space="0" w:color="000000"/>
              <w:left w:val="single" w:sz="6" w:space="0" w:color="000000"/>
              <w:bottom w:val="single" w:sz="6" w:space="0" w:color="000000"/>
              <w:right w:val="single" w:sz="6" w:space="0" w:color="000000"/>
            </w:tcBorders>
          </w:tcPr>
          <w:p w14:paraId="151337B6" w14:textId="77777777" w:rsidR="00236AB5" w:rsidRPr="008819AF" w:rsidRDefault="00236AB5" w:rsidP="00236AB5">
            <w:pPr>
              <w:ind w:left="6"/>
              <w:rPr>
                <w:rFonts w:eastAsia="Arial"/>
              </w:rPr>
            </w:pPr>
          </w:p>
        </w:tc>
      </w:tr>
      <w:tr w:rsidR="00236AB5" w:rsidRPr="008819AF" w14:paraId="151337E0"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7B8"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7B9" w14:textId="77777777" w:rsidR="00236AB5" w:rsidRPr="008819AF" w:rsidRDefault="00236AB5" w:rsidP="00236AB5">
            <w:pPr>
              <w:ind w:left="214" w:hanging="214"/>
              <w:rPr>
                <w:rFonts w:eastAsia="Arial"/>
                <w:lang w:bidi="cs-CZ"/>
              </w:rPr>
            </w:pPr>
            <w:r w:rsidRPr="008819AF">
              <w:rPr>
                <w:rFonts w:eastAsia="Arial"/>
                <w:lang w:bidi="cs-CZ"/>
              </w:rPr>
              <w:t>5. Ako alternatívu meraní SO2 a NOx uvedených v bode 3 možno na určovanie emisií SO2 a NOx používať iné postupy, ktoré sú overené a schválené príslušným orgánom.</w:t>
            </w:r>
          </w:p>
          <w:p w14:paraId="151337BA" w14:textId="77777777" w:rsidR="00236AB5" w:rsidRPr="008819AF" w:rsidRDefault="00236AB5" w:rsidP="00236AB5">
            <w:pPr>
              <w:ind w:left="214"/>
              <w:rPr>
                <w:rFonts w:eastAsia="Arial"/>
              </w:rPr>
            </w:pPr>
            <w:r w:rsidRPr="008819AF">
              <w:rPr>
                <w:rFonts w:eastAsia="Arial"/>
                <w:lang w:bidi="cs-CZ"/>
              </w:rPr>
              <w:t>Pri týchto postupoch sa využívajú príslušné normy CEN (Európsky výbor pre normalizáciu) alebo, ak nie sú dostupné normy CEN, normy ISO, vnútroštátne alebo iné medzinárodné normy, na základe ktorých sa zabezpečia údaje rovnocennej odbornej kvality.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7BB"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37BC"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7BD"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37BE" w14:textId="77777777" w:rsidR="00236AB5" w:rsidRPr="008819AF" w:rsidRDefault="00236AB5" w:rsidP="00236AB5">
            <w:pPr>
              <w:jc w:val="center"/>
            </w:pPr>
            <w:r w:rsidRPr="008819AF">
              <w:t>§8</w:t>
            </w:r>
          </w:p>
          <w:p w14:paraId="151337BF" w14:textId="77777777" w:rsidR="00236AB5" w:rsidRPr="008819AF" w:rsidRDefault="00236AB5" w:rsidP="00236AB5">
            <w:pPr>
              <w:jc w:val="center"/>
            </w:pPr>
            <w:r w:rsidRPr="008819AF">
              <w:t>O6</w:t>
            </w:r>
          </w:p>
          <w:p w14:paraId="151337C0" w14:textId="77777777" w:rsidR="00236AB5" w:rsidRPr="008819AF" w:rsidRDefault="00236AB5" w:rsidP="00236AB5">
            <w:pPr>
              <w:jc w:val="center"/>
            </w:pPr>
            <w:r w:rsidRPr="008819AF">
              <w:t>Pa)</w:t>
            </w:r>
          </w:p>
          <w:p w14:paraId="151337C1" w14:textId="77777777" w:rsidR="00236AB5" w:rsidRPr="008819AF" w:rsidRDefault="00236AB5" w:rsidP="00236AB5">
            <w:pPr>
              <w:jc w:val="center"/>
            </w:pPr>
            <w:r w:rsidRPr="008819AF">
              <w:t>Pb)</w:t>
            </w:r>
          </w:p>
          <w:p w14:paraId="151337C2" w14:textId="77777777" w:rsidR="00236AB5" w:rsidRPr="008819AF" w:rsidRDefault="00236AB5" w:rsidP="00236AB5">
            <w:pPr>
              <w:jc w:val="center"/>
            </w:pPr>
          </w:p>
          <w:p w14:paraId="151337C3" w14:textId="77777777" w:rsidR="00236AB5" w:rsidRPr="008819AF" w:rsidRDefault="00236AB5" w:rsidP="00236AB5">
            <w:pPr>
              <w:jc w:val="center"/>
            </w:pPr>
          </w:p>
          <w:p w14:paraId="151337C4" w14:textId="77777777" w:rsidR="00236AB5" w:rsidRPr="008819AF" w:rsidRDefault="00236AB5" w:rsidP="00236AB5">
            <w:pPr>
              <w:jc w:val="center"/>
            </w:pPr>
          </w:p>
          <w:p w14:paraId="151337C5" w14:textId="77777777" w:rsidR="00236AB5" w:rsidRPr="008819AF" w:rsidRDefault="00236AB5" w:rsidP="00236AB5">
            <w:pPr>
              <w:jc w:val="center"/>
            </w:pPr>
          </w:p>
          <w:p w14:paraId="151337C6" w14:textId="77777777" w:rsidR="00236AB5" w:rsidRPr="008819AF" w:rsidRDefault="00236AB5" w:rsidP="00236AB5">
            <w:pPr>
              <w:jc w:val="center"/>
            </w:pPr>
          </w:p>
          <w:p w14:paraId="151337C7" w14:textId="77777777" w:rsidR="00236AB5" w:rsidRPr="008819AF" w:rsidRDefault="00236AB5" w:rsidP="00236AB5">
            <w:pPr>
              <w:jc w:val="center"/>
            </w:pPr>
          </w:p>
          <w:p w14:paraId="151337C8" w14:textId="77777777" w:rsidR="00236AB5" w:rsidRPr="008819AF" w:rsidRDefault="00236AB5" w:rsidP="00236AB5">
            <w:pPr>
              <w:jc w:val="center"/>
            </w:pPr>
          </w:p>
          <w:p w14:paraId="151337C9" w14:textId="77777777" w:rsidR="00236AB5" w:rsidRPr="008819AF" w:rsidRDefault="00236AB5" w:rsidP="00236AB5">
            <w:pPr>
              <w:jc w:val="center"/>
            </w:pPr>
            <w:r w:rsidRPr="008819AF">
              <w:t>§8</w:t>
            </w:r>
          </w:p>
          <w:p w14:paraId="151337CA" w14:textId="77777777" w:rsidR="00236AB5" w:rsidRPr="008819AF" w:rsidRDefault="00236AB5" w:rsidP="00236AB5">
            <w:pPr>
              <w:jc w:val="center"/>
            </w:pPr>
            <w:r w:rsidRPr="008819AF">
              <w:t>O14</w:t>
            </w:r>
          </w:p>
          <w:p w14:paraId="151337CB" w14:textId="77777777" w:rsidR="00236AB5" w:rsidRPr="008819AF" w:rsidRDefault="00236AB5" w:rsidP="00236AB5">
            <w:pPr>
              <w:jc w:val="center"/>
            </w:pPr>
          </w:p>
          <w:p w14:paraId="151337CC" w14:textId="77777777" w:rsidR="00236AB5" w:rsidRPr="008819AF" w:rsidRDefault="00236AB5" w:rsidP="00236AB5">
            <w:pPr>
              <w:jc w:val="center"/>
            </w:pPr>
          </w:p>
          <w:p w14:paraId="151337CD" w14:textId="77777777" w:rsidR="00236AB5" w:rsidRPr="008819AF" w:rsidRDefault="00236AB5" w:rsidP="00236AB5">
            <w:pPr>
              <w:jc w:val="center"/>
            </w:pPr>
          </w:p>
          <w:p w14:paraId="151337CE" w14:textId="77777777" w:rsidR="00236AB5" w:rsidRPr="008819AF" w:rsidRDefault="00236AB5" w:rsidP="00236AB5">
            <w:pPr>
              <w:jc w:val="center"/>
            </w:pPr>
          </w:p>
          <w:p w14:paraId="151337CF" w14:textId="77777777" w:rsidR="00236AB5" w:rsidRPr="008819AF" w:rsidRDefault="00236AB5" w:rsidP="00236AB5">
            <w:pPr>
              <w:jc w:val="center"/>
            </w:pPr>
          </w:p>
          <w:p w14:paraId="151337D0" w14:textId="77777777" w:rsidR="00236AB5" w:rsidRPr="008819AF" w:rsidRDefault="00236AB5" w:rsidP="00236AB5">
            <w:pPr>
              <w:jc w:val="center"/>
            </w:pPr>
            <w:r w:rsidRPr="008819AF">
              <w:t>§15</w:t>
            </w:r>
          </w:p>
          <w:p w14:paraId="151337D1" w14:textId="77777777" w:rsidR="00236AB5" w:rsidRPr="008819AF" w:rsidRDefault="00236AB5" w:rsidP="00236AB5">
            <w:pPr>
              <w:jc w:val="center"/>
            </w:pPr>
            <w:r w:rsidRPr="008819AF">
              <w:t>O1</w:t>
            </w:r>
          </w:p>
          <w:p w14:paraId="151337D2" w14:textId="77777777" w:rsidR="00236AB5" w:rsidRPr="008819AF" w:rsidRDefault="00236AB5" w:rsidP="00236AB5">
            <w:pPr>
              <w:jc w:val="center"/>
            </w:pPr>
            <w:r w:rsidRPr="008819AF">
              <w:t>O2</w:t>
            </w:r>
          </w:p>
          <w:p w14:paraId="151337D3" w14:textId="77777777" w:rsidR="00236AB5" w:rsidRPr="008819AF" w:rsidRDefault="00236AB5" w:rsidP="00236AB5">
            <w:pPr>
              <w:jc w:val="center"/>
            </w:pPr>
            <w:r w:rsidRPr="008819AF">
              <w:t>O3</w:t>
            </w:r>
          </w:p>
        </w:tc>
        <w:tc>
          <w:tcPr>
            <w:tcW w:w="5664" w:type="dxa"/>
            <w:gridSpan w:val="5"/>
            <w:tcBorders>
              <w:top w:val="single" w:sz="4" w:space="0" w:color="000000"/>
              <w:left w:val="single" w:sz="6" w:space="0" w:color="000000"/>
              <w:bottom w:val="single" w:sz="6" w:space="0" w:color="000000"/>
              <w:right w:val="single" w:sz="6" w:space="0" w:color="000000"/>
            </w:tcBorders>
          </w:tcPr>
          <w:p w14:paraId="151337D4" w14:textId="77777777" w:rsidR="00236AB5" w:rsidRPr="008819AF" w:rsidRDefault="00236AB5" w:rsidP="00236AB5">
            <w:pPr>
              <w:rPr>
                <w:rFonts w:eastAsia="Arial"/>
              </w:rPr>
            </w:pPr>
            <w:r w:rsidRPr="008819AF">
              <w:rPr>
                <w:rFonts w:eastAsia="Arial"/>
              </w:rPr>
              <w:t>(6)</w:t>
            </w:r>
            <w:r w:rsidRPr="008819AF">
              <w:rPr>
                <w:rFonts w:eastAsia="Arial"/>
              </w:rPr>
              <w:tab/>
              <w:t>Periodické meranie údajov o dodržaní emisného limitu možno nahradiť overeným a schváleným technickým výpočtom, ktorý je odborne posúdený podľa § 57 zákona, ak sa preukáže, že najvyššia hodnota emisnej veličiny počas ustálenej prevádzky v súlade s povolením vrátane prihliadnutia na predpoklady podľa § 11 ods. 7 a na požiadavky na alternatívne metódy merania pri technickom výpočte podľa odseku 14 nemôže byť vyššia ako hodnota určeného emisného limitu, ak ide o</w:t>
            </w:r>
          </w:p>
          <w:p w14:paraId="151337D5" w14:textId="77777777" w:rsidR="00236AB5" w:rsidRPr="008819AF" w:rsidRDefault="00236AB5" w:rsidP="00236AB5">
            <w:pPr>
              <w:rPr>
                <w:rFonts w:eastAsia="Arial"/>
              </w:rPr>
            </w:pPr>
            <w:r w:rsidRPr="008819AF">
              <w:rPr>
                <w:rFonts w:eastAsia="Arial"/>
              </w:rPr>
              <w:t>a)</w:t>
            </w:r>
            <w:r w:rsidRPr="008819AF">
              <w:rPr>
                <w:rFonts w:eastAsia="Arial"/>
              </w:rPr>
              <w:tab/>
              <w:t>oxid siričitý,</w:t>
            </w:r>
          </w:p>
          <w:p w14:paraId="151337D6" w14:textId="77777777" w:rsidR="00236AB5" w:rsidRPr="008819AF" w:rsidRDefault="00236AB5" w:rsidP="00236AB5">
            <w:pPr>
              <w:rPr>
                <w:rFonts w:eastAsia="Arial"/>
              </w:rPr>
            </w:pPr>
            <w:r w:rsidRPr="008819AF">
              <w:rPr>
                <w:rFonts w:eastAsia="Arial"/>
              </w:rPr>
              <w:t>b)</w:t>
            </w:r>
            <w:r w:rsidRPr="008819AF">
              <w:rPr>
                <w:rFonts w:eastAsia="Arial"/>
              </w:rPr>
              <w:tab/>
              <w:t>oxidy dusíka a veľké spaľovacie zariadenie alebo o</w:t>
            </w:r>
          </w:p>
          <w:p w14:paraId="151337D7" w14:textId="77777777" w:rsidR="00236AB5" w:rsidRPr="008819AF" w:rsidRDefault="00236AB5" w:rsidP="00236AB5">
            <w:pPr>
              <w:rPr>
                <w:rFonts w:eastAsia="Arial"/>
              </w:rPr>
            </w:pPr>
          </w:p>
          <w:p w14:paraId="151337D8" w14:textId="77777777" w:rsidR="00236AB5" w:rsidRPr="008819AF" w:rsidRDefault="00236AB5" w:rsidP="00236AB5">
            <w:pPr>
              <w:rPr>
                <w:rFonts w:eastAsia="Arial"/>
              </w:rPr>
            </w:pPr>
            <w:r w:rsidRPr="008819AF">
              <w:rPr>
                <w:rFonts w:eastAsia="Arial"/>
              </w:rPr>
              <w:t>(14)</w:t>
            </w:r>
            <w:r w:rsidRPr="008819AF">
              <w:rPr>
                <w:rFonts w:eastAsia="Arial"/>
              </w:rPr>
              <w:tab/>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 podľa § 15 ods.1 až 3.</w:t>
            </w:r>
          </w:p>
          <w:p w14:paraId="151337D9" w14:textId="77777777" w:rsidR="00236AB5" w:rsidRPr="008819AF" w:rsidRDefault="00236AB5" w:rsidP="00236AB5">
            <w:pPr>
              <w:rPr>
                <w:rFonts w:eastAsia="Arial"/>
              </w:rPr>
            </w:pPr>
          </w:p>
          <w:p w14:paraId="151337DA" w14:textId="77777777" w:rsidR="00236AB5" w:rsidRPr="008819AF" w:rsidRDefault="00236AB5" w:rsidP="00236AB5">
            <w:pPr>
              <w:rPr>
                <w:rFonts w:eastAsia="Arial"/>
              </w:rPr>
            </w:pPr>
          </w:p>
          <w:p w14:paraId="151337DB" w14:textId="77777777" w:rsidR="00236AB5" w:rsidRPr="008819AF" w:rsidRDefault="00236AB5" w:rsidP="00236AB5">
            <w:pPr>
              <w:rPr>
                <w:rFonts w:eastAsia="Arial"/>
              </w:rPr>
            </w:pPr>
            <w:r w:rsidRPr="008819AF">
              <w:rPr>
                <w:rFonts w:eastAsia="Arial"/>
              </w:rPr>
              <w:t>(1)</w:t>
            </w:r>
            <w:r w:rsidRPr="008819AF">
              <w:rPr>
                <w:rFonts w:eastAsia="Arial"/>
              </w:rPr>
              <w:tab/>
              <w:t xml:space="preserve">Metódy a metodiky monitorovania podľa § 2 až 14 musia umožňovať zistenie spoľahlivých, reprezentatívnych, porovnateľných a vedecky odôvodnených hodnôt v súlade so súčasným stavom vedeckého poznania a techniky. </w:t>
            </w:r>
          </w:p>
          <w:p w14:paraId="151337DC" w14:textId="77777777" w:rsidR="00236AB5" w:rsidRPr="008819AF" w:rsidRDefault="00236AB5" w:rsidP="00236AB5">
            <w:pPr>
              <w:rPr>
                <w:rFonts w:eastAsia="Arial"/>
              </w:rPr>
            </w:pPr>
            <w:r w:rsidRPr="008819AF">
              <w:rPr>
                <w:rFonts w:eastAsia="Arial"/>
              </w:rPr>
              <w:t>(2)</w:t>
            </w:r>
            <w:r w:rsidRPr="008819AF">
              <w:rPr>
                <w:rFonts w:eastAsia="Arial"/>
              </w:rPr>
              <w:tab/>
              <w:t xml:space="preserve">Predpokladá sa, že požiadavky podľa odseku 1 spĺňajú metódy, </w:t>
            </w:r>
            <w:r w:rsidRPr="008819AF">
              <w:rPr>
                <w:rFonts w:eastAsia="Arial"/>
              </w:rPr>
              <w:lastRenderedPageBreak/>
              <w:t>ktoré sú v súlade s harmonizovanými technickými normami. )</w:t>
            </w:r>
          </w:p>
          <w:p w14:paraId="151337DD" w14:textId="77777777" w:rsidR="00236AB5" w:rsidRPr="008819AF" w:rsidRDefault="00236AB5" w:rsidP="00236AB5">
            <w:pPr>
              <w:rPr>
                <w:rFonts w:eastAsia="Arial"/>
              </w:rPr>
            </w:pPr>
            <w:r w:rsidRPr="008819AF">
              <w:rPr>
                <w:rFonts w:eastAsia="Arial"/>
              </w:rPr>
              <w:t>(3)</w:t>
            </w:r>
            <w:r w:rsidRPr="008819AF">
              <w:rPr>
                <w:rFonts w:eastAsia="Arial"/>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tc>
        <w:tc>
          <w:tcPr>
            <w:tcW w:w="429" w:type="dxa"/>
            <w:tcBorders>
              <w:top w:val="single" w:sz="4" w:space="0" w:color="000000"/>
              <w:left w:val="single" w:sz="6" w:space="0" w:color="000000"/>
              <w:bottom w:val="single" w:sz="6" w:space="0" w:color="000000"/>
              <w:right w:val="single" w:sz="6" w:space="0" w:color="000000"/>
            </w:tcBorders>
          </w:tcPr>
          <w:p w14:paraId="151337DE" w14:textId="77777777" w:rsidR="00236AB5" w:rsidRPr="008819AF" w:rsidRDefault="00236AB5" w:rsidP="00236AB5"/>
        </w:tc>
        <w:tc>
          <w:tcPr>
            <w:tcW w:w="821" w:type="dxa"/>
            <w:gridSpan w:val="3"/>
            <w:tcBorders>
              <w:top w:val="single" w:sz="4" w:space="0" w:color="000000"/>
              <w:left w:val="single" w:sz="6" w:space="0" w:color="000000"/>
              <w:bottom w:val="single" w:sz="6" w:space="0" w:color="000000"/>
              <w:right w:val="single" w:sz="6" w:space="0" w:color="000000"/>
            </w:tcBorders>
          </w:tcPr>
          <w:p w14:paraId="151337DF" w14:textId="77777777" w:rsidR="00236AB5" w:rsidRPr="008819AF" w:rsidRDefault="00236AB5" w:rsidP="00236AB5">
            <w:pPr>
              <w:ind w:left="6"/>
              <w:rPr>
                <w:rFonts w:eastAsia="Arial"/>
              </w:rPr>
            </w:pPr>
          </w:p>
        </w:tc>
      </w:tr>
      <w:tr w:rsidR="00236AB5" w:rsidRPr="008819AF" w14:paraId="15133824"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7E1"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7E2" w14:textId="77777777" w:rsidR="00236AB5" w:rsidRPr="008819AF" w:rsidRDefault="00236AB5" w:rsidP="00236AB5">
            <w:pPr>
              <w:ind w:left="214" w:hanging="214"/>
              <w:rPr>
                <w:rFonts w:eastAsia="Arial"/>
                <w:lang w:bidi="cs-CZ"/>
              </w:rPr>
            </w:pPr>
            <w:r w:rsidRPr="008819AF">
              <w:rPr>
                <w:rFonts w:eastAsia="Arial"/>
                <w:lang w:bidi="cs-CZ"/>
              </w:rPr>
              <w:t>6. Príslušný orgán musí byť informovaný o významných zmenách druhu používaného paliva alebo spôsobu prevádzkovaní zariadenia.</w:t>
            </w:r>
          </w:p>
          <w:p w14:paraId="151337E3" w14:textId="77777777" w:rsidR="00236AB5" w:rsidRPr="008819AF" w:rsidRDefault="00236AB5" w:rsidP="00236AB5">
            <w:pPr>
              <w:ind w:left="214" w:hanging="214"/>
              <w:rPr>
                <w:rFonts w:eastAsia="Arial"/>
                <w:lang w:bidi="cs-CZ"/>
              </w:rPr>
            </w:pPr>
          </w:p>
          <w:p w14:paraId="151337E4" w14:textId="77777777" w:rsidR="00236AB5" w:rsidRPr="008819AF" w:rsidRDefault="00236AB5" w:rsidP="00236AB5">
            <w:pPr>
              <w:ind w:left="214" w:hanging="214"/>
              <w:rPr>
                <w:rFonts w:eastAsia="Arial"/>
                <w:lang w:bidi="cs-CZ"/>
              </w:rPr>
            </w:pPr>
          </w:p>
          <w:p w14:paraId="151337E5" w14:textId="77777777" w:rsidR="00236AB5" w:rsidRPr="008819AF" w:rsidRDefault="00236AB5" w:rsidP="00236AB5">
            <w:pPr>
              <w:ind w:left="214"/>
              <w:rPr>
                <w:rFonts w:eastAsia="Arial"/>
                <w:lang w:bidi="cs-CZ"/>
              </w:rPr>
            </w:pPr>
            <w:r w:rsidRPr="008819AF">
              <w:rPr>
                <w:rFonts w:eastAsia="Arial"/>
                <w:lang w:bidi="cs-CZ"/>
              </w:rPr>
              <w:t>Príslušný orgán rozhodne o tom, či požiadavky na monitorovanie ustanovené v bodoch 1 až 4 sú stále primerané, alebo si vyžadujú úpravu.</w:t>
            </w:r>
          </w:p>
          <w:p w14:paraId="151337E6" w14:textId="77777777" w:rsidR="00236AB5" w:rsidRPr="008819AF" w:rsidRDefault="00236AB5" w:rsidP="00236AB5">
            <w:pPr>
              <w:ind w:left="214"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7E7"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37E8" w14:textId="77777777" w:rsidR="00236AB5" w:rsidRPr="008819AF" w:rsidRDefault="00236AB5" w:rsidP="00236AB5">
            <w:pPr>
              <w:ind w:left="215" w:hanging="215"/>
              <w:jc w:val="center"/>
              <w:rPr>
                <w:rFonts w:eastAsia="Arial"/>
                <w:lang w:bidi="cs-CZ"/>
              </w:rPr>
            </w:pPr>
          </w:p>
          <w:p w14:paraId="151337E9" w14:textId="77777777" w:rsidR="00236AB5" w:rsidRPr="008819AF" w:rsidRDefault="00236AB5" w:rsidP="00236AB5">
            <w:pPr>
              <w:ind w:left="215" w:hanging="215"/>
              <w:jc w:val="center"/>
              <w:rPr>
                <w:rFonts w:eastAsia="Arial"/>
                <w:lang w:bidi="cs-CZ"/>
              </w:rPr>
            </w:pPr>
          </w:p>
          <w:p w14:paraId="151337EA" w14:textId="77777777" w:rsidR="00236AB5" w:rsidRPr="008819AF" w:rsidRDefault="00236AB5" w:rsidP="00236AB5">
            <w:pPr>
              <w:ind w:left="215" w:hanging="215"/>
              <w:jc w:val="center"/>
              <w:rPr>
                <w:rFonts w:eastAsia="Arial"/>
                <w:lang w:bidi="cs-CZ"/>
              </w:rPr>
            </w:pPr>
          </w:p>
          <w:p w14:paraId="151337EB" w14:textId="77777777" w:rsidR="00236AB5" w:rsidRPr="008819AF" w:rsidRDefault="00236AB5" w:rsidP="00236AB5">
            <w:pPr>
              <w:ind w:left="215" w:hanging="215"/>
              <w:jc w:val="center"/>
              <w:rPr>
                <w:rFonts w:eastAsia="Arial"/>
                <w:lang w:bidi="cs-CZ"/>
              </w:rPr>
            </w:pPr>
          </w:p>
          <w:p w14:paraId="151337EC" w14:textId="77777777" w:rsidR="00236AB5" w:rsidRPr="008819AF" w:rsidRDefault="00236AB5" w:rsidP="00236AB5">
            <w:pPr>
              <w:ind w:left="215" w:hanging="215"/>
              <w:jc w:val="center"/>
              <w:rPr>
                <w:rFonts w:eastAsia="Arial"/>
                <w:lang w:bidi="cs-CZ"/>
              </w:rPr>
            </w:pPr>
          </w:p>
          <w:p w14:paraId="151337ED" w14:textId="77777777" w:rsidR="00236AB5" w:rsidRPr="008819AF" w:rsidRDefault="00236AB5" w:rsidP="00236AB5">
            <w:pPr>
              <w:ind w:left="215" w:hanging="215"/>
              <w:jc w:val="center"/>
              <w:rPr>
                <w:rFonts w:eastAsia="Arial"/>
                <w:lang w:bidi="cs-CZ"/>
              </w:rPr>
            </w:pPr>
          </w:p>
          <w:p w14:paraId="151337EE" w14:textId="77777777" w:rsidR="00236AB5" w:rsidRPr="008819AF" w:rsidRDefault="00236AB5" w:rsidP="00236AB5">
            <w:pPr>
              <w:ind w:left="215" w:hanging="215"/>
              <w:jc w:val="center"/>
              <w:rPr>
                <w:rFonts w:eastAsia="Arial"/>
                <w:lang w:bidi="cs-CZ"/>
              </w:rPr>
            </w:pPr>
          </w:p>
          <w:p w14:paraId="151337EF" w14:textId="77777777" w:rsidR="00236AB5" w:rsidRPr="008819AF" w:rsidRDefault="00236AB5" w:rsidP="00236AB5">
            <w:pPr>
              <w:ind w:left="215" w:hanging="215"/>
              <w:jc w:val="center"/>
              <w:rPr>
                <w:rFonts w:eastAsia="Arial"/>
                <w:lang w:bidi="cs-CZ"/>
              </w:rPr>
            </w:pPr>
          </w:p>
          <w:p w14:paraId="151337F0" w14:textId="77777777" w:rsidR="00236AB5" w:rsidRPr="008819AF" w:rsidRDefault="00236AB5" w:rsidP="00236AB5">
            <w:pPr>
              <w:ind w:left="215" w:hanging="215"/>
              <w:jc w:val="center"/>
              <w:rPr>
                <w:rFonts w:eastAsia="Arial"/>
                <w:lang w:bidi="cs-CZ"/>
              </w:rPr>
            </w:pPr>
          </w:p>
          <w:p w14:paraId="151337F1" w14:textId="77777777" w:rsidR="00236AB5" w:rsidRPr="008819AF" w:rsidRDefault="00236AB5" w:rsidP="00236AB5">
            <w:pPr>
              <w:ind w:left="215" w:hanging="215"/>
              <w:jc w:val="center"/>
              <w:rPr>
                <w:rFonts w:eastAsia="Arial"/>
                <w:lang w:bidi="cs-CZ"/>
              </w:rPr>
            </w:pPr>
          </w:p>
          <w:p w14:paraId="151337F2" w14:textId="77777777" w:rsidR="00236AB5" w:rsidRPr="008819AF" w:rsidRDefault="00236AB5" w:rsidP="00236AB5">
            <w:pPr>
              <w:ind w:left="215" w:hanging="215"/>
              <w:jc w:val="center"/>
              <w:rPr>
                <w:rFonts w:eastAsia="Arial"/>
                <w:lang w:bidi="cs-CZ"/>
              </w:rPr>
            </w:pPr>
          </w:p>
          <w:p w14:paraId="151337F3" w14:textId="77777777" w:rsidR="00236AB5" w:rsidRPr="008819AF" w:rsidRDefault="00236AB5" w:rsidP="00236AB5">
            <w:pPr>
              <w:ind w:left="215" w:hanging="215"/>
              <w:jc w:val="center"/>
              <w:rPr>
                <w:rFonts w:eastAsia="Arial"/>
                <w:lang w:bidi="cs-CZ"/>
              </w:rPr>
            </w:pPr>
          </w:p>
          <w:p w14:paraId="151337F4" w14:textId="77777777" w:rsidR="00236AB5" w:rsidRPr="008819AF" w:rsidRDefault="00236AB5" w:rsidP="00236AB5">
            <w:pPr>
              <w:ind w:left="215" w:hanging="215"/>
              <w:jc w:val="center"/>
              <w:rPr>
                <w:rFonts w:eastAsia="Arial"/>
                <w:lang w:bidi="cs-CZ"/>
              </w:rPr>
            </w:pPr>
          </w:p>
          <w:p w14:paraId="151337F5"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37F6"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7F7" w14:textId="77777777" w:rsidR="00236AB5" w:rsidRPr="008819AF" w:rsidRDefault="00236AB5" w:rsidP="00236AB5">
            <w:pPr>
              <w:jc w:val="center"/>
              <w:rPr>
                <w:rFonts w:eastAsia="Arial"/>
                <w:lang w:bidi="cs-CZ"/>
              </w:rPr>
            </w:pPr>
            <w:r w:rsidRPr="008819AF">
              <w:rPr>
                <w:rFonts w:eastAsia="Arial"/>
                <w:lang w:bidi="cs-CZ"/>
              </w:rPr>
              <w:t>NV1</w:t>
            </w:r>
          </w:p>
          <w:p w14:paraId="151337F8" w14:textId="77777777" w:rsidR="00236AB5" w:rsidRPr="008819AF" w:rsidRDefault="00236AB5" w:rsidP="00236AB5">
            <w:pPr>
              <w:ind w:left="215" w:hanging="215"/>
              <w:jc w:val="center"/>
              <w:rPr>
                <w:rFonts w:eastAsia="Arial"/>
                <w:lang w:bidi="cs-CZ"/>
              </w:rPr>
            </w:pPr>
          </w:p>
          <w:p w14:paraId="151337F9" w14:textId="77777777" w:rsidR="00236AB5" w:rsidRPr="008819AF" w:rsidRDefault="00236AB5" w:rsidP="00236AB5">
            <w:pPr>
              <w:ind w:left="215" w:hanging="215"/>
              <w:jc w:val="center"/>
              <w:rPr>
                <w:rFonts w:eastAsia="Arial"/>
                <w:lang w:bidi="cs-CZ"/>
              </w:rPr>
            </w:pPr>
          </w:p>
          <w:p w14:paraId="151337FA" w14:textId="77777777" w:rsidR="00236AB5" w:rsidRPr="008819AF" w:rsidRDefault="00236AB5" w:rsidP="00236AB5">
            <w:pPr>
              <w:ind w:left="215" w:hanging="215"/>
              <w:jc w:val="center"/>
              <w:rPr>
                <w:rFonts w:eastAsia="Arial"/>
                <w:lang w:bidi="cs-CZ"/>
              </w:rPr>
            </w:pPr>
          </w:p>
          <w:p w14:paraId="151337FB" w14:textId="77777777" w:rsidR="00236AB5" w:rsidRPr="008819AF" w:rsidRDefault="00236AB5" w:rsidP="00236AB5">
            <w:pPr>
              <w:ind w:left="215" w:hanging="215"/>
              <w:jc w:val="center"/>
              <w:rPr>
                <w:rFonts w:eastAsia="Arial"/>
                <w:lang w:bidi="cs-CZ"/>
              </w:rPr>
            </w:pPr>
          </w:p>
          <w:p w14:paraId="151337FC" w14:textId="77777777" w:rsidR="00236AB5" w:rsidRPr="008819AF" w:rsidRDefault="00236AB5" w:rsidP="00236AB5">
            <w:pPr>
              <w:ind w:left="215" w:hanging="215"/>
              <w:jc w:val="center"/>
              <w:rPr>
                <w:rFonts w:eastAsia="Arial"/>
                <w:lang w:bidi="cs-CZ"/>
              </w:rPr>
            </w:pPr>
          </w:p>
          <w:p w14:paraId="151337FD" w14:textId="77777777" w:rsidR="00236AB5" w:rsidRPr="008819AF" w:rsidRDefault="00236AB5" w:rsidP="00236AB5">
            <w:pPr>
              <w:ind w:left="215" w:hanging="215"/>
              <w:jc w:val="center"/>
              <w:rPr>
                <w:rFonts w:eastAsia="Arial"/>
                <w:lang w:bidi="cs-CZ"/>
              </w:rPr>
            </w:pPr>
          </w:p>
          <w:p w14:paraId="151337FE" w14:textId="77777777" w:rsidR="00236AB5" w:rsidRPr="008819AF" w:rsidRDefault="00236AB5" w:rsidP="00236AB5">
            <w:pPr>
              <w:ind w:left="215" w:hanging="215"/>
              <w:jc w:val="center"/>
              <w:rPr>
                <w:rFonts w:eastAsia="Arial"/>
                <w:lang w:bidi="cs-CZ"/>
              </w:rPr>
            </w:pPr>
          </w:p>
          <w:p w14:paraId="151337FF" w14:textId="77777777" w:rsidR="00236AB5" w:rsidRPr="008819AF" w:rsidRDefault="00236AB5" w:rsidP="00236AB5">
            <w:pPr>
              <w:ind w:left="215" w:hanging="215"/>
              <w:jc w:val="center"/>
              <w:rPr>
                <w:rFonts w:eastAsia="Arial"/>
                <w:lang w:bidi="cs-CZ"/>
              </w:rPr>
            </w:pPr>
          </w:p>
          <w:p w14:paraId="15133800" w14:textId="77777777" w:rsidR="00236AB5" w:rsidRPr="008819AF" w:rsidRDefault="00236AB5" w:rsidP="00236AB5">
            <w:pPr>
              <w:ind w:left="215" w:hanging="215"/>
              <w:jc w:val="center"/>
              <w:rPr>
                <w:rFonts w:eastAsia="Arial"/>
                <w:lang w:bidi="cs-CZ"/>
              </w:rPr>
            </w:pPr>
          </w:p>
          <w:p w14:paraId="15133801" w14:textId="77777777" w:rsidR="00236AB5" w:rsidRPr="008819AF" w:rsidRDefault="00236AB5" w:rsidP="00236AB5">
            <w:pPr>
              <w:ind w:left="215" w:hanging="215"/>
              <w:jc w:val="center"/>
              <w:rPr>
                <w:rFonts w:eastAsia="Arial"/>
                <w:lang w:bidi="cs-CZ"/>
              </w:rPr>
            </w:pPr>
          </w:p>
          <w:p w14:paraId="15133802" w14:textId="77777777" w:rsidR="00236AB5" w:rsidRPr="008819AF" w:rsidRDefault="00236AB5" w:rsidP="00236AB5">
            <w:pPr>
              <w:ind w:left="215" w:hanging="215"/>
              <w:jc w:val="center"/>
              <w:rPr>
                <w:rFonts w:eastAsia="Arial"/>
                <w:lang w:bidi="cs-CZ"/>
              </w:rPr>
            </w:pPr>
          </w:p>
          <w:p w14:paraId="15133803" w14:textId="77777777" w:rsidR="00236AB5" w:rsidRPr="008819AF" w:rsidRDefault="00236AB5" w:rsidP="00236AB5">
            <w:pPr>
              <w:ind w:left="215" w:hanging="215"/>
              <w:jc w:val="center"/>
              <w:rPr>
                <w:rFonts w:eastAsia="Arial"/>
                <w:lang w:bidi="cs-CZ"/>
              </w:rPr>
            </w:pPr>
          </w:p>
          <w:p w14:paraId="15133804" w14:textId="77777777" w:rsidR="00236AB5" w:rsidRPr="008819AF" w:rsidRDefault="00236AB5" w:rsidP="00236AB5">
            <w:pPr>
              <w:ind w:left="215" w:hanging="215"/>
              <w:jc w:val="center"/>
              <w:rPr>
                <w:rFonts w:eastAsia="Arial"/>
                <w:lang w:bidi="cs-CZ"/>
              </w:rPr>
            </w:pPr>
          </w:p>
          <w:p w14:paraId="15133805" w14:textId="77777777" w:rsidR="00236AB5" w:rsidRPr="008819AF" w:rsidRDefault="00236AB5" w:rsidP="00236AB5">
            <w:pPr>
              <w:jc w:val="center"/>
              <w:rPr>
                <w:rFonts w:eastAsia="Arial"/>
                <w:lang w:bidi="cs-CZ"/>
              </w:rPr>
            </w:pPr>
            <w:r w:rsidRPr="008819AF">
              <w:rPr>
                <w:rFonts w:eastAsia="Arial"/>
                <w:lang w:bidi="cs-CZ"/>
              </w:rPr>
              <w:t>NZ</w:t>
            </w:r>
          </w:p>
          <w:p w14:paraId="15133806" w14:textId="77777777" w:rsidR="00236AB5" w:rsidRPr="008819AF" w:rsidRDefault="00236AB5" w:rsidP="00236AB5">
            <w:pPr>
              <w:jc w:val="center"/>
              <w:rPr>
                <w:rFonts w:eastAsia="Arial"/>
                <w:lang w:bidi="cs-CZ"/>
              </w:rPr>
            </w:pPr>
          </w:p>
          <w:p w14:paraId="15133807" w14:textId="77777777" w:rsidR="00236AB5" w:rsidRPr="008819AF" w:rsidRDefault="00236AB5" w:rsidP="00236AB5">
            <w:pPr>
              <w:jc w:val="center"/>
              <w:rPr>
                <w:rFonts w:eastAsia="Arial"/>
                <w:lang w:bidi="cs-CZ"/>
              </w:rPr>
            </w:pPr>
          </w:p>
          <w:p w14:paraId="15133808" w14:textId="77777777" w:rsidR="00236AB5" w:rsidRPr="008819AF" w:rsidRDefault="00236AB5" w:rsidP="00236AB5">
            <w:pPr>
              <w:jc w:val="center"/>
              <w:rPr>
                <w:rFonts w:eastAsia="Arial"/>
                <w:lang w:bidi="cs-CZ"/>
              </w:rPr>
            </w:pPr>
          </w:p>
          <w:p w14:paraId="15133809" w14:textId="77777777" w:rsidR="00236AB5" w:rsidRPr="008819AF" w:rsidRDefault="00236AB5" w:rsidP="00236AB5">
            <w:pPr>
              <w:jc w:val="center"/>
              <w:rPr>
                <w:rFonts w:eastAsia="Arial"/>
                <w:lang w:bidi="cs-CZ"/>
              </w:rPr>
            </w:pPr>
          </w:p>
          <w:p w14:paraId="1513380A" w14:textId="77777777" w:rsidR="00236AB5" w:rsidRPr="008819AF" w:rsidRDefault="00236AB5"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80B" w14:textId="77777777" w:rsidR="00236AB5" w:rsidRPr="008819AF" w:rsidRDefault="00236AB5" w:rsidP="00236AB5">
            <w:pPr>
              <w:ind w:left="215" w:hanging="215"/>
              <w:jc w:val="center"/>
              <w:rPr>
                <w:rFonts w:eastAsia="Arial"/>
                <w:lang w:bidi="cs-CZ"/>
              </w:rPr>
            </w:pPr>
            <w:r w:rsidRPr="008819AF">
              <w:rPr>
                <w:rFonts w:eastAsia="Arial"/>
                <w:lang w:bidi="cs-CZ"/>
              </w:rPr>
              <w:t>§8</w:t>
            </w:r>
          </w:p>
          <w:p w14:paraId="1513380C" w14:textId="77777777" w:rsidR="00236AB5" w:rsidRPr="008819AF" w:rsidRDefault="00236AB5" w:rsidP="00236AB5">
            <w:pPr>
              <w:ind w:left="215" w:hanging="215"/>
              <w:jc w:val="center"/>
              <w:rPr>
                <w:rFonts w:eastAsia="Arial"/>
                <w:lang w:bidi="cs-CZ"/>
              </w:rPr>
            </w:pPr>
            <w:r w:rsidRPr="008819AF">
              <w:rPr>
                <w:rFonts w:eastAsia="Arial"/>
                <w:lang w:bidi="cs-CZ"/>
              </w:rPr>
              <w:t>O15</w:t>
            </w:r>
          </w:p>
          <w:p w14:paraId="1513380D" w14:textId="77777777" w:rsidR="00236AB5" w:rsidRPr="008819AF" w:rsidRDefault="00236AB5" w:rsidP="00236AB5">
            <w:pPr>
              <w:ind w:left="215" w:hanging="215"/>
              <w:jc w:val="center"/>
              <w:rPr>
                <w:rFonts w:eastAsia="Arial"/>
                <w:lang w:bidi="cs-CZ"/>
              </w:rPr>
            </w:pPr>
          </w:p>
          <w:p w14:paraId="1513380E" w14:textId="77777777" w:rsidR="00236AB5" w:rsidRPr="008819AF" w:rsidRDefault="00236AB5" w:rsidP="00236AB5">
            <w:pPr>
              <w:ind w:left="215" w:hanging="215"/>
              <w:jc w:val="center"/>
              <w:rPr>
                <w:rFonts w:eastAsia="Arial"/>
                <w:lang w:bidi="cs-CZ"/>
              </w:rPr>
            </w:pPr>
          </w:p>
          <w:p w14:paraId="1513380F" w14:textId="77777777" w:rsidR="00236AB5" w:rsidRPr="008819AF" w:rsidRDefault="00236AB5" w:rsidP="00236AB5">
            <w:pPr>
              <w:ind w:left="215" w:hanging="215"/>
              <w:jc w:val="center"/>
              <w:rPr>
                <w:rFonts w:eastAsia="Arial"/>
                <w:lang w:bidi="cs-CZ"/>
              </w:rPr>
            </w:pPr>
          </w:p>
          <w:p w14:paraId="15133810" w14:textId="77777777" w:rsidR="00236AB5" w:rsidRPr="008819AF" w:rsidRDefault="00236AB5" w:rsidP="00236AB5">
            <w:pPr>
              <w:ind w:left="215" w:hanging="215"/>
              <w:jc w:val="center"/>
              <w:rPr>
                <w:rFonts w:eastAsia="Arial"/>
                <w:lang w:bidi="cs-CZ"/>
              </w:rPr>
            </w:pPr>
          </w:p>
          <w:p w14:paraId="15133811" w14:textId="77777777" w:rsidR="00236AB5" w:rsidRPr="008819AF" w:rsidRDefault="00236AB5" w:rsidP="00236AB5">
            <w:pPr>
              <w:ind w:left="215" w:hanging="215"/>
              <w:jc w:val="center"/>
              <w:rPr>
                <w:rFonts w:eastAsia="Arial"/>
                <w:lang w:bidi="cs-CZ"/>
              </w:rPr>
            </w:pPr>
          </w:p>
          <w:p w14:paraId="15133812" w14:textId="77777777" w:rsidR="00236AB5" w:rsidRPr="008819AF" w:rsidRDefault="00236AB5" w:rsidP="00236AB5">
            <w:pPr>
              <w:ind w:left="215" w:hanging="215"/>
              <w:jc w:val="center"/>
              <w:rPr>
                <w:rFonts w:eastAsia="Arial"/>
                <w:lang w:bidi="cs-CZ"/>
              </w:rPr>
            </w:pPr>
          </w:p>
          <w:p w14:paraId="15133813" w14:textId="77777777" w:rsidR="00236AB5" w:rsidRPr="008819AF" w:rsidRDefault="00236AB5" w:rsidP="00236AB5">
            <w:pPr>
              <w:ind w:left="215" w:hanging="215"/>
              <w:jc w:val="center"/>
              <w:rPr>
                <w:rFonts w:eastAsia="Arial"/>
                <w:lang w:bidi="cs-CZ"/>
              </w:rPr>
            </w:pPr>
          </w:p>
          <w:p w14:paraId="15133814" w14:textId="77777777" w:rsidR="00236AB5" w:rsidRPr="008819AF" w:rsidRDefault="00236AB5" w:rsidP="00236AB5">
            <w:pPr>
              <w:ind w:left="215" w:hanging="215"/>
              <w:jc w:val="center"/>
              <w:rPr>
                <w:rFonts w:eastAsia="Arial"/>
                <w:lang w:bidi="cs-CZ"/>
              </w:rPr>
            </w:pPr>
          </w:p>
          <w:p w14:paraId="15133815" w14:textId="77777777" w:rsidR="00236AB5" w:rsidRPr="008819AF" w:rsidRDefault="00236AB5" w:rsidP="00236AB5">
            <w:pPr>
              <w:ind w:left="215" w:hanging="215"/>
              <w:jc w:val="center"/>
              <w:rPr>
                <w:rFonts w:eastAsia="Arial"/>
                <w:lang w:bidi="cs-CZ"/>
              </w:rPr>
            </w:pPr>
          </w:p>
          <w:p w14:paraId="15133816" w14:textId="77777777" w:rsidR="00236AB5" w:rsidRPr="008819AF" w:rsidRDefault="00236AB5" w:rsidP="00236AB5">
            <w:pPr>
              <w:ind w:left="215" w:hanging="215"/>
              <w:jc w:val="center"/>
              <w:rPr>
                <w:rFonts w:eastAsia="Arial"/>
                <w:lang w:bidi="cs-CZ"/>
              </w:rPr>
            </w:pPr>
          </w:p>
          <w:p w14:paraId="15133817" w14:textId="77777777" w:rsidR="00236AB5" w:rsidRPr="008819AF" w:rsidRDefault="00236AB5" w:rsidP="00236AB5">
            <w:pPr>
              <w:ind w:left="215" w:hanging="215"/>
              <w:jc w:val="center"/>
              <w:rPr>
                <w:rFonts w:eastAsia="Arial"/>
                <w:lang w:bidi="cs-CZ"/>
              </w:rPr>
            </w:pPr>
          </w:p>
          <w:p w14:paraId="15133818" w14:textId="77777777" w:rsidR="00236AB5" w:rsidRPr="008819AF" w:rsidRDefault="00236AB5" w:rsidP="00236AB5">
            <w:pPr>
              <w:ind w:left="215" w:hanging="215"/>
              <w:jc w:val="center"/>
              <w:rPr>
                <w:rFonts w:eastAsia="Arial"/>
                <w:lang w:bidi="cs-CZ"/>
              </w:rPr>
            </w:pPr>
          </w:p>
          <w:p w14:paraId="15133819" w14:textId="77777777" w:rsidR="00236AB5" w:rsidRPr="008819AF" w:rsidRDefault="00236AB5" w:rsidP="00236AB5">
            <w:pPr>
              <w:ind w:left="215" w:hanging="215"/>
              <w:jc w:val="center"/>
              <w:rPr>
                <w:rFonts w:eastAsia="Arial"/>
                <w:lang w:bidi="cs-CZ"/>
              </w:rPr>
            </w:pPr>
            <w:r w:rsidRPr="008819AF">
              <w:rPr>
                <w:rFonts w:eastAsia="Arial"/>
                <w:lang w:bidi="cs-CZ"/>
              </w:rPr>
              <w:t>§ 26</w:t>
            </w:r>
          </w:p>
          <w:p w14:paraId="1513381A" w14:textId="77777777" w:rsidR="00236AB5" w:rsidRPr="008819AF" w:rsidRDefault="00236AB5" w:rsidP="00236AB5">
            <w:pPr>
              <w:ind w:left="215" w:hanging="215"/>
              <w:jc w:val="center"/>
              <w:rPr>
                <w:rFonts w:eastAsia="Arial"/>
                <w:lang w:bidi="cs-CZ"/>
              </w:rPr>
            </w:pPr>
            <w:r w:rsidRPr="008819AF">
              <w:rPr>
                <w:rFonts w:eastAsia="Arial"/>
                <w:lang w:bidi="cs-CZ"/>
              </w:rPr>
              <w:t>O 1</w:t>
            </w:r>
          </w:p>
          <w:p w14:paraId="1513381B" w14:textId="77777777" w:rsidR="00236AB5" w:rsidRPr="008819AF" w:rsidRDefault="00236AB5" w:rsidP="00236AB5">
            <w:pPr>
              <w:ind w:left="215" w:hanging="215"/>
              <w:jc w:val="center"/>
              <w:rPr>
                <w:rFonts w:eastAsia="Arial"/>
                <w:lang w:bidi="cs-CZ"/>
              </w:rPr>
            </w:pPr>
            <w:r w:rsidRPr="008819AF">
              <w:rPr>
                <w:rFonts w:eastAsia="Arial"/>
                <w:lang w:bidi="cs-CZ"/>
              </w:rPr>
              <w:t>P f)</w:t>
            </w:r>
          </w:p>
          <w:p w14:paraId="1513381C" w14:textId="77777777" w:rsidR="00236AB5" w:rsidRPr="008819AF" w:rsidRDefault="00236AB5" w:rsidP="00236AB5">
            <w:pPr>
              <w:ind w:left="215" w:hanging="215"/>
              <w:jc w:val="center"/>
              <w:rPr>
                <w:rFonts w:eastAsia="Arial"/>
                <w:lang w:bidi="cs-CZ"/>
              </w:rPr>
            </w:pPr>
            <w:r w:rsidRPr="008819AF">
              <w:rPr>
                <w:rFonts w:eastAsia="Arial"/>
                <w:lang w:bidi="cs-CZ"/>
              </w:rPr>
              <w:t>a g)</w:t>
            </w:r>
          </w:p>
        </w:tc>
        <w:tc>
          <w:tcPr>
            <w:tcW w:w="5664" w:type="dxa"/>
            <w:gridSpan w:val="5"/>
            <w:tcBorders>
              <w:top w:val="single" w:sz="4" w:space="0" w:color="000000"/>
              <w:left w:val="single" w:sz="6" w:space="0" w:color="000000"/>
              <w:bottom w:val="single" w:sz="6" w:space="0" w:color="000000"/>
              <w:right w:val="single" w:sz="6" w:space="0" w:color="000000"/>
            </w:tcBorders>
          </w:tcPr>
          <w:p w14:paraId="1513381D" w14:textId="77777777" w:rsidR="00236AB5" w:rsidRPr="008819AF" w:rsidRDefault="00236AB5" w:rsidP="00236AB5">
            <w:pPr>
              <w:ind w:left="215" w:hanging="215"/>
              <w:rPr>
                <w:rFonts w:eastAsia="Arial"/>
                <w:lang w:bidi="cs-CZ"/>
              </w:rPr>
            </w:pPr>
            <w:r w:rsidRPr="008819AF">
              <w:rPr>
                <w:rFonts w:eastAsia="Arial"/>
                <w:lang w:bidi="cs-CZ"/>
              </w:rPr>
              <w:t>(15)</w:t>
            </w:r>
            <w:r w:rsidRPr="008819AF">
              <w:rPr>
                <w:rFonts w:eastAsia="Arial"/>
                <w:lang w:bidi="cs-CZ"/>
              </w:rPr>
              <w:tab/>
              <w:t>Všetky výsledky monitorovania emisií sa zaznamenávajú, vedú a spracúvajú tak, že je možné kontrolovať dodržiavanie emisných limitov v súlade s ustanovenými alebo s určenými podmienkami ich dodržiavania podľa § 34 ods. 1 písm. b) a ods. 3 písm. a) zákona. Sledovanie údajov, ktoré sú podstatné na posúdenie zmien podmienok monitorovania emisií, sa konkretizuje podľa prílohy č. 6 ods. 2 písm. g) zákona; ak dôjde k podstatnej zmene spôsobu prevádzky spaľovacieho zariadenia vrátane zmeny druhu alebo typu používaného paliva, súčasťou žiadosti okrem náležitosti podľa prílohy č. 6 zákona alebo náležitosti ohlásenia podľa osobitného predpisu ) je aj informácia, či podmienky monitorovania podľa vydaného povolenia sú stále aktuálne alebo vyžadujú jeho zmenu.</w:t>
            </w:r>
          </w:p>
          <w:p w14:paraId="1513381E" w14:textId="77777777" w:rsidR="00236AB5" w:rsidRPr="008819AF" w:rsidRDefault="00236AB5" w:rsidP="00236AB5">
            <w:pPr>
              <w:ind w:left="215" w:hanging="215"/>
              <w:rPr>
                <w:rFonts w:eastAsia="Arial"/>
                <w:lang w:bidi="cs-CZ"/>
              </w:rPr>
            </w:pPr>
          </w:p>
          <w:p w14:paraId="1513381F" w14:textId="77777777" w:rsidR="00236AB5" w:rsidRPr="008819AF" w:rsidRDefault="00236AB5" w:rsidP="00236AB5">
            <w:pPr>
              <w:ind w:left="215" w:hanging="215"/>
              <w:rPr>
                <w:rFonts w:eastAsia="Arial"/>
                <w:lang w:bidi="cs-CZ"/>
              </w:rPr>
            </w:pPr>
            <w:r w:rsidRPr="008819AF">
              <w:rPr>
                <w:rFonts w:eastAsia="Arial"/>
                <w:lang w:bidi="cs-CZ"/>
              </w:rPr>
              <w:t>Súhlas orgánu ochrany ovzdušia je potrebný na</w:t>
            </w:r>
          </w:p>
          <w:p w14:paraId="15133820" w14:textId="77777777" w:rsidR="00236AB5" w:rsidRPr="008819AF" w:rsidRDefault="00236AB5" w:rsidP="00236AB5">
            <w:pPr>
              <w:rPr>
                <w:rFonts w:eastAsia="Arial"/>
                <w:lang w:bidi="cs-CZ"/>
              </w:rPr>
            </w:pPr>
            <w:r w:rsidRPr="008819AF">
              <w:rPr>
                <w:rFonts w:eastAsia="Arial"/>
                <w:lang w:bidi="cs-CZ"/>
              </w:rPr>
              <w:t>f)</w:t>
            </w:r>
            <w:r w:rsidRPr="008819AF">
              <w:rPr>
                <w:rFonts w:eastAsia="Arial"/>
                <w:lang w:bidi="cs-CZ"/>
              </w:rPr>
              <w:tab/>
              <w:t>inštaláciu automatizovaného meracieho systému emisií a automatizovaného meracieho systému kvality ovzdušia a na ich prevádzku, na ich zmeny a na prevádzku po vykonaných zmenách,</w:t>
            </w:r>
          </w:p>
          <w:p w14:paraId="15133821" w14:textId="77777777" w:rsidR="00236AB5" w:rsidRPr="008819AF" w:rsidRDefault="00236AB5" w:rsidP="00236AB5">
            <w:pPr>
              <w:rPr>
                <w:rFonts w:eastAsia="Arial"/>
                <w:lang w:bidi="cs-CZ"/>
              </w:rPr>
            </w:pPr>
            <w:r w:rsidRPr="008819AF">
              <w:rPr>
                <w:rFonts w:eastAsia="Arial"/>
                <w:lang w:bidi="cs-CZ"/>
              </w:rPr>
              <w:t>g)</w:t>
            </w:r>
            <w:r w:rsidRPr="008819AF">
              <w:rPr>
                <w:rFonts w:eastAsia="Arial"/>
                <w:lang w:bidi="cs-CZ"/>
              </w:rPr>
              <w:tab/>
              <w:t>schválenie technického výpočtu údajov o dodržaní emisných limitov, technických požiadaviek a podmienok prevádzkovania a jeho zmeny,</w:t>
            </w:r>
          </w:p>
        </w:tc>
        <w:tc>
          <w:tcPr>
            <w:tcW w:w="429" w:type="dxa"/>
            <w:tcBorders>
              <w:top w:val="single" w:sz="4" w:space="0" w:color="000000"/>
              <w:left w:val="single" w:sz="6" w:space="0" w:color="000000"/>
              <w:bottom w:val="single" w:sz="6" w:space="0" w:color="000000"/>
              <w:right w:val="single" w:sz="6" w:space="0" w:color="000000"/>
            </w:tcBorders>
          </w:tcPr>
          <w:p w14:paraId="15133822" w14:textId="77777777" w:rsidR="00236AB5" w:rsidRPr="008819AF" w:rsidRDefault="00236AB5" w:rsidP="00236AB5">
            <w:pPr>
              <w:rPr>
                <w:rFonts w:eastAsia="Arial"/>
                <w:lang w:bidi="cs-CZ"/>
              </w:rPr>
            </w:pPr>
            <w:r w:rsidRPr="008819AF">
              <w:rPr>
                <w:rFonts w:eastAsia="Arial"/>
                <w:lang w:bidi="cs-CZ"/>
              </w:rPr>
              <w:t>Ú</w:t>
            </w:r>
          </w:p>
        </w:tc>
        <w:tc>
          <w:tcPr>
            <w:tcW w:w="821" w:type="dxa"/>
            <w:gridSpan w:val="3"/>
            <w:tcBorders>
              <w:top w:val="single" w:sz="4" w:space="0" w:color="000000"/>
              <w:left w:val="single" w:sz="6" w:space="0" w:color="000000"/>
              <w:bottom w:val="single" w:sz="6" w:space="0" w:color="000000"/>
              <w:right w:val="single" w:sz="6" w:space="0" w:color="000000"/>
            </w:tcBorders>
          </w:tcPr>
          <w:p w14:paraId="15133823" w14:textId="77777777" w:rsidR="00236AB5" w:rsidRPr="008819AF" w:rsidRDefault="00236AB5" w:rsidP="00236AB5">
            <w:pPr>
              <w:rPr>
                <w:rFonts w:eastAsia="Arial"/>
              </w:rPr>
            </w:pPr>
          </w:p>
        </w:tc>
      </w:tr>
      <w:tr w:rsidR="00236AB5" w:rsidRPr="008819AF" w14:paraId="15133845"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825"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826" w14:textId="77777777" w:rsidR="00236AB5" w:rsidRPr="008819AF" w:rsidRDefault="00236AB5" w:rsidP="00236AB5">
            <w:pPr>
              <w:ind w:left="214" w:hanging="214"/>
              <w:rPr>
                <w:rFonts w:eastAsia="Arial"/>
                <w:lang w:bidi="cs-CZ"/>
              </w:rPr>
            </w:pPr>
            <w:r w:rsidRPr="008819AF">
              <w:rPr>
                <w:rFonts w:eastAsia="Arial"/>
                <w:lang w:bidi="cs-CZ"/>
              </w:rPr>
              <w:t>7. Kontinuálne merania vykonávané v súlade s bodom 1 zahŕňajú meranie obsahu kyslíka, teploty, tlaku a obsahu vodných pár v odpadových plynoch.</w:t>
            </w:r>
          </w:p>
          <w:p w14:paraId="15133827" w14:textId="77777777" w:rsidR="00236AB5" w:rsidRPr="008819AF" w:rsidRDefault="00236AB5" w:rsidP="00236AB5">
            <w:pPr>
              <w:ind w:left="214" w:hanging="214"/>
              <w:rPr>
                <w:rFonts w:eastAsia="Arial"/>
                <w:lang w:bidi="cs-CZ"/>
              </w:rPr>
            </w:pPr>
          </w:p>
          <w:p w14:paraId="15133828" w14:textId="77777777" w:rsidR="00236AB5" w:rsidRPr="008819AF" w:rsidRDefault="00236AB5" w:rsidP="00236AB5">
            <w:pPr>
              <w:ind w:left="214" w:hanging="214"/>
              <w:rPr>
                <w:rFonts w:eastAsia="Arial"/>
                <w:lang w:bidi="cs-CZ"/>
              </w:rPr>
            </w:pPr>
          </w:p>
          <w:p w14:paraId="15133829" w14:textId="77777777" w:rsidR="00236AB5" w:rsidRPr="008819AF" w:rsidRDefault="00236AB5" w:rsidP="00236AB5">
            <w:pPr>
              <w:ind w:left="214"/>
              <w:rPr>
                <w:rFonts w:eastAsia="Arial"/>
              </w:rPr>
            </w:pPr>
            <w:r w:rsidRPr="008819AF">
              <w:rPr>
                <w:rFonts w:eastAsia="Arial"/>
                <w:lang w:bidi="cs-CZ"/>
              </w:rPr>
              <w:t>Kontinuálne meranie obsahu vodných pár v odpadových plynoch nie je potrebné za predpokladu, že vzorka odpadového plynu je pred analýzou emisií vysušená.</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82A"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382B"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82C"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382D" w14:textId="77777777" w:rsidR="00236AB5" w:rsidRPr="008819AF" w:rsidRDefault="00236AB5" w:rsidP="00236AB5">
            <w:r w:rsidRPr="008819AF">
              <w:t>8</w:t>
            </w:r>
          </w:p>
          <w:p w14:paraId="1513382E" w14:textId="77777777" w:rsidR="00236AB5" w:rsidRPr="008819AF" w:rsidRDefault="00236AB5" w:rsidP="00236AB5">
            <w:r w:rsidRPr="008819AF">
              <w:t>O4</w:t>
            </w:r>
          </w:p>
          <w:p w14:paraId="1513382F" w14:textId="77777777" w:rsidR="00236AB5" w:rsidRPr="008819AF" w:rsidRDefault="00236AB5" w:rsidP="00236AB5"/>
          <w:p w14:paraId="15133830" w14:textId="77777777" w:rsidR="00236AB5" w:rsidRPr="008819AF" w:rsidRDefault="00236AB5" w:rsidP="00236AB5"/>
          <w:p w14:paraId="15133831" w14:textId="77777777" w:rsidR="00236AB5" w:rsidRPr="008819AF" w:rsidRDefault="00236AB5" w:rsidP="00236AB5">
            <w:r w:rsidRPr="008819AF">
              <w:t xml:space="preserve">§ 7 </w:t>
            </w:r>
          </w:p>
          <w:p w14:paraId="15133832" w14:textId="77777777" w:rsidR="00236AB5" w:rsidRPr="008819AF" w:rsidRDefault="00236AB5" w:rsidP="00236AB5">
            <w:r w:rsidRPr="008819AF">
              <w:t>O 2</w:t>
            </w:r>
          </w:p>
          <w:p w14:paraId="15133833" w14:textId="77777777" w:rsidR="00236AB5" w:rsidRPr="008819AF" w:rsidRDefault="00236AB5" w:rsidP="00236AB5"/>
          <w:p w14:paraId="15133834" w14:textId="77777777" w:rsidR="00236AB5" w:rsidRPr="008819AF" w:rsidRDefault="00236AB5" w:rsidP="00236AB5"/>
          <w:p w14:paraId="15133835" w14:textId="77777777" w:rsidR="00236AB5" w:rsidRPr="008819AF" w:rsidRDefault="00236AB5" w:rsidP="00236AB5"/>
          <w:p w14:paraId="15133836" w14:textId="77777777" w:rsidR="00236AB5" w:rsidRPr="008819AF" w:rsidRDefault="00236AB5" w:rsidP="00236AB5"/>
          <w:p w14:paraId="15133837" w14:textId="77777777" w:rsidR="00236AB5" w:rsidRPr="008819AF" w:rsidRDefault="00236AB5" w:rsidP="00236AB5"/>
          <w:p w14:paraId="15133838" w14:textId="77777777" w:rsidR="00236AB5" w:rsidRPr="008819AF" w:rsidRDefault="00236AB5" w:rsidP="00236AB5"/>
          <w:p w14:paraId="15133839" w14:textId="77777777" w:rsidR="00236AB5" w:rsidRPr="008819AF" w:rsidRDefault="00236AB5" w:rsidP="00236AB5"/>
          <w:p w14:paraId="1513383A" w14:textId="77777777" w:rsidR="00236AB5" w:rsidRPr="008819AF" w:rsidRDefault="00236AB5" w:rsidP="00236AB5"/>
          <w:p w14:paraId="1513383B" w14:textId="77777777" w:rsidR="00236AB5" w:rsidRPr="008819AF" w:rsidRDefault="00236AB5" w:rsidP="00236AB5">
            <w:r w:rsidRPr="008819AF">
              <w:t>§7</w:t>
            </w:r>
          </w:p>
          <w:p w14:paraId="1513383C" w14:textId="77777777" w:rsidR="00236AB5" w:rsidRPr="008819AF" w:rsidRDefault="00236AB5" w:rsidP="00236AB5">
            <w:r w:rsidRPr="008819AF">
              <w:t>O3</w:t>
            </w:r>
          </w:p>
          <w:p w14:paraId="1513383D" w14:textId="77777777" w:rsidR="00236AB5" w:rsidRPr="008819AF" w:rsidRDefault="00236AB5" w:rsidP="00236AB5">
            <w:pPr>
              <w:jc w:val="cente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83E" w14:textId="77777777" w:rsidR="00236AB5" w:rsidRPr="008819AF" w:rsidRDefault="00236AB5" w:rsidP="00236AB5">
            <w:pPr>
              <w:rPr>
                <w:rFonts w:eastAsia="Arial"/>
              </w:rPr>
            </w:pPr>
            <w:r w:rsidRPr="008819AF">
              <w:rPr>
                <w:rFonts w:eastAsia="Arial"/>
              </w:rPr>
              <w:lastRenderedPageBreak/>
              <w:t>(4)</w:t>
            </w:r>
            <w:r w:rsidRPr="008819AF">
              <w:rPr>
                <w:rFonts w:eastAsia="Arial"/>
              </w:rPr>
              <w:tab/>
              <w:t>Kontinuálnym meraním sa súčasne s hmotnostnou koncentráciou znečisťujúcich látok zisťujú aj hodnoty obsahu kyslíka, teploty, tlaku a obsahu vodných pár podľa § 7 ods. 2 a 3.</w:t>
            </w:r>
          </w:p>
          <w:p w14:paraId="1513383F" w14:textId="77777777" w:rsidR="00236AB5" w:rsidRPr="008819AF" w:rsidRDefault="00236AB5" w:rsidP="00236AB5">
            <w:pPr>
              <w:rPr>
                <w:rFonts w:eastAsia="Arial"/>
              </w:rPr>
            </w:pPr>
          </w:p>
          <w:p w14:paraId="15133840" w14:textId="77777777" w:rsidR="00236AB5" w:rsidRPr="008819AF" w:rsidRDefault="00236AB5" w:rsidP="00236AB5">
            <w:pPr>
              <w:rPr>
                <w:rFonts w:eastAsia="Arial"/>
              </w:rPr>
            </w:pPr>
            <w:r w:rsidRPr="008819AF">
              <w:rPr>
                <w:rFonts w:eastAsia="Arial"/>
              </w:rPr>
              <w:t>(2)</w:t>
            </w:r>
            <w:r w:rsidRPr="008819AF">
              <w:rPr>
                <w:rFonts w:eastAsia="Arial"/>
              </w:rPr>
              <w:tab/>
              <w:t xml:space="preserve">S koncentráciou znečisťujúcej látky sa súčasne kontinuálne priamo alebo nepriamo merajú hodnoty objemového prietoku a hodnoty ďalších referenčných a stavových veličín, najmä objemovej koncentrácie kyslíka, tlaku, teploty a vlhkosti, ak je to na vyjadrenie hodnoty emisnej veličiny alebo zistenia vypusteného množstva emisie potrebné; kontinuálne meranie vlhkosti nie je potrebné, ak sa odoberaná vzorka plynu pred meraním suší alebo je iným spôsobom podľa súčasného stavu techniky kontinuálneho merania vyjadrená na suchý stav. </w:t>
            </w:r>
          </w:p>
          <w:p w14:paraId="15133841" w14:textId="77777777" w:rsidR="00236AB5" w:rsidRPr="008819AF" w:rsidRDefault="00236AB5" w:rsidP="00236AB5">
            <w:pPr>
              <w:rPr>
                <w:rFonts w:eastAsia="Arial"/>
              </w:rPr>
            </w:pPr>
          </w:p>
          <w:p w14:paraId="15133842" w14:textId="77777777" w:rsidR="00236AB5" w:rsidRPr="008819AF" w:rsidRDefault="00236AB5" w:rsidP="00236AB5">
            <w:pPr>
              <w:rPr>
                <w:rFonts w:eastAsia="Arial"/>
              </w:rPr>
            </w:pPr>
            <w:r w:rsidRPr="008819AF">
              <w:rPr>
                <w:rFonts w:eastAsia="Arial"/>
              </w:rPr>
              <w:t>(3)</w:t>
            </w:r>
            <w:r w:rsidRPr="008819AF">
              <w:rPr>
                <w:rFonts w:eastAsia="Arial"/>
              </w:rPr>
              <w:tab/>
              <w:t>Ak je preukázané a počas prevádzky kontrolované v súlade s príslušnými technickými normami a technickými normalizačnými informáciami alebo inými obdobnými technickými špecifikáciami s porovnateľnými alebo prísnejšími požiadavkami vo veciach hodnotenia zariadení na monitorovanie kvality ovzdušia ), že inštalovaný automatizovaný merací systém emisií zabezpečuje oddelenie vlhkosti najmenej na úrovni podľa príslušnej metodiky kontinuálneho merania, zvyšková vlhkosť sa neuvažuje a výsledok merania sa považuje za vyjadrený na suchý plyn, ak osobitný predpis4) neustanovuje inak alebo nie je určené inak v povolení.</w:t>
            </w:r>
          </w:p>
        </w:tc>
        <w:tc>
          <w:tcPr>
            <w:tcW w:w="429" w:type="dxa"/>
            <w:tcBorders>
              <w:top w:val="single" w:sz="4" w:space="0" w:color="000000"/>
              <w:left w:val="single" w:sz="6" w:space="0" w:color="000000"/>
              <w:bottom w:val="single" w:sz="6" w:space="0" w:color="000000"/>
              <w:right w:val="single" w:sz="6" w:space="0" w:color="000000"/>
            </w:tcBorders>
          </w:tcPr>
          <w:p w14:paraId="15133843" w14:textId="77777777" w:rsidR="00236AB5" w:rsidRPr="008819AF" w:rsidRDefault="00236AB5" w:rsidP="00236AB5">
            <w:r w:rsidRPr="008819AF">
              <w:lastRenderedPageBreak/>
              <w:t>Ú</w:t>
            </w:r>
          </w:p>
        </w:tc>
        <w:tc>
          <w:tcPr>
            <w:tcW w:w="821" w:type="dxa"/>
            <w:gridSpan w:val="3"/>
            <w:tcBorders>
              <w:top w:val="single" w:sz="4" w:space="0" w:color="000000"/>
              <w:left w:val="single" w:sz="6" w:space="0" w:color="000000"/>
              <w:bottom w:val="single" w:sz="6" w:space="0" w:color="000000"/>
              <w:right w:val="single" w:sz="6" w:space="0" w:color="000000"/>
            </w:tcBorders>
          </w:tcPr>
          <w:p w14:paraId="15133844" w14:textId="77777777" w:rsidR="00236AB5" w:rsidRPr="008819AF" w:rsidRDefault="00236AB5" w:rsidP="00236AB5">
            <w:pPr>
              <w:ind w:left="6"/>
              <w:rPr>
                <w:rFonts w:eastAsia="Arial"/>
              </w:rPr>
            </w:pPr>
          </w:p>
        </w:tc>
      </w:tr>
      <w:tr w:rsidR="00236AB5" w:rsidRPr="008819AF" w14:paraId="151338DA"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846"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847" w14:textId="77777777" w:rsidR="00236AB5" w:rsidRPr="008819AF" w:rsidRDefault="00236AB5" w:rsidP="00236AB5">
            <w:pPr>
              <w:ind w:left="214" w:hanging="214"/>
              <w:rPr>
                <w:rFonts w:eastAsia="Arial"/>
                <w:lang w:bidi="cs-CZ"/>
              </w:rPr>
            </w:pPr>
            <w:r w:rsidRPr="008819AF">
              <w:rPr>
                <w:rFonts w:eastAsia="Arial"/>
                <w:lang w:bidi="cs-CZ"/>
              </w:rPr>
              <w:t>8. Odbery vzoriek a analýza príslušných znečisťujúcich látok a merania prevádzkových parametrov, ako aj zabezpečovanie kvality automatizovaných systémov merania a referenčné metódy merania určené na kalibráciu daných systémov sa vykonávajú v súlade s normami CEN.</w:t>
            </w:r>
          </w:p>
          <w:p w14:paraId="15133848" w14:textId="77777777" w:rsidR="00236AB5" w:rsidRPr="008819AF" w:rsidRDefault="00236AB5" w:rsidP="00236AB5">
            <w:pPr>
              <w:ind w:left="214"/>
              <w:rPr>
                <w:rFonts w:eastAsia="Arial"/>
                <w:lang w:bidi="cs-CZ"/>
              </w:rPr>
            </w:pPr>
            <w:r w:rsidRPr="008819AF">
              <w:rPr>
                <w:rFonts w:eastAsia="Arial"/>
                <w:lang w:bidi="cs-CZ"/>
              </w:rPr>
              <w:t>Ak nie sú dostupné normy CEN, použijú sa normy ISO, vnútroštátne alebo iné medzinárodné normy, na základe ktorých sa zabezpečia údaje rovnocennej odbornej kvality.</w:t>
            </w:r>
          </w:p>
          <w:p w14:paraId="15133849" w14:textId="77777777" w:rsidR="00236AB5" w:rsidRPr="008819AF" w:rsidRDefault="00236AB5" w:rsidP="00236AB5">
            <w:pPr>
              <w:ind w:left="214"/>
              <w:rPr>
                <w:rFonts w:eastAsia="Arial"/>
                <w:lang w:bidi="cs-CZ"/>
              </w:rPr>
            </w:pPr>
          </w:p>
          <w:p w14:paraId="1513384A" w14:textId="77777777" w:rsidR="00236AB5" w:rsidRPr="008819AF" w:rsidRDefault="00236AB5" w:rsidP="00236AB5">
            <w:pPr>
              <w:ind w:left="214"/>
              <w:rPr>
                <w:rFonts w:eastAsia="Arial"/>
                <w:lang w:bidi="cs-CZ"/>
              </w:rPr>
            </w:pPr>
          </w:p>
          <w:p w14:paraId="1513384B" w14:textId="77777777" w:rsidR="00236AB5" w:rsidRPr="008819AF" w:rsidRDefault="00236AB5" w:rsidP="00236AB5">
            <w:pPr>
              <w:ind w:left="214"/>
              <w:rPr>
                <w:rFonts w:eastAsia="Arial"/>
                <w:lang w:bidi="cs-CZ"/>
              </w:rPr>
            </w:pPr>
          </w:p>
          <w:p w14:paraId="1513384C" w14:textId="77777777" w:rsidR="00236AB5" w:rsidRPr="008819AF" w:rsidRDefault="00236AB5" w:rsidP="00236AB5">
            <w:pPr>
              <w:ind w:left="214"/>
              <w:rPr>
                <w:rFonts w:eastAsia="Arial"/>
                <w:lang w:bidi="cs-CZ"/>
              </w:rPr>
            </w:pPr>
          </w:p>
          <w:p w14:paraId="1513384D" w14:textId="77777777" w:rsidR="00236AB5" w:rsidRPr="008819AF" w:rsidRDefault="00236AB5" w:rsidP="00236AB5">
            <w:pPr>
              <w:ind w:left="214"/>
              <w:rPr>
                <w:rFonts w:eastAsia="Arial"/>
                <w:lang w:bidi="cs-CZ"/>
              </w:rPr>
            </w:pPr>
          </w:p>
          <w:p w14:paraId="1513384E" w14:textId="77777777" w:rsidR="00236AB5" w:rsidRPr="008819AF" w:rsidRDefault="00236AB5" w:rsidP="00236AB5">
            <w:pPr>
              <w:ind w:left="214"/>
              <w:rPr>
                <w:rFonts w:eastAsia="Arial"/>
                <w:lang w:bidi="cs-CZ"/>
              </w:rPr>
            </w:pPr>
          </w:p>
          <w:p w14:paraId="1513384F" w14:textId="77777777" w:rsidR="00236AB5" w:rsidRPr="008819AF" w:rsidRDefault="00236AB5" w:rsidP="00236AB5">
            <w:pPr>
              <w:ind w:left="214"/>
              <w:rPr>
                <w:rFonts w:eastAsia="Arial"/>
                <w:lang w:bidi="cs-CZ"/>
              </w:rPr>
            </w:pPr>
          </w:p>
          <w:p w14:paraId="15133850" w14:textId="77777777" w:rsidR="00236AB5" w:rsidRPr="008819AF" w:rsidRDefault="00236AB5" w:rsidP="00236AB5">
            <w:pPr>
              <w:ind w:left="214"/>
              <w:rPr>
                <w:rFonts w:eastAsia="Arial"/>
                <w:lang w:bidi="cs-CZ"/>
              </w:rPr>
            </w:pPr>
          </w:p>
          <w:p w14:paraId="15133851" w14:textId="77777777" w:rsidR="00236AB5" w:rsidRPr="008819AF" w:rsidRDefault="00236AB5" w:rsidP="00236AB5">
            <w:pPr>
              <w:pStyle w:val="Default"/>
              <w:ind w:left="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Automatizované systémy merania sa kontrolujú prostredníctvom paralelných meraní referenčnými metódami najmenej raz ročne.</w:t>
            </w:r>
          </w:p>
          <w:p w14:paraId="15133852" w14:textId="77777777" w:rsidR="00236AB5" w:rsidRPr="008819AF" w:rsidRDefault="00236AB5" w:rsidP="00236AB5">
            <w:pPr>
              <w:ind w:left="214"/>
              <w:rPr>
                <w:rFonts w:eastAsia="Arial"/>
                <w:lang w:bidi="cs-CZ"/>
              </w:rPr>
            </w:pPr>
            <w:r w:rsidRPr="008819AF">
              <w:rPr>
                <w:rFonts w:eastAsia="Arial"/>
                <w:lang w:bidi="cs-CZ"/>
              </w:rPr>
              <w:t>Prevádzkovateľ informuje príslušný orgán o výsledkoch kontroly automatizovaných systémov merania.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853"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3854" w14:textId="77777777" w:rsidR="00236AB5" w:rsidRPr="008819AF" w:rsidRDefault="00236AB5" w:rsidP="00236AB5">
            <w:pPr>
              <w:ind w:left="215" w:hanging="215"/>
              <w:jc w:val="center"/>
              <w:rPr>
                <w:rFonts w:eastAsia="Arial"/>
                <w:lang w:bidi="cs-CZ"/>
              </w:rPr>
            </w:pPr>
          </w:p>
          <w:p w14:paraId="15133855" w14:textId="77777777" w:rsidR="00236AB5" w:rsidRPr="008819AF" w:rsidRDefault="00236AB5" w:rsidP="00236AB5">
            <w:pPr>
              <w:ind w:left="215" w:hanging="215"/>
              <w:jc w:val="center"/>
              <w:rPr>
                <w:rFonts w:eastAsia="Arial"/>
                <w:lang w:bidi="cs-CZ"/>
              </w:rPr>
            </w:pPr>
          </w:p>
          <w:p w14:paraId="15133856" w14:textId="77777777" w:rsidR="00236AB5" w:rsidRPr="008819AF" w:rsidRDefault="00236AB5" w:rsidP="00236AB5">
            <w:pPr>
              <w:ind w:left="215" w:hanging="215"/>
              <w:jc w:val="center"/>
              <w:rPr>
                <w:rFonts w:eastAsia="Arial"/>
                <w:lang w:bidi="cs-CZ"/>
              </w:rPr>
            </w:pPr>
          </w:p>
          <w:p w14:paraId="15133857" w14:textId="77777777" w:rsidR="00236AB5" w:rsidRPr="008819AF" w:rsidRDefault="00236AB5" w:rsidP="00236AB5">
            <w:pPr>
              <w:ind w:left="215" w:hanging="215"/>
              <w:jc w:val="center"/>
              <w:rPr>
                <w:rFonts w:eastAsia="Arial"/>
                <w:lang w:bidi="cs-CZ"/>
              </w:rPr>
            </w:pPr>
          </w:p>
          <w:p w14:paraId="15133858" w14:textId="77777777" w:rsidR="00236AB5" w:rsidRPr="008819AF" w:rsidRDefault="00236AB5" w:rsidP="00236AB5">
            <w:pPr>
              <w:ind w:left="215" w:hanging="215"/>
              <w:jc w:val="center"/>
              <w:rPr>
                <w:rFonts w:eastAsia="Arial"/>
                <w:lang w:bidi="cs-CZ"/>
              </w:rPr>
            </w:pPr>
          </w:p>
          <w:p w14:paraId="15133859" w14:textId="77777777" w:rsidR="00236AB5" w:rsidRPr="008819AF" w:rsidRDefault="00236AB5" w:rsidP="00236AB5">
            <w:pPr>
              <w:ind w:left="215" w:hanging="215"/>
              <w:jc w:val="center"/>
              <w:rPr>
                <w:rFonts w:eastAsia="Arial"/>
                <w:lang w:bidi="cs-CZ"/>
              </w:rPr>
            </w:pPr>
          </w:p>
          <w:p w14:paraId="1513385A" w14:textId="77777777" w:rsidR="00236AB5" w:rsidRPr="008819AF" w:rsidRDefault="00236AB5" w:rsidP="00236AB5">
            <w:pPr>
              <w:ind w:left="215" w:hanging="215"/>
              <w:jc w:val="center"/>
              <w:rPr>
                <w:rFonts w:eastAsia="Arial"/>
                <w:lang w:bidi="cs-CZ"/>
              </w:rPr>
            </w:pPr>
          </w:p>
          <w:p w14:paraId="1513385B" w14:textId="77777777" w:rsidR="00236AB5" w:rsidRPr="008819AF" w:rsidRDefault="00236AB5" w:rsidP="00236AB5">
            <w:pPr>
              <w:ind w:left="215" w:hanging="215"/>
              <w:jc w:val="center"/>
              <w:rPr>
                <w:rFonts w:eastAsia="Arial"/>
                <w:lang w:bidi="cs-CZ"/>
              </w:rPr>
            </w:pPr>
          </w:p>
          <w:p w14:paraId="1513385C" w14:textId="77777777" w:rsidR="00236AB5" w:rsidRPr="008819AF" w:rsidRDefault="00236AB5" w:rsidP="00236AB5">
            <w:pPr>
              <w:ind w:left="215" w:hanging="215"/>
              <w:jc w:val="center"/>
              <w:rPr>
                <w:rFonts w:eastAsia="Arial"/>
                <w:lang w:bidi="cs-CZ"/>
              </w:rPr>
            </w:pPr>
          </w:p>
          <w:p w14:paraId="1513385D" w14:textId="77777777" w:rsidR="00236AB5" w:rsidRPr="008819AF" w:rsidRDefault="00236AB5" w:rsidP="00236AB5">
            <w:pPr>
              <w:ind w:left="215" w:hanging="215"/>
              <w:jc w:val="center"/>
              <w:rPr>
                <w:rFonts w:eastAsia="Arial"/>
                <w:lang w:bidi="cs-CZ"/>
              </w:rPr>
            </w:pPr>
          </w:p>
          <w:p w14:paraId="1513385E" w14:textId="77777777" w:rsidR="00236AB5" w:rsidRPr="008819AF" w:rsidRDefault="00236AB5" w:rsidP="00236AB5">
            <w:pPr>
              <w:ind w:left="215" w:hanging="215"/>
              <w:jc w:val="center"/>
              <w:rPr>
                <w:rFonts w:eastAsia="Arial"/>
                <w:lang w:bidi="cs-CZ"/>
              </w:rPr>
            </w:pPr>
          </w:p>
          <w:p w14:paraId="1513385F" w14:textId="77777777" w:rsidR="00236AB5" w:rsidRPr="008819AF" w:rsidRDefault="00236AB5" w:rsidP="00236AB5">
            <w:pPr>
              <w:ind w:left="215" w:hanging="215"/>
              <w:jc w:val="center"/>
              <w:rPr>
                <w:rFonts w:eastAsia="Arial"/>
                <w:lang w:bidi="cs-CZ"/>
              </w:rPr>
            </w:pPr>
          </w:p>
          <w:p w14:paraId="15133860" w14:textId="77777777" w:rsidR="00236AB5" w:rsidRPr="008819AF" w:rsidRDefault="00236AB5" w:rsidP="00236AB5">
            <w:pPr>
              <w:ind w:left="215" w:hanging="215"/>
              <w:jc w:val="center"/>
              <w:rPr>
                <w:rFonts w:eastAsia="Arial"/>
                <w:lang w:bidi="cs-CZ"/>
              </w:rPr>
            </w:pPr>
          </w:p>
          <w:p w14:paraId="15133861" w14:textId="77777777" w:rsidR="00236AB5" w:rsidRPr="008819AF" w:rsidRDefault="00236AB5" w:rsidP="00236AB5">
            <w:pPr>
              <w:ind w:left="215" w:hanging="215"/>
              <w:jc w:val="center"/>
              <w:rPr>
                <w:rFonts w:eastAsia="Arial"/>
                <w:lang w:bidi="cs-CZ"/>
              </w:rPr>
            </w:pPr>
          </w:p>
          <w:p w14:paraId="15133862" w14:textId="77777777" w:rsidR="00236AB5" w:rsidRPr="008819AF" w:rsidRDefault="00236AB5" w:rsidP="00236AB5">
            <w:pPr>
              <w:ind w:left="215" w:hanging="215"/>
              <w:jc w:val="center"/>
              <w:rPr>
                <w:rFonts w:eastAsia="Arial"/>
                <w:lang w:bidi="cs-CZ"/>
              </w:rPr>
            </w:pPr>
          </w:p>
          <w:p w14:paraId="15133863" w14:textId="77777777" w:rsidR="00236AB5" w:rsidRPr="008819AF" w:rsidRDefault="00236AB5" w:rsidP="00236AB5">
            <w:pPr>
              <w:ind w:left="215" w:hanging="215"/>
              <w:jc w:val="center"/>
              <w:rPr>
                <w:rFonts w:eastAsia="Arial"/>
                <w:lang w:bidi="cs-CZ"/>
              </w:rPr>
            </w:pPr>
          </w:p>
          <w:p w14:paraId="15133864" w14:textId="77777777" w:rsidR="00236AB5" w:rsidRPr="008819AF" w:rsidRDefault="00236AB5" w:rsidP="00236AB5">
            <w:pPr>
              <w:ind w:left="215" w:hanging="215"/>
              <w:jc w:val="center"/>
              <w:rPr>
                <w:rFonts w:eastAsia="Arial"/>
                <w:lang w:bidi="cs-CZ"/>
              </w:rPr>
            </w:pPr>
          </w:p>
          <w:p w14:paraId="15133865" w14:textId="77777777" w:rsidR="00236AB5" w:rsidRPr="008819AF" w:rsidRDefault="00236AB5" w:rsidP="00236AB5">
            <w:pPr>
              <w:ind w:left="215" w:hanging="215"/>
              <w:jc w:val="center"/>
              <w:rPr>
                <w:rFonts w:eastAsia="Arial"/>
                <w:lang w:bidi="cs-CZ"/>
              </w:rPr>
            </w:pPr>
          </w:p>
          <w:p w14:paraId="15133866" w14:textId="77777777" w:rsidR="00236AB5" w:rsidRPr="008819AF" w:rsidRDefault="00236AB5" w:rsidP="00236AB5">
            <w:pPr>
              <w:ind w:left="215" w:hanging="215"/>
              <w:jc w:val="center"/>
              <w:rPr>
                <w:rFonts w:eastAsia="Arial"/>
                <w:lang w:bidi="cs-CZ"/>
              </w:rPr>
            </w:pPr>
          </w:p>
          <w:p w14:paraId="15133867" w14:textId="77777777" w:rsidR="00236AB5" w:rsidRPr="008819AF" w:rsidRDefault="00236AB5" w:rsidP="00236AB5">
            <w:pPr>
              <w:ind w:left="215" w:hanging="215"/>
              <w:jc w:val="center"/>
              <w:rPr>
                <w:rFonts w:eastAsia="Arial"/>
                <w:lang w:bidi="cs-CZ"/>
              </w:rPr>
            </w:pPr>
          </w:p>
          <w:p w14:paraId="15133868" w14:textId="77777777" w:rsidR="00236AB5" w:rsidRPr="008819AF" w:rsidRDefault="00236AB5" w:rsidP="00236AB5">
            <w:pPr>
              <w:ind w:left="215" w:hanging="215"/>
              <w:jc w:val="center"/>
              <w:rPr>
                <w:rFonts w:eastAsia="Arial"/>
                <w:lang w:bidi="cs-CZ"/>
              </w:rPr>
            </w:pPr>
          </w:p>
          <w:p w14:paraId="15133869" w14:textId="77777777" w:rsidR="00236AB5" w:rsidRPr="008819AF" w:rsidRDefault="00236AB5" w:rsidP="00236AB5">
            <w:pPr>
              <w:ind w:left="215" w:hanging="215"/>
              <w:jc w:val="center"/>
              <w:rPr>
                <w:rFonts w:eastAsia="Arial"/>
                <w:lang w:bidi="cs-CZ"/>
              </w:rPr>
            </w:pPr>
          </w:p>
          <w:p w14:paraId="1513386A" w14:textId="77777777" w:rsidR="00236AB5" w:rsidRPr="008819AF" w:rsidRDefault="00236AB5" w:rsidP="00236AB5">
            <w:pPr>
              <w:ind w:left="215" w:hanging="215"/>
              <w:jc w:val="center"/>
              <w:rPr>
                <w:rFonts w:eastAsia="Arial"/>
                <w:lang w:bidi="cs-CZ"/>
              </w:rPr>
            </w:pPr>
          </w:p>
          <w:p w14:paraId="1513386B" w14:textId="77777777" w:rsidR="00236AB5" w:rsidRPr="008819AF" w:rsidRDefault="00236AB5" w:rsidP="00236AB5">
            <w:pPr>
              <w:ind w:left="215" w:hanging="215"/>
              <w:jc w:val="center"/>
              <w:rPr>
                <w:rFonts w:eastAsia="Arial"/>
                <w:lang w:bidi="cs-CZ"/>
              </w:rPr>
            </w:pPr>
          </w:p>
          <w:p w14:paraId="1513386C" w14:textId="77777777" w:rsidR="00236AB5" w:rsidRPr="008819AF" w:rsidRDefault="00236AB5" w:rsidP="00236AB5">
            <w:pPr>
              <w:ind w:left="215" w:hanging="215"/>
              <w:jc w:val="center"/>
              <w:rPr>
                <w:rFonts w:eastAsia="Arial"/>
                <w:lang w:bidi="cs-CZ"/>
              </w:rPr>
            </w:pPr>
          </w:p>
          <w:p w14:paraId="1513386D" w14:textId="77777777" w:rsidR="00236AB5" w:rsidRPr="008819AF" w:rsidRDefault="00236AB5" w:rsidP="00236AB5">
            <w:pPr>
              <w:ind w:left="215" w:hanging="215"/>
              <w:jc w:val="center"/>
              <w:rPr>
                <w:rFonts w:eastAsia="Arial"/>
                <w:lang w:bidi="cs-CZ"/>
              </w:rPr>
            </w:pPr>
          </w:p>
          <w:p w14:paraId="1513386E" w14:textId="77777777" w:rsidR="00236AB5" w:rsidRPr="008819AF" w:rsidRDefault="00236AB5" w:rsidP="00236AB5">
            <w:pPr>
              <w:ind w:left="215" w:hanging="215"/>
              <w:jc w:val="center"/>
              <w:rPr>
                <w:rFonts w:eastAsia="Arial"/>
                <w:lang w:bidi="cs-CZ"/>
              </w:rPr>
            </w:pPr>
          </w:p>
          <w:p w14:paraId="1513386F" w14:textId="77777777" w:rsidR="00236AB5" w:rsidRPr="008819AF" w:rsidRDefault="00236AB5" w:rsidP="00236AB5">
            <w:pPr>
              <w:ind w:left="215" w:hanging="215"/>
              <w:jc w:val="center"/>
              <w:rPr>
                <w:rFonts w:eastAsia="Arial"/>
                <w:lang w:bidi="cs-CZ"/>
              </w:rPr>
            </w:pPr>
          </w:p>
          <w:p w14:paraId="15133870" w14:textId="77777777" w:rsidR="00236AB5" w:rsidRPr="008819AF" w:rsidRDefault="00236AB5" w:rsidP="00236AB5">
            <w:pPr>
              <w:jc w:val="center"/>
              <w:rPr>
                <w:rFonts w:eastAsia="Arial"/>
                <w:lang w:bidi="cs-CZ"/>
              </w:rPr>
            </w:pPr>
            <w:r w:rsidRPr="008819AF">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871" w14:textId="77777777" w:rsidR="00236AB5" w:rsidRPr="008819AF" w:rsidRDefault="00236AB5" w:rsidP="00236AB5">
            <w:pPr>
              <w:jc w:val="center"/>
              <w:rPr>
                <w:rFonts w:eastAsia="Arial"/>
                <w:lang w:bidi="cs-CZ"/>
              </w:rPr>
            </w:pPr>
            <w:r w:rsidRPr="008819AF">
              <w:rPr>
                <w:rFonts w:eastAsia="Arial"/>
                <w:lang w:bidi="cs-CZ"/>
              </w:rPr>
              <w:lastRenderedPageBreak/>
              <w:t>NV1</w:t>
            </w:r>
          </w:p>
          <w:p w14:paraId="15133872"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3"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4"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5"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6"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7"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8"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9"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A"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B"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C"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D"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E"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7F"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0"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1"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2"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3"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4"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5"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6"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7"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8"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9"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A"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B"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C"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D"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8E"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lastRenderedPageBreak/>
              <w:t>NZ</w:t>
            </w:r>
          </w:p>
          <w:p w14:paraId="1513388F"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90"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p>
          <w:p w14:paraId="15133891" w14:textId="77777777" w:rsidR="00236AB5" w:rsidRPr="008819AF" w:rsidRDefault="00236AB5"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892" w14:textId="77777777" w:rsidR="00236AB5" w:rsidRPr="008819AF" w:rsidRDefault="00236AB5" w:rsidP="00236AB5">
            <w:pPr>
              <w:pStyle w:val="BodyText21"/>
              <w:spacing w:before="0" w:line="240" w:lineRule="auto"/>
              <w:jc w:val="center"/>
              <w:rPr>
                <w:rFonts w:ascii="Times New Roman" w:hAnsi="Times New Roman" w:cs="Times New Roman"/>
              </w:rPr>
            </w:pPr>
            <w:r w:rsidRPr="008819AF">
              <w:rPr>
                <w:rFonts w:ascii="Times New Roman" w:hAnsi="Times New Roman" w:cs="Times New Roman"/>
              </w:rPr>
              <w:lastRenderedPageBreak/>
              <w:t>§8</w:t>
            </w:r>
          </w:p>
          <w:p w14:paraId="15133893" w14:textId="77777777" w:rsidR="00236AB5" w:rsidRPr="008819AF" w:rsidRDefault="00236AB5" w:rsidP="00236AB5">
            <w:pPr>
              <w:pStyle w:val="BodyText21"/>
              <w:spacing w:before="0" w:line="240" w:lineRule="auto"/>
              <w:jc w:val="center"/>
              <w:rPr>
                <w:rFonts w:ascii="Times New Roman" w:hAnsi="Times New Roman" w:cs="Times New Roman"/>
              </w:rPr>
            </w:pPr>
            <w:r w:rsidRPr="008819AF">
              <w:rPr>
                <w:rFonts w:ascii="Times New Roman" w:hAnsi="Times New Roman" w:cs="Times New Roman"/>
              </w:rPr>
              <w:t>O14</w:t>
            </w:r>
          </w:p>
          <w:p w14:paraId="15133894" w14:textId="77777777" w:rsidR="00236AB5" w:rsidRPr="008819AF" w:rsidRDefault="00236AB5" w:rsidP="00236AB5">
            <w:pPr>
              <w:pStyle w:val="BodyText21"/>
              <w:spacing w:before="0" w:line="240" w:lineRule="auto"/>
              <w:jc w:val="center"/>
              <w:rPr>
                <w:rFonts w:ascii="Times New Roman" w:hAnsi="Times New Roman" w:cs="Times New Roman"/>
              </w:rPr>
            </w:pPr>
          </w:p>
          <w:p w14:paraId="15133895" w14:textId="77777777" w:rsidR="00236AB5" w:rsidRPr="008819AF" w:rsidRDefault="00236AB5" w:rsidP="00236AB5">
            <w:pPr>
              <w:pStyle w:val="BodyText21"/>
              <w:spacing w:before="0" w:line="240" w:lineRule="auto"/>
              <w:jc w:val="center"/>
              <w:rPr>
                <w:rFonts w:ascii="Times New Roman" w:hAnsi="Times New Roman" w:cs="Times New Roman"/>
              </w:rPr>
            </w:pPr>
          </w:p>
          <w:p w14:paraId="15133896" w14:textId="77777777" w:rsidR="00236AB5" w:rsidRPr="008819AF" w:rsidRDefault="00236AB5" w:rsidP="00236AB5">
            <w:pPr>
              <w:pStyle w:val="BodyText21"/>
              <w:spacing w:before="0" w:line="240" w:lineRule="auto"/>
              <w:jc w:val="center"/>
              <w:rPr>
                <w:rFonts w:ascii="Times New Roman" w:hAnsi="Times New Roman" w:cs="Times New Roman"/>
              </w:rPr>
            </w:pPr>
          </w:p>
          <w:p w14:paraId="15133897" w14:textId="77777777" w:rsidR="00236AB5" w:rsidRPr="008819AF" w:rsidRDefault="00236AB5" w:rsidP="00236AB5">
            <w:pPr>
              <w:pStyle w:val="BodyText21"/>
              <w:spacing w:before="0" w:line="240" w:lineRule="auto"/>
              <w:jc w:val="center"/>
              <w:rPr>
                <w:rFonts w:ascii="Times New Roman" w:hAnsi="Times New Roman" w:cs="Times New Roman"/>
              </w:rPr>
            </w:pPr>
          </w:p>
          <w:p w14:paraId="15133898" w14:textId="77777777" w:rsidR="00236AB5" w:rsidRPr="008819AF" w:rsidRDefault="00236AB5" w:rsidP="00236AB5">
            <w:pPr>
              <w:pStyle w:val="BodyText21"/>
              <w:spacing w:before="0" w:line="240" w:lineRule="auto"/>
              <w:jc w:val="center"/>
              <w:rPr>
                <w:rFonts w:ascii="Times New Roman" w:hAnsi="Times New Roman" w:cs="Times New Roman"/>
              </w:rPr>
            </w:pPr>
            <w:r w:rsidRPr="008819AF">
              <w:rPr>
                <w:rFonts w:ascii="Times New Roman" w:hAnsi="Times New Roman" w:cs="Times New Roman"/>
              </w:rPr>
              <w:t>§15</w:t>
            </w:r>
          </w:p>
          <w:p w14:paraId="15133899" w14:textId="77777777" w:rsidR="00236AB5" w:rsidRPr="008819AF" w:rsidRDefault="00236AB5" w:rsidP="00236AB5">
            <w:pPr>
              <w:pStyle w:val="BodyText21"/>
              <w:spacing w:before="0" w:line="240" w:lineRule="auto"/>
              <w:jc w:val="center"/>
              <w:rPr>
                <w:rFonts w:ascii="Times New Roman" w:hAnsi="Times New Roman" w:cs="Times New Roman"/>
              </w:rPr>
            </w:pPr>
            <w:r w:rsidRPr="008819AF">
              <w:rPr>
                <w:rFonts w:ascii="Times New Roman" w:hAnsi="Times New Roman" w:cs="Times New Roman"/>
              </w:rPr>
              <w:t>O1</w:t>
            </w:r>
          </w:p>
          <w:p w14:paraId="1513389A" w14:textId="77777777" w:rsidR="00236AB5" w:rsidRPr="008819AF" w:rsidRDefault="00236AB5" w:rsidP="00236AB5">
            <w:pPr>
              <w:pStyle w:val="BodyText21"/>
              <w:spacing w:before="0" w:line="240" w:lineRule="auto"/>
              <w:jc w:val="center"/>
              <w:rPr>
                <w:rFonts w:ascii="Times New Roman" w:hAnsi="Times New Roman" w:cs="Times New Roman"/>
              </w:rPr>
            </w:pPr>
            <w:r w:rsidRPr="008819AF">
              <w:rPr>
                <w:rFonts w:ascii="Times New Roman" w:hAnsi="Times New Roman" w:cs="Times New Roman"/>
              </w:rPr>
              <w:t>O2</w:t>
            </w:r>
          </w:p>
          <w:p w14:paraId="1513389B" w14:textId="77777777" w:rsidR="00236AB5" w:rsidRPr="008819AF" w:rsidRDefault="00236AB5" w:rsidP="00236AB5">
            <w:pPr>
              <w:pStyle w:val="BodyText21"/>
              <w:spacing w:before="0" w:line="240" w:lineRule="auto"/>
              <w:jc w:val="center"/>
              <w:rPr>
                <w:rFonts w:ascii="Times New Roman" w:hAnsi="Times New Roman" w:cs="Times New Roman"/>
              </w:rPr>
            </w:pPr>
            <w:r w:rsidRPr="008819AF">
              <w:rPr>
                <w:rFonts w:ascii="Times New Roman" w:hAnsi="Times New Roman" w:cs="Times New Roman"/>
              </w:rPr>
              <w:t>O3</w:t>
            </w:r>
          </w:p>
          <w:p w14:paraId="1513389C" w14:textId="77777777" w:rsidR="00236AB5" w:rsidRPr="008819AF" w:rsidRDefault="00236AB5" w:rsidP="00236AB5">
            <w:pPr>
              <w:pStyle w:val="BodyText21"/>
              <w:spacing w:before="0" w:line="240" w:lineRule="auto"/>
              <w:jc w:val="center"/>
              <w:rPr>
                <w:rFonts w:ascii="Times New Roman" w:hAnsi="Times New Roman" w:cs="Times New Roman"/>
              </w:rPr>
            </w:pPr>
          </w:p>
          <w:p w14:paraId="1513389D" w14:textId="77777777" w:rsidR="00236AB5" w:rsidRPr="008819AF" w:rsidRDefault="00236AB5" w:rsidP="00236AB5">
            <w:pPr>
              <w:pStyle w:val="BodyText21"/>
              <w:spacing w:before="0" w:line="240" w:lineRule="auto"/>
              <w:jc w:val="center"/>
              <w:rPr>
                <w:rFonts w:ascii="Times New Roman" w:hAnsi="Times New Roman" w:cs="Times New Roman"/>
              </w:rPr>
            </w:pPr>
          </w:p>
          <w:p w14:paraId="1513389E" w14:textId="77777777" w:rsidR="00236AB5" w:rsidRPr="008819AF" w:rsidRDefault="00236AB5" w:rsidP="00236AB5">
            <w:pPr>
              <w:pStyle w:val="BodyText21"/>
              <w:spacing w:before="0" w:line="240" w:lineRule="auto"/>
              <w:jc w:val="center"/>
              <w:rPr>
                <w:rFonts w:ascii="Times New Roman" w:hAnsi="Times New Roman" w:cs="Times New Roman"/>
              </w:rPr>
            </w:pPr>
          </w:p>
          <w:p w14:paraId="1513389F"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0"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1"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2"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3"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4"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5" w14:textId="77777777" w:rsidR="00236AB5" w:rsidRPr="008819AF" w:rsidRDefault="00236AB5" w:rsidP="00236AB5">
            <w:pPr>
              <w:pStyle w:val="BodyText21"/>
              <w:spacing w:before="0" w:line="240" w:lineRule="auto"/>
              <w:jc w:val="center"/>
              <w:rPr>
                <w:rFonts w:ascii="Times New Roman" w:hAnsi="Times New Roman" w:cs="Times New Roman"/>
              </w:rPr>
            </w:pPr>
            <w:r w:rsidRPr="008819AF">
              <w:rPr>
                <w:rFonts w:ascii="Times New Roman" w:hAnsi="Times New Roman" w:cs="Times New Roman"/>
              </w:rPr>
              <w:t>§ 14</w:t>
            </w:r>
          </w:p>
          <w:p w14:paraId="151338A6" w14:textId="77777777" w:rsidR="00236AB5" w:rsidRPr="008819AF" w:rsidRDefault="00236AB5" w:rsidP="00236AB5">
            <w:pPr>
              <w:pStyle w:val="BodyText21"/>
              <w:spacing w:before="0" w:line="240" w:lineRule="auto"/>
              <w:jc w:val="center"/>
              <w:rPr>
                <w:rFonts w:ascii="Times New Roman" w:hAnsi="Times New Roman" w:cs="Times New Roman"/>
              </w:rPr>
            </w:pPr>
            <w:r w:rsidRPr="008819AF">
              <w:rPr>
                <w:rFonts w:ascii="Times New Roman" w:hAnsi="Times New Roman" w:cs="Times New Roman"/>
              </w:rPr>
              <w:t>O 5</w:t>
            </w:r>
          </w:p>
          <w:p w14:paraId="151338A7"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8"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9"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A"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B"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C"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D"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E" w14:textId="77777777" w:rsidR="00236AB5" w:rsidRPr="008819AF" w:rsidRDefault="00236AB5" w:rsidP="00236AB5">
            <w:pPr>
              <w:pStyle w:val="BodyText21"/>
              <w:spacing w:before="0" w:line="240" w:lineRule="auto"/>
              <w:jc w:val="center"/>
              <w:rPr>
                <w:rFonts w:ascii="Times New Roman" w:hAnsi="Times New Roman" w:cs="Times New Roman"/>
              </w:rPr>
            </w:pPr>
          </w:p>
          <w:p w14:paraId="151338AF"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lastRenderedPageBreak/>
              <w:t>§ 34</w:t>
            </w:r>
          </w:p>
          <w:p w14:paraId="151338B0"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O 3</w:t>
            </w:r>
          </w:p>
          <w:p w14:paraId="151338B1" w14:textId="77777777" w:rsidR="00236AB5" w:rsidRPr="008819AF" w:rsidRDefault="00236AB5" w:rsidP="00236AB5">
            <w:pPr>
              <w:pStyle w:val="BodyText21"/>
              <w:spacing w:before="0" w:line="240" w:lineRule="auto"/>
              <w:ind w:left="0" w:firstLine="0"/>
              <w:jc w:val="center"/>
              <w:rPr>
                <w:rFonts w:ascii="Times New Roman" w:hAnsi="Times New Roman" w:cs="Times New Roman"/>
              </w:rPr>
            </w:pPr>
            <w:r w:rsidRPr="008819AF">
              <w:rPr>
                <w:rFonts w:ascii="Times New Roman" w:hAnsi="Times New Roman" w:cs="Times New Roman"/>
              </w:rPr>
              <w:t>P a)</w:t>
            </w:r>
          </w:p>
          <w:p w14:paraId="151338B2" w14:textId="77777777" w:rsidR="00236AB5" w:rsidRPr="008819AF" w:rsidRDefault="00236AB5" w:rsidP="00236AB5">
            <w:pPr>
              <w:pStyle w:val="BodyText21"/>
              <w:spacing w:before="0" w:line="240" w:lineRule="auto"/>
              <w:jc w:val="center"/>
              <w:rPr>
                <w:rFonts w:ascii="Times New Roman" w:hAnsi="Times New Roman" w:cs="Times New Roman"/>
              </w:rPr>
            </w:pPr>
          </w:p>
          <w:p w14:paraId="151338B3" w14:textId="77777777" w:rsidR="00236AB5" w:rsidRPr="008819AF" w:rsidRDefault="00236AB5" w:rsidP="00236AB5">
            <w:pPr>
              <w:pStyle w:val="BodyText21"/>
              <w:spacing w:before="0" w:line="240" w:lineRule="auto"/>
              <w:jc w:val="center"/>
              <w:rPr>
                <w:rFonts w:ascii="Times New Roman" w:hAnsi="Times New Roman" w:cs="Times New Roman"/>
              </w:rPr>
            </w:pPr>
          </w:p>
          <w:p w14:paraId="151338B4" w14:textId="77777777" w:rsidR="00236AB5" w:rsidRPr="008819AF" w:rsidRDefault="00236AB5" w:rsidP="00236AB5">
            <w:pPr>
              <w:pStyle w:val="BodyText21"/>
              <w:spacing w:before="0" w:line="240" w:lineRule="auto"/>
              <w:jc w:val="center"/>
              <w:rPr>
                <w:rFonts w:ascii="Times New Roman" w:hAnsi="Times New Roman" w:cs="Times New Roman"/>
              </w:rPr>
            </w:pPr>
          </w:p>
          <w:p w14:paraId="151338B5" w14:textId="77777777" w:rsidR="00236AB5" w:rsidRPr="008819AF" w:rsidRDefault="00236AB5" w:rsidP="00236AB5">
            <w:pPr>
              <w:pStyle w:val="BodyText21"/>
              <w:spacing w:before="0" w:line="240" w:lineRule="auto"/>
              <w:jc w:val="center"/>
              <w:rPr>
                <w:rFonts w:ascii="Times New Roman" w:hAnsi="Times New Roman" w:cs="Times New Roman"/>
              </w:rPr>
            </w:pPr>
          </w:p>
          <w:p w14:paraId="151338B6" w14:textId="77777777" w:rsidR="00236AB5" w:rsidRPr="008819AF" w:rsidRDefault="00236AB5" w:rsidP="00236AB5">
            <w:pPr>
              <w:pStyle w:val="BodyText21"/>
              <w:spacing w:before="0" w:line="240" w:lineRule="auto"/>
              <w:jc w:val="center"/>
              <w:rPr>
                <w:rFonts w:ascii="Times New Roman" w:hAnsi="Times New Roman" w:cs="Times New Roman"/>
              </w:rPr>
            </w:pPr>
          </w:p>
          <w:p w14:paraId="151338B7" w14:textId="77777777" w:rsidR="00236AB5" w:rsidRPr="008819AF" w:rsidRDefault="00236AB5" w:rsidP="00236AB5">
            <w:pPr>
              <w:pStyle w:val="BodyText21"/>
              <w:spacing w:before="0" w:line="240" w:lineRule="auto"/>
              <w:jc w:val="center"/>
              <w:rPr>
                <w:rFonts w:ascii="Times New Roman" w:hAnsi="Times New Roman" w:cs="Times New Roman"/>
              </w:rPr>
            </w:pPr>
          </w:p>
          <w:p w14:paraId="151338B8" w14:textId="77777777" w:rsidR="00236AB5" w:rsidRPr="008819AF" w:rsidRDefault="00236AB5" w:rsidP="00236AB5">
            <w:pPr>
              <w:pStyle w:val="BodyText21"/>
              <w:spacing w:before="0" w:line="240" w:lineRule="auto"/>
              <w:jc w:val="center"/>
              <w:rPr>
                <w:rFonts w:ascii="Times New Roman" w:hAnsi="Times New Roman" w:cs="Times New Roman"/>
              </w:rPr>
            </w:pPr>
            <w:r w:rsidRPr="008819AF">
              <w:rPr>
                <w:rFonts w:ascii="Times New Roman" w:hAnsi="Times New Roman" w:cs="Times New Roman"/>
              </w:rPr>
              <w:t>§ 62</w:t>
            </w:r>
          </w:p>
          <w:p w14:paraId="151338B9" w14:textId="77777777" w:rsidR="00236AB5" w:rsidRPr="008819AF" w:rsidRDefault="00236AB5" w:rsidP="00236AB5">
            <w:pPr>
              <w:pStyle w:val="BodyText21"/>
              <w:spacing w:before="0" w:line="240" w:lineRule="auto"/>
              <w:jc w:val="center"/>
              <w:rPr>
                <w:rFonts w:ascii="Times New Roman" w:hAnsi="Times New Roman" w:cs="Times New Roman"/>
              </w:rPr>
            </w:pPr>
            <w:r w:rsidRPr="008819AF">
              <w:rPr>
                <w:rFonts w:ascii="Times New Roman" w:hAnsi="Times New Roman" w:cs="Times New Roman"/>
              </w:rPr>
              <w:t>P g)</w:t>
            </w:r>
          </w:p>
          <w:p w14:paraId="151338BA" w14:textId="77777777" w:rsidR="00236AB5" w:rsidRPr="008819AF" w:rsidRDefault="00236AB5" w:rsidP="00236AB5">
            <w:pPr>
              <w:pStyle w:val="BodyText21"/>
              <w:spacing w:before="0" w:line="240" w:lineRule="auto"/>
              <w:jc w:val="center"/>
              <w:rPr>
                <w:rFonts w:ascii="Times New Roman" w:hAnsi="Times New Roman" w:cs="Times New Roman"/>
              </w:rP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8BB" w14:textId="77777777" w:rsidR="00236AB5" w:rsidRPr="008819AF" w:rsidRDefault="00236AB5" w:rsidP="00236AB5">
            <w:pPr>
              <w:rPr>
                <w:rFonts w:eastAsia="Arial"/>
              </w:rPr>
            </w:pPr>
            <w:r w:rsidRPr="008819AF">
              <w:rPr>
                <w:rFonts w:eastAsia="Arial"/>
              </w:rPr>
              <w:lastRenderedPageBreak/>
              <w:t>(14)</w:t>
            </w:r>
            <w:r w:rsidRPr="008819AF">
              <w:rPr>
                <w:rFonts w:eastAsia="Arial"/>
              </w:rPr>
              <w:tab/>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 podľa § 15 ods.1 až 3.</w:t>
            </w:r>
          </w:p>
          <w:p w14:paraId="151338BC" w14:textId="77777777" w:rsidR="00236AB5" w:rsidRPr="008819AF" w:rsidRDefault="00236AB5" w:rsidP="00236AB5">
            <w:pPr>
              <w:rPr>
                <w:rFonts w:eastAsia="Arial"/>
              </w:rPr>
            </w:pPr>
          </w:p>
          <w:p w14:paraId="151338BD" w14:textId="77777777" w:rsidR="00236AB5" w:rsidRPr="008819AF" w:rsidRDefault="00236AB5" w:rsidP="00236AB5">
            <w:pPr>
              <w:rPr>
                <w:rFonts w:eastAsia="Arial"/>
              </w:rPr>
            </w:pPr>
            <w:r w:rsidRPr="008819AF">
              <w:rPr>
                <w:rFonts w:eastAsia="Arial"/>
              </w:rPr>
              <w:t xml:space="preserve">(1) Metódy a metodiky monitorovania podľa § 2 až 14 musia umožňovať zistenie spoľahlivých, reprezentatívnych, porovnateľných a vedecky odôvodnených hodnôt v súlade so súčasným stavom vedeckého poznania a techniky. </w:t>
            </w:r>
          </w:p>
          <w:p w14:paraId="151338BE" w14:textId="77777777" w:rsidR="00236AB5" w:rsidRPr="008819AF" w:rsidRDefault="00236AB5" w:rsidP="00236AB5">
            <w:pPr>
              <w:rPr>
                <w:rFonts w:eastAsia="Arial"/>
              </w:rPr>
            </w:pPr>
            <w:r w:rsidRPr="008819AF">
              <w:rPr>
                <w:rFonts w:eastAsia="Arial"/>
              </w:rPr>
              <w:t>(2)</w:t>
            </w:r>
            <w:r w:rsidRPr="008819AF">
              <w:rPr>
                <w:rFonts w:eastAsia="Arial"/>
              </w:rPr>
              <w:tab/>
              <w:t>Predpokladá sa, že požiadavky podľa odseku 1 spĺňajú metódy, ktoré sú v súlade s harmonizovanými technickými normami. )</w:t>
            </w:r>
          </w:p>
          <w:p w14:paraId="151338BF" w14:textId="77777777" w:rsidR="00236AB5" w:rsidRPr="008819AF" w:rsidRDefault="00236AB5" w:rsidP="00236AB5">
            <w:pPr>
              <w:rPr>
                <w:rFonts w:eastAsia="Arial"/>
              </w:rPr>
            </w:pPr>
            <w:r w:rsidRPr="008819AF">
              <w:rPr>
                <w:rFonts w:eastAsia="Arial"/>
              </w:rPr>
              <w:t>(3)</w:t>
            </w:r>
            <w:r w:rsidRPr="008819AF">
              <w:rPr>
                <w:rFonts w:eastAsia="Arial"/>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151338C0" w14:textId="77777777" w:rsidR="00236AB5" w:rsidRPr="008819AF" w:rsidRDefault="00236AB5" w:rsidP="00236AB5">
            <w:pPr>
              <w:rPr>
                <w:rFonts w:eastAsia="Arial"/>
              </w:rPr>
            </w:pPr>
          </w:p>
          <w:p w14:paraId="151338C1" w14:textId="77777777" w:rsidR="00236AB5" w:rsidRPr="008819AF" w:rsidRDefault="00236AB5" w:rsidP="00236AB5">
            <w:pPr>
              <w:rPr>
                <w:rFonts w:eastAsia="Arial"/>
              </w:rPr>
            </w:pPr>
            <w:r w:rsidRPr="008819AF">
              <w:rPr>
                <w:rFonts w:eastAsia="Arial"/>
              </w:rPr>
              <w:t>(5)</w:t>
            </w:r>
            <w:r w:rsidRPr="008819AF">
              <w:rPr>
                <w:rFonts w:eastAsia="Arial"/>
              </w:rPr>
              <w:tab/>
              <w:t>Periodická kontrola automatizovaného meracieho systému vrátane paralelných meraní štandardnou referenčnou metódou alebo v povolení na to určenou metodikou, ak takáto metodika nie je určená, sa vykonáva v intervale najmenej raz za rok 12 kalendárny mesiacov, ak</w:t>
            </w:r>
          </w:p>
          <w:p w14:paraId="151338C2" w14:textId="77777777" w:rsidR="00236AB5" w:rsidRPr="008819AF" w:rsidRDefault="00236AB5" w:rsidP="00236AB5">
            <w:pPr>
              <w:rPr>
                <w:rFonts w:eastAsia="Arial"/>
              </w:rPr>
            </w:pPr>
            <w:r w:rsidRPr="008819AF">
              <w:rPr>
                <w:rFonts w:eastAsia="Arial"/>
              </w:rPr>
              <w:t>a)</w:t>
            </w:r>
            <w:r w:rsidRPr="008819AF">
              <w:rPr>
                <w:rFonts w:eastAsia="Arial"/>
              </w:rPr>
              <w:tab/>
              <w:t>osobitný predpis4) neustanovuje inak,</w:t>
            </w:r>
          </w:p>
          <w:p w14:paraId="151338C3" w14:textId="77777777" w:rsidR="00236AB5" w:rsidRPr="008819AF" w:rsidRDefault="00236AB5" w:rsidP="00236AB5">
            <w:pPr>
              <w:rPr>
                <w:rFonts w:eastAsia="Arial"/>
              </w:rPr>
            </w:pPr>
            <w:r w:rsidRPr="008819AF">
              <w:rPr>
                <w:rFonts w:eastAsia="Arial"/>
              </w:rPr>
              <w:t>b)</w:t>
            </w:r>
            <w:r w:rsidRPr="008819AF">
              <w:rPr>
                <w:rFonts w:eastAsia="Arial"/>
              </w:rPr>
              <w:tab/>
              <w:t>kratší interval nie je určený v dokumentácii automatizovaného meracieho systému alebo v povolení alebo</w:t>
            </w:r>
          </w:p>
          <w:p w14:paraId="151338C4" w14:textId="77777777" w:rsidR="00236AB5" w:rsidRPr="008819AF" w:rsidRDefault="00236AB5" w:rsidP="00236AB5">
            <w:pPr>
              <w:rPr>
                <w:rFonts w:eastAsia="Arial"/>
              </w:rPr>
            </w:pPr>
            <w:r w:rsidRPr="008819AF">
              <w:rPr>
                <w:rFonts w:eastAsia="Arial"/>
              </w:rPr>
              <w:t>c)</w:t>
            </w:r>
            <w:r w:rsidRPr="008819AF">
              <w:rPr>
                <w:rFonts w:eastAsia="Arial"/>
              </w:rPr>
              <w:tab/>
              <w:t>v danom roku nie je nahradená úplnou kontrolou podľa odseku 2 písm. b) až g).</w:t>
            </w:r>
          </w:p>
          <w:p w14:paraId="151338C5" w14:textId="77777777" w:rsidR="00236AB5" w:rsidRPr="008819AF" w:rsidRDefault="00236AB5" w:rsidP="00236AB5">
            <w:pPr>
              <w:rPr>
                <w:rFonts w:eastAsia="Arial"/>
              </w:rPr>
            </w:pPr>
          </w:p>
          <w:p w14:paraId="151338C6" w14:textId="77777777" w:rsidR="00236AB5" w:rsidRPr="008819AF" w:rsidRDefault="00236AB5" w:rsidP="00236AB5">
            <w:r w:rsidRPr="008819AF">
              <w:lastRenderedPageBreak/>
              <w:t>Prevádzkovateľ veľkého zdroja a prevádzkovateľ stredného zdroja vo veciach monitorovania a preukazovania dodržiavania prípustnej miery znečisťovania ovzdušia je povinný</w:t>
            </w:r>
          </w:p>
          <w:p w14:paraId="151338C7" w14:textId="77777777" w:rsidR="00236AB5" w:rsidRPr="008819AF" w:rsidRDefault="00236AB5" w:rsidP="00236AB5">
            <w:r w:rsidRPr="008819AF">
              <w:t>a) 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w:t>
            </w:r>
          </w:p>
          <w:p w14:paraId="151338C8" w14:textId="77777777" w:rsidR="00236AB5" w:rsidRPr="008819AF" w:rsidRDefault="00236AB5" w:rsidP="00236AB5">
            <w:pPr>
              <w:rPr>
                <w:rFonts w:eastAsia="Arial"/>
                <w:lang w:bidi="cs-CZ"/>
              </w:rPr>
            </w:pPr>
          </w:p>
          <w:p w14:paraId="151338C9" w14:textId="77777777" w:rsidR="00236AB5" w:rsidRPr="008819AF" w:rsidRDefault="00236AB5" w:rsidP="00236AB5">
            <w:pPr>
              <w:rPr>
                <w:rFonts w:eastAsia="Arial"/>
                <w:lang w:bidi="cs-CZ"/>
              </w:rPr>
            </w:pPr>
            <w:r w:rsidRPr="008819AF">
              <w:rPr>
                <w:rFonts w:eastAsia="Arial"/>
                <w:lang w:bidi="cs-CZ"/>
              </w:rPr>
              <w:t>Všeobecne záväzný právny predpis, ktorý vydá ministerstvo, ustanoví</w:t>
            </w:r>
          </w:p>
          <w:p w14:paraId="151338CA" w14:textId="77777777" w:rsidR="00236AB5" w:rsidRPr="008819AF" w:rsidRDefault="00236AB5" w:rsidP="00236AB5">
            <w:pPr>
              <w:rPr>
                <w:rFonts w:eastAsia="Arial"/>
                <w:lang w:bidi="cs-CZ"/>
              </w:rPr>
            </w:pPr>
            <w:r w:rsidRPr="008819AF">
              <w:rPr>
                <w:rFonts w:eastAsia="Arial"/>
                <w:lang w:bidi="cs-CZ"/>
              </w:rPr>
              <w:t>g)</w:t>
            </w:r>
            <w:r w:rsidRPr="008819AF">
              <w:rPr>
                <w:rFonts w:eastAsia="Arial"/>
                <w:lang w:bidi="cs-CZ"/>
              </w:rPr>
              <w:tab/>
              <w:t>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tc>
        <w:tc>
          <w:tcPr>
            <w:tcW w:w="429" w:type="dxa"/>
            <w:tcBorders>
              <w:top w:val="single" w:sz="4" w:space="0" w:color="000000"/>
              <w:left w:val="single" w:sz="6" w:space="0" w:color="000000"/>
              <w:bottom w:val="single" w:sz="6" w:space="0" w:color="000000"/>
              <w:right w:val="single" w:sz="6" w:space="0" w:color="000000"/>
            </w:tcBorders>
          </w:tcPr>
          <w:p w14:paraId="151338CB" w14:textId="77777777" w:rsidR="00236AB5" w:rsidRPr="008819AF" w:rsidRDefault="00236AB5" w:rsidP="00236AB5">
            <w:pPr>
              <w:ind w:left="215" w:hanging="215"/>
              <w:rPr>
                <w:rFonts w:eastAsia="Arial"/>
                <w:lang w:bidi="cs-CZ"/>
              </w:rPr>
            </w:pPr>
            <w:r w:rsidRPr="008819AF">
              <w:rPr>
                <w:rFonts w:eastAsia="Arial"/>
                <w:lang w:bidi="cs-CZ"/>
              </w:rPr>
              <w:lastRenderedPageBreak/>
              <w:t>Ú</w:t>
            </w:r>
          </w:p>
        </w:tc>
        <w:tc>
          <w:tcPr>
            <w:tcW w:w="821" w:type="dxa"/>
            <w:gridSpan w:val="3"/>
            <w:tcBorders>
              <w:top w:val="single" w:sz="4" w:space="0" w:color="000000"/>
              <w:left w:val="single" w:sz="6" w:space="0" w:color="000000"/>
              <w:bottom w:val="single" w:sz="6" w:space="0" w:color="000000"/>
              <w:right w:val="single" w:sz="6" w:space="0" w:color="000000"/>
            </w:tcBorders>
          </w:tcPr>
          <w:p w14:paraId="151338CC" w14:textId="77777777" w:rsidR="00236AB5" w:rsidRPr="008819AF" w:rsidRDefault="00236AB5" w:rsidP="00236AB5">
            <w:pPr>
              <w:ind w:left="71"/>
              <w:rPr>
                <w:rFonts w:eastAsia="Arial"/>
              </w:rPr>
            </w:pPr>
          </w:p>
          <w:p w14:paraId="151338CD" w14:textId="77777777" w:rsidR="00236AB5" w:rsidRPr="008819AF" w:rsidRDefault="00236AB5" w:rsidP="00236AB5">
            <w:pPr>
              <w:ind w:left="71"/>
              <w:rPr>
                <w:rFonts w:eastAsia="Arial"/>
              </w:rPr>
            </w:pPr>
          </w:p>
          <w:p w14:paraId="151338CE" w14:textId="77777777" w:rsidR="00236AB5" w:rsidRPr="008819AF" w:rsidRDefault="00236AB5" w:rsidP="00236AB5">
            <w:pPr>
              <w:ind w:left="71"/>
              <w:rPr>
                <w:rFonts w:eastAsia="Arial"/>
              </w:rPr>
            </w:pPr>
          </w:p>
          <w:p w14:paraId="151338CF" w14:textId="77777777" w:rsidR="00236AB5" w:rsidRPr="008819AF" w:rsidRDefault="00236AB5" w:rsidP="00236AB5">
            <w:pPr>
              <w:ind w:left="71"/>
              <w:rPr>
                <w:rFonts w:eastAsia="Arial"/>
              </w:rPr>
            </w:pPr>
          </w:p>
          <w:p w14:paraId="151338D0" w14:textId="77777777" w:rsidR="00236AB5" w:rsidRPr="008819AF" w:rsidRDefault="00236AB5" w:rsidP="00236AB5">
            <w:pPr>
              <w:ind w:left="71"/>
              <w:rPr>
                <w:rFonts w:eastAsia="Arial"/>
              </w:rPr>
            </w:pPr>
          </w:p>
          <w:p w14:paraId="151338D1" w14:textId="77777777" w:rsidR="00236AB5" w:rsidRPr="008819AF" w:rsidRDefault="00236AB5" w:rsidP="00236AB5">
            <w:pPr>
              <w:ind w:left="71"/>
              <w:rPr>
                <w:rFonts w:eastAsia="Arial"/>
              </w:rPr>
            </w:pPr>
          </w:p>
          <w:p w14:paraId="151338D2" w14:textId="77777777" w:rsidR="00236AB5" w:rsidRPr="008819AF" w:rsidRDefault="00236AB5" w:rsidP="00236AB5">
            <w:pPr>
              <w:ind w:left="71"/>
              <w:rPr>
                <w:rFonts w:eastAsia="Arial"/>
              </w:rPr>
            </w:pPr>
          </w:p>
          <w:p w14:paraId="151338D3" w14:textId="77777777" w:rsidR="00236AB5" w:rsidRPr="008819AF" w:rsidRDefault="00236AB5" w:rsidP="00236AB5">
            <w:pPr>
              <w:ind w:left="71"/>
              <w:rPr>
                <w:rFonts w:eastAsia="Arial"/>
              </w:rPr>
            </w:pPr>
          </w:p>
          <w:p w14:paraId="151338D4" w14:textId="77777777" w:rsidR="00236AB5" w:rsidRPr="008819AF" w:rsidRDefault="00236AB5" w:rsidP="00236AB5">
            <w:pPr>
              <w:ind w:left="71"/>
              <w:rPr>
                <w:rFonts w:eastAsia="Arial"/>
              </w:rPr>
            </w:pPr>
          </w:p>
          <w:p w14:paraId="151338D5" w14:textId="77777777" w:rsidR="00236AB5" w:rsidRPr="008819AF" w:rsidRDefault="00236AB5" w:rsidP="00236AB5">
            <w:pPr>
              <w:ind w:left="71"/>
              <w:rPr>
                <w:rFonts w:eastAsia="Arial"/>
              </w:rPr>
            </w:pPr>
          </w:p>
          <w:p w14:paraId="151338D6" w14:textId="77777777" w:rsidR="00236AB5" w:rsidRPr="008819AF" w:rsidRDefault="00236AB5" w:rsidP="00236AB5">
            <w:pPr>
              <w:rPr>
                <w:rFonts w:eastAsia="Arial"/>
              </w:rPr>
            </w:pPr>
            <w:r w:rsidRPr="008819AF">
              <w:rPr>
                <w:rFonts w:eastAsia="Arial"/>
              </w:rPr>
              <w:t>.</w:t>
            </w:r>
          </w:p>
          <w:p w14:paraId="151338D7" w14:textId="77777777" w:rsidR="00236AB5" w:rsidRPr="008819AF" w:rsidRDefault="00236AB5" w:rsidP="00236AB5">
            <w:pPr>
              <w:ind w:left="71"/>
              <w:rPr>
                <w:rFonts w:eastAsia="Arial"/>
              </w:rPr>
            </w:pPr>
          </w:p>
          <w:p w14:paraId="151338D8" w14:textId="77777777" w:rsidR="00236AB5" w:rsidRPr="008819AF" w:rsidRDefault="00236AB5" w:rsidP="00236AB5">
            <w:pPr>
              <w:ind w:left="71"/>
              <w:rPr>
                <w:rFonts w:eastAsia="Arial"/>
              </w:rPr>
            </w:pPr>
          </w:p>
          <w:p w14:paraId="151338D9" w14:textId="77777777" w:rsidR="00236AB5" w:rsidRPr="008819AF" w:rsidRDefault="00236AB5" w:rsidP="00236AB5">
            <w:pPr>
              <w:ind w:right="-70"/>
              <w:rPr>
                <w:rFonts w:eastAsia="Arial"/>
              </w:rPr>
            </w:pPr>
          </w:p>
        </w:tc>
      </w:tr>
      <w:tr w:rsidR="00236AB5" w:rsidRPr="008819AF" w14:paraId="15133912"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8DB"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8DC" w14:textId="77777777" w:rsidR="00236AB5" w:rsidRPr="008819AF" w:rsidRDefault="00236AB5" w:rsidP="00236AB5">
            <w:pPr>
              <w:ind w:left="215" w:hanging="215"/>
              <w:rPr>
                <w:rFonts w:eastAsia="Arial"/>
                <w:lang w:bidi="cs-CZ"/>
              </w:rPr>
            </w:pPr>
            <w:r w:rsidRPr="008819AF">
              <w:rPr>
                <w:rFonts w:eastAsia="Arial"/>
                <w:lang w:bidi="cs-CZ"/>
              </w:rPr>
              <w:t>9. Na úrovni emisného limitu nesmú hodnoty intervalov 95 % spoľahlivosti jedného nameraného výsledku prekročiť tieto percentá emisných limitov: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3"/>
              <w:gridCol w:w="992"/>
            </w:tblGrid>
            <w:tr w:rsidR="00236AB5" w:rsidRPr="008819AF" w14:paraId="151338DF" w14:textId="77777777" w:rsidTr="00E64E9B">
              <w:trPr>
                <w:trHeight w:val="103"/>
              </w:trPr>
              <w:tc>
                <w:tcPr>
                  <w:tcW w:w="4183" w:type="dxa"/>
                </w:tcPr>
                <w:p w14:paraId="151338DD" w14:textId="77777777" w:rsidR="00236AB5" w:rsidRPr="008819AF" w:rsidRDefault="00236AB5" w:rsidP="00236AB5">
                  <w:pPr>
                    <w:ind w:left="215" w:hanging="215"/>
                    <w:rPr>
                      <w:rFonts w:eastAsia="Arial"/>
                      <w:lang w:bidi="cs-CZ"/>
                    </w:rPr>
                  </w:pPr>
                  <w:r w:rsidRPr="008819AF">
                    <w:rPr>
                      <w:rFonts w:eastAsia="Arial"/>
                      <w:lang w:bidi="cs-CZ"/>
                    </w:rPr>
                    <w:t>Oxid uhoľnatý</w:t>
                  </w:r>
                </w:p>
              </w:tc>
              <w:tc>
                <w:tcPr>
                  <w:tcW w:w="992" w:type="dxa"/>
                </w:tcPr>
                <w:p w14:paraId="151338DE" w14:textId="77777777" w:rsidR="00236AB5" w:rsidRPr="008819AF" w:rsidRDefault="00236AB5" w:rsidP="00236AB5">
                  <w:pPr>
                    <w:ind w:left="215" w:hanging="215"/>
                    <w:rPr>
                      <w:rFonts w:eastAsia="Arial"/>
                      <w:lang w:bidi="cs-CZ"/>
                    </w:rPr>
                  </w:pPr>
                  <w:r w:rsidRPr="008819AF">
                    <w:rPr>
                      <w:rFonts w:eastAsia="Arial"/>
                      <w:lang w:bidi="cs-CZ"/>
                    </w:rPr>
                    <w:t>10 %</w:t>
                  </w:r>
                </w:p>
              </w:tc>
            </w:tr>
            <w:tr w:rsidR="00236AB5" w:rsidRPr="008819AF" w14:paraId="151338E2" w14:textId="77777777" w:rsidTr="00E64E9B">
              <w:trPr>
                <w:trHeight w:val="103"/>
              </w:trPr>
              <w:tc>
                <w:tcPr>
                  <w:tcW w:w="4183" w:type="dxa"/>
                </w:tcPr>
                <w:p w14:paraId="151338E0" w14:textId="77777777" w:rsidR="00236AB5" w:rsidRPr="008819AF" w:rsidRDefault="00236AB5" w:rsidP="00236AB5">
                  <w:pPr>
                    <w:ind w:left="215" w:hanging="215"/>
                    <w:rPr>
                      <w:rFonts w:eastAsia="Arial"/>
                      <w:lang w:bidi="cs-CZ"/>
                    </w:rPr>
                  </w:pPr>
                  <w:r w:rsidRPr="008819AF">
                    <w:rPr>
                      <w:rFonts w:eastAsia="Arial"/>
                      <w:lang w:bidi="cs-CZ"/>
                    </w:rPr>
                    <w:t>Oxid siričitý</w:t>
                  </w:r>
                </w:p>
              </w:tc>
              <w:tc>
                <w:tcPr>
                  <w:tcW w:w="992" w:type="dxa"/>
                </w:tcPr>
                <w:p w14:paraId="151338E1" w14:textId="77777777" w:rsidR="00236AB5" w:rsidRPr="008819AF" w:rsidRDefault="00236AB5" w:rsidP="00236AB5">
                  <w:pPr>
                    <w:ind w:left="215" w:hanging="215"/>
                    <w:rPr>
                      <w:rFonts w:eastAsia="Arial"/>
                      <w:lang w:bidi="cs-CZ"/>
                    </w:rPr>
                  </w:pPr>
                  <w:r w:rsidRPr="008819AF">
                    <w:rPr>
                      <w:rFonts w:eastAsia="Arial"/>
                      <w:lang w:bidi="cs-CZ"/>
                    </w:rPr>
                    <w:t>20 %</w:t>
                  </w:r>
                </w:p>
              </w:tc>
            </w:tr>
            <w:tr w:rsidR="00236AB5" w:rsidRPr="008819AF" w14:paraId="151338E5" w14:textId="77777777" w:rsidTr="00E64E9B">
              <w:trPr>
                <w:trHeight w:val="103"/>
              </w:trPr>
              <w:tc>
                <w:tcPr>
                  <w:tcW w:w="4183" w:type="dxa"/>
                </w:tcPr>
                <w:p w14:paraId="151338E3" w14:textId="77777777" w:rsidR="00236AB5" w:rsidRPr="008819AF" w:rsidRDefault="00236AB5" w:rsidP="00236AB5">
                  <w:pPr>
                    <w:ind w:left="215" w:hanging="215"/>
                    <w:rPr>
                      <w:rFonts w:eastAsia="Arial"/>
                      <w:lang w:bidi="cs-CZ"/>
                    </w:rPr>
                  </w:pPr>
                  <w:r w:rsidRPr="008819AF">
                    <w:rPr>
                      <w:rFonts w:eastAsia="Arial"/>
                      <w:lang w:bidi="cs-CZ"/>
                    </w:rPr>
                    <w:t>Oxidy dusíka</w:t>
                  </w:r>
                </w:p>
              </w:tc>
              <w:tc>
                <w:tcPr>
                  <w:tcW w:w="992" w:type="dxa"/>
                </w:tcPr>
                <w:p w14:paraId="151338E4" w14:textId="77777777" w:rsidR="00236AB5" w:rsidRPr="008819AF" w:rsidRDefault="00236AB5" w:rsidP="00236AB5">
                  <w:pPr>
                    <w:ind w:left="215" w:hanging="215"/>
                    <w:rPr>
                      <w:rFonts w:eastAsia="Arial"/>
                      <w:lang w:bidi="cs-CZ"/>
                    </w:rPr>
                  </w:pPr>
                  <w:r w:rsidRPr="008819AF">
                    <w:rPr>
                      <w:rFonts w:eastAsia="Arial"/>
                      <w:lang w:bidi="cs-CZ"/>
                    </w:rPr>
                    <w:t>20 %</w:t>
                  </w:r>
                </w:p>
              </w:tc>
            </w:tr>
            <w:tr w:rsidR="00236AB5" w:rsidRPr="008819AF" w14:paraId="151338E8" w14:textId="77777777" w:rsidTr="00E64E9B">
              <w:trPr>
                <w:trHeight w:val="103"/>
              </w:trPr>
              <w:tc>
                <w:tcPr>
                  <w:tcW w:w="4183" w:type="dxa"/>
                </w:tcPr>
                <w:p w14:paraId="151338E6" w14:textId="77777777" w:rsidR="00236AB5" w:rsidRPr="008819AF" w:rsidRDefault="00236AB5" w:rsidP="00236AB5">
                  <w:pPr>
                    <w:ind w:left="215" w:hanging="215"/>
                    <w:rPr>
                      <w:rFonts w:eastAsia="Arial"/>
                      <w:lang w:bidi="cs-CZ"/>
                    </w:rPr>
                  </w:pPr>
                  <w:r w:rsidRPr="008819AF">
                    <w:rPr>
                      <w:rFonts w:eastAsia="Arial"/>
                      <w:lang w:bidi="cs-CZ"/>
                    </w:rPr>
                    <w:t>Prach</w:t>
                  </w:r>
                </w:p>
              </w:tc>
              <w:tc>
                <w:tcPr>
                  <w:tcW w:w="992" w:type="dxa"/>
                </w:tcPr>
                <w:p w14:paraId="151338E7" w14:textId="77777777" w:rsidR="00236AB5" w:rsidRPr="008819AF" w:rsidRDefault="00236AB5" w:rsidP="00236AB5">
                  <w:pPr>
                    <w:ind w:left="215" w:hanging="215"/>
                    <w:rPr>
                      <w:rFonts w:eastAsia="Arial"/>
                      <w:lang w:bidi="cs-CZ"/>
                    </w:rPr>
                  </w:pPr>
                  <w:r w:rsidRPr="008819AF">
                    <w:rPr>
                      <w:rFonts w:eastAsia="Arial"/>
                      <w:lang w:bidi="cs-CZ"/>
                    </w:rPr>
                    <w:t>30 %</w:t>
                  </w:r>
                </w:p>
              </w:tc>
            </w:tr>
          </w:tbl>
          <w:p w14:paraId="151338E9" w14:textId="77777777" w:rsidR="00236AB5" w:rsidRPr="008819AF" w:rsidRDefault="00236AB5" w:rsidP="00236AB5">
            <w:pPr>
              <w:ind w:left="215" w:hanging="215"/>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8EA"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8EB"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8EC" w14:textId="77777777" w:rsidR="00236AB5" w:rsidRPr="008819AF" w:rsidRDefault="00236AB5" w:rsidP="00236AB5">
            <w:pPr>
              <w:jc w:val="center"/>
            </w:pPr>
            <w:r w:rsidRPr="008819AF">
              <w:t>Pr. 12</w:t>
            </w:r>
          </w:p>
          <w:p w14:paraId="151338ED" w14:textId="77777777" w:rsidR="00236AB5" w:rsidRPr="008819AF" w:rsidRDefault="00236AB5" w:rsidP="00236AB5">
            <w:pPr>
              <w:jc w:val="center"/>
            </w:pPr>
            <w:r w:rsidRPr="008819AF">
              <w:t>Časť IV</w:t>
            </w:r>
          </w:p>
        </w:tc>
        <w:tc>
          <w:tcPr>
            <w:tcW w:w="5664" w:type="dxa"/>
            <w:gridSpan w:val="5"/>
            <w:tcBorders>
              <w:top w:val="single" w:sz="4" w:space="0" w:color="000000"/>
              <w:left w:val="single" w:sz="6" w:space="0" w:color="000000"/>
              <w:bottom w:val="single" w:sz="6" w:space="0" w:color="000000"/>
              <w:right w:val="single" w:sz="6" w:space="0" w:color="000000"/>
            </w:tcBorders>
          </w:tcPr>
          <w:p w14:paraId="151338EE"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IV.  INTERVAL  SPOĽAHLIVOSTI  MERANIA</w:t>
            </w:r>
          </w:p>
          <w:p w14:paraId="151338EF"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Nepresnosť kontinuálneho merania jednotlivej hodnoty na úrovni emisného limitu vyjadrená ako veľkosť limitnej hodnoty 95-percentného intervalu spoľahlivosti nesmie prekročiť tieto percentuálne podiely z hodnôt emisných limitov:</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304"/>
              <w:gridCol w:w="3240"/>
            </w:tblGrid>
            <w:tr w:rsidR="00236AB5" w:rsidRPr="008819AF" w14:paraId="151338F2" w14:textId="77777777" w:rsidTr="006130EB">
              <w:trPr>
                <w:trHeight w:val="340"/>
                <w:jc w:val="center"/>
              </w:trPr>
              <w:tc>
                <w:tcPr>
                  <w:tcW w:w="3794" w:type="dxa"/>
                </w:tcPr>
                <w:p w14:paraId="151338F0" w14:textId="77777777" w:rsidR="00236AB5" w:rsidRPr="008819AF" w:rsidRDefault="00236AB5" w:rsidP="00236AB5">
                  <w:pPr>
                    <w:keepNext/>
                    <w:spacing w:after="60"/>
                    <w:jc w:val="both"/>
                    <w:rPr>
                      <w:b/>
                      <w:sz w:val="18"/>
                      <w:szCs w:val="18"/>
                    </w:rPr>
                  </w:pPr>
                  <w:r w:rsidRPr="008819AF">
                    <w:rPr>
                      <w:b/>
                      <w:sz w:val="18"/>
                      <w:szCs w:val="18"/>
                    </w:rPr>
                    <w:t xml:space="preserve">Znečisťujúca látka </w:t>
                  </w:r>
                </w:p>
              </w:tc>
              <w:tc>
                <w:tcPr>
                  <w:tcW w:w="5404" w:type="dxa"/>
                </w:tcPr>
                <w:p w14:paraId="151338F1" w14:textId="77777777" w:rsidR="00236AB5" w:rsidRPr="008819AF" w:rsidRDefault="00236AB5" w:rsidP="00236AB5">
                  <w:pPr>
                    <w:keepNext/>
                    <w:spacing w:after="60"/>
                    <w:jc w:val="center"/>
                    <w:rPr>
                      <w:b/>
                      <w:sz w:val="18"/>
                      <w:szCs w:val="18"/>
                    </w:rPr>
                  </w:pPr>
                  <w:r w:rsidRPr="008819AF">
                    <w:rPr>
                      <w:b/>
                      <w:sz w:val="18"/>
                      <w:szCs w:val="18"/>
                    </w:rPr>
                    <w:t>Presnosť merania</w:t>
                  </w:r>
                </w:p>
              </w:tc>
            </w:tr>
            <w:tr w:rsidR="00236AB5" w:rsidRPr="008819AF" w14:paraId="151338F5" w14:textId="77777777" w:rsidTr="006130EB">
              <w:trPr>
                <w:trHeight w:val="340"/>
                <w:jc w:val="center"/>
              </w:trPr>
              <w:tc>
                <w:tcPr>
                  <w:tcW w:w="3794" w:type="dxa"/>
                </w:tcPr>
                <w:p w14:paraId="151338F3" w14:textId="77777777" w:rsidR="00236AB5" w:rsidRPr="008819AF" w:rsidRDefault="00236AB5" w:rsidP="00236AB5">
                  <w:pPr>
                    <w:keepNext/>
                    <w:spacing w:after="60"/>
                    <w:jc w:val="both"/>
                    <w:rPr>
                      <w:sz w:val="18"/>
                      <w:szCs w:val="18"/>
                    </w:rPr>
                  </w:pPr>
                  <w:r w:rsidRPr="008819AF">
                    <w:rPr>
                      <w:sz w:val="18"/>
                      <w:szCs w:val="18"/>
                    </w:rPr>
                    <w:t xml:space="preserve">Tuhé znečisťujúce látky TZL   </w:t>
                  </w:r>
                </w:p>
              </w:tc>
              <w:tc>
                <w:tcPr>
                  <w:tcW w:w="5404" w:type="dxa"/>
                  <w:vAlign w:val="center"/>
                </w:tcPr>
                <w:p w14:paraId="151338F4" w14:textId="77777777" w:rsidR="00236AB5" w:rsidRPr="008819AF" w:rsidRDefault="00236AB5" w:rsidP="00236AB5">
                  <w:pPr>
                    <w:keepNext/>
                    <w:spacing w:after="60"/>
                    <w:jc w:val="center"/>
                    <w:rPr>
                      <w:sz w:val="18"/>
                      <w:szCs w:val="18"/>
                    </w:rPr>
                  </w:pPr>
                  <w:r w:rsidRPr="008819AF">
                    <w:rPr>
                      <w:sz w:val="18"/>
                      <w:szCs w:val="18"/>
                    </w:rPr>
                    <w:t>30 %</w:t>
                  </w:r>
                </w:p>
              </w:tc>
            </w:tr>
            <w:tr w:rsidR="00236AB5" w:rsidRPr="008819AF" w14:paraId="151338F8" w14:textId="77777777" w:rsidTr="006130EB">
              <w:trPr>
                <w:trHeight w:val="340"/>
                <w:jc w:val="center"/>
              </w:trPr>
              <w:tc>
                <w:tcPr>
                  <w:tcW w:w="3794" w:type="dxa"/>
                </w:tcPr>
                <w:p w14:paraId="151338F6" w14:textId="77777777" w:rsidR="00236AB5" w:rsidRPr="008819AF" w:rsidRDefault="00236AB5" w:rsidP="00236AB5">
                  <w:pPr>
                    <w:keepNext/>
                    <w:spacing w:after="60"/>
                    <w:jc w:val="both"/>
                    <w:rPr>
                      <w:sz w:val="18"/>
                      <w:szCs w:val="18"/>
                    </w:rPr>
                  </w:pPr>
                  <w:r w:rsidRPr="008819AF">
                    <w:rPr>
                      <w:sz w:val="18"/>
                      <w:szCs w:val="18"/>
                    </w:rPr>
                    <w:t>Oxid siričitý SO</w:t>
                  </w:r>
                  <w:r w:rsidRPr="008819AF">
                    <w:rPr>
                      <w:sz w:val="18"/>
                      <w:szCs w:val="18"/>
                      <w:vertAlign w:val="subscript"/>
                    </w:rPr>
                    <w:t>2</w:t>
                  </w:r>
                </w:p>
              </w:tc>
              <w:tc>
                <w:tcPr>
                  <w:tcW w:w="5404" w:type="dxa"/>
                  <w:vAlign w:val="center"/>
                </w:tcPr>
                <w:p w14:paraId="151338F7" w14:textId="77777777" w:rsidR="00236AB5" w:rsidRPr="008819AF" w:rsidRDefault="00236AB5" w:rsidP="00236AB5">
                  <w:pPr>
                    <w:keepNext/>
                    <w:spacing w:after="60"/>
                    <w:jc w:val="center"/>
                    <w:rPr>
                      <w:sz w:val="18"/>
                      <w:szCs w:val="18"/>
                    </w:rPr>
                  </w:pPr>
                  <w:r w:rsidRPr="008819AF">
                    <w:rPr>
                      <w:sz w:val="18"/>
                      <w:szCs w:val="18"/>
                    </w:rPr>
                    <w:t>20 %</w:t>
                  </w:r>
                </w:p>
              </w:tc>
            </w:tr>
            <w:tr w:rsidR="00236AB5" w:rsidRPr="008819AF" w14:paraId="151338FB" w14:textId="77777777" w:rsidTr="006130EB">
              <w:trPr>
                <w:trHeight w:val="340"/>
                <w:jc w:val="center"/>
              </w:trPr>
              <w:tc>
                <w:tcPr>
                  <w:tcW w:w="3794" w:type="dxa"/>
                </w:tcPr>
                <w:p w14:paraId="151338F9" w14:textId="77777777" w:rsidR="00236AB5" w:rsidRPr="008819AF" w:rsidRDefault="00236AB5" w:rsidP="00236AB5">
                  <w:pPr>
                    <w:keepNext/>
                    <w:spacing w:after="60"/>
                    <w:jc w:val="both"/>
                    <w:rPr>
                      <w:sz w:val="18"/>
                      <w:szCs w:val="18"/>
                    </w:rPr>
                  </w:pPr>
                  <w:r w:rsidRPr="008819AF">
                    <w:rPr>
                      <w:sz w:val="18"/>
                      <w:szCs w:val="18"/>
                    </w:rPr>
                    <w:t>Oxidy dusíka NOx</w:t>
                  </w:r>
                </w:p>
              </w:tc>
              <w:tc>
                <w:tcPr>
                  <w:tcW w:w="5404" w:type="dxa"/>
                  <w:vAlign w:val="center"/>
                </w:tcPr>
                <w:p w14:paraId="151338FA" w14:textId="77777777" w:rsidR="00236AB5" w:rsidRPr="008819AF" w:rsidRDefault="00236AB5" w:rsidP="00236AB5">
                  <w:pPr>
                    <w:keepNext/>
                    <w:spacing w:after="60"/>
                    <w:jc w:val="center"/>
                    <w:rPr>
                      <w:sz w:val="18"/>
                      <w:szCs w:val="18"/>
                    </w:rPr>
                  </w:pPr>
                  <w:r w:rsidRPr="008819AF">
                    <w:rPr>
                      <w:sz w:val="18"/>
                      <w:szCs w:val="18"/>
                    </w:rPr>
                    <w:t>20 %</w:t>
                  </w:r>
                </w:p>
              </w:tc>
            </w:tr>
            <w:tr w:rsidR="00236AB5" w:rsidRPr="008819AF" w14:paraId="151338FE" w14:textId="77777777" w:rsidTr="006130EB">
              <w:trPr>
                <w:trHeight w:val="340"/>
                <w:jc w:val="center"/>
              </w:trPr>
              <w:tc>
                <w:tcPr>
                  <w:tcW w:w="3794" w:type="dxa"/>
                </w:tcPr>
                <w:p w14:paraId="151338FC" w14:textId="77777777" w:rsidR="00236AB5" w:rsidRPr="008819AF" w:rsidRDefault="00236AB5" w:rsidP="00236AB5">
                  <w:pPr>
                    <w:keepNext/>
                    <w:spacing w:after="60"/>
                    <w:jc w:val="both"/>
                    <w:rPr>
                      <w:sz w:val="18"/>
                      <w:szCs w:val="18"/>
                    </w:rPr>
                  </w:pPr>
                  <w:r w:rsidRPr="008819AF">
                    <w:rPr>
                      <w:sz w:val="18"/>
                      <w:szCs w:val="18"/>
                    </w:rPr>
                    <w:lastRenderedPageBreak/>
                    <w:t xml:space="preserve">Oxid uhoľnatý CO   </w:t>
                  </w:r>
                </w:p>
              </w:tc>
              <w:tc>
                <w:tcPr>
                  <w:tcW w:w="5404" w:type="dxa"/>
                  <w:vAlign w:val="center"/>
                </w:tcPr>
                <w:p w14:paraId="151338FD" w14:textId="77777777" w:rsidR="00236AB5" w:rsidRPr="008819AF" w:rsidRDefault="00236AB5" w:rsidP="00236AB5">
                  <w:pPr>
                    <w:keepNext/>
                    <w:spacing w:after="60"/>
                    <w:jc w:val="center"/>
                    <w:rPr>
                      <w:sz w:val="18"/>
                      <w:szCs w:val="18"/>
                    </w:rPr>
                  </w:pPr>
                  <w:r w:rsidRPr="008819AF">
                    <w:rPr>
                      <w:sz w:val="18"/>
                      <w:szCs w:val="18"/>
                    </w:rPr>
                    <w:t>10 %</w:t>
                  </w:r>
                </w:p>
              </w:tc>
            </w:tr>
            <w:tr w:rsidR="00236AB5" w:rsidRPr="008819AF" w14:paraId="15133901" w14:textId="77777777" w:rsidTr="006130EB">
              <w:trPr>
                <w:trHeight w:val="340"/>
                <w:jc w:val="center"/>
              </w:trPr>
              <w:tc>
                <w:tcPr>
                  <w:tcW w:w="3794" w:type="dxa"/>
                </w:tcPr>
                <w:p w14:paraId="151338FF" w14:textId="77777777" w:rsidR="00236AB5" w:rsidRPr="008819AF" w:rsidRDefault="00236AB5" w:rsidP="00236AB5">
                  <w:pPr>
                    <w:keepNext/>
                    <w:spacing w:after="60"/>
                    <w:jc w:val="both"/>
                    <w:rPr>
                      <w:sz w:val="18"/>
                      <w:szCs w:val="18"/>
                    </w:rPr>
                  </w:pPr>
                  <w:r w:rsidRPr="008819AF">
                    <w:rPr>
                      <w:sz w:val="18"/>
                      <w:szCs w:val="18"/>
                    </w:rPr>
                    <w:t>Prchavé organické látky vyjadrené ako celkový organický uhlík TOC</w:t>
                  </w:r>
                </w:p>
              </w:tc>
              <w:tc>
                <w:tcPr>
                  <w:tcW w:w="5404" w:type="dxa"/>
                  <w:vAlign w:val="center"/>
                </w:tcPr>
                <w:p w14:paraId="15133900" w14:textId="77777777" w:rsidR="00236AB5" w:rsidRPr="008819AF" w:rsidRDefault="00236AB5" w:rsidP="00236AB5">
                  <w:pPr>
                    <w:keepNext/>
                    <w:spacing w:after="60"/>
                    <w:jc w:val="center"/>
                    <w:rPr>
                      <w:sz w:val="18"/>
                      <w:szCs w:val="18"/>
                    </w:rPr>
                  </w:pPr>
                  <w:r w:rsidRPr="008819AF">
                    <w:rPr>
                      <w:sz w:val="18"/>
                      <w:szCs w:val="18"/>
                    </w:rPr>
                    <w:t>30 %</w:t>
                  </w:r>
                </w:p>
              </w:tc>
            </w:tr>
            <w:tr w:rsidR="00236AB5" w:rsidRPr="008819AF" w14:paraId="15133904" w14:textId="77777777" w:rsidTr="006130EB">
              <w:trPr>
                <w:trHeight w:val="340"/>
                <w:jc w:val="center"/>
              </w:trPr>
              <w:tc>
                <w:tcPr>
                  <w:tcW w:w="3794" w:type="dxa"/>
                </w:tcPr>
                <w:p w14:paraId="15133902" w14:textId="77777777" w:rsidR="00236AB5" w:rsidRPr="008819AF" w:rsidRDefault="00236AB5" w:rsidP="00236AB5">
                  <w:pPr>
                    <w:keepNext/>
                    <w:spacing w:after="60"/>
                    <w:jc w:val="both"/>
                    <w:rPr>
                      <w:sz w:val="18"/>
                      <w:szCs w:val="18"/>
                    </w:rPr>
                  </w:pPr>
                  <w:r w:rsidRPr="008819AF">
                    <w:rPr>
                      <w:sz w:val="18"/>
                      <w:szCs w:val="18"/>
                    </w:rPr>
                    <w:t xml:space="preserve">Fluorovodík HF    </w:t>
                  </w:r>
                </w:p>
              </w:tc>
              <w:tc>
                <w:tcPr>
                  <w:tcW w:w="5404" w:type="dxa"/>
                  <w:vAlign w:val="center"/>
                </w:tcPr>
                <w:p w14:paraId="15133903" w14:textId="77777777" w:rsidR="00236AB5" w:rsidRPr="008819AF" w:rsidRDefault="00236AB5" w:rsidP="00236AB5">
                  <w:pPr>
                    <w:keepNext/>
                    <w:spacing w:after="60"/>
                    <w:jc w:val="center"/>
                    <w:rPr>
                      <w:sz w:val="18"/>
                      <w:szCs w:val="18"/>
                    </w:rPr>
                  </w:pPr>
                  <w:r w:rsidRPr="008819AF">
                    <w:rPr>
                      <w:sz w:val="18"/>
                      <w:szCs w:val="18"/>
                    </w:rPr>
                    <w:t>40 %</w:t>
                  </w:r>
                </w:p>
              </w:tc>
            </w:tr>
            <w:tr w:rsidR="00236AB5" w:rsidRPr="008819AF" w14:paraId="15133907" w14:textId="77777777" w:rsidTr="006130EB">
              <w:trPr>
                <w:trHeight w:val="340"/>
                <w:jc w:val="center"/>
              </w:trPr>
              <w:tc>
                <w:tcPr>
                  <w:tcW w:w="3794" w:type="dxa"/>
                </w:tcPr>
                <w:p w14:paraId="15133905" w14:textId="77777777" w:rsidR="00236AB5" w:rsidRPr="008819AF" w:rsidRDefault="00236AB5" w:rsidP="00236AB5">
                  <w:pPr>
                    <w:keepNext/>
                    <w:spacing w:after="60"/>
                    <w:jc w:val="both"/>
                    <w:rPr>
                      <w:sz w:val="18"/>
                      <w:szCs w:val="18"/>
                    </w:rPr>
                  </w:pPr>
                  <w:r w:rsidRPr="008819AF">
                    <w:rPr>
                      <w:sz w:val="18"/>
                      <w:szCs w:val="18"/>
                    </w:rPr>
                    <w:t>Chlorovodík HCl</w:t>
                  </w:r>
                </w:p>
              </w:tc>
              <w:tc>
                <w:tcPr>
                  <w:tcW w:w="5404" w:type="dxa"/>
                  <w:vAlign w:val="center"/>
                </w:tcPr>
                <w:p w14:paraId="15133906" w14:textId="77777777" w:rsidR="00236AB5" w:rsidRPr="008819AF" w:rsidRDefault="00236AB5" w:rsidP="00236AB5">
                  <w:pPr>
                    <w:keepNext/>
                    <w:spacing w:after="60"/>
                    <w:jc w:val="center"/>
                    <w:rPr>
                      <w:sz w:val="18"/>
                      <w:szCs w:val="18"/>
                    </w:rPr>
                  </w:pPr>
                  <w:r w:rsidRPr="008819AF">
                    <w:rPr>
                      <w:sz w:val="18"/>
                      <w:szCs w:val="18"/>
                    </w:rPr>
                    <w:t>40 %</w:t>
                  </w:r>
                </w:p>
              </w:tc>
            </w:tr>
            <w:tr w:rsidR="00236AB5" w:rsidRPr="008819AF" w14:paraId="1513390A" w14:textId="77777777" w:rsidTr="006130EB">
              <w:trPr>
                <w:trHeight w:val="340"/>
                <w:jc w:val="center"/>
              </w:trPr>
              <w:tc>
                <w:tcPr>
                  <w:tcW w:w="3794" w:type="dxa"/>
                </w:tcPr>
                <w:p w14:paraId="15133908" w14:textId="77777777" w:rsidR="00236AB5" w:rsidRPr="008819AF" w:rsidRDefault="00236AB5" w:rsidP="00236AB5">
                  <w:pPr>
                    <w:keepNext/>
                    <w:spacing w:after="60"/>
                    <w:jc w:val="both"/>
                    <w:rPr>
                      <w:sz w:val="18"/>
                      <w:szCs w:val="18"/>
                    </w:rPr>
                  </w:pPr>
                  <w:r w:rsidRPr="008819AF">
                    <w:rPr>
                      <w:sz w:val="18"/>
                      <w:szCs w:val="18"/>
                    </w:rPr>
                    <w:t>Ortuť Hg</w:t>
                  </w:r>
                </w:p>
              </w:tc>
              <w:tc>
                <w:tcPr>
                  <w:tcW w:w="5404" w:type="dxa"/>
                  <w:vAlign w:val="center"/>
                </w:tcPr>
                <w:p w14:paraId="15133909" w14:textId="77777777" w:rsidR="00236AB5" w:rsidRPr="008819AF" w:rsidRDefault="00236AB5" w:rsidP="00236AB5">
                  <w:pPr>
                    <w:keepNext/>
                    <w:spacing w:after="60"/>
                    <w:jc w:val="center"/>
                    <w:rPr>
                      <w:sz w:val="18"/>
                      <w:szCs w:val="18"/>
                    </w:rPr>
                  </w:pPr>
                  <w:r w:rsidRPr="008819AF">
                    <w:rPr>
                      <w:sz w:val="18"/>
                      <w:szCs w:val="18"/>
                    </w:rPr>
                    <w:t>40 %</w:t>
                  </w:r>
                </w:p>
              </w:tc>
            </w:tr>
            <w:tr w:rsidR="00236AB5" w:rsidRPr="008819AF" w14:paraId="1513390D" w14:textId="77777777" w:rsidTr="006130EB">
              <w:trPr>
                <w:trHeight w:val="340"/>
                <w:jc w:val="center"/>
              </w:trPr>
              <w:tc>
                <w:tcPr>
                  <w:tcW w:w="3794" w:type="dxa"/>
                  <w:vAlign w:val="center"/>
                </w:tcPr>
                <w:p w14:paraId="1513390B" w14:textId="77777777" w:rsidR="00236AB5" w:rsidRPr="008819AF" w:rsidRDefault="00236AB5" w:rsidP="00236AB5">
                  <w:pPr>
                    <w:keepNext/>
                    <w:spacing w:after="60"/>
                    <w:rPr>
                      <w:sz w:val="18"/>
                      <w:szCs w:val="18"/>
                    </w:rPr>
                  </w:pPr>
                  <w:r w:rsidRPr="008819AF">
                    <w:rPr>
                      <w:sz w:val="18"/>
                      <w:szCs w:val="18"/>
                    </w:rPr>
                    <w:t>Ostatné ZL</w:t>
                  </w:r>
                </w:p>
              </w:tc>
              <w:tc>
                <w:tcPr>
                  <w:tcW w:w="5404" w:type="dxa"/>
                  <w:vAlign w:val="center"/>
                </w:tcPr>
                <w:p w14:paraId="1513390C" w14:textId="77777777" w:rsidR="00236AB5" w:rsidRPr="008819AF" w:rsidRDefault="00236AB5" w:rsidP="00236AB5">
                  <w:pPr>
                    <w:keepNext/>
                    <w:ind w:left="34"/>
                    <w:rPr>
                      <w:sz w:val="18"/>
                      <w:szCs w:val="18"/>
                    </w:rPr>
                  </w:pPr>
                  <w:r w:rsidRPr="008819AF">
                    <w:rPr>
                      <w:sz w:val="18"/>
                      <w:szCs w:val="18"/>
                    </w:rPr>
                    <w:t>Podľa metodiky oprávneného merania a výsledkov skúšky meracieho systému podľa osobitného predpisu.</w:t>
                  </w:r>
                  <w:r w:rsidRPr="008819AF">
                    <w:rPr>
                      <w:sz w:val="18"/>
                      <w:szCs w:val="18"/>
                      <w:vertAlign w:val="superscript"/>
                    </w:rPr>
                    <w:t>52</w:t>
                  </w:r>
                  <w:r w:rsidRPr="008819AF">
                    <w:rPr>
                      <w:sz w:val="18"/>
                      <w:szCs w:val="18"/>
                    </w:rPr>
                    <w:t>)</w:t>
                  </w:r>
                </w:p>
              </w:tc>
            </w:tr>
          </w:tbl>
          <w:p w14:paraId="1513390E" w14:textId="77777777" w:rsidR="00236AB5" w:rsidRPr="008819AF" w:rsidRDefault="00236AB5" w:rsidP="00236AB5">
            <w:pPr>
              <w:pStyle w:val="Textpoznmkypodiarou"/>
              <w:ind w:left="0" w:firstLine="0"/>
              <w:jc w:val="both"/>
              <w:rPr>
                <w:rFonts w:ascii="Times New Roman" w:hAnsi="Times New Roman" w:cs="Times New Roman"/>
                <w:sz w:val="20"/>
                <w:szCs w:val="20"/>
              </w:rPr>
            </w:pPr>
            <w:r w:rsidRPr="008819AF">
              <w:rPr>
                <w:rFonts w:ascii="Times New Roman" w:hAnsi="Times New Roman" w:cs="Times New Roman"/>
                <w:sz w:val="20"/>
                <w:szCs w:val="20"/>
              </w:rPr>
              <w:t>52) § xxx... vyhlášky Ministerstva životného prostredia Slovenskej  republiky č. ...... /2022 Z. z.. o monitorovaní emisií zo stacionárnych zdrojov znečisťovania ovzdušia a kvality ovzdušia v ich okolí</w:t>
            </w:r>
          </w:p>
          <w:p w14:paraId="1513390F" w14:textId="77777777" w:rsidR="00236AB5" w:rsidRPr="008819AF" w:rsidRDefault="00236AB5" w:rsidP="00236AB5">
            <w:pPr>
              <w:pStyle w:val="Hlavika"/>
              <w:ind w:left="0" w:firstLine="0"/>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3910"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911" w14:textId="77777777" w:rsidR="00236AB5" w:rsidRPr="008819AF" w:rsidRDefault="00236AB5" w:rsidP="00236AB5">
            <w:pPr>
              <w:ind w:left="215" w:hanging="215"/>
              <w:rPr>
                <w:rFonts w:eastAsia="Arial"/>
              </w:rPr>
            </w:pPr>
          </w:p>
        </w:tc>
      </w:tr>
      <w:tr w:rsidR="00236AB5" w:rsidRPr="008819AF" w14:paraId="15133924"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913"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914" w14:textId="77777777" w:rsidR="00236AB5" w:rsidRPr="008819AF" w:rsidRDefault="00236AB5" w:rsidP="00236AB5">
            <w:pPr>
              <w:ind w:left="214" w:hanging="214"/>
              <w:rPr>
                <w:rFonts w:eastAsia="Arial"/>
                <w:lang w:bidi="cs-CZ"/>
              </w:rPr>
            </w:pPr>
            <w:r w:rsidRPr="008819AF">
              <w:rPr>
                <w:rFonts w:eastAsia="Arial"/>
                <w:lang w:bidi="cs-CZ"/>
              </w:rPr>
              <w:t>10. Validované hodinové a denné priemerné hodnoty sa určia z nameraných platných priemerných hodinových hodnôt po odpočítaní hodnoty intervalu spoľahlivosti určeného v bode 9.</w:t>
            </w:r>
          </w:p>
          <w:p w14:paraId="15133915" w14:textId="77777777" w:rsidR="00236AB5" w:rsidRPr="008819AF" w:rsidRDefault="00236AB5" w:rsidP="00236AB5">
            <w:pPr>
              <w:ind w:left="214"/>
              <w:rPr>
                <w:rFonts w:eastAsia="Arial"/>
                <w:lang w:bidi="cs-CZ"/>
              </w:rPr>
            </w:pPr>
            <w:r w:rsidRPr="008819AF">
              <w:rPr>
                <w:rFonts w:eastAsia="Arial"/>
                <w:lang w:bidi="cs-CZ"/>
              </w:rPr>
              <w:t>Ktorýkoľvek deň, v ktorom sú viac ako tri priemerné hodinové hodnoty neplatné následkom poruchy alebo údržby automatizovaného systému merania, sa považuje za nevalidovaný.</w:t>
            </w:r>
          </w:p>
          <w:p w14:paraId="15133916" w14:textId="77777777" w:rsidR="00236AB5" w:rsidRPr="008819AF" w:rsidRDefault="00236AB5" w:rsidP="00236AB5">
            <w:pPr>
              <w:ind w:left="214"/>
              <w:rPr>
                <w:rFonts w:eastAsia="Arial"/>
                <w:lang w:bidi="cs-CZ"/>
              </w:rPr>
            </w:pPr>
            <w:r w:rsidRPr="008819AF">
              <w:rPr>
                <w:rFonts w:eastAsia="Arial"/>
                <w:lang w:bidi="cs-CZ"/>
              </w:rPr>
              <w:t>Ak je z uvedených príčin nevalidovaných viac ako 10 dní v roku, príslušný orgán bude požadovať od prevádzkovateľa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917"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918"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919" w14:textId="77777777" w:rsidR="00236AB5" w:rsidRPr="008819AF" w:rsidRDefault="00236AB5" w:rsidP="00236AB5">
            <w:pPr>
              <w:jc w:val="center"/>
            </w:pPr>
            <w:r w:rsidRPr="008819AF">
              <w:t>§20</w:t>
            </w:r>
          </w:p>
          <w:p w14:paraId="1513391A" w14:textId="77777777" w:rsidR="00236AB5" w:rsidRPr="008819AF" w:rsidRDefault="00236AB5" w:rsidP="00236AB5">
            <w:pPr>
              <w:jc w:val="center"/>
            </w:pPr>
            <w:r w:rsidRPr="008819AF">
              <w:t>O3</w:t>
            </w:r>
          </w:p>
          <w:p w14:paraId="1513391B" w14:textId="77777777" w:rsidR="00236AB5" w:rsidRPr="008819AF" w:rsidRDefault="00236AB5" w:rsidP="00236AB5">
            <w:pPr>
              <w:jc w:val="center"/>
            </w:pPr>
            <w:r w:rsidRPr="008819AF">
              <w:t>O4</w:t>
            </w:r>
          </w:p>
        </w:tc>
        <w:tc>
          <w:tcPr>
            <w:tcW w:w="5664" w:type="dxa"/>
            <w:gridSpan w:val="5"/>
            <w:tcBorders>
              <w:top w:val="single" w:sz="4" w:space="0" w:color="000000"/>
              <w:left w:val="single" w:sz="6" w:space="0" w:color="000000"/>
              <w:bottom w:val="single" w:sz="6" w:space="0" w:color="000000"/>
              <w:right w:val="single" w:sz="6" w:space="0" w:color="000000"/>
            </w:tcBorders>
          </w:tcPr>
          <w:p w14:paraId="1513391C" w14:textId="77777777" w:rsidR="00236AB5" w:rsidRPr="008819AF" w:rsidRDefault="00236AB5" w:rsidP="00236AB5">
            <w:pPr>
              <w:tabs>
                <w:tab w:val="left" w:pos="142"/>
              </w:tabs>
              <w:spacing w:after="203" w:line="261" w:lineRule="auto"/>
              <w:ind w:left="106"/>
              <w:contextualSpacing/>
              <w:jc w:val="both"/>
              <w:rPr>
                <w:rFonts w:eastAsia="Calibri"/>
                <w:noProof/>
              </w:rPr>
            </w:pPr>
            <w:r w:rsidRPr="008819AF">
              <w:rPr>
                <w:rFonts w:eastAsia="Calibri"/>
                <w:noProof/>
              </w:rPr>
              <w:t>(3) Validované hodinové a denné priemerné hodnoty sa určia z nameraných platných priemerných hodinových hodnôt po odpočítaní limitnej hodnoty 95 % intervalu spoľahlivosti uvedenej v prílohe č. 12 štvrtej časti na úrovni hodinovej limitnej hodnoty emisií.</w:t>
            </w:r>
          </w:p>
          <w:p w14:paraId="1513391D" w14:textId="77777777" w:rsidR="00236AB5" w:rsidRPr="008819AF" w:rsidRDefault="00236AB5" w:rsidP="00236AB5">
            <w:pPr>
              <w:tabs>
                <w:tab w:val="left" w:pos="142"/>
              </w:tabs>
              <w:spacing w:after="203" w:line="261" w:lineRule="auto"/>
              <w:ind w:left="106"/>
              <w:contextualSpacing/>
              <w:jc w:val="both"/>
              <w:rPr>
                <w:rFonts w:eastAsia="Calibri"/>
                <w:noProof/>
              </w:rPr>
            </w:pPr>
          </w:p>
          <w:p w14:paraId="1513391E" w14:textId="77777777" w:rsidR="00236AB5" w:rsidRPr="008819AF" w:rsidRDefault="00236AB5" w:rsidP="00236AB5">
            <w:pPr>
              <w:spacing w:line="261" w:lineRule="auto"/>
              <w:jc w:val="both"/>
              <w:rPr>
                <w:rFonts w:eastAsia="Calibri"/>
                <w:noProof/>
              </w:rPr>
            </w:pPr>
            <w:r w:rsidRPr="008819AF">
              <w:rPr>
                <w:rFonts w:eastAsia="Calibri"/>
                <w:noProof/>
              </w:rPr>
              <w:t>(4) Pri poruche alebo údržbe automatizovaného meracieho systému možno</w:t>
            </w:r>
          </w:p>
          <w:p w14:paraId="1513391F" w14:textId="77777777" w:rsidR="00236AB5" w:rsidRPr="008819AF" w:rsidRDefault="00236AB5" w:rsidP="00236AB5">
            <w:pPr>
              <w:numPr>
                <w:ilvl w:val="0"/>
                <w:numId w:val="90"/>
              </w:numPr>
              <w:spacing w:line="261" w:lineRule="auto"/>
              <w:ind w:hanging="283"/>
              <w:jc w:val="both"/>
              <w:rPr>
                <w:rFonts w:eastAsia="Calibri"/>
                <w:noProof/>
              </w:rPr>
            </w:pPr>
            <w:r w:rsidRPr="008819AF">
              <w:rPr>
                <w:rFonts w:eastAsia="Calibri"/>
                <w:noProof/>
              </w:rPr>
              <w:t xml:space="preserve">na zistenie platného denného priemeru vylúčiť najviac tri hodinové priemerné hodnoty; priemerná denná hodnota vypočítaná pri vylúčení viac ako troch hodinových priemerných hodnôt sa na účely posudzovania dodržania určeného emisného limitu považuje za neplatnú a </w:t>
            </w:r>
          </w:p>
          <w:p w14:paraId="15133920" w14:textId="77777777" w:rsidR="00236AB5" w:rsidRPr="008819AF" w:rsidRDefault="00236AB5" w:rsidP="00236AB5">
            <w:pPr>
              <w:numPr>
                <w:ilvl w:val="0"/>
                <w:numId w:val="90"/>
              </w:numPr>
              <w:spacing w:line="261" w:lineRule="auto"/>
              <w:ind w:left="284" w:hanging="284"/>
              <w:jc w:val="both"/>
              <w:rPr>
                <w:rFonts w:eastAsia="Calibri"/>
                <w:noProof/>
              </w:rPr>
            </w:pPr>
            <w:r w:rsidRPr="008819AF">
              <w:rPr>
                <w:rFonts w:eastAsia="Calibri"/>
                <w:noProof/>
              </w:rPr>
              <w:t>z hodnotenia dodržania určeného emisného limitu vylúčiť najviac desať dní za rok; ak počet vylúčených dní prekročí desať dní, na zabezpečenie spoľahlivosti automatizovaného meracieho systému povoľujúci orgán preskúma súhlas podľa § 26 ods. 8 zákona alebo podľa potreby uloží opatrenie na nápravu podľa § 44 ods. 5 písm. a) zákona alebo podľa osobitného predpisu.</w:t>
            </w:r>
            <w:r w:rsidRPr="008819AF">
              <w:rPr>
                <w:rFonts w:eastAsia="Calibri"/>
                <w:noProof/>
                <w:vertAlign w:val="superscript"/>
              </w:rPr>
              <w:t>9</w:t>
            </w:r>
            <w:r w:rsidRPr="008819AF">
              <w:rPr>
                <w:rFonts w:eastAsia="Calibri"/>
                <w:noProof/>
              </w:rPr>
              <w:t>)</w:t>
            </w:r>
          </w:p>
          <w:p w14:paraId="15133921" w14:textId="77777777" w:rsidR="00236AB5" w:rsidRPr="008819AF" w:rsidRDefault="00236AB5" w:rsidP="00236AB5">
            <w:pPr>
              <w:tabs>
                <w:tab w:val="left" w:pos="142"/>
              </w:tabs>
              <w:spacing w:after="203" w:line="261" w:lineRule="auto"/>
              <w:ind w:left="106"/>
              <w:contextualSpacing/>
              <w:jc w:val="both"/>
              <w:rPr>
                <w:lang w:bidi="cs-CZ"/>
              </w:rPr>
            </w:pPr>
            <w:r w:rsidRPr="008819AF">
              <w:rPr>
                <w:vertAlign w:val="superscript"/>
              </w:rPr>
              <w:t>9</w:t>
            </w:r>
            <w:r w:rsidRPr="008819AF">
              <w:t>) § 35ods. 2 písm.a) zákona č. 39/2013 Z. z. v znení neskorších predpisov.</w:t>
            </w:r>
          </w:p>
        </w:tc>
        <w:tc>
          <w:tcPr>
            <w:tcW w:w="429" w:type="dxa"/>
            <w:tcBorders>
              <w:top w:val="single" w:sz="4" w:space="0" w:color="000000"/>
              <w:left w:val="single" w:sz="6" w:space="0" w:color="000000"/>
              <w:bottom w:val="single" w:sz="6" w:space="0" w:color="000000"/>
              <w:right w:val="single" w:sz="6" w:space="0" w:color="000000"/>
            </w:tcBorders>
          </w:tcPr>
          <w:p w14:paraId="15133922"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923" w14:textId="77777777" w:rsidR="00236AB5" w:rsidRPr="008819AF" w:rsidRDefault="00236AB5" w:rsidP="00236AB5">
            <w:pPr>
              <w:ind w:left="215" w:hanging="215"/>
              <w:rPr>
                <w:rFonts w:eastAsia="Arial"/>
              </w:rPr>
            </w:pPr>
          </w:p>
        </w:tc>
      </w:tr>
      <w:tr w:rsidR="00236AB5" w:rsidRPr="008819AF" w14:paraId="1513392F"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925"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926" w14:textId="77777777" w:rsidR="00236AB5" w:rsidRPr="008819AF" w:rsidRDefault="00236AB5" w:rsidP="00236AB5">
            <w:pPr>
              <w:ind w:left="214" w:hanging="214"/>
              <w:rPr>
                <w:rFonts w:eastAsia="Arial"/>
                <w:lang w:bidi="cs-CZ"/>
              </w:rPr>
            </w:pPr>
            <w:r w:rsidRPr="008819AF">
              <w:rPr>
                <w:rFonts w:eastAsia="Arial"/>
                <w:lang w:bidi="cs-CZ"/>
              </w:rPr>
              <w:t>11. V prípade zariadení, ktoré musia dodržiavať stupne odsírenia uvedené v článku 31, sa pravidelne monitoruje aj obsah síry v palive, ktoré sa spaľuje v spaľovacom zariadení.</w:t>
            </w:r>
          </w:p>
          <w:p w14:paraId="15133927" w14:textId="77777777" w:rsidR="00236AB5" w:rsidRPr="008819AF" w:rsidRDefault="00236AB5" w:rsidP="00236AB5">
            <w:pPr>
              <w:ind w:left="214"/>
              <w:rPr>
                <w:rFonts w:eastAsia="Arial"/>
              </w:rPr>
            </w:pPr>
            <w:r w:rsidRPr="008819AF">
              <w:rPr>
                <w:rFonts w:eastAsia="Arial"/>
                <w:lang w:bidi="cs-CZ"/>
              </w:rPr>
              <w:t>Príslušné orgány sú informované o významných zmenách druhu používaného paliva.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928"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929"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392A" w14:textId="77777777" w:rsidR="00236AB5" w:rsidRPr="008819AF" w:rsidRDefault="00236AB5" w:rsidP="00236AB5">
            <w:pPr>
              <w:jc w:val="center"/>
            </w:pPr>
            <w:r w:rsidRPr="008819AF">
              <w:t>§9</w:t>
            </w:r>
          </w:p>
          <w:p w14:paraId="1513392B" w14:textId="77777777" w:rsidR="00236AB5" w:rsidRPr="008819AF" w:rsidRDefault="00236AB5" w:rsidP="00236AB5">
            <w:pPr>
              <w:jc w:val="center"/>
            </w:pPr>
            <w:r w:rsidRPr="008819AF">
              <w:t>O3</w:t>
            </w:r>
          </w:p>
        </w:tc>
        <w:tc>
          <w:tcPr>
            <w:tcW w:w="5664" w:type="dxa"/>
            <w:gridSpan w:val="5"/>
            <w:tcBorders>
              <w:top w:val="single" w:sz="4" w:space="0" w:color="000000"/>
              <w:left w:val="single" w:sz="6" w:space="0" w:color="000000"/>
              <w:bottom w:val="single" w:sz="6" w:space="0" w:color="000000"/>
              <w:right w:val="single" w:sz="6" w:space="0" w:color="000000"/>
            </w:tcBorders>
          </w:tcPr>
          <w:p w14:paraId="1513392C" w14:textId="77777777" w:rsidR="00236AB5" w:rsidRPr="008819AF" w:rsidRDefault="00236AB5" w:rsidP="00236AB5">
            <w:pPr>
              <w:jc w:val="both"/>
              <w:rPr>
                <w:rFonts w:eastAsia="Arial"/>
                <w:lang w:bidi="cs-CZ"/>
              </w:rPr>
            </w:pPr>
            <w:r w:rsidRPr="008819AF">
              <w:rPr>
                <w:rFonts w:eastAsia="Arial"/>
                <w:lang w:bidi="cs-CZ"/>
              </w:rPr>
              <w:t>(3) Ak ide o emisný limit vyjadrený ako stupeň odsírenia, podmienky kontinuálneho merania oxidu siričitého sa uplatňujú pre stupeň odsírenia. Súčasne s kontinuálnym meraním hodnôt emisných veličín, ktoré sú potrebné na výpočet stupňa odsírenia, je pravidelne monitorovaný obsah spáliteľnej síry v spaľovanom palive a príslušný okresný úrad alebo správny orgán v integrovanom povolení je informovaný o významných zmenách monitorovaného obsahu síry podľa druhu používaného paliva.</w:t>
            </w:r>
          </w:p>
        </w:tc>
        <w:tc>
          <w:tcPr>
            <w:tcW w:w="429" w:type="dxa"/>
            <w:tcBorders>
              <w:top w:val="single" w:sz="4" w:space="0" w:color="000000"/>
              <w:left w:val="single" w:sz="6" w:space="0" w:color="000000"/>
              <w:bottom w:val="single" w:sz="6" w:space="0" w:color="000000"/>
              <w:right w:val="single" w:sz="6" w:space="0" w:color="000000"/>
            </w:tcBorders>
          </w:tcPr>
          <w:p w14:paraId="1513392D"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92E" w14:textId="77777777" w:rsidR="00236AB5" w:rsidRPr="008819AF" w:rsidRDefault="00236AB5" w:rsidP="00236AB5">
            <w:pPr>
              <w:ind w:left="215" w:hanging="215"/>
              <w:rPr>
                <w:rFonts w:eastAsia="Arial"/>
              </w:rPr>
            </w:pPr>
          </w:p>
        </w:tc>
      </w:tr>
      <w:tr w:rsidR="00236AB5" w:rsidRPr="008819AF" w14:paraId="15133961" w14:textId="77777777" w:rsidTr="00E64E9B">
        <w:trPr>
          <w:trHeight w:val="498"/>
          <w:jc w:val="center"/>
        </w:trPr>
        <w:tc>
          <w:tcPr>
            <w:tcW w:w="483" w:type="dxa"/>
            <w:tcBorders>
              <w:top w:val="single" w:sz="4" w:space="0" w:color="000000"/>
              <w:left w:val="single" w:sz="6" w:space="0" w:color="000000"/>
              <w:bottom w:val="single" w:sz="6" w:space="0" w:color="000000"/>
              <w:right w:val="single" w:sz="6" w:space="0" w:color="000000"/>
            </w:tcBorders>
          </w:tcPr>
          <w:p w14:paraId="15133930"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93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ČASŤ 4</w:t>
            </w:r>
          </w:p>
          <w:p w14:paraId="15133932" w14:textId="77777777" w:rsidR="00236AB5" w:rsidRPr="008819AF" w:rsidRDefault="00236AB5" w:rsidP="00236AB5">
            <w:pPr>
              <w:pStyle w:val="Default"/>
              <w:rPr>
                <w:rFonts w:ascii="Times New Roman" w:eastAsia="Arial" w:hAnsi="Times New Roman" w:cs="Times New Roman"/>
                <w:i/>
                <w:iCs/>
                <w:color w:val="auto"/>
                <w:sz w:val="20"/>
                <w:szCs w:val="20"/>
              </w:rPr>
            </w:pPr>
            <w:r w:rsidRPr="008819AF">
              <w:rPr>
                <w:rFonts w:ascii="Times New Roman" w:eastAsia="Arial" w:hAnsi="Times New Roman" w:cs="Times New Roman"/>
                <w:i/>
                <w:iCs/>
                <w:color w:val="auto"/>
                <w:sz w:val="20"/>
                <w:szCs w:val="20"/>
              </w:rPr>
              <w:t>Posúdenie dodržiavania emisných limitov</w:t>
            </w:r>
          </w:p>
          <w:p w14:paraId="15133933" w14:textId="77777777" w:rsidR="00236AB5" w:rsidRPr="008819AF" w:rsidRDefault="00236AB5" w:rsidP="00236AB5">
            <w:pPr>
              <w:pStyle w:val="Default"/>
              <w:ind w:left="214" w:hanging="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V prípade kontinuálnych meraní sa emisné limity stanovené v častiach 1 a 2 považujú za dodržané, ak z vyhodnotenia výsledkov merania za prevádzkové hodiny v rámci kalendárneho roka vyplýva, že boli splnené všetky tieto podmienky:</w:t>
            </w:r>
          </w:p>
          <w:p w14:paraId="15133934" w14:textId="77777777" w:rsidR="00236AB5" w:rsidRPr="008819AF" w:rsidRDefault="00236AB5" w:rsidP="00236AB5">
            <w:pPr>
              <w:pStyle w:val="Default"/>
              <w:spacing w:after="120"/>
              <w:ind w:left="497" w:hanging="283"/>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a) žiadna validovaná priemerná mesačná hodota nepresiahne príslušné emisné limity stanovené v častiach 1 a 2;</w:t>
            </w:r>
          </w:p>
          <w:p w14:paraId="15133935" w14:textId="77777777" w:rsidR="00236AB5" w:rsidRPr="008819AF" w:rsidRDefault="00236AB5" w:rsidP="00236AB5">
            <w:pPr>
              <w:pStyle w:val="Default"/>
              <w:spacing w:after="120"/>
              <w:ind w:left="497" w:hanging="283"/>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b)  žiadna validovaná priemerná denná hodnota nepresiahne 110 % príslušných emisných limitov stanovených v častiach 1 a 2;</w:t>
            </w:r>
          </w:p>
          <w:p w14:paraId="15133936" w14:textId="77777777" w:rsidR="00236AB5" w:rsidRPr="008819AF" w:rsidRDefault="00236AB5" w:rsidP="00236AB5">
            <w:pPr>
              <w:pStyle w:val="Default"/>
              <w:spacing w:after="120"/>
              <w:ind w:left="497" w:hanging="283"/>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c)používajúcich uhlie s celkovým menovitým tepelnými príkonom nižším ako 50 MW, žiadna validovaná priemerná denná hodnota nepresiahne 150 % príslušných emisných limitov stanovených v častiach 1 a 2;</w:t>
            </w:r>
          </w:p>
          <w:p w14:paraId="15133937" w14:textId="77777777" w:rsidR="00236AB5" w:rsidRPr="008819AF" w:rsidRDefault="00236AB5" w:rsidP="00236AB5">
            <w:pPr>
              <w:pStyle w:val="Default"/>
              <w:ind w:left="497" w:hanging="283"/>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d)  95 % všetkých validovaných hodinových priemerných hodnôt za rok nepresiahne 200 % príslušných emisných limitov stanovených v častiach 1 a 2.</w:t>
            </w:r>
          </w:p>
          <w:p w14:paraId="15133938" w14:textId="77777777" w:rsidR="00236AB5" w:rsidRPr="008819AF" w:rsidRDefault="00236AB5" w:rsidP="00236AB5">
            <w:pPr>
              <w:pStyle w:val="Default"/>
              <w:ind w:left="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Validované priemerné hodnoty sa určujú podľa časti 3 bod 10.</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939"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93A"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93B" w14:textId="77777777" w:rsidR="00236AB5" w:rsidRPr="008819AF" w:rsidRDefault="00236AB5" w:rsidP="00236AB5">
            <w:pPr>
              <w:jc w:val="center"/>
            </w:pPr>
            <w:r w:rsidRPr="008819AF">
              <w:t>§20</w:t>
            </w:r>
          </w:p>
          <w:p w14:paraId="1513393C" w14:textId="77777777" w:rsidR="00236AB5" w:rsidRPr="008819AF" w:rsidRDefault="00236AB5" w:rsidP="00236AB5">
            <w:pPr>
              <w:jc w:val="center"/>
            </w:pPr>
            <w:r w:rsidRPr="008819AF">
              <w:t>O1</w:t>
            </w:r>
          </w:p>
          <w:p w14:paraId="1513393D" w14:textId="77777777" w:rsidR="00236AB5" w:rsidRPr="008819AF" w:rsidRDefault="00236AB5" w:rsidP="00236AB5">
            <w:pPr>
              <w:jc w:val="center"/>
            </w:pPr>
          </w:p>
          <w:p w14:paraId="1513393E" w14:textId="77777777" w:rsidR="00236AB5" w:rsidRPr="008819AF" w:rsidRDefault="00236AB5" w:rsidP="00236AB5">
            <w:pPr>
              <w:jc w:val="center"/>
            </w:pPr>
          </w:p>
          <w:p w14:paraId="1513393F" w14:textId="77777777" w:rsidR="00236AB5" w:rsidRPr="008819AF" w:rsidRDefault="00236AB5" w:rsidP="00236AB5">
            <w:pPr>
              <w:jc w:val="center"/>
            </w:pPr>
          </w:p>
          <w:p w14:paraId="15133940" w14:textId="77777777" w:rsidR="00236AB5" w:rsidRPr="008819AF" w:rsidRDefault="00236AB5" w:rsidP="00236AB5">
            <w:pPr>
              <w:jc w:val="center"/>
            </w:pPr>
          </w:p>
          <w:p w14:paraId="15133941" w14:textId="77777777" w:rsidR="00236AB5" w:rsidRPr="008819AF" w:rsidRDefault="00236AB5" w:rsidP="00236AB5">
            <w:pPr>
              <w:jc w:val="center"/>
            </w:pPr>
          </w:p>
          <w:p w14:paraId="15133942" w14:textId="77777777" w:rsidR="00236AB5" w:rsidRPr="008819AF" w:rsidRDefault="00236AB5" w:rsidP="00236AB5">
            <w:pPr>
              <w:jc w:val="center"/>
            </w:pPr>
          </w:p>
          <w:p w14:paraId="15133943" w14:textId="77777777" w:rsidR="00236AB5" w:rsidRPr="008819AF" w:rsidRDefault="00236AB5" w:rsidP="00236AB5">
            <w:pPr>
              <w:jc w:val="center"/>
            </w:pPr>
          </w:p>
          <w:p w14:paraId="15133944" w14:textId="77777777" w:rsidR="00236AB5" w:rsidRPr="008819AF" w:rsidRDefault="00236AB5" w:rsidP="00236AB5">
            <w:pPr>
              <w:jc w:val="center"/>
            </w:pPr>
          </w:p>
          <w:p w14:paraId="15133945" w14:textId="77777777" w:rsidR="00236AB5" w:rsidRPr="008819AF" w:rsidRDefault="00236AB5" w:rsidP="00236AB5">
            <w:pPr>
              <w:jc w:val="center"/>
            </w:pPr>
          </w:p>
          <w:p w14:paraId="15133946" w14:textId="77777777" w:rsidR="00236AB5" w:rsidRPr="008819AF" w:rsidRDefault="00236AB5" w:rsidP="00236AB5">
            <w:pPr>
              <w:jc w:val="center"/>
            </w:pPr>
          </w:p>
          <w:p w14:paraId="15133947" w14:textId="77777777" w:rsidR="00236AB5" w:rsidRPr="008819AF" w:rsidRDefault="00236AB5" w:rsidP="00236AB5">
            <w:pPr>
              <w:jc w:val="center"/>
            </w:pPr>
          </w:p>
          <w:p w14:paraId="15133948" w14:textId="77777777" w:rsidR="00236AB5" w:rsidRPr="008819AF" w:rsidRDefault="00236AB5" w:rsidP="00236AB5">
            <w:pPr>
              <w:jc w:val="center"/>
            </w:pPr>
          </w:p>
          <w:p w14:paraId="15133949" w14:textId="77777777" w:rsidR="00236AB5" w:rsidRPr="008819AF" w:rsidRDefault="00236AB5" w:rsidP="00236AB5">
            <w:pPr>
              <w:jc w:val="center"/>
            </w:pPr>
          </w:p>
          <w:p w14:paraId="1513394A" w14:textId="77777777" w:rsidR="00236AB5" w:rsidRPr="008819AF" w:rsidRDefault="00236AB5" w:rsidP="00236AB5">
            <w:pPr>
              <w:jc w:val="center"/>
            </w:pPr>
          </w:p>
          <w:p w14:paraId="1513394B" w14:textId="77777777" w:rsidR="00236AB5" w:rsidRPr="008819AF" w:rsidRDefault="00236AB5" w:rsidP="00236AB5">
            <w:pPr>
              <w:jc w:val="center"/>
            </w:pPr>
          </w:p>
          <w:p w14:paraId="1513394C" w14:textId="77777777" w:rsidR="00236AB5" w:rsidRPr="008819AF" w:rsidRDefault="00236AB5" w:rsidP="00236AB5">
            <w:pPr>
              <w:jc w:val="center"/>
            </w:pPr>
          </w:p>
          <w:p w14:paraId="1513394D" w14:textId="77777777" w:rsidR="00236AB5" w:rsidRPr="008819AF" w:rsidRDefault="00236AB5" w:rsidP="00236AB5">
            <w:pPr>
              <w:jc w:val="center"/>
            </w:pPr>
          </w:p>
          <w:p w14:paraId="1513394E" w14:textId="77777777" w:rsidR="00236AB5" w:rsidRPr="008819AF" w:rsidRDefault="00236AB5" w:rsidP="00236AB5">
            <w:pPr>
              <w:jc w:val="center"/>
            </w:pPr>
          </w:p>
          <w:p w14:paraId="1513394F" w14:textId="77777777" w:rsidR="00236AB5" w:rsidRPr="008819AF" w:rsidRDefault="00236AB5" w:rsidP="00236AB5">
            <w:pPr>
              <w:jc w:val="center"/>
            </w:pPr>
          </w:p>
          <w:p w14:paraId="15133950" w14:textId="77777777" w:rsidR="00236AB5" w:rsidRPr="008819AF" w:rsidRDefault="00236AB5" w:rsidP="00236AB5">
            <w:pPr>
              <w:jc w:val="center"/>
            </w:pPr>
          </w:p>
          <w:p w14:paraId="15133951" w14:textId="77777777" w:rsidR="00236AB5" w:rsidRPr="008819AF" w:rsidRDefault="00236AB5" w:rsidP="00236AB5">
            <w:pPr>
              <w:jc w:val="center"/>
            </w:pPr>
          </w:p>
          <w:p w14:paraId="15133952" w14:textId="77777777" w:rsidR="00236AB5" w:rsidRPr="008819AF" w:rsidRDefault="00236AB5" w:rsidP="00236AB5">
            <w:pPr>
              <w:jc w:val="center"/>
            </w:pPr>
          </w:p>
          <w:p w14:paraId="15133953" w14:textId="77777777" w:rsidR="00236AB5" w:rsidRPr="008819AF" w:rsidRDefault="00236AB5" w:rsidP="00236AB5">
            <w:pPr>
              <w:jc w:val="center"/>
            </w:pPr>
            <w:r w:rsidRPr="008819AF">
              <w:t>§20</w:t>
            </w:r>
          </w:p>
          <w:p w14:paraId="15133954" w14:textId="77777777" w:rsidR="00236AB5" w:rsidRPr="008819AF" w:rsidRDefault="00236AB5" w:rsidP="00236AB5">
            <w:pPr>
              <w:jc w:val="center"/>
            </w:pPr>
            <w:r w:rsidRPr="008819AF">
              <w:t>O3</w:t>
            </w:r>
          </w:p>
          <w:p w14:paraId="15133955" w14:textId="77777777" w:rsidR="00236AB5" w:rsidRPr="008819AF" w:rsidRDefault="00236AB5" w:rsidP="00236AB5">
            <w:pPr>
              <w:jc w:val="center"/>
            </w:pPr>
          </w:p>
        </w:tc>
        <w:tc>
          <w:tcPr>
            <w:tcW w:w="5664" w:type="dxa"/>
            <w:gridSpan w:val="5"/>
            <w:tcBorders>
              <w:top w:val="single" w:sz="4" w:space="0" w:color="000000"/>
              <w:left w:val="single" w:sz="6" w:space="0" w:color="000000"/>
              <w:bottom w:val="single" w:sz="6" w:space="0" w:color="000000"/>
              <w:right w:val="single" w:sz="6" w:space="0" w:color="000000"/>
            </w:tcBorders>
          </w:tcPr>
          <w:p w14:paraId="15133956" w14:textId="77777777" w:rsidR="00236AB5" w:rsidRPr="008819AF" w:rsidRDefault="00236AB5" w:rsidP="00236AB5">
            <w:pPr>
              <w:spacing w:after="99" w:line="261" w:lineRule="auto"/>
              <w:ind w:left="-15" w:firstLine="41"/>
              <w:jc w:val="both"/>
              <w:rPr>
                <w:rFonts w:eastAsia="Calibri"/>
                <w:noProof/>
              </w:rPr>
            </w:pPr>
            <w:r w:rsidRPr="008819AF">
              <w:rPr>
                <w:rFonts w:eastAsia="Calibri"/>
                <w:noProof/>
              </w:rPr>
              <w:t>(1) Emisný limit pre spaľovacie zariadenie sa pri kontinuálnom meraní považuje za dodržaný, ak z vyhodnotenia výsledkov meraní za skutočný čas prevádzky počas kalendárneho roka vyplynie, že:</w:t>
            </w:r>
          </w:p>
          <w:p w14:paraId="15133957" w14:textId="77777777" w:rsidR="00236AB5" w:rsidRPr="008819AF" w:rsidRDefault="00236AB5" w:rsidP="00236AB5">
            <w:pPr>
              <w:numPr>
                <w:ilvl w:val="0"/>
                <w:numId w:val="91"/>
              </w:numPr>
              <w:spacing w:line="261" w:lineRule="auto"/>
              <w:ind w:hanging="283"/>
              <w:jc w:val="both"/>
              <w:rPr>
                <w:rFonts w:eastAsia="Calibri"/>
                <w:noProof/>
              </w:rPr>
            </w:pPr>
            <w:r w:rsidRPr="008819AF">
              <w:rPr>
                <w:rFonts w:eastAsia="Calibri"/>
                <w:noProof/>
              </w:rPr>
              <w:t>ak ide o jestvujúce zariadenie pri uplatňovaní emisných limitov podľa § 10 ods. 2, nové zariadenie, alebo ak ide o spaľovacie zariadenie podľa § 10 ods. 6 a 7 alebo väčšie stredné spaľovacie zariadenie</w:t>
            </w:r>
          </w:p>
          <w:p w14:paraId="15133958" w14:textId="77777777" w:rsidR="00236AB5" w:rsidRPr="008819AF" w:rsidRDefault="00236AB5" w:rsidP="00236AB5">
            <w:pPr>
              <w:numPr>
                <w:ilvl w:val="1"/>
                <w:numId w:val="91"/>
              </w:numPr>
              <w:spacing w:line="261" w:lineRule="auto"/>
              <w:ind w:left="566" w:hanging="283"/>
              <w:jc w:val="both"/>
              <w:rPr>
                <w:rFonts w:eastAsia="Calibri"/>
                <w:noProof/>
              </w:rPr>
            </w:pPr>
            <w:r w:rsidRPr="008819AF">
              <w:rPr>
                <w:rFonts w:eastAsia="Calibri"/>
                <w:noProof/>
              </w:rPr>
              <w:t>žiadna validovaná priemerná mesačná hodnota neprekročí hodnotu emisného limitu,</w:t>
            </w:r>
          </w:p>
          <w:p w14:paraId="15133959" w14:textId="77777777" w:rsidR="00236AB5" w:rsidRPr="008819AF" w:rsidRDefault="00236AB5" w:rsidP="00236AB5">
            <w:pPr>
              <w:numPr>
                <w:ilvl w:val="1"/>
                <w:numId w:val="91"/>
              </w:numPr>
              <w:spacing w:line="261" w:lineRule="auto"/>
              <w:ind w:left="566" w:hanging="283"/>
              <w:jc w:val="both"/>
              <w:rPr>
                <w:rFonts w:eastAsia="Calibri"/>
                <w:noProof/>
              </w:rPr>
            </w:pPr>
            <w:r w:rsidRPr="008819AF">
              <w:rPr>
                <w:rFonts w:eastAsia="Calibri"/>
                <w:noProof/>
              </w:rPr>
              <w:t>žiadna validovaná priemerná denná hodnota neprekročí 1,1-násobok hodnoty emisného limitu,</w:t>
            </w:r>
          </w:p>
          <w:p w14:paraId="1513395A" w14:textId="77777777" w:rsidR="00236AB5" w:rsidRPr="008819AF" w:rsidRDefault="00236AB5" w:rsidP="00236AB5">
            <w:pPr>
              <w:numPr>
                <w:ilvl w:val="1"/>
                <w:numId w:val="91"/>
              </w:numPr>
              <w:spacing w:line="261" w:lineRule="auto"/>
              <w:ind w:left="566" w:hanging="283"/>
              <w:jc w:val="both"/>
              <w:rPr>
                <w:rFonts w:eastAsia="Calibri"/>
                <w:noProof/>
              </w:rPr>
            </w:pPr>
            <w:r w:rsidRPr="008819AF">
              <w:rPr>
                <w:rFonts w:eastAsia="Calibri"/>
                <w:noProof/>
              </w:rPr>
              <w:t>ak ide o zariadenie zložené výlučne z kotlov spaľujúcich uhlie s menovitými tepelnými príkonmi nižšími ako 50 MW, žiadna validovaná priemerná denná hodnota neprekročí 1,5-násobok hodnoty emisného limitu,</w:t>
            </w:r>
          </w:p>
          <w:p w14:paraId="1513395B" w14:textId="77777777" w:rsidR="00236AB5" w:rsidRPr="008819AF" w:rsidRDefault="00236AB5" w:rsidP="00236AB5">
            <w:pPr>
              <w:numPr>
                <w:ilvl w:val="1"/>
                <w:numId w:val="91"/>
              </w:numPr>
              <w:spacing w:line="261" w:lineRule="auto"/>
              <w:ind w:left="566" w:hanging="283"/>
              <w:jc w:val="both"/>
              <w:rPr>
                <w:rFonts w:eastAsia="Calibri"/>
                <w:noProof/>
              </w:rPr>
            </w:pPr>
            <w:r w:rsidRPr="008819AF">
              <w:rPr>
                <w:rFonts w:eastAsia="Calibri"/>
                <w:noProof/>
              </w:rPr>
              <w:t>najmenej 95 % zo všetkých validovaných hodinových priemerných hodnôt za rok neprekročí dvojnásobok hodnoty emisného limitu,</w:t>
            </w:r>
          </w:p>
          <w:p w14:paraId="1513395C" w14:textId="77777777" w:rsidR="00236AB5" w:rsidRPr="008819AF" w:rsidRDefault="00236AB5" w:rsidP="00236AB5">
            <w:pPr>
              <w:numPr>
                <w:ilvl w:val="1"/>
                <w:numId w:val="91"/>
              </w:numPr>
              <w:spacing w:line="261" w:lineRule="auto"/>
              <w:ind w:left="566" w:hanging="283"/>
              <w:jc w:val="both"/>
              <w:rPr>
                <w:lang w:bidi="cs-CZ"/>
              </w:rPr>
            </w:pPr>
            <w:r w:rsidRPr="008819AF">
              <w:rPr>
                <w:rFonts w:eastAsia="Calibri"/>
                <w:noProof/>
              </w:rPr>
              <w:t>žiadna priemerná hodnota za kalendárny mesiac alebo žiadna priemerná hodnota za prevádzkový mesiac nie je nižšia ako hodnota stupňa odsírenia,</w:t>
            </w:r>
          </w:p>
          <w:p w14:paraId="1513395D" w14:textId="77777777" w:rsidR="00236AB5" w:rsidRPr="008819AF" w:rsidRDefault="00236AB5" w:rsidP="00236AB5">
            <w:pPr>
              <w:tabs>
                <w:tab w:val="left" w:pos="142"/>
              </w:tabs>
              <w:spacing w:after="203" w:line="261" w:lineRule="auto"/>
              <w:ind w:left="106"/>
              <w:contextualSpacing/>
              <w:jc w:val="both"/>
              <w:rPr>
                <w:rFonts w:eastAsia="Calibri"/>
                <w:noProof/>
              </w:rPr>
            </w:pPr>
          </w:p>
          <w:p w14:paraId="1513395E" w14:textId="77777777" w:rsidR="00236AB5" w:rsidRPr="008819AF" w:rsidRDefault="00236AB5" w:rsidP="00236AB5">
            <w:pPr>
              <w:spacing w:after="203" w:line="261" w:lineRule="auto"/>
              <w:contextualSpacing/>
              <w:jc w:val="both"/>
              <w:rPr>
                <w:lang w:bidi="cs-CZ"/>
              </w:rPr>
            </w:pPr>
            <w:r w:rsidRPr="008819AF">
              <w:rPr>
                <w:rFonts w:eastAsia="Calibri"/>
                <w:noProof/>
              </w:rPr>
              <w:t>(3) Validované hodinové a denné priemerné hodnoty sa určia z nameraných platných priemerných hodinových hodnôt po odpočítaní limitnej hodnoty 95 % intervalu spoľahlivosti uvedenej v prílohe č. 12 štvrtej časti na úrovni hodinovej limitnej hodnoty emisií.</w:t>
            </w:r>
          </w:p>
        </w:tc>
        <w:tc>
          <w:tcPr>
            <w:tcW w:w="429" w:type="dxa"/>
            <w:tcBorders>
              <w:top w:val="single" w:sz="4" w:space="0" w:color="000000"/>
              <w:left w:val="single" w:sz="6" w:space="0" w:color="000000"/>
              <w:bottom w:val="single" w:sz="6" w:space="0" w:color="000000"/>
              <w:right w:val="single" w:sz="6" w:space="0" w:color="000000"/>
            </w:tcBorders>
          </w:tcPr>
          <w:p w14:paraId="1513395F"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960" w14:textId="77777777" w:rsidR="00236AB5" w:rsidRPr="008819AF" w:rsidRDefault="00236AB5" w:rsidP="00236AB5">
            <w:pPr>
              <w:ind w:left="215" w:hanging="215"/>
              <w:rPr>
                <w:rFonts w:eastAsia="Arial"/>
              </w:rPr>
            </w:pPr>
          </w:p>
        </w:tc>
      </w:tr>
      <w:tr w:rsidR="00236AB5" w:rsidRPr="008819AF" w14:paraId="1513397F"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962"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963" w14:textId="77777777" w:rsidR="00236AB5" w:rsidRPr="008819AF" w:rsidRDefault="00236AB5" w:rsidP="00236AB5">
            <w:pPr>
              <w:ind w:left="214" w:hanging="214"/>
              <w:rPr>
                <w:rFonts w:eastAsia="Arial"/>
                <w:lang w:bidi="cs-CZ"/>
              </w:rPr>
            </w:pPr>
            <w:r w:rsidRPr="008819AF">
              <w:rPr>
                <w:rFonts w:eastAsia="Arial"/>
              </w:rPr>
              <w:t>Na účely výpočtu priemerných hodnôt emisií sa neberú do úvahy hodnoty namerané počas období uvedených v článku 30 ods. 5 a 6 a článku 37, ako aj počas období nábehu a odstávky.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964"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965"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966" w14:textId="77777777" w:rsidR="00236AB5" w:rsidRPr="008819AF" w:rsidRDefault="00236AB5" w:rsidP="00236AB5">
            <w:pPr>
              <w:jc w:val="center"/>
            </w:pPr>
            <w:r w:rsidRPr="008819AF">
              <w:t>§20 O5</w:t>
            </w:r>
          </w:p>
          <w:p w14:paraId="15133967" w14:textId="77777777" w:rsidR="00236AB5" w:rsidRPr="008819AF" w:rsidRDefault="00236AB5" w:rsidP="00236AB5">
            <w:pPr>
              <w:jc w:val="center"/>
            </w:pPr>
            <w:r w:rsidRPr="008819AF">
              <w:t>Pb)</w:t>
            </w:r>
          </w:p>
          <w:p w14:paraId="15133968" w14:textId="77777777" w:rsidR="00236AB5" w:rsidRPr="008819AF" w:rsidRDefault="00236AB5" w:rsidP="00236AB5">
            <w:pPr>
              <w:jc w:val="center"/>
            </w:pPr>
          </w:p>
          <w:p w14:paraId="15133969" w14:textId="77777777" w:rsidR="00236AB5" w:rsidRPr="008819AF" w:rsidRDefault="00236AB5" w:rsidP="00236AB5">
            <w:pPr>
              <w:jc w:val="center"/>
            </w:pPr>
          </w:p>
          <w:p w14:paraId="1513396A" w14:textId="77777777" w:rsidR="00236AB5" w:rsidRPr="008819AF" w:rsidRDefault="00236AB5" w:rsidP="00236AB5">
            <w:pPr>
              <w:jc w:val="center"/>
            </w:pPr>
          </w:p>
          <w:p w14:paraId="1513396B" w14:textId="77777777" w:rsidR="00236AB5" w:rsidRPr="008819AF" w:rsidRDefault="00236AB5" w:rsidP="00236AB5">
            <w:pPr>
              <w:jc w:val="center"/>
            </w:pPr>
          </w:p>
          <w:p w14:paraId="1513396C" w14:textId="77777777" w:rsidR="00236AB5" w:rsidRPr="008819AF" w:rsidRDefault="00236AB5" w:rsidP="00236AB5">
            <w:pPr>
              <w:jc w:val="center"/>
            </w:pPr>
          </w:p>
          <w:p w14:paraId="1513396D" w14:textId="77777777" w:rsidR="00236AB5" w:rsidRPr="008819AF" w:rsidRDefault="00236AB5" w:rsidP="00236AB5">
            <w:pPr>
              <w:jc w:val="center"/>
            </w:pPr>
          </w:p>
          <w:p w14:paraId="1513396E" w14:textId="77777777" w:rsidR="00236AB5" w:rsidRPr="008819AF" w:rsidRDefault="00236AB5" w:rsidP="00236AB5">
            <w:pPr>
              <w:jc w:val="center"/>
            </w:pPr>
          </w:p>
          <w:p w14:paraId="1513396F" w14:textId="77777777" w:rsidR="00236AB5" w:rsidRPr="008819AF" w:rsidRDefault="00236AB5" w:rsidP="00236AB5">
            <w:pPr>
              <w:jc w:val="center"/>
            </w:pPr>
          </w:p>
          <w:p w14:paraId="15133970" w14:textId="77777777" w:rsidR="00236AB5" w:rsidRPr="008819AF" w:rsidRDefault="00236AB5" w:rsidP="00236AB5">
            <w:pPr>
              <w:jc w:val="center"/>
            </w:pPr>
          </w:p>
          <w:p w14:paraId="15133971" w14:textId="77777777" w:rsidR="00236AB5" w:rsidRPr="008819AF" w:rsidRDefault="00236AB5" w:rsidP="00236AB5">
            <w:pPr>
              <w:jc w:val="center"/>
            </w:pPr>
          </w:p>
          <w:p w14:paraId="15133972" w14:textId="77777777" w:rsidR="00236AB5" w:rsidRPr="008819AF" w:rsidRDefault="00236AB5" w:rsidP="00236AB5">
            <w:pPr>
              <w:jc w:val="center"/>
            </w:pPr>
            <w:r w:rsidRPr="008819AF">
              <w:t>Pf)</w:t>
            </w:r>
          </w:p>
          <w:p w14:paraId="15133973" w14:textId="77777777" w:rsidR="00236AB5" w:rsidRPr="008819AF" w:rsidRDefault="00236AB5" w:rsidP="00236AB5">
            <w:pPr>
              <w:jc w:val="center"/>
            </w:pPr>
          </w:p>
          <w:p w14:paraId="15133974" w14:textId="77777777" w:rsidR="00236AB5" w:rsidRPr="008819AF" w:rsidRDefault="00236AB5" w:rsidP="00236AB5">
            <w:pPr>
              <w:jc w:val="center"/>
            </w:pPr>
          </w:p>
          <w:p w14:paraId="15133975" w14:textId="77777777" w:rsidR="00236AB5" w:rsidRPr="008819AF" w:rsidRDefault="00236AB5" w:rsidP="00236AB5">
            <w:pPr>
              <w:jc w:val="center"/>
            </w:pPr>
            <w:r w:rsidRPr="008819AF">
              <w:t>Pg)</w:t>
            </w:r>
          </w:p>
        </w:tc>
        <w:tc>
          <w:tcPr>
            <w:tcW w:w="5664" w:type="dxa"/>
            <w:gridSpan w:val="5"/>
            <w:tcBorders>
              <w:top w:val="single" w:sz="4" w:space="0" w:color="000000"/>
              <w:left w:val="single" w:sz="6" w:space="0" w:color="000000"/>
              <w:bottom w:val="single" w:sz="6" w:space="0" w:color="000000"/>
              <w:right w:val="single" w:sz="6" w:space="0" w:color="000000"/>
            </w:tcBorders>
          </w:tcPr>
          <w:p w14:paraId="15133976" w14:textId="77777777" w:rsidR="00236AB5" w:rsidRPr="008819AF" w:rsidRDefault="00236AB5" w:rsidP="00236AB5">
            <w:pPr>
              <w:spacing w:after="99" w:line="261" w:lineRule="auto"/>
              <w:ind w:left="-15" w:firstLine="227"/>
              <w:jc w:val="both"/>
              <w:rPr>
                <w:rFonts w:eastAsia="Calibri"/>
                <w:noProof/>
              </w:rPr>
            </w:pPr>
            <w:r w:rsidRPr="008819AF">
              <w:rPr>
                <w:rFonts w:eastAsia="Calibri"/>
                <w:noProof/>
              </w:rPr>
              <w:lastRenderedPageBreak/>
              <w:t>(5) Dodržanie emisného limitu pre spaľovacie zariadenie sa hodnotí počas skutočnej prevádzky okrem</w:t>
            </w:r>
          </w:p>
          <w:p w14:paraId="15133977" w14:textId="77777777" w:rsidR="00236AB5" w:rsidRPr="008819AF" w:rsidRDefault="00236AB5" w:rsidP="00236AB5">
            <w:pPr>
              <w:spacing w:after="99" w:line="261" w:lineRule="auto"/>
              <w:jc w:val="both"/>
              <w:rPr>
                <w:rFonts w:eastAsia="Calibri"/>
                <w:noProof/>
              </w:rPr>
            </w:pPr>
            <w:r w:rsidRPr="008819AF">
              <w:rPr>
                <w:rFonts w:eastAsia="Calibri"/>
                <w:noProof/>
              </w:rPr>
              <w:lastRenderedPageBreak/>
              <w:t>b) nábehu a odstavovania vymedzeného v tomto rozsahu:</w:t>
            </w:r>
          </w:p>
          <w:p w14:paraId="15133978" w14:textId="77777777" w:rsidR="00236AB5" w:rsidRPr="008819AF" w:rsidRDefault="00236AB5" w:rsidP="00236AB5">
            <w:pPr>
              <w:numPr>
                <w:ilvl w:val="1"/>
                <w:numId w:val="92"/>
              </w:numPr>
              <w:spacing w:after="99" w:line="261" w:lineRule="auto"/>
              <w:ind w:left="566" w:hanging="283"/>
              <w:jc w:val="both"/>
              <w:rPr>
                <w:rFonts w:eastAsia="Calibri"/>
                <w:noProof/>
              </w:rPr>
            </w:pPr>
            <w:r w:rsidRPr="008819AF">
              <w:rPr>
                <w:rFonts w:eastAsia="Calibri"/>
                <w:noProof/>
              </w:rPr>
              <w:t>ak ide o veľké spaľovacie zariadenia, nábeh a odstavovanie určené v povolení podľa požiadaviek osobitného predpisu,</w:t>
            </w:r>
            <w:r w:rsidRPr="008819AF">
              <w:rPr>
                <w:rFonts w:eastAsia="Calibri"/>
                <w:noProof/>
                <w:vertAlign w:val="superscript"/>
              </w:rPr>
              <w:t>2</w:t>
            </w:r>
            <w:r w:rsidRPr="008819AF">
              <w:rPr>
                <w:rFonts w:eastAsia="Calibri"/>
                <w:noProof/>
              </w:rPr>
              <w:t>) ak nie je v prílohe č. 4 tretej časti bode 6.2 uvedené inak,</w:t>
            </w:r>
          </w:p>
          <w:p w14:paraId="15133979" w14:textId="77777777" w:rsidR="00236AB5" w:rsidRPr="008819AF" w:rsidRDefault="00236AB5" w:rsidP="00236AB5">
            <w:pPr>
              <w:spacing w:line="261" w:lineRule="auto"/>
              <w:jc w:val="both"/>
            </w:pPr>
            <w:r w:rsidRPr="008819AF">
              <w:rPr>
                <w:rFonts w:eastAsia="Calibri"/>
                <w:noProof/>
                <w:vertAlign w:val="superscript"/>
              </w:rPr>
              <w:t>2</w:t>
            </w:r>
            <w:r w:rsidRPr="008819AF">
              <w:rPr>
                <w:rFonts w:eastAsia="Calibri"/>
                <w:noProof/>
              </w:rPr>
              <w:t xml:space="preserve">) </w:t>
            </w:r>
            <w:r w:rsidRPr="008819AF">
              <w:t>Vykonávacie rozhodnutie Komisie 2012/249/EÚ zo 7. mája 2012 týkajúce sa určenia období nábehu a odstávky na účely smernice Európskeho parlamentu a Rady 2010/75/EÚ o priemyselných emisiách(Ú.v.EÚL123,9. 5. 2012).</w:t>
            </w:r>
          </w:p>
          <w:p w14:paraId="1513397A" w14:textId="77777777" w:rsidR="00236AB5" w:rsidRPr="008819AF" w:rsidRDefault="00236AB5" w:rsidP="00236AB5">
            <w:pPr>
              <w:spacing w:line="261" w:lineRule="auto"/>
              <w:jc w:val="both"/>
              <w:rPr>
                <w:rFonts w:eastAsia="Calibri"/>
                <w:noProof/>
              </w:rPr>
            </w:pPr>
          </w:p>
          <w:p w14:paraId="1513397B" w14:textId="77777777" w:rsidR="00236AB5" w:rsidRPr="008819AF" w:rsidRDefault="00236AB5" w:rsidP="00236AB5">
            <w:pPr>
              <w:spacing w:after="99" w:line="261" w:lineRule="auto"/>
              <w:jc w:val="both"/>
              <w:rPr>
                <w:rFonts w:eastAsia="Calibri"/>
                <w:noProof/>
              </w:rPr>
            </w:pPr>
            <w:r w:rsidRPr="008819AF">
              <w:rPr>
                <w:rFonts w:eastAsia="Calibri"/>
                <w:noProof/>
              </w:rPr>
              <w:t>f) poruchy alebo výpadku odlučovacieho zariadenia podľa podmienok prevádzkovania zariadenia ustanovenými v § 14,</w:t>
            </w:r>
          </w:p>
          <w:p w14:paraId="1513397C" w14:textId="77777777" w:rsidR="00236AB5" w:rsidRPr="008819AF" w:rsidRDefault="00236AB5" w:rsidP="00236AB5">
            <w:pPr>
              <w:spacing w:after="99" w:line="261" w:lineRule="auto"/>
              <w:jc w:val="both"/>
              <w:rPr>
                <w:lang w:bidi="cs-CZ"/>
              </w:rPr>
            </w:pPr>
            <w:r w:rsidRPr="008819AF">
              <w:rPr>
                <w:rFonts w:eastAsia="Calibri"/>
                <w:noProof/>
              </w:rPr>
              <w:t>g) prerušenia dodávky riadneho paliva podľa § 15,</w:t>
            </w:r>
          </w:p>
        </w:tc>
        <w:tc>
          <w:tcPr>
            <w:tcW w:w="429" w:type="dxa"/>
            <w:tcBorders>
              <w:top w:val="single" w:sz="4" w:space="0" w:color="000000"/>
              <w:left w:val="single" w:sz="6" w:space="0" w:color="000000"/>
              <w:bottom w:val="single" w:sz="6" w:space="0" w:color="000000"/>
              <w:right w:val="single" w:sz="6" w:space="0" w:color="000000"/>
            </w:tcBorders>
          </w:tcPr>
          <w:p w14:paraId="1513397D"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97E" w14:textId="77777777" w:rsidR="00236AB5" w:rsidRPr="008819AF" w:rsidRDefault="00236AB5" w:rsidP="00236AB5">
            <w:pPr>
              <w:ind w:left="215" w:hanging="215"/>
              <w:rPr>
                <w:rFonts w:eastAsia="Arial"/>
              </w:rPr>
            </w:pPr>
          </w:p>
        </w:tc>
      </w:tr>
      <w:tr w:rsidR="00236AB5" w:rsidRPr="008819AF" w14:paraId="1513398C"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980"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981" w14:textId="77777777" w:rsidR="00236AB5" w:rsidRPr="008819AF" w:rsidRDefault="00236AB5" w:rsidP="00236AB5">
            <w:pPr>
              <w:ind w:left="214" w:hanging="214"/>
              <w:rPr>
                <w:rFonts w:eastAsia="Arial"/>
              </w:rPr>
            </w:pPr>
            <w:r w:rsidRPr="008819AF">
              <w:rPr>
                <w:rFonts w:eastAsia="Arial"/>
                <w:lang w:bidi="cs-CZ"/>
              </w:rPr>
              <w:t>2. Keď sa nepožadujú kontinuálne merania, emisné limity stanovené v častiach 1 a 2 sa považujú za dodržané, ak výsledky každej série meraní alebo iných postupov definovaných a určených podľa pravidiel ustanovených príslušnými orgánmi nepresahujú emisné limity.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982"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983"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984" w14:textId="77777777" w:rsidR="00236AB5" w:rsidRPr="008819AF" w:rsidRDefault="00236AB5" w:rsidP="00236AB5">
            <w:pPr>
              <w:jc w:val="center"/>
            </w:pPr>
            <w:r w:rsidRPr="008819AF">
              <w:t>§20</w:t>
            </w:r>
          </w:p>
          <w:p w14:paraId="15133985" w14:textId="77777777" w:rsidR="00236AB5" w:rsidRPr="008819AF" w:rsidRDefault="00236AB5" w:rsidP="00236AB5">
            <w:pPr>
              <w:jc w:val="center"/>
            </w:pPr>
            <w:r w:rsidRPr="008819AF">
              <w:t>O2</w:t>
            </w:r>
          </w:p>
          <w:p w14:paraId="15133986" w14:textId="77777777" w:rsidR="00236AB5" w:rsidRPr="008819AF" w:rsidRDefault="00236AB5" w:rsidP="00236AB5">
            <w:pPr>
              <w:jc w:val="center"/>
            </w:pPr>
            <w:r w:rsidRPr="008819AF">
              <w:t>Pa)</w:t>
            </w:r>
          </w:p>
        </w:tc>
        <w:tc>
          <w:tcPr>
            <w:tcW w:w="5664" w:type="dxa"/>
            <w:gridSpan w:val="5"/>
            <w:tcBorders>
              <w:top w:val="single" w:sz="4" w:space="0" w:color="000000"/>
              <w:left w:val="single" w:sz="6" w:space="0" w:color="000000"/>
              <w:bottom w:val="single" w:sz="6" w:space="0" w:color="000000"/>
              <w:right w:val="single" w:sz="6" w:space="0" w:color="000000"/>
            </w:tcBorders>
          </w:tcPr>
          <w:p w14:paraId="15133987"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(2) Emisný limit sa pri oprávnenom diskontinuálnom meraní (ďalej len „diskontinuálne meranie“) alebo technickom výpočte</w:t>
            </w:r>
            <w:r w:rsidRPr="008819AF">
              <w:rPr>
                <w:rFonts w:ascii="Times New Roman" w:hAnsi="Times New Roman" w:cs="Times New Roman"/>
                <w:vertAlign w:val="superscript"/>
              </w:rPr>
              <w:t>3</w:t>
            </w:r>
            <w:r w:rsidRPr="008819AF">
              <w:rPr>
                <w:rFonts w:ascii="Times New Roman" w:hAnsi="Times New Roman" w:cs="Times New Roman"/>
              </w:rPr>
              <w:t>) považuje za dodržaný, ak</w:t>
            </w:r>
          </w:p>
          <w:p w14:paraId="15133988"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a) žiadna hodnota v každej sérii jednotlivých meraní alebo výsledok technického výpočtu podľa postupu a podmienok schválených v povolení neprekročí hodnotu emisného limitu,</w:t>
            </w:r>
          </w:p>
          <w:p w14:paraId="15133989" w14:textId="77777777" w:rsidR="00236AB5" w:rsidRPr="008819AF" w:rsidRDefault="00236AB5" w:rsidP="00236AB5">
            <w:pPr>
              <w:pStyle w:val="Hlavika"/>
              <w:spacing w:before="120"/>
              <w:ind w:left="74" w:firstLine="0"/>
              <w:rPr>
                <w:rFonts w:ascii="Times New Roman" w:hAnsi="Times New Roman" w:cs="Times New Roman"/>
              </w:rPr>
            </w:pPr>
            <w:r w:rsidRPr="008819AF">
              <w:rPr>
                <w:rFonts w:ascii="Times New Roman" w:hAnsi="Times New Roman" w:cs="Times New Roman"/>
              </w:rPr>
              <w:t>3) § XXX vyhlášky Ministerstva životného prostredia Slovenskej republiky č. XXX.../2022 Z. z. o monitorovaní emisií zo stacionárnych zdrojov znečisťovania ovzdušia a kvality ovzdušia v ich okolí</w:t>
            </w:r>
          </w:p>
        </w:tc>
        <w:tc>
          <w:tcPr>
            <w:tcW w:w="429" w:type="dxa"/>
            <w:tcBorders>
              <w:top w:val="single" w:sz="4" w:space="0" w:color="000000"/>
              <w:left w:val="single" w:sz="6" w:space="0" w:color="000000"/>
              <w:bottom w:val="single" w:sz="6" w:space="0" w:color="000000"/>
              <w:right w:val="single" w:sz="6" w:space="0" w:color="000000"/>
            </w:tcBorders>
          </w:tcPr>
          <w:p w14:paraId="1513398A"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98B" w14:textId="77777777" w:rsidR="00236AB5" w:rsidRPr="008819AF" w:rsidRDefault="00236AB5" w:rsidP="00236AB5">
            <w:pPr>
              <w:ind w:left="215" w:hanging="215"/>
              <w:rPr>
                <w:rFonts w:eastAsia="Arial"/>
              </w:rPr>
            </w:pPr>
          </w:p>
        </w:tc>
      </w:tr>
      <w:tr w:rsidR="00236AB5" w:rsidRPr="008819AF" w14:paraId="151339E0"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98D"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98E" w14:textId="77777777" w:rsidR="00236AB5" w:rsidRPr="008819AF" w:rsidRDefault="00236AB5" w:rsidP="00236AB5">
            <w:pPr>
              <w:ind w:left="215" w:hanging="215"/>
              <w:rPr>
                <w:rFonts w:eastAsia="Arial"/>
                <w:lang w:bidi="cs-CZ"/>
              </w:rPr>
            </w:pPr>
            <w:r w:rsidRPr="008819AF">
              <w:rPr>
                <w:rFonts w:eastAsia="Arial"/>
                <w:lang w:bidi="cs-CZ"/>
              </w:rPr>
              <w:t>ČASŤ 5   Minimálny stupeň odsírenia</w:t>
            </w:r>
          </w:p>
          <w:p w14:paraId="1513398F" w14:textId="77777777" w:rsidR="00236AB5" w:rsidRPr="008819AF" w:rsidRDefault="00236AB5" w:rsidP="00236AB5">
            <w:pPr>
              <w:ind w:left="215" w:hanging="215"/>
              <w:rPr>
                <w:rFonts w:eastAsia="Arial"/>
                <w:lang w:bidi="cs-CZ"/>
              </w:rPr>
            </w:pPr>
            <w:r w:rsidRPr="008819AF">
              <w:rPr>
                <w:rFonts w:eastAsia="Arial"/>
                <w:lang w:bidi="cs-CZ"/>
              </w:rPr>
              <w:t>1.  Minimálny stupeň odsírenia pre spaľovacie zariadenia uvedené v článku 30 ods. 2</w:t>
            </w:r>
          </w:p>
          <w:p w14:paraId="15133990" w14:textId="77777777" w:rsidR="00236AB5" w:rsidRPr="008819AF" w:rsidRDefault="00236AB5" w:rsidP="00236AB5">
            <w:pPr>
              <w:ind w:left="215" w:hanging="215"/>
              <w:rPr>
                <w:rFonts w:eastAsia="Arial"/>
                <w:lang w:bidi="cs-CZ"/>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4041"/>
              <w:gridCol w:w="895"/>
            </w:tblGrid>
            <w:tr w:rsidR="00236AB5" w:rsidRPr="008819AF" w14:paraId="15133993" w14:textId="77777777" w:rsidTr="00E64E9B">
              <w:trPr>
                <w:trHeight w:val="338"/>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14:paraId="15133991" w14:textId="77777777" w:rsidR="00236AB5" w:rsidRPr="008819AF" w:rsidRDefault="00236AB5" w:rsidP="00236AB5">
                  <w:pPr>
                    <w:pStyle w:val="Default"/>
                    <w:ind w:left="-23" w:right="-11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Celkový menovitý tepelný príkon (MW)</w:t>
                  </w:r>
                </w:p>
              </w:tc>
              <w:tc>
                <w:tcPr>
                  <w:tcW w:w="4936" w:type="dxa"/>
                  <w:gridSpan w:val="2"/>
                  <w:tcBorders>
                    <w:top w:val="single" w:sz="4" w:space="0" w:color="000000"/>
                    <w:left w:val="single" w:sz="4" w:space="0" w:color="000000"/>
                    <w:bottom w:val="single" w:sz="4" w:space="0" w:color="000000"/>
                    <w:right w:val="single" w:sz="4" w:space="0" w:color="000000"/>
                  </w:tcBorders>
                  <w:vAlign w:val="center"/>
                </w:tcPr>
                <w:p w14:paraId="1513399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Minimálny stupeň odsírenia</w:t>
                  </w:r>
                </w:p>
              </w:tc>
            </w:tr>
            <w:tr w:rsidR="00236AB5" w:rsidRPr="008819AF" w14:paraId="15133997" w14:textId="77777777" w:rsidTr="00E64E9B">
              <w:trPr>
                <w:trHeight w:val="338"/>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14:paraId="15133994" w14:textId="77777777" w:rsidR="00236AB5" w:rsidRPr="008819AF" w:rsidRDefault="00236AB5" w:rsidP="00236AB5">
                  <w:pPr>
                    <w:pStyle w:val="Default"/>
                    <w:rPr>
                      <w:rFonts w:ascii="Times New Roman" w:eastAsia="Arial" w:hAnsi="Times New Roman" w:cs="Times New Roman"/>
                      <w:color w:val="auto"/>
                      <w:sz w:val="20"/>
                      <w:szCs w:val="20"/>
                    </w:rPr>
                  </w:pPr>
                </w:p>
              </w:tc>
              <w:tc>
                <w:tcPr>
                  <w:tcW w:w="4041" w:type="dxa"/>
                  <w:tcBorders>
                    <w:top w:val="single" w:sz="4" w:space="0" w:color="000000"/>
                    <w:left w:val="single" w:sz="4" w:space="0" w:color="000000"/>
                    <w:bottom w:val="single" w:sz="4" w:space="0" w:color="000000"/>
                    <w:right w:val="single" w:sz="4" w:space="0" w:color="000000"/>
                  </w:tcBorders>
                  <w:vAlign w:val="center"/>
                </w:tcPr>
                <w:p w14:paraId="15133995" w14:textId="77777777" w:rsidR="00236AB5" w:rsidRPr="008819AF" w:rsidRDefault="00236AB5" w:rsidP="00236AB5">
                  <w:pPr>
                    <w:pStyle w:val="Default"/>
                    <w:ind w:right="-75"/>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Zariadenia s povolením udeleným pred 27. novembrom 2002, alebo prevádzkovatelia ktorých predložili úplnú žiadosť o povolenie pred týmto dátumom, za predpokladu, že zariadenie sa uviedlo do prevádzkovaní najneskôr 27. novembra 2003</w:t>
                  </w:r>
                </w:p>
              </w:tc>
              <w:tc>
                <w:tcPr>
                  <w:tcW w:w="895" w:type="dxa"/>
                  <w:tcBorders>
                    <w:top w:val="single" w:sz="4" w:space="0" w:color="000000"/>
                    <w:left w:val="single" w:sz="4" w:space="0" w:color="000000"/>
                    <w:bottom w:val="single" w:sz="4" w:space="0" w:color="000000"/>
                    <w:right w:val="single" w:sz="4" w:space="0" w:color="000000"/>
                  </w:tcBorders>
                  <w:vAlign w:val="center"/>
                </w:tcPr>
                <w:p w14:paraId="1513399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Iné zaria-denia</w:t>
                  </w:r>
                </w:p>
              </w:tc>
            </w:tr>
            <w:tr w:rsidR="00236AB5" w:rsidRPr="008819AF" w14:paraId="1513399B" w14:textId="77777777" w:rsidTr="00E64E9B">
              <w:trPr>
                <w:trHeight w:val="103"/>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15133998" w14:textId="77777777" w:rsidR="00236AB5" w:rsidRPr="008819AF" w:rsidRDefault="00236AB5" w:rsidP="00236AB5">
                  <w:pPr>
                    <w:pStyle w:val="Default"/>
                    <w:ind w:left="-23" w:right="-11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50-100</w:t>
                  </w:r>
                </w:p>
              </w:tc>
              <w:tc>
                <w:tcPr>
                  <w:tcW w:w="4041" w:type="dxa"/>
                  <w:tcBorders>
                    <w:top w:val="single" w:sz="4" w:space="0" w:color="000000"/>
                    <w:left w:val="single" w:sz="4" w:space="0" w:color="000000"/>
                    <w:bottom w:val="single" w:sz="4" w:space="0" w:color="000000"/>
                    <w:right w:val="single" w:sz="4" w:space="0" w:color="000000"/>
                  </w:tcBorders>
                  <w:vAlign w:val="center"/>
                </w:tcPr>
                <w:p w14:paraId="15133999" w14:textId="77777777" w:rsidR="00236AB5" w:rsidRPr="008819AF" w:rsidRDefault="00236AB5" w:rsidP="00236AB5">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80 %</w:t>
                  </w:r>
                </w:p>
              </w:tc>
              <w:tc>
                <w:tcPr>
                  <w:tcW w:w="895" w:type="dxa"/>
                  <w:tcBorders>
                    <w:top w:val="single" w:sz="4" w:space="0" w:color="000000"/>
                    <w:left w:val="single" w:sz="4" w:space="0" w:color="000000"/>
                    <w:bottom w:val="single" w:sz="4" w:space="0" w:color="000000"/>
                    <w:right w:val="single" w:sz="4" w:space="0" w:color="000000"/>
                  </w:tcBorders>
                  <w:vAlign w:val="center"/>
                </w:tcPr>
                <w:p w14:paraId="1513399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92 %</w:t>
                  </w:r>
                </w:p>
              </w:tc>
            </w:tr>
            <w:tr w:rsidR="00236AB5" w:rsidRPr="008819AF" w14:paraId="1513399F" w14:textId="77777777" w:rsidTr="00E64E9B">
              <w:trPr>
                <w:trHeight w:val="103"/>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1513399C" w14:textId="77777777" w:rsidR="00236AB5" w:rsidRPr="008819AF" w:rsidRDefault="00236AB5" w:rsidP="00236AB5">
                  <w:pPr>
                    <w:pStyle w:val="Default"/>
                    <w:ind w:left="-23" w:right="-11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100-300</w:t>
                  </w:r>
                </w:p>
              </w:tc>
              <w:tc>
                <w:tcPr>
                  <w:tcW w:w="4041" w:type="dxa"/>
                  <w:tcBorders>
                    <w:top w:val="single" w:sz="4" w:space="0" w:color="000000"/>
                    <w:left w:val="single" w:sz="4" w:space="0" w:color="000000"/>
                    <w:bottom w:val="single" w:sz="4" w:space="0" w:color="000000"/>
                    <w:right w:val="single" w:sz="4" w:space="0" w:color="000000"/>
                  </w:tcBorders>
                  <w:vAlign w:val="center"/>
                </w:tcPr>
                <w:p w14:paraId="1513399D" w14:textId="77777777" w:rsidR="00236AB5" w:rsidRPr="008819AF" w:rsidRDefault="00236AB5" w:rsidP="00236AB5">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90 %</w:t>
                  </w:r>
                </w:p>
              </w:tc>
              <w:tc>
                <w:tcPr>
                  <w:tcW w:w="895" w:type="dxa"/>
                  <w:tcBorders>
                    <w:top w:val="single" w:sz="4" w:space="0" w:color="000000"/>
                    <w:left w:val="single" w:sz="4" w:space="0" w:color="000000"/>
                    <w:bottom w:val="single" w:sz="4" w:space="0" w:color="000000"/>
                    <w:right w:val="single" w:sz="4" w:space="0" w:color="000000"/>
                  </w:tcBorders>
                  <w:vAlign w:val="center"/>
                </w:tcPr>
                <w:p w14:paraId="1513399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92 %</w:t>
                  </w:r>
                </w:p>
              </w:tc>
            </w:tr>
            <w:tr w:rsidR="00236AB5" w:rsidRPr="008819AF" w14:paraId="151339A3" w14:textId="77777777" w:rsidTr="00E64E9B">
              <w:trPr>
                <w:trHeight w:val="103"/>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151339A0" w14:textId="77777777" w:rsidR="00236AB5" w:rsidRPr="008819AF" w:rsidRDefault="00236AB5" w:rsidP="00236AB5">
                  <w:pPr>
                    <w:pStyle w:val="Default"/>
                    <w:ind w:left="-23" w:right="-11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w:t>
                  </w:r>
                </w:p>
              </w:tc>
              <w:tc>
                <w:tcPr>
                  <w:tcW w:w="4041" w:type="dxa"/>
                  <w:tcBorders>
                    <w:top w:val="single" w:sz="4" w:space="0" w:color="000000"/>
                    <w:left w:val="single" w:sz="4" w:space="0" w:color="000000"/>
                    <w:bottom w:val="single" w:sz="4" w:space="0" w:color="000000"/>
                    <w:right w:val="single" w:sz="4" w:space="0" w:color="000000"/>
                  </w:tcBorders>
                  <w:vAlign w:val="center"/>
                </w:tcPr>
                <w:p w14:paraId="151339A1" w14:textId="77777777" w:rsidR="00236AB5" w:rsidRPr="008819AF" w:rsidRDefault="00236AB5" w:rsidP="00236AB5">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96 % (1)</w:t>
                  </w:r>
                </w:p>
              </w:tc>
              <w:tc>
                <w:tcPr>
                  <w:tcW w:w="895" w:type="dxa"/>
                  <w:tcBorders>
                    <w:top w:val="single" w:sz="4" w:space="0" w:color="000000"/>
                    <w:left w:val="single" w:sz="4" w:space="0" w:color="000000"/>
                    <w:bottom w:val="single" w:sz="4" w:space="0" w:color="000000"/>
                    <w:right w:val="single" w:sz="4" w:space="0" w:color="000000"/>
                  </w:tcBorders>
                  <w:vAlign w:val="center"/>
                </w:tcPr>
                <w:p w14:paraId="151339A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96 %</w:t>
                  </w:r>
                </w:p>
              </w:tc>
            </w:tr>
          </w:tbl>
          <w:p w14:paraId="151339A4" w14:textId="77777777" w:rsidR="00236AB5" w:rsidRPr="008819AF" w:rsidRDefault="00236AB5" w:rsidP="00236AB5">
            <w:pPr>
              <w:ind w:left="215" w:hanging="215"/>
              <w:rPr>
                <w:rFonts w:eastAsia="Arial"/>
                <w:lang w:bidi="cs-CZ"/>
              </w:rPr>
            </w:pPr>
            <w:r w:rsidRPr="008819AF">
              <w:rPr>
                <w:rFonts w:eastAsia="Arial"/>
                <w:lang w:bidi="cs-CZ"/>
              </w:rPr>
              <w:lastRenderedPageBreak/>
              <w:t>Poznámka</w:t>
            </w:r>
          </w:p>
          <w:p w14:paraId="151339A5" w14:textId="77777777" w:rsidR="00236AB5" w:rsidRPr="008819AF" w:rsidRDefault="00236AB5" w:rsidP="00236AB5">
            <w:pPr>
              <w:ind w:left="215" w:hanging="215"/>
              <w:rPr>
                <w:rFonts w:eastAsia="Arial"/>
                <w:lang w:bidi="cs-CZ"/>
              </w:rPr>
            </w:pPr>
            <w:r w:rsidRPr="008819AF">
              <w:rPr>
                <w:rFonts w:eastAsia="Arial"/>
                <w:lang w:bidi="cs-CZ"/>
              </w:rPr>
              <w:t>(1) V prípade spaľovacích zariadení spaľujúcich roponosnú bridlicu je minimálny stupeň odsírenia 95 %.</w:t>
            </w:r>
          </w:p>
          <w:p w14:paraId="151339A6" w14:textId="77777777" w:rsidR="00236AB5" w:rsidRPr="008819AF" w:rsidRDefault="00236AB5" w:rsidP="00236AB5">
            <w:pPr>
              <w:ind w:left="215" w:hanging="215"/>
              <w:rPr>
                <w:rFonts w:eastAsia="Arial"/>
                <w:lang w:bidi="cs-CZ"/>
              </w:rPr>
            </w:pPr>
            <w:r w:rsidRPr="008819AF">
              <w:rPr>
                <w:rFonts w:eastAsia="Arial"/>
                <w:lang w:bidi="cs-CZ"/>
              </w:rPr>
              <w:t>2. Minimálny stupeň odsírenia pre spaľovacie zariadenia uvedené v článku 30 ods. 3</w:t>
            </w:r>
          </w:p>
          <w:p w14:paraId="151339A7" w14:textId="77777777" w:rsidR="00236AB5" w:rsidRPr="008819AF" w:rsidRDefault="00236AB5" w:rsidP="00236AB5">
            <w:pPr>
              <w:ind w:left="215" w:hanging="215"/>
              <w:rPr>
                <w:rFonts w:eastAsia="Arial"/>
                <w:lang w:bidi="cs-CZ"/>
              </w:rPr>
            </w:pP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2432"/>
            </w:tblGrid>
            <w:tr w:rsidR="00236AB5" w:rsidRPr="008819AF" w14:paraId="151339AA" w14:textId="77777777">
              <w:trPr>
                <w:trHeight w:val="90"/>
                <w:jc w:val="center"/>
              </w:trPr>
              <w:tc>
                <w:tcPr>
                  <w:tcW w:w="2433" w:type="dxa"/>
                  <w:tcBorders>
                    <w:top w:val="single" w:sz="4" w:space="0" w:color="000000"/>
                    <w:left w:val="single" w:sz="4" w:space="0" w:color="000000"/>
                    <w:bottom w:val="single" w:sz="4" w:space="0" w:color="000000"/>
                    <w:right w:val="single" w:sz="4" w:space="0" w:color="000000"/>
                  </w:tcBorders>
                </w:tcPr>
                <w:p w14:paraId="151339A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Celkový menovitý tepelný príkon (MW)</w:t>
                  </w:r>
                </w:p>
              </w:tc>
              <w:tc>
                <w:tcPr>
                  <w:tcW w:w="2432" w:type="dxa"/>
                  <w:tcBorders>
                    <w:top w:val="single" w:sz="4" w:space="0" w:color="000000"/>
                    <w:left w:val="single" w:sz="4" w:space="0" w:color="000000"/>
                    <w:bottom w:val="single" w:sz="4" w:space="0" w:color="000000"/>
                    <w:right w:val="single" w:sz="4" w:space="0" w:color="000000"/>
                  </w:tcBorders>
                </w:tcPr>
                <w:p w14:paraId="151339A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Minimálny stupeň odsírenia</w:t>
                  </w:r>
                </w:p>
              </w:tc>
            </w:tr>
            <w:tr w:rsidR="00236AB5" w:rsidRPr="008819AF" w14:paraId="151339AD" w14:textId="77777777">
              <w:trPr>
                <w:trHeight w:val="103"/>
                <w:jc w:val="center"/>
              </w:trPr>
              <w:tc>
                <w:tcPr>
                  <w:tcW w:w="2433" w:type="dxa"/>
                  <w:tcBorders>
                    <w:top w:val="single" w:sz="4" w:space="0" w:color="000000"/>
                    <w:left w:val="single" w:sz="4" w:space="0" w:color="000000"/>
                    <w:bottom w:val="single" w:sz="4" w:space="0" w:color="000000"/>
                    <w:right w:val="single" w:sz="4" w:space="0" w:color="000000"/>
                  </w:tcBorders>
                </w:tcPr>
                <w:p w14:paraId="151339A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50-100</w:t>
                  </w:r>
                </w:p>
              </w:tc>
              <w:tc>
                <w:tcPr>
                  <w:tcW w:w="2432" w:type="dxa"/>
                  <w:tcBorders>
                    <w:top w:val="single" w:sz="4" w:space="0" w:color="000000"/>
                    <w:left w:val="single" w:sz="4" w:space="0" w:color="000000"/>
                    <w:bottom w:val="single" w:sz="4" w:space="0" w:color="000000"/>
                    <w:right w:val="single" w:sz="4" w:space="0" w:color="000000"/>
                  </w:tcBorders>
                </w:tcPr>
                <w:p w14:paraId="151339A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93 %</w:t>
                  </w:r>
                </w:p>
              </w:tc>
            </w:tr>
            <w:tr w:rsidR="00236AB5" w:rsidRPr="008819AF" w14:paraId="151339B0" w14:textId="77777777">
              <w:trPr>
                <w:trHeight w:val="103"/>
                <w:jc w:val="center"/>
              </w:trPr>
              <w:tc>
                <w:tcPr>
                  <w:tcW w:w="2433" w:type="dxa"/>
                  <w:tcBorders>
                    <w:top w:val="single" w:sz="4" w:space="0" w:color="000000"/>
                    <w:left w:val="single" w:sz="4" w:space="0" w:color="000000"/>
                    <w:bottom w:val="single" w:sz="4" w:space="0" w:color="000000"/>
                    <w:right w:val="single" w:sz="4" w:space="0" w:color="000000"/>
                  </w:tcBorders>
                </w:tcPr>
                <w:p w14:paraId="151339A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100-300</w:t>
                  </w:r>
                </w:p>
              </w:tc>
              <w:tc>
                <w:tcPr>
                  <w:tcW w:w="2432" w:type="dxa"/>
                  <w:tcBorders>
                    <w:top w:val="single" w:sz="4" w:space="0" w:color="000000"/>
                    <w:left w:val="single" w:sz="4" w:space="0" w:color="000000"/>
                    <w:bottom w:val="single" w:sz="4" w:space="0" w:color="000000"/>
                    <w:right w:val="single" w:sz="4" w:space="0" w:color="000000"/>
                  </w:tcBorders>
                </w:tcPr>
                <w:p w14:paraId="151339A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93 %</w:t>
                  </w:r>
                </w:p>
              </w:tc>
            </w:tr>
            <w:tr w:rsidR="00236AB5" w:rsidRPr="008819AF" w14:paraId="151339B3" w14:textId="77777777">
              <w:trPr>
                <w:trHeight w:val="103"/>
                <w:jc w:val="center"/>
              </w:trPr>
              <w:tc>
                <w:tcPr>
                  <w:tcW w:w="2433" w:type="dxa"/>
                  <w:tcBorders>
                    <w:top w:val="single" w:sz="4" w:space="0" w:color="000000"/>
                    <w:left w:val="single" w:sz="4" w:space="0" w:color="000000"/>
                    <w:bottom w:val="single" w:sz="4" w:space="0" w:color="000000"/>
                    <w:right w:val="single" w:sz="4" w:space="0" w:color="000000"/>
                  </w:tcBorders>
                </w:tcPr>
                <w:p w14:paraId="151339B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w:t>
                  </w:r>
                </w:p>
              </w:tc>
              <w:tc>
                <w:tcPr>
                  <w:tcW w:w="2432" w:type="dxa"/>
                  <w:tcBorders>
                    <w:top w:val="single" w:sz="4" w:space="0" w:color="000000"/>
                    <w:left w:val="single" w:sz="4" w:space="0" w:color="000000"/>
                    <w:bottom w:val="single" w:sz="4" w:space="0" w:color="000000"/>
                    <w:right w:val="single" w:sz="4" w:space="0" w:color="000000"/>
                  </w:tcBorders>
                </w:tcPr>
                <w:p w14:paraId="151339B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97 %</w:t>
                  </w:r>
                </w:p>
              </w:tc>
            </w:tr>
          </w:tbl>
          <w:p w14:paraId="151339B4" w14:textId="77777777" w:rsidR="00236AB5" w:rsidRPr="008819AF" w:rsidRDefault="00236AB5" w:rsidP="00236AB5">
            <w:pPr>
              <w:rPr>
                <w:rFonts w:eastAsia="Arial"/>
                <w:lang w:bidi="cs-CZ"/>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9B5"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9B6"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9B7" w14:textId="77777777" w:rsidR="00236AB5" w:rsidRPr="008819AF" w:rsidRDefault="00236AB5" w:rsidP="00236AB5">
            <w:pPr>
              <w:jc w:val="center"/>
            </w:pPr>
            <w:r w:rsidRPr="008819AF">
              <w:t>Pr.4</w:t>
            </w:r>
          </w:p>
          <w:p w14:paraId="151339B8" w14:textId="77777777" w:rsidR="00236AB5" w:rsidRPr="008819AF" w:rsidRDefault="00236AB5" w:rsidP="00236AB5">
            <w:pPr>
              <w:jc w:val="center"/>
            </w:pPr>
            <w:r w:rsidRPr="008819AF">
              <w:t>Časť III.</w:t>
            </w:r>
          </w:p>
        </w:tc>
        <w:tc>
          <w:tcPr>
            <w:tcW w:w="5664" w:type="dxa"/>
            <w:gridSpan w:val="5"/>
            <w:tcBorders>
              <w:top w:val="single" w:sz="4" w:space="0" w:color="000000"/>
              <w:left w:val="single" w:sz="6" w:space="0" w:color="000000"/>
              <w:bottom w:val="single" w:sz="6" w:space="0" w:color="000000"/>
              <w:right w:val="single" w:sz="6" w:space="0" w:color="000000"/>
            </w:tcBorders>
          </w:tcPr>
          <w:p w14:paraId="151339B9" w14:textId="77777777" w:rsidR="00236AB5" w:rsidRPr="008819AF" w:rsidRDefault="00236AB5" w:rsidP="00236AB5">
            <w:pPr>
              <w:pStyle w:val="Odsekzoznamu1"/>
              <w:spacing w:after="120"/>
              <w:ind w:left="0"/>
              <w:jc w:val="both"/>
              <w:rPr>
                <w:sz w:val="20"/>
                <w:szCs w:val="20"/>
              </w:rPr>
            </w:pPr>
            <w:r w:rsidRPr="008819AF">
              <w:rPr>
                <w:sz w:val="20"/>
                <w:szCs w:val="20"/>
              </w:rPr>
              <w:t xml:space="preserve">2.  Spaľovanie tuhých palív </w:t>
            </w:r>
          </w:p>
          <w:p w14:paraId="151339BA" w14:textId="77777777" w:rsidR="00236AB5" w:rsidRPr="008819AF" w:rsidRDefault="00236AB5" w:rsidP="00236AB5">
            <w:pPr>
              <w:spacing w:after="120"/>
            </w:pPr>
            <w:r w:rsidRPr="008819AF">
              <w:t xml:space="preserve">A. Emisné limity pre zariadenia Z1 – Z3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44"/>
              <w:gridCol w:w="631"/>
              <w:gridCol w:w="4369"/>
            </w:tblGrid>
            <w:tr w:rsidR="00236AB5" w:rsidRPr="008819AF" w14:paraId="151339BD" w14:textId="77777777" w:rsidTr="0043262D">
              <w:trPr>
                <w:trHeight w:val="340"/>
                <w:jc w:val="center"/>
              </w:trPr>
              <w:tc>
                <w:tcPr>
                  <w:tcW w:w="1175" w:type="dxa"/>
                  <w:gridSpan w:val="2"/>
                </w:tcPr>
                <w:p w14:paraId="151339BB" w14:textId="77777777" w:rsidR="00236AB5" w:rsidRPr="008819AF" w:rsidRDefault="00236AB5" w:rsidP="00236AB5">
                  <w:pPr>
                    <w:rPr>
                      <w:sz w:val="18"/>
                      <w:szCs w:val="18"/>
                    </w:rPr>
                  </w:pPr>
                  <w:r w:rsidRPr="008819AF">
                    <w:rPr>
                      <w:b/>
                      <w:sz w:val="18"/>
                      <w:szCs w:val="18"/>
                    </w:rPr>
                    <w:t>MTP [MW]</w:t>
                  </w:r>
                </w:p>
              </w:tc>
              <w:tc>
                <w:tcPr>
                  <w:tcW w:w="4369" w:type="dxa"/>
                </w:tcPr>
                <w:p w14:paraId="151339BC" w14:textId="77777777" w:rsidR="00236AB5" w:rsidRPr="008819AF" w:rsidRDefault="00236AB5" w:rsidP="00236AB5">
                  <w:pPr>
                    <w:jc w:val="center"/>
                    <w:rPr>
                      <w:b/>
                      <w:sz w:val="18"/>
                      <w:szCs w:val="18"/>
                    </w:rPr>
                  </w:pPr>
                  <w:r w:rsidRPr="008819AF">
                    <w:rPr>
                      <w:b/>
                      <w:sz w:val="18"/>
                      <w:szCs w:val="18"/>
                    </w:rPr>
                    <w:t>Stupeň odsírenia    [%]</w:t>
                  </w:r>
                </w:p>
              </w:tc>
            </w:tr>
            <w:tr w:rsidR="00236AB5" w:rsidRPr="008819AF" w14:paraId="151339C1" w14:textId="77777777" w:rsidTr="0043262D">
              <w:trPr>
                <w:trHeight w:val="340"/>
                <w:jc w:val="center"/>
              </w:trPr>
              <w:tc>
                <w:tcPr>
                  <w:tcW w:w="544" w:type="dxa"/>
                </w:tcPr>
                <w:p w14:paraId="151339BE" w14:textId="77777777" w:rsidR="00236AB5" w:rsidRPr="008819AF" w:rsidRDefault="00236AB5" w:rsidP="00236AB5">
                  <w:pPr>
                    <w:rPr>
                      <w:sz w:val="18"/>
                      <w:szCs w:val="18"/>
                    </w:rPr>
                  </w:pPr>
                  <w:r w:rsidRPr="008819AF">
                    <w:rPr>
                      <w:sz w:val="18"/>
                      <w:szCs w:val="18"/>
                    </w:rPr>
                    <w:t xml:space="preserve">≥ 50 </w:t>
                  </w:r>
                </w:p>
              </w:tc>
              <w:tc>
                <w:tcPr>
                  <w:tcW w:w="631" w:type="dxa"/>
                </w:tcPr>
                <w:p w14:paraId="151339BF" w14:textId="77777777" w:rsidR="00236AB5" w:rsidRPr="008819AF" w:rsidRDefault="00236AB5" w:rsidP="00236AB5">
                  <w:pPr>
                    <w:ind w:right="-108"/>
                    <w:rPr>
                      <w:sz w:val="18"/>
                      <w:szCs w:val="18"/>
                    </w:rPr>
                  </w:pPr>
                  <w:r w:rsidRPr="008819AF">
                    <w:rPr>
                      <w:sz w:val="18"/>
                      <w:szCs w:val="18"/>
                    </w:rPr>
                    <w:t>&lt; 100</w:t>
                  </w:r>
                </w:p>
              </w:tc>
              <w:tc>
                <w:tcPr>
                  <w:tcW w:w="4369" w:type="dxa"/>
                </w:tcPr>
                <w:p w14:paraId="151339C0" w14:textId="77777777" w:rsidR="00236AB5" w:rsidRPr="008819AF" w:rsidRDefault="00236AB5" w:rsidP="00236AB5">
                  <w:pPr>
                    <w:jc w:val="center"/>
                    <w:rPr>
                      <w:sz w:val="18"/>
                      <w:szCs w:val="18"/>
                    </w:rPr>
                  </w:pPr>
                  <w:r w:rsidRPr="008819AF">
                    <w:rPr>
                      <w:sz w:val="18"/>
                      <w:szCs w:val="18"/>
                    </w:rPr>
                    <w:t>92, 80</w:t>
                  </w:r>
                  <w:r w:rsidRPr="008819AF">
                    <w:rPr>
                      <w:sz w:val="18"/>
                      <w:szCs w:val="18"/>
                      <w:vertAlign w:val="superscript"/>
                    </w:rPr>
                    <w:t>2</w:t>
                  </w:r>
                  <w:r w:rsidRPr="008819AF">
                    <w:rPr>
                      <w:sz w:val="18"/>
                      <w:szCs w:val="18"/>
                    </w:rPr>
                    <w:t>)</w:t>
                  </w:r>
                </w:p>
              </w:tc>
            </w:tr>
            <w:tr w:rsidR="00236AB5" w:rsidRPr="008819AF" w14:paraId="151339C5" w14:textId="77777777" w:rsidTr="0043262D">
              <w:trPr>
                <w:trHeight w:val="340"/>
                <w:jc w:val="center"/>
              </w:trPr>
              <w:tc>
                <w:tcPr>
                  <w:tcW w:w="544" w:type="dxa"/>
                </w:tcPr>
                <w:p w14:paraId="151339C2" w14:textId="77777777" w:rsidR="00236AB5" w:rsidRPr="008819AF" w:rsidRDefault="00236AB5" w:rsidP="00236AB5">
                  <w:pPr>
                    <w:ind w:right="-108"/>
                    <w:rPr>
                      <w:sz w:val="18"/>
                      <w:szCs w:val="18"/>
                    </w:rPr>
                  </w:pPr>
                  <w:r w:rsidRPr="008819AF">
                    <w:rPr>
                      <w:sz w:val="18"/>
                      <w:szCs w:val="18"/>
                    </w:rPr>
                    <w:t>≥ 100</w:t>
                  </w:r>
                </w:p>
              </w:tc>
              <w:tc>
                <w:tcPr>
                  <w:tcW w:w="631" w:type="dxa"/>
                </w:tcPr>
                <w:p w14:paraId="151339C3" w14:textId="77777777" w:rsidR="00236AB5" w:rsidRPr="008819AF" w:rsidRDefault="00236AB5" w:rsidP="00236AB5">
                  <w:pPr>
                    <w:ind w:right="-108"/>
                    <w:rPr>
                      <w:sz w:val="18"/>
                      <w:szCs w:val="18"/>
                    </w:rPr>
                  </w:pPr>
                  <w:r w:rsidRPr="008819AF">
                    <w:rPr>
                      <w:sz w:val="18"/>
                      <w:szCs w:val="18"/>
                    </w:rPr>
                    <w:t>≤ 300</w:t>
                  </w:r>
                </w:p>
              </w:tc>
              <w:tc>
                <w:tcPr>
                  <w:tcW w:w="4369" w:type="dxa"/>
                </w:tcPr>
                <w:p w14:paraId="151339C4" w14:textId="77777777" w:rsidR="00236AB5" w:rsidRPr="008819AF" w:rsidRDefault="00236AB5" w:rsidP="00236AB5">
                  <w:pPr>
                    <w:jc w:val="center"/>
                    <w:rPr>
                      <w:sz w:val="18"/>
                      <w:szCs w:val="18"/>
                    </w:rPr>
                  </w:pPr>
                  <w:r w:rsidRPr="008819AF">
                    <w:rPr>
                      <w:sz w:val="18"/>
                      <w:szCs w:val="18"/>
                    </w:rPr>
                    <w:t>92, 90</w:t>
                  </w:r>
                  <w:r w:rsidRPr="008819AF">
                    <w:rPr>
                      <w:sz w:val="18"/>
                      <w:szCs w:val="18"/>
                      <w:vertAlign w:val="superscript"/>
                    </w:rPr>
                    <w:t>2</w:t>
                  </w:r>
                  <w:r w:rsidRPr="008819AF">
                    <w:rPr>
                      <w:sz w:val="18"/>
                      <w:szCs w:val="18"/>
                    </w:rPr>
                    <w:t>)</w:t>
                  </w:r>
                </w:p>
              </w:tc>
            </w:tr>
            <w:tr w:rsidR="00236AB5" w:rsidRPr="008819AF" w14:paraId="151339C9" w14:textId="77777777" w:rsidTr="0043262D">
              <w:trPr>
                <w:trHeight w:val="340"/>
                <w:jc w:val="center"/>
              </w:trPr>
              <w:tc>
                <w:tcPr>
                  <w:tcW w:w="544" w:type="dxa"/>
                </w:tcPr>
                <w:p w14:paraId="151339C6" w14:textId="77777777" w:rsidR="00236AB5" w:rsidRPr="008819AF" w:rsidRDefault="00236AB5" w:rsidP="00236AB5">
                  <w:pPr>
                    <w:ind w:right="-108"/>
                    <w:rPr>
                      <w:sz w:val="18"/>
                      <w:szCs w:val="18"/>
                    </w:rPr>
                  </w:pPr>
                  <w:r w:rsidRPr="008819AF">
                    <w:rPr>
                      <w:sz w:val="18"/>
                      <w:szCs w:val="18"/>
                    </w:rPr>
                    <w:t>&gt; 300</w:t>
                  </w:r>
                </w:p>
              </w:tc>
              <w:tc>
                <w:tcPr>
                  <w:tcW w:w="631" w:type="dxa"/>
                </w:tcPr>
                <w:p w14:paraId="151339C7" w14:textId="77777777" w:rsidR="00236AB5" w:rsidRPr="008819AF" w:rsidRDefault="00236AB5" w:rsidP="00236AB5">
                  <w:pPr>
                    <w:jc w:val="center"/>
                    <w:rPr>
                      <w:sz w:val="18"/>
                      <w:szCs w:val="18"/>
                    </w:rPr>
                  </w:pPr>
                  <w:r w:rsidRPr="008819AF">
                    <w:rPr>
                      <w:sz w:val="18"/>
                      <w:szCs w:val="18"/>
                    </w:rPr>
                    <w:t>-</w:t>
                  </w:r>
                </w:p>
              </w:tc>
              <w:tc>
                <w:tcPr>
                  <w:tcW w:w="4369" w:type="dxa"/>
                </w:tcPr>
                <w:p w14:paraId="151339C8" w14:textId="77777777" w:rsidR="00236AB5" w:rsidRPr="008819AF" w:rsidRDefault="00236AB5" w:rsidP="00236AB5">
                  <w:pPr>
                    <w:jc w:val="center"/>
                    <w:rPr>
                      <w:sz w:val="18"/>
                      <w:szCs w:val="18"/>
                    </w:rPr>
                  </w:pPr>
                  <w:r w:rsidRPr="008819AF">
                    <w:rPr>
                      <w:sz w:val="18"/>
                      <w:szCs w:val="18"/>
                    </w:rPr>
                    <w:t>96, 95</w:t>
                  </w:r>
                  <w:r w:rsidRPr="008819AF">
                    <w:rPr>
                      <w:sz w:val="18"/>
                      <w:szCs w:val="18"/>
                      <w:vertAlign w:val="superscript"/>
                    </w:rPr>
                    <w:t>4</w:t>
                  </w:r>
                  <w:r w:rsidRPr="008819AF">
                    <w:rPr>
                      <w:sz w:val="18"/>
                      <w:szCs w:val="18"/>
                    </w:rPr>
                    <w:t>)</w:t>
                  </w:r>
                </w:p>
              </w:tc>
            </w:tr>
          </w:tbl>
          <w:p w14:paraId="151339CA" w14:textId="77777777" w:rsidR="00236AB5" w:rsidRPr="008819AF" w:rsidRDefault="00236AB5" w:rsidP="00236AB5">
            <w:r w:rsidRPr="008819AF">
              <w:rPr>
                <w:vertAlign w:val="superscript"/>
              </w:rPr>
              <w:t>2</w:t>
            </w:r>
            <w:r w:rsidRPr="008819AF">
              <w:t xml:space="preserve">) Platí pre jestvujúce zariadenia začlenené ako Z1 + Z2. </w:t>
            </w:r>
          </w:p>
          <w:p w14:paraId="151339CB" w14:textId="77777777" w:rsidR="00236AB5" w:rsidRPr="008819AF" w:rsidRDefault="00236AB5" w:rsidP="00236AB5">
            <w:pPr>
              <w:ind w:left="240" w:hanging="240"/>
            </w:pPr>
            <w:r w:rsidRPr="008819AF">
              <w:rPr>
                <w:vertAlign w:val="superscript"/>
              </w:rPr>
              <w:t>4</w:t>
            </w:r>
            <w:r w:rsidRPr="008819AF">
              <w:t>) Platí pre zariadenia začlenené ako Z1 + Z2 na spaľovanie roponosnej bridlice.</w:t>
            </w:r>
          </w:p>
          <w:p w14:paraId="151339CC" w14:textId="77777777" w:rsidR="00236AB5" w:rsidRPr="008819AF" w:rsidRDefault="00236AB5" w:rsidP="00236AB5">
            <w:pPr>
              <w:pStyle w:val="Odsekzoznamu1"/>
              <w:ind w:left="0"/>
              <w:jc w:val="both"/>
              <w:rPr>
                <w:sz w:val="20"/>
                <w:szCs w:val="20"/>
              </w:rPr>
            </w:pPr>
          </w:p>
          <w:p w14:paraId="151339CD" w14:textId="77777777" w:rsidR="00236AB5" w:rsidRPr="008819AF" w:rsidRDefault="00236AB5" w:rsidP="00236AB5">
            <w:pPr>
              <w:spacing w:after="120"/>
              <w:ind w:left="34"/>
              <w:jc w:val="both"/>
            </w:pPr>
            <w:r w:rsidRPr="008819AF">
              <w:t>B. Emisné limity pre zariadenia Z4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3"/>
              <w:gridCol w:w="624"/>
              <w:gridCol w:w="4387"/>
            </w:tblGrid>
            <w:tr w:rsidR="00236AB5" w:rsidRPr="008819AF" w14:paraId="151339D0" w14:textId="77777777" w:rsidTr="00927858">
              <w:trPr>
                <w:trHeight w:val="306"/>
                <w:jc w:val="center"/>
              </w:trPr>
              <w:tc>
                <w:tcPr>
                  <w:tcW w:w="1157" w:type="dxa"/>
                  <w:gridSpan w:val="2"/>
                  <w:tcBorders>
                    <w:top w:val="single" w:sz="2" w:space="0" w:color="auto"/>
                    <w:left w:val="single" w:sz="2" w:space="0" w:color="auto"/>
                    <w:bottom w:val="single" w:sz="2" w:space="0" w:color="auto"/>
                    <w:right w:val="single" w:sz="2" w:space="0" w:color="auto"/>
                  </w:tcBorders>
                </w:tcPr>
                <w:p w14:paraId="151339CE" w14:textId="77777777" w:rsidR="00236AB5" w:rsidRPr="008819AF" w:rsidRDefault="00236AB5" w:rsidP="00236AB5">
                  <w:pPr>
                    <w:rPr>
                      <w:sz w:val="18"/>
                      <w:szCs w:val="18"/>
                    </w:rPr>
                  </w:pPr>
                  <w:r w:rsidRPr="008819AF">
                    <w:rPr>
                      <w:b/>
                      <w:sz w:val="18"/>
                      <w:szCs w:val="18"/>
                    </w:rPr>
                    <w:lastRenderedPageBreak/>
                    <w:t>MTP [MW]</w:t>
                  </w:r>
                </w:p>
              </w:tc>
              <w:tc>
                <w:tcPr>
                  <w:tcW w:w="4387" w:type="dxa"/>
                  <w:tcBorders>
                    <w:top w:val="single" w:sz="2" w:space="0" w:color="auto"/>
                    <w:left w:val="single" w:sz="2" w:space="0" w:color="auto"/>
                    <w:bottom w:val="single" w:sz="2" w:space="0" w:color="auto"/>
                    <w:right w:val="single" w:sz="2" w:space="0" w:color="auto"/>
                  </w:tcBorders>
                </w:tcPr>
                <w:p w14:paraId="151339CF" w14:textId="77777777" w:rsidR="00236AB5" w:rsidRPr="008819AF" w:rsidRDefault="00236AB5" w:rsidP="00236AB5">
                  <w:pPr>
                    <w:jc w:val="center"/>
                    <w:rPr>
                      <w:b/>
                      <w:sz w:val="18"/>
                      <w:szCs w:val="18"/>
                    </w:rPr>
                  </w:pPr>
                  <w:r w:rsidRPr="008819AF">
                    <w:rPr>
                      <w:b/>
                      <w:sz w:val="18"/>
                      <w:szCs w:val="18"/>
                    </w:rPr>
                    <w:t>Stupeň odsírenia   [%]</w:t>
                  </w:r>
                </w:p>
              </w:tc>
            </w:tr>
            <w:tr w:rsidR="00236AB5" w:rsidRPr="008819AF" w14:paraId="151339D4" w14:textId="77777777" w:rsidTr="00927858">
              <w:trPr>
                <w:trHeight w:val="306"/>
                <w:jc w:val="center"/>
              </w:trPr>
              <w:tc>
                <w:tcPr>
                  <w:tcW w:w="533" w:type="dxa"/>
                  <w:tcBorders>
                    <w:top w:val="single" w:sz="2" w:space="0" w:color="auto"/>
                    <w:left w:val="single" w:sz="2" w:space="0" w:color="auto"/>
                    <w:bottom w:val="single" w:sz="2" w:space="0" w:color="auto"/>
                    <w:right w:val="single" w:sz="2" w:space="0" w:color="auto"/>
                  </w:tcBorders>
                </w:tcPr>
                <w:p w14:paraId="151339D1" w14:textId="77777777" w:rsidR="00236AB5" w:rsidRPr="008819AF" w:rsidRDefault="00236AB5" w:rsidP="00236AB5">
                  <w:pPr>
                    <w:ind w:right="-108"/>
                    <w:rPr>
                      <w:sz w:val="18"/>
                      <w:szCs w:val="18"/>
                    </w:rPr>
                  </w:pPr>
                  <w:r w:rsidRPr="008819AF">
                    <w:rPr>
                      <w:sz w:val="18"/>
                      <w:szCs w:val="18"/>
                    </w:rPr>
                    <w:t xml:space="preserve">≥ 50 </w:t>
                  </w:r>
                </w:p>
              </w:tc>
              <w:tc>
                <w:tcPr>
                  <w:tcW w:w="624" w:type="dxa"/>
                  <w:tcBorders>
                    <w:top w:val="single" w:sz="2" w:space="0" w:color="auto"/>
                    <w:left w:val="single" w:sz="2" w:space="0" w:color="auto"/>
                    <w:bottom w:val="single" w:sz="2" w:space="0" w:color="auto"/>
                    <w:right w:val="single" w:sz="2" w:space="0" w:color="auto"/>
                  </w:tcBorders>
                </w:tcPr>
                <w:p w14:paraId="151339D2" w14:textId="77777777" w:rsidR="00236AB5" w:rsidRPr="008819AF" w:rsidRDefault="00236AB5" w:rsidP="00236AB5">
                  <w:pPr>
                    <w:ind w:right="-108"/>
                    <w:rPr>
                      <w:sz w:val="18"/>
                      <w:szCs w:val="18"/>
                    </w:rPr>
                  </w:pPr>
                  <w:r w:rsidRPr="008819AF">
                    <w:rPr>
                      <w:sz w:val="18"/>
                      <w:szCs w:val="18"/>
                    </w:rPr>
                    <w:t>&lt; 100</w:t>
                  </w:r>
                </w:p>
              </w:tc>
              <w:tc>
                <w:tcPr>
                  <w:tcW w:w="4387" w:type="dxa"/>
                  <w:tcBorders>
                    <w:top w:val="single" w:sz="2" w:space="0" w:color="auto"/>
                    <w:left w:val="single" w:sz="2" w:space="0" w:color="auto"/>
                    <w:bottom w:val="single" w:sz="2" w:space="0" w:color="auto"/>
                    <w:right w:val="single" w:sz="2" w:space="0" w:color="auto"/>
                  </w:tcBorders>
                </w:tcPr>
                <w:p w14:paraId="151339D3" w14:textId="77777777" w:rsidR="00236AB5" w:rsidRPr="008819AF" w:rsidRDefault="00236AB5" w:rsidP="00236AB5">
                  <w:pPr>
                    <w:jc w:val="center"/>
                    <w:rPr>
                      <w:sz w:val="18"/>
                      <w:szCs w:val="18"/>
                    </w:rPr>
                  </w:pPr>
                  <w:r w:rsidRPr="008819AF">
                    <w:rPr>
                      <w:sz w:val="18"/>
                      <w:szCs w:val="18"/>
                    </w:rPr>
                    <w:t>93</w:t>
                  </w:r>
                </w:p>
              </w:tc>
            </w:tr>
            <w:tr w:rsidR="00236AB5" w:rsidRPr="008819AF" w14:paraId="151339D8" w14:textId="77777777" w:rsidTr="00927858">
              <w:trPr>
                <w:trHeight w:val="306"/>
                <w:jc w:val="center"/>
              </w:trPr>
              <w:tc>
                <w:tcPr>
                  <w:tcW w:w="533" w:type="dxa"/>
                  <w:tcBorders>
                    <w:top w:val="single" w:sz="2" w:space="0" w:color="auto"/>
                    <w:left w:val="single" w:sz="2" w:space="0" w:color="auto"/>
                    <w:bottom w:val="single" w:sz="2" w:space="0" w:color="auto"/>
                    <w:right w:val="single" w:sz="2" w:space="0" w:color="auto"/>
                  </w:tcBorders>
                </w:tcPr>
                <w:p w14:paraId="151339D5" w14:textId="77777777" w:rsidR="00236AB5" w:rsidRPr="008819AF" w:rsidRDefault="00236AB5" w:rsidP="00236AB5">
                  <w:pPr>
                    <w:ind w:right="-108"/>
                    <w:rPr>
                      <w:sz w:val="18"/>
                      <w:szCs w:val="18"/>
                    </w:rPr>
                  </w:pPr>
                  <w:r w:rsidRPr="008819AF">
                    <w:rPr>
                      <w:sz w:val="18"/>
                      <w:szCs w:val="18"/>
                    </w:rPr>
                    <w:t>≥ 100</w:t>
                  </w:r>
                </w:p>
              </w:tc>
              <w:tc>
                <w:tcPr>
                  <w:tcW w:w="624" w:type="dxa"/>
                  <w:tcBorders>
                    <w:top w:val="single" w:sz="2" w:space="0" w:color="auto"/>
                    <w:left w:val="single" w:sz="2" w:space="0" w:color="auto"/>
                    <w:bottom w:val="single" w:sz="2" w:space="0" w:color="auto"/>
                    <w:right w:val="single" w:sz="2" w:space="0" w:color="auto"/>
                  </w:tcBorders>
                </w:tcPr>
                <w:p w14:paraId="151339D6" w14:textId="77777777" w:rsidR="00236AB5" w:rsidRPr="008819AF" w:rsidRDefault="00236AB5" w:rsidP="00236AB5">
                  <w:pPr>
                    <w:ind w:right="-108"/>
                    <w:rPr>
                      <w:sz w:val="18"/>
                      <w:szCs w:val="18"/>
                    </w:rPr>
                  </w:pPr>
                  <w:r w:rsidRPr="008819AF">
                    <w:rPr>
                      <w:sz w:val="18"/>
                      <w:szCs w:val="18"/>
                    </w:rPr>
                    <w:t>≤ 300</w:t>
                  </w:r>
                </w:p>
              </w:tc>
              <w:tc>
                <w:tcPr>
                  <w:tcW w:w="4387" w:type="dxa"/>
                  <w:tcBorders>
                    <w:top w:val="single" w:sz="2" w:space="0" w:color="auto"/>
                    <w:left w:val="single" w:sz="2" w:space="0" w:color="auto"/>
                    <w:bottom w:val="single" w:sz="2" w:space="0" w:color="auto"/>
                    <w:right w:val="single" w:sz="2" w:space="0" w:color="auto"/>
                  </w:tcBorders>
                </w:tcPr>
                <w:p w14:paraId="151339D7" w14:textId="77777777" w:rsidR="00236AB5" w:rsidRPr="008819AF" w:rsidRDefault="00236AB5" w:rsidP="00236AB5">
                  <w:pPr>
                    <w:jc w:val="center"/>
                    <w:rPr>
                      <w:sz w:val="18"/>
                      <w:szCs w:val="18"/>
                    </w:rPr>
                  </w:pPr>
                  <w:r w:rsidRPr="008819AF">
                    <w:rPr>
                      <w:sz w:val="18"/>
                      <w:szCs w:val="18"/>
                    </w:rPr>
                    <w:t>93</w:t>
                  </w:r>
                </w:p>
              </w:tc>
            </w:tr>
            <w:tr w:rsidR="00236AB5" w:rsidRPr="008819AF" w14:paraId="151339DB" w14:textId="77777777" w:rsidTr="00927858">
              <w:trPr>
                <w:trHeight w:val="306"/>
                <w:jc w:val="center"/>
              </w:trPr>
              <w:tc>
                <w:tcPr>
                  <w:tcW w:w="1157" w:type="dxa"/>
                  <w:gridSpan w:val="2"/>
                  <w:tcBorders>
                    <w:top w:val="single" w:sz="2" w:space="0" w:color="auto"/>
                    <w:left w:val="single" w:sz="2" w:space="0" w:color="auto"/>
                    <w:bottom w:val="single" w:sz="2" w:space="0" w:color="auto"/>
                    <w:right w:val="single" w:sz="2" w:space="0" w:color="auto"/>
                  </w:tcBorders>
                  <w:vAlign w:val="center"/>
                </w:tcPr>
                <w:p w14:paraId="151339D9" w14:textId="77777777" w:rsidR="00236AB5" w:rsidRPr="008819AF" w:rsidRDefault="00236AB5" w:rsidP="00236AB5">
                  <w:pPr>
                    <w:jc w:val="center"/>
                    <w:rPr>
                      <w:sz w:val="18"/>
                      <w:szCs w:val="18"/>
                    </w:rPr>
                  </w:pPr>
                  <w:r w:rsidRPr="008819AF">
                    <w:rPr>
                      <w:sz w:val="18"/>
                      <w:szCs w:val="18"/>
                    </w:rPr>
                    <w:t>&gt; 300</w:t>
                  </w:r>
                </w:p>
              </w:tc>
              <w:tc>
                <w:tcPr>
                  <w:tcW w:w="4387" w:type="dxa"/>
                  <w:tcBorders>
                    <w:top w:val="single" w:sz="2" w:space="0" w:color="auto"/>
                    <w:left w:val="single" w:sz="2" w:space="0" w:color="auto"/>
                    <w:bottom w:val="single" w:sz="2" w:space="0" w:color="auto"/>
                    <w:right w:val="single" w:sz="2" w:space="0" w:color="auto"/>
                  </w:tcBorders>
                  <w:vAlign w:val="center"/>
                </w:tcPr>
                <w:p w14:paraId="151339DA" w14:textId="77777777" w:rsidR="00236AB5" w:rsidRPr="008819AF" w:rsidRDefault="00236AB5" w:rsidP="00236AB5">
                  <w:pPr>
                    <w:jc w:val="center"/>
                    <w:rPr>
                      <w:sz w:val="18"/>
                      <w:szCs w:val="18"/>
                    </w:rPr>
                  </w:pPr>
                  <w:r w:rsidRPr="008819AF">
                    <w:rPr>
                      <w:sz w:val="18"/>
                      <w:szCs w:val="18"/>
                    </w:rPr>
                    <w:t>97</w:t>
                  </w:r>
                </w:p>
              </w:tc>
            </w:tr>
          </w:tbl>
          <w:p w14:paraId="151339DC" w14:textId="77777777" w:rsidR="00236AB5" w:rsidRPr="008819AF" w:rsidRDefault="00236AB5" w:rsidP="00236AB5">
            <w:pPr>
              <w:pStyle w:val="Hlavika"/>
              <w:ind w:left="72" w:hanging="1"/>
              <w:rPr>
                <w:rFonts w:ascii="Times New Roman" w:hAnsi="Times New Roman" w:cs="Times New Roman"/>
              </w:rPr>
            </w:pPr>
          </w:p>
          <w:p w14:paraId="151339DD" w14:textId="77777777" w:rsidR="00236AB5" w:rsidRPr="008819AF" w:rsidRDefault="00236AB5" w:rsidP="00236AB5">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39DE"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9DF" w14:textId="77777777" w:rsidR="00236AB5" w:rsidRPr="008819AF" w:rsidRDefault="00236AB5" w:rsidP="00236AB5">
            <w:pPr>
              <w:ind w:left="215" w:hanging="215"/>
              <w:rPr>
                <w:rFonts w:eastAsia="Arial"/>
              </w:rPr>
            </w:pPr>
          </w:p>
        </w:tc>
      </w:tr>
      <w:tr w:rsidR="00236AB5" w:rsidRPr="008819AF" w14:paraId="151339EF"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9E1"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9E2" w14:textId="77777777" w:rsidR="00236AB5" w:rsidRPr="008819AF" w:rsidRDefault="00236AB5" w:rsidP="00236AB5">
            <w:pPr>
              <w:ind w:left="215" w:hanging="215"/>
              <w:rPr>
                <w:rFonts w:eastAsia="Arial"/>
                <w:lang w:bidi="cs-CZ"/>
              </w:rPr>
            </w:pPr>
            <w:r w:rsidRPr="008819AF">
              <w:rPr>
                <w:rFonts w:eastAsia="Arial"/>
                <w:lang w:bidi="cs-CZ"/>
              </w:rPr>
              <w:t>ČASŤ 6</w:t>
            </w:r>
          </w:p>
          <w:p w14:paraId="151339E3" w14:textId="77777777" w:rsidR="00236AB5" w:rsidRPr="008819AF" w:rsidRDefault="00236AB5" w:rsidP="00236AB5">
            <w:pPr>
              <w:ind w:left="215" w:hanging="215"/>
              <w:rPr>
                <w:rFonts w:eastAsia="Arial"/>
                <w:i/>
                <w:iCs/>
                <w:lang w:bidi="cs-CZ"/>
              </w:rPr>
            </w:pPr>
            <w:r w:rsidRPr="008819AF">
              <w:rPr>
                <w:rFonts w:eastAsia="Arial"/>
                <w:i/>
                <w:iCs/>
                <w:lang w:bidi="cs-CZ"/>
              </w:rPr>
              <w:t>Dodržiavanie stupňa odsírenia</w:t>
            </w:r>
          </w:p>
          <w:p w14:paraId="151339E4" w14:textId="77777777" w:rsidR="00236AB5" w:rsidRPr="008819AF" w:rsidRDefault="00236AB5" w:rsidP="00236AB5">
            <w:pPr>
              <w:ind w:left="72"/>
              <w:rPr>
                <w:rFonts w:eastAsia="Arial"/>
              </w:rPr>
            </w:pPr>
            <w:r w:rsidRPr="008819AF">
              <w:rPr>
                <w:rFonts w:eastAsia="Arial"/>
                <w:lang w:bidi="cs-CZ"/>
              </w:rPr>
              <w:t xml:space="preserve">Minimálny stupeň odsírenia stanovený v časti 5 tejto prílohy sa uplatňuje ako </w:t>
            </w:r>
            <w:r w:rsidRPr="008819AF">
              <w:rPr>
                <w:rFonts w:eastAsia="Arial"/>
                <w:u w:val="single"/>
                <w:lang w:bidi="cs-CZ"/>
              </w:rPr>
              <w:t>mesačná</w:t>
            </w:r>
            <w:r w:rsidRPr="008819AF">
              <w:rPr>
                <w:rFonts w:eastAsia="Arial"/>
                <w:lang w:bidi="cs-CZ"/>
              </w:rPr>
              <w:t xml:space="preserve"> priemerná limitná hodnota.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9E5"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9E6"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9E7" w14:textId="77777777" w:rsidR="00236AB5" w:rsidRPr="008819AF" w:rsidRDefault="00236AB5" w:rsidP="00236AB5">
            <w:pPr>
              <w:jc w:val="center"/>
            </w:pPr>
            <w:r w:rsidRPr="008819AF">
              <w:t>§20</w:t>
            </w:r>
          </w:p>
          <w:p w14:paraId="151339E8" w14:textId="77777777" w:rsidR="00236AB5" w:rsidRPr="008819AF" w:rsidRDefault="00236AB5" w:rsidP="00236AB5">
            <w:pPr>
              <w:jc w:val="center"/>
            </w:pPr>
            <w:r w:rsidRPr="008819AF">
              <w:t>O2</w:t>
            </w:r>
          </w:p>
          <w:p w14:paraId="151339E9" w14:textId="77777777" w:rsidR="00236AB5" w:rsidRPr="008819AF" w:rsidRDefault="00236AB5" w:rsidP="00236AB5">
            <w:pPr>
              <w:jc w:val="center"/>
            </w:pPr>
            <w:r w:rsidRPr="008819AF">
              <w:t>Pb)</w:t>
            </w:r>
          </w:p>
        </w:tc>
        <w:tc>
          <w:tcPr>
            <w:tcW w:w="5664" w:type="dxa"/>
            <w:gridSpan w:val="5"/>
            <w:tcBorders>
              <w:top w:val="single" w:sz="4" w:space="0" w:color="000000"/>
              <w:left w:val="single" w:sz="6" w:space="0" w:color="000000"/>
              <w:bottom w:val="single" w:sz="6" w:space="0" w:color="000000"/>
              <w:right w:val="single" w:sz="6" w:space="0" w:color="000000"/>
            </w:tcBorders>
          </w:tcPr>
          <w:p w14:paraId="151339EA"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(2) Emisný limit sa pri oprávnenom diskontinuálnom meraní (ďalej len „diskontinuálne meranie“) alebo technickom výpočte</w:t>
            </w:r>
            <w:bookmarkStart w:id="0" w:name="_Ref91625223"/>
            <w:r w:rsidRPr="008819AF">
              <w:rPr>
                <w:rFonts w:ascii="Times New Roman" w:hAnsi="Times New Roman" w:cs="Times New Roman"/>
                <w:vertAlign w:val="superscript"/>
              </w:rPr>
              <w:t>8</w:t>
            </w:r>
            <w:bookmarkEnd w:id="0"/>
            <w:r w:rsidRPr="008819AF">
              <w:rPr>
                <w:rFonts w:ascii="Times New Roman" w:hAnsi="Times New Roman" w:cs="Times New Roman"/>
              </w:rPr>
              <w:t>) považuje za dodržaný, ak</w:t>
            </w:r>
          </w:p>
          <w:p w14:paraId="151339EB"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b) ide o stupeň odsírenia, žiadna jednotlivá hodnota nie je nižšia ako hodnota stupňa odsírenia.</w:t>
            </w:r>
          </w:p>
          <w:p w14:paraId="151339EC" w14:textId="77777777" w:rsidR="00236AB5" w:rsidRPr="008819AF" w:rsidRDefault="00236AB5" w:rsidP="00236AB5">
            <w:pPr>
              <w:pStyle w:val="Hlavika"/>
              <w:spacing w:before="120"/>
              <w:ind w:left="74" w:firstLine="0"/>
              <w:rPr>
                <w:rFonts w:ascii="Times New Roman" w:hAnsi="Times New Roman" w:cs="Times New Roman"/>
              </w:rPr>
            </w:pPr>
            <w:r w:rsidRPr="008819AF">
              <w:rPr>
                <w:rFonts w:ascii="Times New Roman" w:hAnsi="Times New Roman" w:cs="Times New Roman"/>
                <w:vertAlign w:val="superscript"/>
              </w:rPr>
              <w:t>8</w:t>
            </w:r>
            <w:r w:rsidRPr="008819AF">
              <w:rPr>
                <w:rFonts w:ascii="Times New Roman" w:hAnsi="Times New Roman" w:cs="Times New Roman"/>
              </w:rPr>
              <w:t>) § XXX vyhlášky Ministerstva životného prostredia Slovenskej republiky č. XXX.../2022 Z. z. o monitorovaní emisií zo stacionárnych zdrojov znečisťovania ovzdušia a kvality ovzdušia v ich okolí</w:t>
            </w:r>
          </w:p>
        </w:tc>
        <w:tc>
          <w:tcPr>
            <w:tcW w:w="429" w:type="dxa"/>
            <w:tcBorders>
              <w:top w:val="single" w:sz="4" w:space="0" w:color="000000"/>
              <w:left w:val="single" w:sz="6" w:space="0" w:color="000000"/>
              <w:bottom w:val="single" w:sz="6" w:space="0" w:color="000000"/>
              <w:right w:val="single" w:sz="6" w:space="0" w:color="000000"/>
            </w:tcBorders>
          </w:tcPr>
          <w:p w14:paraId="151339ED"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9EE" w14:textId="77777777" w:rsidR="00236AB5" w:rsidRPr="008819AF" w:rsidRDefault="00236AB5" w:rsidP="00236AB5">
            <w:pPr>
              <w:ind w:left="215" w:hanging="215"/>
              <w:rPr>
                <w:rFonts w:eastAsia="Arial"/>
              </w:rPr>
            </w:pPr>
          </w:p>
        </w:tc>
      </w:tr>
      <w:tr w:rsidR="00236AB5" w:rsidRPr="008819AF" w14:paraId="15133A11"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151339F0"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9F1" w14:textId="77777777" w:rsidR="00236AB5" w:rsidRPr="008819AF" w:rsidRDefault="00236AB5" w:rsidP="00236AB5">
            <w:pPr>
              <w:ind w:left="215" w:hanging="215"/>
              <w:rPr>
                <w:rFonts w:eastAsia="Arial"/>
                <w:lang w:bidi="cs-CZ"/>
              </w:rPr>
            </w:pPr>
            <w:r w:rsidRPr="008819AF">
              <w:rPr>
                <w:rFonts w:eastAsia="Arial"/>
                <w:lang w:bidi="cs-CZ"/>
              </w:rPr>
              <w:t>ČASŤ 7</w:t>
            </w:r>
          </w:p>
          <w:p w14:paraId="151339F2" w14:textId="77777777" w:rsidR="00236AB5" w:rsidRPr="008819AF" w:rsidRDefault="00236AB5" w:rsidP="00236AB5">
            <w:pPr>
              <w:ind w:left="72"/>
              <w:rPr>
                <w:rFonts w:eastAsia="Arial"/>
                <w:i/>
                <w:iCs/>
                <w:lang w:bidi="cs-CZ"/>
              </w:rPr>
            </w:pPr>
            <w:r w:rsidRPr="008819AF">
              <w:rPr>
                <w:rFonts w:eastAsia="Arial"/>
                <w:i/>
                <w:iCs/>
                <w:lang w:bidi="cs-CZ"/>
              </w:rPr>
              <w:t>Priemerné emisné limity pre spaľovacie zariadenia na spaľovanie viacerých druhov palív v rámci rafinérie</w:t>
            </w:r>
          </w:p>
          <w:p w14:paraId="151339F3" w14:textId="77777777" w:rsidR="00236AB5" w:rsidRPr="008819AF" w:rsidRDefault="00236AB5" w:rsidP="00236AB5">
            <w:pPr>
              <w:rPr>
                <w:rFonts w:eastAsia="Arial"/>
                <w:lang w:bidi="cs-CZ"/>
              </w:rPr>
            </w:pPr>
            <w:r w:rsidRPr="008819AF">
              <w:rPr>
                <w:rFonts w:eastAsia="Arial"/>
                <w:lang w:bidi="cs-CZ"/>
              </w:rPr>
              <w:t>Priemerné emisné limity (v mg/Nm3) pre SO2 pre spaľovacie zariadenia na spaľovanie viacerých druhov palív v rámci rafinérie s výnimkou plynových turbín a plynových motorov, ktoré využívajú zvyšky z destilácie a konverzie z rafinácie ropy pre vlastnú spotrebu, samostatne alebo s iným palivom:</w:t>
            </w:r>
          </w:p>
          <w:p w14:paraId="151339F4" w14:textId="77777777" w:rsidR="00236AB5" w:rsidRPr="008819AF" w:rsidRDefault="00236AB5" w:rsidP="00236AB5">
            <w:pPr>
              <w:ind w:left="215" w:hanging="215"/>
              <w:rPr>
                <w:rFonts w:eastAsia="Arial"/>
                <w:lang w:bidi="cs-CZ"/>
              </w:rPr>
            </w:pPr>
            <w:r w:rsidRPr="008819AF">
              <w:rPr>
                <w:rFonts w:eastAsia="Arial"/>
                <w:lang w:bidi="cs-CZ"/>
              </w:rPr>
              <w:t>a) v prípade spaľovacích zariadení, ktorým bolo vydané povolenie pred 27. novembrom 2002, alebo ktorých prevádzkovatelia predložili úplnú žiadosť o povolenie pred týmto dátumom, za predpokladu, že zariadenie sa uviedlo do prevádzkovaní najneskôr 27. novembra 2003: 1 000 mg/Nm3;</w:t>
            </w:r>
          </w:p>
          <w:p w14:paraId="151339F5" w14:textId="77777777" w:rsidR="00236AB5" w:rsidRPr="008819AF" w:rsidRDefault="00236AB5" w:rsidP="00236AB5">
            <w:pPr>
              <w:ind w:left="215" w:hanging="215"/>
              <w:rPr>
                <w:rFonts w:eastAsia="Arial"/>
                <w:lang w:bidi="cs-CZ"/>
              </w:rPr>
            </w:pPr>
            <w:r w:rsidRPr="008819AF">
              <w:rPr>
                <w:rFonts w:eastAsia="Arial"/>
                <w:lang w:bidi="cs-CZ"/>
              </w:rPr>
              <w:t>b) v prípade iných spaľovacích zariadení: 600 mg/Nm3.</w:t>
            </w:r>
          </w:p>
          <w:p w14:paraId="151339F6" w14:textId="77777777" w:rsidR="00236AB5" w:rsidRPr="008819AF" w:rsidRDefault="00236AB5" w:rsidP="00236AB5">
            <w:pPr>
              <w:rPr>
                <w:rFonts w:eastAsia="Arial"/>
                <w:i/>
                <w:iCs/>
                <w:lang w:bidi="cs-CZ"/>
              </w:rPr>
            </w:pPr>
            <w:r w:rsidRPr="008819AF">
              <w:rPr>
                <w:rFonts w:eastAsia="Arial"/>
                <w:lang w:bidi="cs-CZ"/>
              </w:rPr>
              <w:t>Tieto emisné limity sa vypočítajú pri teplote 273,15 K, tlaku 101,3 kPa a po korekcii obsahu vodných pár v odpadových plynoch a pri referenčnom obsahu kyslíka, ktorý predstavuje 6 % pre tuhé palivá a 3 % pre kvapalné a plynné palivá.</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9F7"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9F8"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9F9" w14:textId="77777777" w:rsidR="00236AB5" w:rsidRPr="008819AF" w:rsidRDefault="00236AB5" w:rsidP="00236AB5">
            <w:pPr>
              <w:jc w:val="center"/>
            </w:pPr>
            <w:r w:rsidRPr="008819AF">
              <w:t>Pr.4</w:t>
            </w:r>
          </w:p>
          <w:p w14:paraId="151339FA" w14:textId="77777777" w:rsidR="00236AB5" w:rsidRPr="008819AF" w:rsidRDefault="00236AB5" w:rsidP="00236AB5">
            <w:pPr>
              <w:jc w:val="center"/>
            </w:pPr>
            <w:r w:rsidRPr="008819AF">
              <w:t>Časť II.</w:t>
            </w:r>
          </w:p>
        </w:tc>
        <w:tc>
          <w:tcPr>
            <w:tcW w:w="5664" w:type="dxa"/>
            <w:gridSpan w:val="5"/>
            <w:tcBorders>
              <w:top w:val="single" w:sz="4" w:space="0" w:color="000000"/>
              <w:left w:val="single" w:sz="6" w:space="0" w:color="000000"/>
              <w:bottom w:val="single" w:sz="6" w:space="0" w:color="000000"/>
              <w:right w:val="single" w:sz="6" w:space="0" w:color="000000"/>
            </w:tcBorders>
          </w:tcPr>
          <w:p w14:paraId="151339FB" w14:textId="77777777" w:rsidR="00236AB5" w:rsidRPr="008819AF" w:rsidRDefault="00236AB5" w:rsidP="00236AB5">
            <w:pPr>
              <w:pStyle w:val="Odsekzoznamu1"/>
              <w:ind w:left="24"/>
              <w:jc w:val="both"/>
              <w:rPr>
                <w:sz w:val="20"/>
                <w:szCs w:val="20"/>
              </w:rPr>
            </w:pPr>
            <w:r w:rsidRPr="008819AF">
              <w:rPr>
                <w:sz w:val="20"/>
                <w:szCs w:val="20"/>
              </w:rPr>
              <w:t>3.  Viacpalivové spaľovacie zariadenia rafinérií</w:t>
            </w:r>
          </w:p>
          <w:p w14:paraId="151339FC" w14:textId="77777777" w:rsidR="00236AB5" w:rsidRPr="008819AF" w:rsidRDefault="00236AB5" w:rsidP="00236AB5">
            <w:pPr>
              <w:pStyle w:val="Odsekzoznamu1"/>
              <w:spacing w:before="120" w:after="120"/>
              <w:ind w:left="23"/>
              <w:jc w:val="both"/>
              <w:rPr>
                <w:sz w:val="20"/>
                <w:szCs w:val="20"/>
              </w:rPr>
            </w:pPr>
            <w:r w:rsidRPr="008819AF">
              <w:rPr>
                <w:sz w:val="20"/>
                <w:szCs w:val="20"/>
              </w:rPr>
              <w:t>3.2 Odchylne od bodu 2 a bodu 3.1, ak nedôjde k celkovému zvýšeniu množstva emisií, možno pre jestvujúce viacpalivové zariadenia v rámci rafinérie, ktoré využívajú zvyšky z destilácie a konverzie z rafinácie ropy pre vlastnú spotrebu, samostatne alebo s iným palivom namiesto emisných limitov podľa § 10 ods. 2 určiť emisný limit pre SO</w:t>
            </w:r>
            <w:r w:rsidRPr="008819AF">
              <w:rPr>
                <w:sz w:val="20"/>
                <w:szCs w:val="20"/>
                <w:vertAlign w:val="subscript"/>
              </w:rPr>
              <w:t>2</w:t>
            </w:r>
            <w:r w:rsidRPr="008819AF">
              <w:rPr>
                <w:sz w:val="20"/>
                <w:szCs w:val="20"/>
              </w:rPr>
              <w:t xml:space="preserve"> takto: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4094"/>
            </w:tblGrid>
            <w:tr w:rsidR="00236AB5" w:rsidRPr="008819AF" w14:paraId="15133A01" w14:textId="77777777" w:rsidTr="00AD4347">
              <w:trPr>
                <w:trHeight w:val="340"/>
                <w:jc w:val="center"/>
              </w:trPr>
              <w:tc>
                <w:tcPr>
                  <w:tcW w:w="1446" w:type="dxa"/>
                  <w:vMerge w:val="restart"/>
                  <w:vAlign w:val="center"/>
                </w:tcPr>
                <w:p w14:paraId="151339FD" w14:textId="77777777" w:rsidR="00236AB5" w:rsidRPr="008819AF" w:rsidRDefault="00236AB5" w:rsidP="00236AB5">
                  <w:pPr>
                    <w:pStyle w:val="Odsekzoznamu"/>
                    <w:ind w:left="0"/>
                    <w:rPr>
                      <w:b/>
                      <w:sz w:val="18"/>
                      <w:szCs w:val="18"/>
                    </w:rPr>
                  </w:pPr>
                  <w:r w:rsidRPr="008819AF">
                    <w:rPr>
                      <w:b/>
                      <w:sz w:val="18"/>
                      <w:szCs w:val="18"/>
                    </w:rPr>
                    <w:t xml:space="preserve">Podmienky platnosti EL </w:t>
                  </w:r>
                </w:p>
              </w:tc>
              <w:tc>
                <w:tcPr>
                  <w:tcW w:w="4094" w:type="dxa"/>
                </w:tcPr>
                <w:p w14:paraId="151339FE" w14:textId="77777777" w:rsidR="00236AB5" w:rsidRPr="008819AF" w:rsidRDefault="00236AB5" w:rsidP="00236AB5">
                  <w:pPr>
                    <w:pStyle w:val="Normln"/>
                    <w:keepNext/>
                    <w:rPr>
                      <w:sz w:val="18"/>
                      <w:szCs w:val="18"/>
                      <w:lang w:val="sk-SK"/>
                    </w:rPr>
                  </w:pPr>
                  <w:r w:rsidRPr="008819AF">
                    <w:rPr>
                      <w:sz w:val="18"/>
                      <w:szCs w:val="18"/>
                      <w:lang w:val="sk-SK"/>
                    </w:rPr>
                    <w:t xml:space="preserve">Štandardné stavové podmienky, suchý plyn, </w:t>
                  </w:r>
                </w:p>
                <w:p w14:paraId="151339FF" w14:textId="77777777" w:rsidR="00236AB5" w:rsidRPr="008819AF" w:rsidRDefault="00236AB5" w:rsidP="00236AB5">
                  <w:pPr>
                    <w:pStyle w:val="Odsekzoznamu"/>
                    <w:ind w:left="0"/>
                    <w:rPr>
                      <w:sz w:val="18"/>
                      <w:szCs w:val="18"/>
                    </w:rPr>
                  </w:pPr>
                  <w:r w:rsidRPr="008819AF">
                    <w:rPr>
                      <w:sz w:val="18"/>
                      <w:szCs w:val="18"/>
                    </w:rPr>
                    <w:t>Tuhé palivo: O</w:t>
                  </w:r>
                  <w:r w:rsidRPr="008819AF">
                    <w:rPr>
                      <w:sz w:val="18"/>
                      <w:szCs w:val="18"/>
                      <w:vertAlign w:val="subscript"/>
                    </w:rPr>
                    <w:t>2 ref</w:t>
                  </w:r>
                  <w:r w:rsidRPr="008819AF">
                    <w:rPr>
                      <w:sz w:val="18"/>
                      <w:szCs w:val="18"/>
                    </w:rPr>
                    <w:t xml:space="preserve">: 6 % objemu </w:t>
                  </w:r>
                </w:p>
                <w:p w14:paraId="15133A00" w14:textId="77777777" w:rsidR="00236AB5" w:rsidRPr="008819AF" w:rsidRDefault="00236AB5" w:rsidP="00236AB5">
                  <w:pPr>
                    <w:pStyle w:val="Odsekzoznamu"/>
                    <w:ind w:left="0" w:right="-122"/>
                    <w:rPr>
                      <w:sz w:val="18"/>
                      <w:szCs w:val="18"/>
                    </w:rPr>
                  </w:pPr>
                  <w:r w:rsidRPr="008819AF">
                    <w:rPr>
                      <w:sz w:val="18"/>
                      <w:szCs w:val="18"/>
                    </w:rPr>
                    <w:t>Kvapalné palivo a plynné palivo: O</w:t>
                  </w:r>
                  <w:r w:rsidRPr="008819AF">
                    <w:rPr>
                      <w:sz w:val="18"/>
                      <w:szCs w:val="18"/>
                      <w:vertAlign w:val="subscript"/>
                    </w:rPr>
                    <w:t>2 ref</w:t>
                  </w:r>
                  <w:r w:rsidRPr="008819AF">
                    <w:rPr>
                      <w:sz w:val="18"/>
                      <w:szCs w:val="18"/>
                    </w:rPr>
                    <w:t>: 3 % objemu</w:t>
                  </w:r>
                </w:p>
              </w:tc>
            </w:tr>
            <w:tr w:rsidR="00236AB5" w:rsidRPr="008819AF" w14:paraId="15133A04" w14:textId="77777777" w:rsidTr="00AD4347">
              <w:trPr>
                <w:trHeight w:val="340"/>
                <w:jc w:val="center"/>
              </w:trPr>
              <w:tc>
                <w:tcPr>
                  <w:tcW w:w="1446" w:type="dxa"/>
                  <w:vMerge/>
                </w:tcPr>
                <w:p w14:paraId="15133A02" w14:textId="77777777" w:rsidR="00236AB5" w:rsidRPr="008819AF" w:rsidRDefault="00236AB5" w:rsidP="00236AB5">
                  <w:pPr>
                    <w:pStyle w:val="Odsekzoznamu"/>
                    <w:ind w:left="0"/>
                    <w:rPr>
                      <w:sz w:val="18"/>
                      <w:szCs w:val="18"/>
                    </w:rPr>
                  </w:pPr>
                </w:p>
              </w:tc>
              <w:tc>
                <w:tcPr>
                  <w:tcW w:w="4094" w:type="dxa"/>
                </w:tcPr>
                <w:p w14:paraId="15133A03" w14:textId="77777777" w:rsidR="00236AB5" w:rsidRPr="008819AF" w:rsidRDefault="00236AB5" w:rsidP="00236AB5">
                  <w:pPr>
                    <w:pStyle w:val="Odsekzoznamu"/>
                    <w:ind w:left="0"/>
                    <w:rPr>
                      <w:sz w:val="18"/>
                      <w:szCs w:val="18"/>
                    </w:rPr>
                  </w:pPr>
                  <w:r w:rsidRPr="008819AF">
                    <w:rPr>
                      <w:sz w:val="18"/>
                      <w:szCs w:val="18"/>
                    </w:rPr>
                    <w:t xml:space="preserve">Daný EL sa nevzťahuje na plynové turbíny a zážihové motory. </w:t>
                  </w:r>
                </w:p>
              </w:tc>
            </w:tr>
            <w:tr w:rsidR="00236AB5" w:rsidRPr="008819AF" w14:paraId="15133A07" w14:textId="77777777" w:rsidTr="00AD4347">
              <w:trPr>
                <w:trHeight w:val="340"/>
                <w:jc w:val="center"/>
              </w:trPr>
              <w:tc>
                <w:tcPr>
                  <w:tcW w:w="1446" w:type="dxa"/>
                  <w:vMerge/>
                </w:tcPr>
                <w:p w14:paraId="15133A05" w14:textId="77777777" w:rsidR="00236AB5" w:rsidRPr="008819AF" w:rsidRDefault="00236AB5" w:rsidP="00236AB5">
                  <w:pPr>
                    <w:pStyle w:val="Odsekzoznamu"/>
                    <w:ind w:left="0"/>
                    <w:rPr>
                      <w:sz w:val="18"/>
                      <w:szCs w:val="18"/>
                    </w:rPr>
                  </w:pPr>
                </w:p>
              </w:tc>
              <w:tc>
                <w:tcPr>
                  <w:tcW w:w="4094" w:type="dxa"/>
                  <w:vAlign w:val="center"/>
                </w:tcPr>
                <w:p w14:paraId="15133A06" w14:textId="77777777" w:rsidR="00236AB5" w:rsidRPr="008819AF" w:rsidRDefault="00236AB5" w:rsidP="00236AB5">
                  <w:pPr>
                    <w:pStyle w:val="Odsekzoznamu"/>
                    <w:ind w:left="0"/>
                    <w:jc w:val="center"/>
                    <w:rPr>
                      <w:sz w:val="18"/>
                      <w:szCs w:val="18"/>
                    </w:rPr>
                  </w:pPr>
                  <w:r w:rsidRPr="008819AF">
                    <w:rPr>
                      <w:b/>
                      <w:sz w:val="18"/>
                      <w:szCs w:val="18"/>
                    </w:rPr>
                    <w:t>Emisný limit  SO</w:t>
                  </w:r>
                  <w:r w:rsidRPr="008819AF">
                    <w:rPr>
                      <w:b/>
                      <w:sz w:val="18"/>
                      <w:szCs w:val="18"/>
                      <w:vertAlign w:val="subscript"/>
                    </w:rPr>
                    <w:t>2</w:t>
                  </w:r>
                  <w:r w:rsidRPr="008819AF">
                    <w:rPr>
                      <w:b/>
                      <w:sz w:val="18"/>
                      <w:szCs w:val="18"/>
                    </w:rPr>
                    <w:t xml:space="preserve"> </w:t>
                  </w:r>
                  <w:r w:rsidRPr="008819AF">
                    <w:rPr>
                      <w:b/>
                      <w:sz w:val="18"/>
                      <w:szCs w:val="18"/>
                    </w:rPr>
                    <w:sym w:font="Symbol" w:char="F05B"/>
                  </w:r>
                  <w:r w:rsidRPr="008819AF">
                    <w:rPr>
                      <w:b/>
                      <w:sz w:val="18"/>
                      <w:szCs w:val="18"/>
                    </w:rPr>
                    <w:t>mg/m</w:t>
                  </w:r>
                  <w:r w:rsidRPr="008819AF">
                    <w:rPr>
                      <w:b/>
                      <w:sz w:val="18"/>
                      <w:szCs w:val="18"/>
                      <w:vertAlign w:val="superscript"/>
                    </w:rPr>
                    <w:t>3</w:t>
                  </w:r>
                  <w:r w:rsidRPr="008819AF">
                    <w:rPr>
                      <w:b/>
                      <w:sz w:val="18"/>
                      <w:szCs w:val="18"/>
                    </w:rPr>
                    <w:sym w:font="Symbol" w:char="F05D"/>
                  </w:r>
                </w:p>
              </w:tc>
            </w:tr>
            <w:tr w:rsidR="00236AB5" w:rsidRPr="008819AF" w14:paraId="15133A0A" w14:textId="77777777" w:rsidTr="00AD4347">
              <w:trPr>
                <w:trHeight w:val="340"/>
                <w:jc w:val="center"/>
              </w:trPr>
              <w:tc>
                <w:tcPr>
                  <w:tcW w:w="1446" w:type="dxa"/>
                  <w:vAlign w:val="center"/>
                </w:tcPr>
                <w:p w14:paraId="15133A08" w14:textId="77777777" w:rsidR="00236AB5" w:rsidRPr="008819AF" w:rsidRDefault="00236AB5" w:rsidP="00236AB5">
                  <w:pPr>
                    <w:pStyle w:val="Odsekzoznamu"/>
                    <w:ind w:left="0"/>
                    <w:rPr>
                      <w:sz w:val="18"/>
                      <w:szCs w:val="18"/>
                    </w:rPr>
                  </w:pPr>
                  <w:r w:rsidRPr="008819AF">
                    <w:rPr>
                      <w:sz w:val="18"/>
                      <w:szCs w:val="18"/>
                    </w:rPr>
                    <w:t>Jestvujúce zariadenia Z1 a Z2</w:t>
                  </w:r>
                </w:p>
              </w:tc>
              <w:tc>
                <w:tcPr>
                  <w:tcW w:w="4094" w:type="dxa"/>
                  <w:vAlign w:val="center"/>
                </w:tcPr>
                <w:p w14:paraId="15133A09" w14:textId="77777777" w:rsidR="00236AB5" w:rsidRPr="008819AF" w:rsidRDefault="00236AB5" w:rsidP="00236AB5">
                  <w:pPr>
                    <w:pStyle w:val="Odsekzoznamu"/>
                    <w:ind w:left="0"/>
                    <w:jc w:val="center"/>
                    <w:rPr>
                      <w:sz w:val="18"/>
                      <w:szCs w:val="18"/>
                    </w:rPr>
                  </w:pPr>
                  <w:r w:rsidRPr="008819AF">
                    <w:rPr>
                      <w:sz w:val="18"/>
                      <w:szCs w:val="18"/>
                    </w:rPr>
                    <w:t>1 000</w:t>
                  </w:r>
                </w:p>
              </w:tc>
            </w:tr>
            <w:tr w:rsidR="00236AB5" w:rsidRPr="008819AF" w14:paraId="15133A0D" w14:textId="77777777" w:rsidTr="00AD4347">
              <w:trPr>
                <w:trHeight w:val="340"/>
                <w:jc w:val="center"/>
              </w:trPr>
              <w:tc>
                <w:tcPr>
                  <w:tcW w:w="1446" w:type="dxa"/>
                  <w:vAlign w:val="center"/>
                </w:tcPr>
                <w:p w14:paraId="15133A0B" w14:textId="77777777" w:rsidR="00236AB5" w:rsidRPr="008819AF" w:rsidRDefault="00236AB5" w:rsidP="00236AB5">
                  <w:pPr>
                    <w:pStyle w:val="Odsekzoznamu"/>
                    <w:ind w:left="0"/>
                    <w:rPr>
                      <w:sz w:val="18"/>
                      <w:szCs w:val="18"/>
                    </w:rPr>
                  </w:pPr>
                  <w:r w:rsidRPr="008819AF">
                    <w:rPr>
                      <w:sz w:val="18"/>
                      <w:szCs w:val="18"/>
                    </w:rPr>
                    <w:t>Jestvujúce zariadenia Z3</w:t>
                  </w:r>
                </w:p>
              </w:tc>
              <w:tc>
                <w:tcPr>
                  <w:tcW w:w="4094" w:type="dxa"/>
                  <w:vAlign w:val="center"/>
                </w:tcPr>
                <w:p w14:paraId="15133A0C" w14:textId="77777777" w:rsidR="00236AB5" w:rsidRPr="008819AF" w:rsidRDefault="00236AB5" w:rsidP="00236AB5">
                  <w:pPr>
                    <w:pStyle w:val="Odsekzoznamu"/>
                    <w:ind w:left="0"/>
                    <w:jc w:val="center"/>
                    <w:rPr>
                      <w:sz w:val="18"/>
                      <w:szCs w:val="18"/>
                    </w:rPr>
                  </w:pPr>
                  <w:r w:rsidRPr="008819AF">
                    <w:rPr>
                      <w:sz w:val="18"/>
                      <w:szCs w:val="18"/>
                    </w:rPr>
                    <w:t>600</w:t>
                  </w:r>
                </w:p>
              </w:tc>
            </w:tr>
          </w:tbl>
          <w:p w14:paraId="15133A0E" w14:textId="77777777" w:rsidR="00236AB5" w:rsidRPr="008819AF" w:rsidRDefault="00236AB5" w:rsidP="00236AB5">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15133A0F" w14:textId="77777777" w:rsidR="00236AB5" w:rsidRPr="008819AF" w:rsidRDefault="00236AB5" w:rsidP="00236AB5">
            <w:pPr>
              <w:ind w:left="215" w:hanging="215"/>
              <w:rPr>
                <w:rFonts w:eastAsia="Arial"/>
                <w:lang w:bidi="cs-CZ"/>
              </w:rPr>
            </w:pPr>
          </w:p>
        </w:tc>
        <w:tc>
          <w:tcPr>
            <w:tcW w:w="821" w:type="dxa"/>
            <w:gridSpan w:val="3"/>
            <w:tcBorders>
              <w:top w:val="single" w:sz="4" w:space="0" w:color="000000"/>
              <w:left w:val="single" w:sz="6" w:space="0" w:color="000000"/>
              <w:bottom w:val="single" w:sz="6" w:space="0" w:color="000000"/>
              <w:right w:val="single" w:sz="6" w:space="0" w:color="000000"/>
            </w:tcBorders>
          </w:tcPr>
          <w:p w14:paraId="15133A10" w14:textId="77777777" w:rsidR="00236AB5" w:rsidRPr="008819AF" w:rsidRDefault="00236AB5" w:rsidP="00236AB5">
            <w:pPr>
              <w:ind w:left="215" w:hanging="215"/>
              <w:rPr>
                <w:rFonts w:eastAsia="Arial"/>
              </w:rPr>
            </w:pPr>
          </w:p>
        </w:tc>
      </w:tr>
      <w:tr w:rsidR="00236AB5" w:rsidRPr="008819AF" w14:paraId="15133A1A" w14:textId="77777777" w:rsidTr="003E351D">
        <w:trPr>
          <w:gridAfter w:val="1"/>
          <w:wAfter w:w="62" w:type="dxa"/>
          <w:trHeight w:val="615"/>
          <w:jc w:val="center"/>
        </w:trPr>
        <w:tc>
          <w:tcPr>
            <w:tcW w:w="483" w:type="dxa"/>
            <w:tcBorders>
              <w:top w:val="single" w:sz="4" w:space="0" w:color="000000"/>
              <w:left w:val="single" w:sz="6" w:space="0" w:color="000000"/>
              <w:bottom w:val="single" w:sz="6" w:space="0" w:color="000000"/>
              <w:right w:val="single" w:sz="6" w:space="0" w:color="000000"/>
            </w:tcBorders>
          </w:tcPr>
          <w:p w14:paraId="15133A12" w14:textId="77777777" w:rsidR="00236AB5" w:rsidRPr="008819AF" w:rsidRDefault="00236AB5" w:rsidP="00236AB5">
            <w:pPr>
              <w:pStyle w:val="Default"/>
              <w:ind w:right="-70"/>
              <w:rPr>
                <w:rFonts w:ascii="Times New Roman" w:eastAsia="Arial" w:hAnsi="Times New Roman" w:cs="Times New Roman"/>
                <w:color w:val="auto"/>
                <w:sz w:val="20"/>
                <w:szCs w:val="20"/>
              </w:rPr>
            </w:pPr>
            <w:r w:rsidRPr="008819AF">
              <w:rPr>
                <w:rFonts w:ascii="Times New Roman" w:eastAsia="Arial" w:hAnsi="Times New Roman" w:cs="Times New Roman"/>
                <w:i/>
                <w:iCs/>
                <w:color w:val="auto"/>
                <w:sz w:val="20"/>
                <w:szCs w:val="20"/>
              </w:rPr>
              <w:lastRenderedPageBreak/>
              <w:t>PRÍLOHA VI</w:t>
            </w:r>
          </w:p>
        </w:tc>
        <w:tc>
          <w:tcPr>
            <w:tcW w:w="6227" w:type="dxa"/>
            <w:gridSpan w:val="2"/>
            <w:tcBorders>
              <w:top w:val="single" w:sz="4" w:space="0" w:color="000000"/>
              <w:left w:val="single" w:sz="6" w:space="0" w:color="000000"/>
              <w:bottom w:val="single" w:sz="6" w:space="0" w:color="000000"/>
              <w:right w:val="single" w:sz="6" w:space="0" w:color="000000"/>
            </w:tcBorders>
          </w:tcPr>
          <w:p w14:paraId="15133A13" w14:textId="77777777" w:rsidR="00236AB5" w:rsidRPr="008819AF" w:rsidRDefault="00236AB5" w:rsidP="00236AB5">
            <w:pPr>
              <w:rPr>
                <w:rFonts w:eastAsia="Arial"/>
              </w:rPr>
            </w:pPr>
            <w:r w:rsidRPr="008819AF">
              <w:rPr>
                <w:rFonts w:eastAsia="Arial"/>
                <w:b/>
                <w:bCs/>
                <w:lang w:bidi="cs-CZ"/>
              </w:rPr>
              <w:t>Technické ustanovenia pre spaľovne odpadov a zariadenia na spoluspaľovanie odpadov</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A14"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A15"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A16" w14:textId="77777777" w:rsidR="00236AB5" w:rsidRPr="008819AF" w:rsidRDefault="00236AB5" w:rsidP="00236AB5">
            <w:pPr>
              <w:pStyle w:val="BodyText21"/>
              <w:spacing w:before="0"/>
              <w:jc w:val="center"/>
              <w:rPr>
                <w:rFonts w:ascii="Times New Roman" w:hAnsi="Times New Roman" w:cs="Times New Roman"/>
              </w:rPr>
            </w:pPr>
          </w:p>
        </w:tc>
        <w:tc>
          <w:tcPr>
            <w:tcW w:w="5230" w:type="dxa"/>
            <w:gridSpan w:val="3"/>
            <w:tcBorders>
              <w:top w:val="single" w:sz="4" w:space="0" w:color="000000"/>
              <w:left w:val="single" w:sz="6" w:space="0" w:color="000000"/>
              <w:bottom w:val="single" w:sz="6" w:space="0" w:color="000000"/>
              <w:right w:val="single" w:sz="6" w:space="0" w:color="000000"/>
            </w:tcBorders>
          </w:tcPr>
          <w:p w14:paraId="15133A17"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3A18"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A19" w14:textId="77777777" w:rsidR="00236AB5" w:rsidRPr="008819AF" w:rsidRDefault="00236AB5" w:rsidP="00236AB5">
            <w:pPr>
              <w:ind w:left="215" w:hanging="215"/>
              <w:rPr>
                <w:rFonts w:eastAsia="Arial"/>
              </w:rPr>
            </w:pPr>
          </w:p>
        </w:tc>
      </w:tr>
      <w:tr w:rsidR="00236AB5" w:rsidRPr="008819AF" w14:paraId="15133A35"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15133A1B"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A1C" w14:textId="77777777" w:rsidR="00236AB5" w:rsidRPr="008819AF" w:rsidRDefault="00236AB5" w:rsidP="00236AB5">
            <w:pPr>
              <w:ind w:left="215" w:hanging="215"/>
              <w:rPr>
                <w:rFonts w:eastAsia="Arial"/>
                <w:lang w:bidi="cs-CZ"/>
              </w:rPr>
            </w:pPr>
            <w:r w:rsidRPr="008819AF">
              <w:rPr>
                <w:rFonts w:eastAsia="Arial"/>
                <w:lang w:bidi="cs-CZ"/>
              </w:rPr>
              <w:t>ČASŤ 1  Vymedzenie pojmov</w:t>
            </w:r>
          </w:p>
          <w:p w14:paraId="15133A1D" w14:textId="77777777" w:rsidR="00236AB5" w:rsidRPr="008819AF" w:rsidRDefault="00236AB5" w:rsidP="00236AB5">
            <w:pPr>
              <w:rPr>
                <w:rFonts w:eastAsia="Arial"/>
                <w:lang w:bidi="cs-CZ"/>
              </w:rPr>
            </w:pPr>
            <w:r w:rsidRPr="008819AF">
              <w:rPr>
                <w:rFonts w:eastAsia="Arial"/>
                <w:lang w:bidi="cs-CZ"/>
              </w:rPr>
              <w:t>Na účely tejto prílohy sa uplatňujú tieto vymedzenia pojmov:</w:t>
            </w:r>
          </w:p>
          <w:p w14:paraId="15133A1E" w14:textId="77777777" w:rsidR="00236AB5" w:rsidRPr="008819AF" w:rsidRDefault="00236AB5" w:rsidP="00236AB5">
            <w:pPr>
              <w:ind w:left="215" w:hanging="215"/>
              <w:rPr>
                <w:rFonts w:eastAsia="Arial"/>
                <w:lang w:bidi="cs-CZ"/>
              </w:rPr>
            </w:pPr>
            <w:r w:rsidRPr="008819AF">
              <w:rPr>
                <w:rFonts w:eastAsia="Arial"/>
                <w:lang w:bidi="cs-CZ"/>
              </w:rPr>
              <w:t>a) „existujúca spaľovňa odpadov“ je jedna z týchto spaľovní odpadov:</w:t>
            </w:r>
          </w:p>
          <w:p w14:paraId="15133A1F" w14:textId="77777777" w:rsidR="00236AB5" w:rsidRPr="008819AF" w:rsidRDefault="00236AB5" w:rsidP="00236AB5">
            <w:pPr>
              <w:ind w:left="497" w:hanging="497"/>
              <w:rPr>
                <w:rFonts w:eastAsia="Arial"/>
                <w:lang w:bidi="cs-CZ"/>
              </w:rPr>
            </w:pPr>
            <w:r w:rsidRPr="008819AF">
              <w:rPr>
                <w:rFonts w:eastAsia="Arial"/>
                <w:lang w:bidi="cs-CZ"/>
              </w:rPr>
              <w:t>i)   spaľovňa odpadov, ktorá bola v prevádzke pred 28. decembrom 2002 a mala povolenie vydané pred týmto dátumom v súlade platným právom Únie;</w:t>
            </w:r>
          </w:p>
          <w:p w14:paraId="15133A20" w14:textId="77777777" w:rsidR="00236AB5" w:rsidRPr="008819AF" w:rsidRDefault="00236AB5" w:rsidP="00236AB5">
            <w:pPr>
              <w:ind w:left="497" w:hanging="497"/>
              <w:rPr>
                <w:rFonts w:eastAsia="Arial"/>
                <w:lang w:bidi="cs-CZ"/>
              </w:rPr>
            </w:pPr>
            <w:r w:rsidRPr="008819AF">
              <w:rPr>
                <w:rFonts w:eastAsia="Arial"/>
                <w:lang w:bidi="cs-CZ"/>
              </w:rPr>
              <w:t>ii)  spaľovňa odpadov, ktorá bola schválená alebo registrovaná pre spaľovanie odpadov a mala povolenie udelené pred28. decembrom 2002 v súlade s platným právom Únie za predpokladu, že bola uvedená do prevádzkovaní najneskôr28. decembra 2003;</w:t>
            </w:r>
          </w:p>
          <w:p w14:paraId="15133A21" w14:textId="77777777" w:rsidR="00236AB5" w:rsidRPr="008819AF" w:rsidRDefault="00236AB5" w:rsidP="00236AB5">
            <w:pPr>
              <w:ind w:left="497" w:hanging="283"/>
              <w:rPr>
                <w:rFonts w:eastAsia="Arial"/>
                <w:lang w:bidi="cs-CZ"/>
              </w:rPr>
            </w:pPr>
            <w:r w:rsidRPr="008819AF">
              <w:rPr>
                <w:rFonts w:eastAsia="Arial"/>
                <w:lang w:bidi="cs-CZ"/>
              </w:rPr>
              <w:t>iii) spaľovňa odpadov, ktorá podľa názoru príslušného orgánu podliehala požiadavke úplnej žiadosti o schválenie pred28. decembrom 2002 za predpokladu, že bola uvedená do prevádzkovaní najneskôr 28. decembra 2004;</w:t>
            </w:r>
          </w:p>
          <w:p w14:paraId="15133A22" w14:textId="77777777" w:rsidR="00236AB5" w:rsidRPr="008819AF" w:rsidRDefault="00236AB5" w:rsidP="00236AB5">
            <w:pPr>
              <w:ind w:left="215" w:hanging="215"/>
              <w:rPr>
                <w:rFonts w:eastAsia="Arial"/>
                <w:lang w:bidi="cs-CZ"/>
              </w:rPr>
            </w:pPr>
            <w:r w:rsidRPr="008819AF">
              <w:rPr>
                <w:rFonts w:eastAsia="Arial"/>
                <w:lang w:bidi="cs-CZ"/>
              </w:rPr>
              <w:t>b) „nová spaľovňa odpadov“ je akákoľvek spaľovňa odpadov, na ktorú sa nevzťahuje písmeno 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A23"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A24"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A25" w14:textId="77777777" w:rsidR="00236AB5" w:rsidRPr="008819AF" w:rsidRDefault="00236AB5" w:rsidP="00236AB5">
            <w:pPr>
              <w:jc w:val="center"/>
            </w:pPr>
            <w:r w:rsidRPr="008819AF">
              <w:t>Pr. 5</w:t>
            </w:r>
          </w:p>
          <w:p w14:paraId="15133A26" w14:textId="77777777" w:rsidR="00236AB5" w:rsidRPr="008819AF" w:rsidRDefault="00236AB5" w:rsidP="00236AB5">
            <w:pPr>
              <w:jc w:val="center"/>
            </w:pPr>
            <w:r w:rsidRPr="008819AF">
              <w:t>Časť I.</w:t>
            </w:r>
          </w:p>
        </w:tc>
        <w:tc>
          <w:tcPr>
            <w:tcW w:w="5230" w:type="dxa"/>
            <w:gridSpan w:val="3"/>
            <w:tcBorders>
              <w:top w:val="single" w:sz="4" w:space="0" w:color="000000"/>
              <w:left w:val="single" w:sz="6" w:space="0" w:color="000000"/>
              <w:bottom w:val="single" w:sz="6" w:space="0" w:color="000000"/>
              <w:right w:val="single" w:sz="6" w:space="0" w:color="000000"/>
            </w:tcBorders>
          </w:tcPr>
          <w:p w14:paraId="15133A27" w14:textId="77777777" w:rsidR="00236AB5" w:rsidRPr="008819AF" w:rsidRDefault="00236AB5" w:rsidP="00236AB5">
            <w:pPr>
              <w:pStyle w:val="Odsekzoznamu1"/>
              <w:ind w:left="0" w:firstLine="24"/>
              <w:jc w:val="both"/>
              <w:rPr>
                <w:rFonts w:eastAsia="Arial"/>
                <w:sz w:val="20"/>
                <w:szCs w:val="20"/>
                <w:lang w:bidi="sk-SK"/>
              </w:rPr>
            </w:pPr>
            <w:r w:rsidRPr="008819AF">
              <w:rPr>
                <w:rFonts w:eastAsia="Arial"/>
                <w:sz w:val="20"/>
                <w:szCs w:val="20"/>
                <w:lang w:bidi="sk-SK"/>
              </w:rPr>
              <w:t>Podľa dátumu vydaného povolenia sa spaľovne odpadov a zariadenia  na spoluspaľovanie odpadov začleňujú takto:</w:t>
            </w:r>
          </w:p>
          <w:p w14:paraId="15133A28" w14:textId="77777777" w:rsidR="00236AB5" w:rsidRPr="008819AF" w:rsidRDefault="00236AB5" w:rsidP="00236AB5">
            <w:pPr>
              <w:pStyle w:val="Hlavika"/>
              <w:ind w:left="72" w:hanging="1"/>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023"/>
              <w:gridCol w:w="4087"/>
            </w:tblGrid>
            <w:tr w:rsidR="00236AB5" w:rsidRPr="008819AF" w14:paraId="15133A2E" w14:textId="77777777" w:rsidTr="004A4207">
              <w:trPr>
                <w:jc w:val="center"/>
              </w:trPr>
              <w:tc>
                <w:tcPr>
                  <w:tcW w:w="1023" w:type="dxa"/>
                  <w:vAlign w:val="center"/>
                </w:tcPr>
                <w:p w14:paraId="15133A29" w14:textId="77777777" w:rsidR="00236AB5" w:rsidRPr="008819AF" w:rsidRDefault="00236AB5" w:rsidP="00236AB5">
                  <w:pPr>
                    <w:pStyle w:val="Normln"/>
                    <w:rPr>
                      <w:b/>
                      <w:sz w:val="18"/>
                      <w:szCs w:val="18"/>
                      <w:lang w:val="sk-SK"/>
                    </w:rPr>
                  </w:pPr>
                  <w:r w:rsidRPr="008819AF">
                    <w:rPr>
                      <w:b/>
                      <w:sz w:val="18"/>
                      <w:szCs w:val="18"/>
                      <w:lang w:val="sk-SK"/>
                    </w:rPr>
                    <w:t xml:space="preserve">Jestvujúce zariadenie </w:t>
                  </w:r>
                </w:p>
              </w:tc>
              <w:tc>
                <w:tcPr>
                  <w:tcW w:w="4087" w:type="dxa"/>
                </w:tcPr>
                <w:p w14:paraId="15133A2A" w14:textId="77777777" w:rsidR="00236AB5" w:rsidRPr="008819AF" w:rsidRDefault="00236AB5" w:rsidP="00236AB5">
                  <w:pPr>
                    <w:pStyle w:val="Normln"/>
                    <w:tabs>
                      <w:tab w:val="left" w:pos="317"/>
                    </w:tabs>
                    <w:jc w:val="both"/>
                    <w:rPr>
                      <w:sz w:val="18"/>
                      <w:szCs w:val="18"/>
                      <w:lang w:val="sk-SK"/>
                    </w:rPr>
                  </w:pPr>
                  <w:r w:rsidRPr="008819AF">
                    <w:rPr>
                      <w:sz w:val="18"/>
                      <w:szCs w:val="18"/>
                      <w:lang w:val="sk-SK"/>
                    </w:rPr>
                    <w:t>Spaľovňa odpadov alebo zariadenie na spoluspaľovanie odpadov,</w:t>
                  </w:r>
                </w:p>
                <w:p w14:paraId="15133A2B" w14:textId="77777777" w:rsidR="00236AB5" w:rsidRPr="008819AF" w:rsidRDefault="00236AB5" w:rsidP="00236AB5">
                  <w:pPr>
                    <w:pStyle w:val="Normln"/>
                    <w:numPr>
                      <w:ilvl w:val="1"/>
                      <w:numId w:val="93"/>
                    </w:numPr>
                    <w:tabs>
                      <w:tab w:val="clear" w:pos="928"/>
                      <w:tab w:val="left" w:pos="317"/>
                    </w:tabs>
                    <w:ind w:left="317" w:hanging="284"/>
                    <w:jc w:val="both"/>
                    <w:rPr>
                      <w:sz w:val="18"/>
                      <w:szCs w:val="18"/>
                      <w:lang w:val="sk-SK"/>
                    </w:rPr>
                  </w:pPr>
                  <w:r w:rsidRPr="008819AF">
                    <w:rPr>
                      <w:sz w:val="18"/>
                      <w:szCs w:val="18"/>
                      <w:lang w:val="sk-SK"/>
                    </w:rPr>
                    <w:t>ktoré bolo povolené a  uvedené do prevádzky do 28. decembra 2002,</w:t>
                  </w:r>
                </w:p>
                <w:p w14:paraId="15133A2C" w14:textId="77777777" w:rsidR="00236AB5" w:rsidRPr="008819AF" w:rsidRDefault="00236AB5" w:rsidP="00236AB5">
                  <w:pPr>
                    <w:pStyle w:val="Normln"/>
                    <w:numPr>
                      <w:ilvl w:val="1"/>
                      <w:numId w:val="93"/>
                    </w:numPr>
                    <w:tabs>
                      <w:tab w:val="clear" w:pos="928"/>
                      <w:tab w:val="left" w:pos="317"/>
                    </w:tabs>
                    <w:ind w:left="317" w:hanging="284"/>
                    <w:jc w:val="both"/>
                    <w:rPr>
                      <w:sz w:val="18"/>
                      <w:szCs w:val="18"/>
                      <w:lang w:val="sk-SK"/>
                    </w:rPr>
                  </w:pPr>
                  <w:r w:rsidRPr="008819AF">
                    <w:rPr>
                      <w:sz w:val="18"/>
                      <w:szCs w:val="18"/>
                      <w:lang w:val="sk-SK"/>
                    </w:rPr>
                    <w:t>pre ktoré bolo vydané povolenie pred 28. decembrom 2002 a uvedené do prevádzky najneskôr 28. decembra 2003,</w:t>
                  </w:r>
                </w:p>
                <w:p w14:paraId="15133A2D" w14:textId="77777777" w:rsidR="00236AB5" w:rsidRPr="008819AF" w:rsidRDefault="00236AB5" w:rsidP="00236AB5">
                  <w:pPr>
                    <w:pStyle w:val="Normln"/>
                    <w:numPr>
                      <w:ilvl w:val="1"/>
                      <w:numId w:val="93"/>
                    </w:numPr>
                    <w:tabs>
                      <w:tab w:val="clear" w:pos="928"/>
                      <w:tab w:val="left" w:pos="317"/>
                    </w:tabs>
                    <w:ind w:left="317" w:hanging="284"/>
                    <w:jc w:val="both"/>
                    <w:rPr>
                      <w:sz w:val="18"/>
                      <w:szCs w:val="18"/>
                      <w:lang w:val="sk-SK"/>
                    </w:rPr>
                  </w:pPr>
                  <w:r w:rsidRPr="008819AF">
                    <w:rPr>
                      <w:sz w:val="18"/>
                      <w:szCs w:val="18"/>
                      <w:lang w:val="sk-SK"/>
                    </w:rPr>
                    <w:t>pre ktoré sa začalo konanie o vydanie súhlasu na povolenie stavby spaľovne odpadov pred 28. decembrom 2002 a bolo uvedené do prevádzky najneskôr 28. decembra 2004.</w:t>
                  </w:r>
                </w:p>
              </w:tc>
            </w:tr>
            <w:tr w:rsidR="00236AB5" w:rsidRPr="008819AF" w14:paraId="15133A31" w14:textId="77777777" w:rsidTr="004A4207">
              <w:trPr>
                <w:jc w:val="center"/>
              </w:trPr>
              <w:tc>
                <w:tcPr>
                  <w:tcW w:w="1023" w:type="dxa"/>
                  <w:vAlign w:val="center"/>
                </w:tcPr>
                <w:p w14:paraId="15133A2F" w14:textId="77777777" w:rsidR="00236AB5" w:rsidRPr="008819AF" w:rsidRDefault="00236AB5" w:rsidP="00236AB5">
                  <w:pPr>
                    <w:pStyle w:val="Normln"/>
                    <w:rPr>
                      <w:b/>
                      <w:sz w:val="18"/>
                      <w:szCs w:val="18"/>
                      <w:lang w:val="sk-SK"/>
                    </w:rPr>
                  </w:pPr>
                  <w:r w:rsidRPr="008819AF">
                    <w:rPr>
                      <w:b/>
                      <w:sz w:val="18"/>
                      <w:szCs w:val="18"/>
                      <w:lang w:val="sk-SK"/>
                    </w:rPr>
                    <w:t xml:space="preserve">Nové zariadenie </w:t>
                  </w:r>
                </w:p>
              </w:tc>
              <w:tc>
                <w:tcPr>
                  <w:tcW w:w="4087" w:type="dxa"/>
                </w:tcPr>
                <w:p w14:paraId="15133A30" w14:textId="77777777" w:rsidR="00236AB5" w:rsidRPr="008819AF" w:rsidRDefault="00236AB5" w:rsidP="00236AB5">
                  <w:pPr>
                    <w:pStyle w:val="Normln"/>
                    <w:jc w:val="both"/>
                    <w:rPr>
                      <w:sz w:val="18"/>
                      <w:szCs w:val="18"/>
                      <w:lang w:val="sk-SK"/>
                    </w:rPr>
                  </w:pPr>
                  <w:r w:rsidRPr="008819AF">
                    <w:rPr>
                      <w:sz w:val="18"/>
                      <w:szCs w:val="18"/>
                      <w:lang w:val="sk-SK"/>
                    </w:rPr>
                    <w:t>Spaľovňa odpadov alebo zariadenie na spoluspaľovanie odpadov, ktoré nie je uvedené ako jestvujúce zariadenie.</w:t>
                  </w:r>
                </w:p>
              </w:tc>
            </w:tr>
          </w:tbl>
          <w:p w14:paraId="15133A32" w14:textId="77777777" w:rsidR="00236AB5" w:rsidRPr="008819AF" w:rsidRDefault="00236AB5" w:rsidP="00236AB5">
            <w:pPr>
              <w:pStyle w:val="Hlavika"/>
              <w:ind w:left="0" w:firstLine="0"/>
              <w:rPr>
                <w:rFonts w:ascii="Times New Roman" w:hAnsi="Times New Roman" w:cs="Times New Roman"/>
                <w:lang w:bidi="cs-CZ"/>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3A33"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A34" w14:textId="77777777" w:rsidR="00236AB5" w:rsidRPr="008819AF" w:rsidRDefault="00236AB5" w:rsidP="00236AB5">
            <w:pPr>
              <w:ind w:left="215" w:hanging="215"/>
              <w:rPr>
                <w:rFonts w:eastAsia="Arial"/>
              </w:rPr>
            </w:pPr>
          </w:p>
        </w:tc>
      </w:tr>
      <w:tr w:rsidR="00236AB5" w:rsidRPr="008819AF" w14:paraId="15133AD4"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15133A36"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A37" w14:textId="77777777" w:rsidR="00236AB5" w:rsidRPr="008819AF" w:rsidRDefault="00236AB5" w:rsidP="00236AB5">
            <w:pPr>
              <w:ind w:left="215" w:hanging="215"/>
              <w:rPr>
                <w:rFonts w:eastAsia="Arial"/>
                <w:lang w:bidi="cs-CZ"/>
              </w:rPr>
            </w:pPr>
            <w:r w:rsidRPr="008819AF">
              <w:rPr>
                <w:rFonts w:eastAsia="Arial"/>
                <w:lang w:bidi="cs-CZ"/>
              </w:rPr>
              <w:t>ČASŤ 2</w:t>
            </w:r>
          </w:p>
          <w:p w14:paraId="15133A38" w14:textId="77777777" w:rsidR="00236AB5" w:rsidRPr="008819AF" w:rsidRDefault="00236AB5" w:rsidP="00236AB5">
            <w:pPr>
              <w:ind w:left="215" w:hanging="215"/>
              <w:rPr>
                <w:rFonts w:eastAsia="Arial"/>
                <w:lang w:bidi="cs-CZ"/>
              </w:rPr>
            </w:pPr>
            <w:r w:rsidRPr="008819AF">
              <w:rPr>
                <w:rFonts w:eastAsia="Arial"/>
                <w:i/>
                <w:iCs/>
                <w:lang w:bidi="cs-CZ"/>
              </w:rPr>
              <w:t>Faktory ekvivalencie pre dibenzo-p-dioxíny a dibenzofurány</w:t>
            </w:r>
          </w:p>
          <w:p w14:paraId="15133A39" w14:textId="77777777" w:rsidR="00236AB5" w:rsidRPr="008819AF" w:rsidRDefault="00236AB5" w:rsidP="00236AB5">
            <w:pPr>
              <w:rPr>
                <w:rFonts w:eastAsia="Arial"/>
              </w:rPr>
            </w:pPr>
            <w:r w:rsidRPr="008819AF">
              <w:rPr>
                <w:rFonts w:eastAsia="Arial"/>
                <w:lang w:bidi="cs-CZ"/>
              </w:rPr>
              <w:t>Na stanovenie celkovej koncentrácie dioxínov a furánov sa hmotnostné koncentrácie týchto dibenzo-p-dioxínov a dibenzofuránov pred sčítaním vynásobia týmito faktormi ekvivalencie:</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3"/>
              <w:gridCol w:w="1350"/>
            </w:tblGrid>
            <w:tr w:rsidR="00236AB5" w:rsidRPr="008819AF" w14:paraId="15133A3C"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3A" w14:textId="77777777" w:rsidR="00236AB5" w:rsidRPr="008819AF" w:rsidRDefault="00236AB5" w:rsidP="00236AB5">
                  <w:pPr>
                    <w:pStyle w:val="Default"/>
                    <w:rPr>
                      <w:rFonts w:ascii="Times New Roman" w:eastAsia="Arial" w:hAnsi="Times New Roman" w:cs="Times New Roman"/>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5133A3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Faktor toxickej ekvivalencie</w:t>
                  </w:r>
                </w:p>
              </w:tc>
            </w:tr>
            <w:tr w:rsidR="00236AB5" w:rsidRPr="008819AF" w14:paraId="15133A3F"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3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2,3,7,8 — Tetrachlórdibenzodioxín (TCDD)</w:t>
                  </w:r>
                </w:p>
              </w:tc>
              <w:tc>
                <w:tcPr>
                  <w:tcW w:w="1350" w:type="dxa"/>
                  <w:tcBorders>
                    <w:top w:val="single" w:sz="4" w:space="0" w:color="000000"/>
                    <w:left w:val="single" w:sz="4" w:space="0" w:color="000000"/>
                    <w:bottom w:val="single" w:sz="4" w:space="0" w:color="000000"/>
                    <w:right w:val="single" w:sz="4" w:space="0" w:color="000000"/>
                  </w:tcBorders>
                </w:tcPr>
                <w:p w14:paraId="15133A3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w:t>
                  </w:r>
                </w:p>
              </w:tc>
            </w:tr>
            <w:tr w:rsidR="00236AB5" w:rsidRPr="008819AF" w14:paraId="15133A42"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4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1,2,3,7,8 — Pentachlórdibenzodioxín (PeCDD)</w:t>
                  </w:r>
                </w:p>
              </w:tc>
              <w:tc>
                <w:tcPr>
                  <w:tcW w:w="1350" w:type="dxa"/>
                  <w:tcBorders>
                    <w:top w:val="single" w:sz="4" w:space="0" w:color="000000"/>
                    <w:left w:val="single" w:sz="4" w:space="0" w:color="000000"/>
                    <w:bottom w:val="single" w:sz="4" w:space="0" w:color="000000"/>
                    <w:right w:val="single" w:sz="4" w:space="0" w:color="000000"/>
                  </w:tcBorders>
                </w:tcPr>
                <w:p w14:paraId="15133A4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0,5</w:t>
                  </w:r>
                </w:p>
              </w:tc>
            </w:tr>
            <w:tr w:rsidR="00236AB5" w:rsidRPr="008819AF" w14:paraId="15133A45"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4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1,2,3,4,7,8 — Hexachlórdibenzodioxín (HxCDD)</w:t>
                  </w:r>
                </w:p>
              </w:tc>
              <w:tc>
                <w:tcPr>
                  <w:tcW w:w="1350" w:type="dxa"/>
                  <w:tcBorders>
                    <w:top w:val="single" w:sz="4" w:space="0" w:color="000000"/>
                    <w:left w:val="single" w:sz="4" w:space="0" w:color="000000"/>
                    <w:bottom w:val="single" w:sz="4" w:space="0" w:color="000000"/>
                    <w:right w:val="single" w:sz="4" w:space="0" w:color="000000"/>
                  </w:tcBorders>
                </w:tcPr>
                <w:p w14:paraId="15133A4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0,1</w:t>
                  </w:r>
                </w:p>
              </w:tc>
            </w:tr>
            <w:tr w:rsidR="00236AB5" w:rsidRPr="008819AF" w14:paraId="15133A48"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4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1,2,3,6,7,8 — Hexachlórdibenzodioxín (HxCDD)</w:t>
                  </w:r>
                </w:p>
              </w:tc>
              <w:tc>
                <w:tcPr>
                  <w:tcW w:w="1350" w:type="dxa"/>
                  <w:tcBorders>
                    <w:top w:val="single" w:sz="4" w:space="0" w:color="000000"/>
                    <w:left w:val="single" w:sz="4" w:space="0" w:color="000000"/>
                    <w:bottom w:val="single" w:sz="4" w:space="0" w:color="000000"/>
                    <w:right w:val="single" w:sz="4" w:space="0" w:color="000000"/>
                  </w:tcBorders>
                </w:tcPr>
                <w:p w14:paraId="15133A4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0,1</w:t>
                  </w:r>
                </w:p>
              </w:tc>
            </w:tr>
            <w:tr w:rsidR="00236AB5" w:rsidRPr="008819AF" w14:paraId="15133A4B"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4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1,2,3,7,8,9 — Hexachlórdibenzodioxín (HxCDD)</w:t>
                  </w:r>
                </w:p>
              </w:tc>
              <w:tc>
                <w:tcPr>
                  <w:tcW w:w="1350" w:type="dxa"/>
                  <w:tcBorders>
                    <w:top w:val="single" w:sz="4" w:space="0" w:color="000000"/>
                    <w:left w:val="single" w:sz="4" w:space="0" w:color="000000"/>
                    <w:bottom w:val="single" w:sz="4" w:space="0" w:color="000000"/>
                    <w:right w:val="single" w:sz="4" w:space="0" w:color="000000"/>
                  </w:tcBorders>
                </w:tcPr>
                <w:p w14:paraId="15133A4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0,1</w:t>
                  </w:r>
                </w:p>
              </w:tc>
            </w:tr>
            <w:tr w:rsidR="00236AB5" w:rsidRPr="008819AF" w14:paraId="15133A4E"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4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1,2,3,4,6,7,8 — Heptachlórdibenzodioxín (HpCDD)</w:t>
                  </w:r>
                </w:p>
              </w:tc>
              <w:tc>
                <w:tcPr>
                  <w:tcW w:w="1350" w:type="dxa"/>
                  <w:tcBorders>
                    <w:top w:val="single" w:sz="4" w:space="0" w:color="000000"/>
                    <w:left w:val="single" w:sz="4" w:space="0" w:color="000000"/>
                    <w:bottom w:val="single" w:sz="4" w:space="0" w:color="000000"/>
                    <w:right w:val="single" w:sz="4" w:space="0" w:color="000000"/>
                  </w:tcBorders>
                </w:tcPr>
                <w:p w14:paraId="15133A4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0,01</w:t>
                  </w:r>
                </w:p>
              </w:tc>
            </w:tr>
            <w:tr w:rsidR="00236AB5" w:rsidRPr="008819AF" w14:paraId="15133A51"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4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Oktachlórdibenzodioxín (OCDD)</w:t>
                  </w:r>
                </w:p>
              </w:tc>
              <w:tc>
                <w:tcPr>
                  <w:tcW w:w="1350" w:type="dxa"/>
                  <w:tcBorders>
                    <w:top w:val="single" w:sz="4" w:space="0" w:color="000000"/>
                    <w:left w:val="single" w:sz="4" w:space="0" w:color="000000"/>
                    <w:bottom w:val="single" w:sz="4" w:space="0" w:color="000000"/>
                    <w:right w:val="single" w:sz="4" w:space="0" w:color="000000"/>
                  </w:tcBorders>
                </w:tcPr>
                <w:p w14:paraId="15133A5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0,001</w:t>
                  </w:r>
                </w:p>
              </w:tc>
            </w:tr>
            <w:tr w:rsidR="00236AB5" w:rsidRPr="008819AF" w14:paraId="15133A54"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5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2,3,7,8 — Tetrachlórdibenzofurán (TCDF)</w:t>
                  </w:r>
                </w:p>
              </w:tc>
              <w:tc>
                <w:tcPr>
                  <w:tcW w:w="1350" w:type="dxa"/>
                  <w:tcBorders>
                    <w:top w:val="single" w:sz="4" w:space="0" w:color="000000"/>
                    <w:left w:val="single" w:sz="4" w:space="0" w:color="000000"/>
                    <w:bottom w:val="single" w:sz="4" w:space="0" w:color="000000"/>
                    <w:right w:val="single" w:sz="4" w:space="0" w:color="000000"/>
                  </w:tcBorders>
                </w:tcPr>
                <w:p w14:paraId="15133A5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0,1</w:t>
                  </w:r>
                </w:p>
              </w:tc>
            </w:tr>
            <w:tr w:rsidR="00236AB5" w:rsidRPr="008819AF" w14:paraId="15133A57"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5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2,3,4,7,8 — Pentachlórdibenzofurán (PeCDF)</w:t>
                  </w:r>
                </w:p>
              </w:tc>
              <w:tc>
                <w:tcPr>
                  <w:tcW w:w="1350" w:type="dxa"/>
                  <w:tcBorders>
                    <w:top w:val="single" w:sz="4" w:space="0" w:color="000000"/>
                    <w:left w:val="single" w:sz="4" w:space="0" w:color="000000"/>
                    <w:bottom w:val="single" w:sz="4" w:space="0" w:color="000000"/>
                    <w:right w:val="single" w:sz="4" w:space="0" w:color="000000"/>
                  </w:tcBorders>
                </w:tcPr>
                <w:p w14:paraId="15133A5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0,5</w:t>
                  </w:r>
                </w:p>
              </w:tc>
            </w:tr>
            <w:tr w:rsidR="00236AB5" w:rsidRPr="008819AF" w14:paraId="15133A5A"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5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1,2,3,7,8 — Pentachlórdibenzofurán (PeCDF)</w:t>
                  </w:r>
                </w:p>
              </w:tc>
              <w:tc>
                <w:tcPr>
                  <w:tcW w:w="1350" w:type="dxa"/>
                  <w:tcBorders>
                    <w:top w:val="single" w:sz="4" w:space="0" w:color="000000"/>
                    <w:left w:val="single" w:sz="4" w:space="0" w:color="000000"/>
                    <w:bottom w:val="single" w:sz="4" w:space="0" w:color="000000"/>
                    <w:right w:val="single" w:sz="4" w:space="0" w:color="000000"/>
                  </w:tcBorders>
                </w:tcPr>
                <w:p w14:paraId="15133A5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0,05</w:t>
                  </w:r>
                </w:p>
              </w:tc>
            </w:tr>
            <w:tr w:rsidR="00236AB5" w:rsidRPr="008819AF" w14:paraId="15133A5D"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5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1,2,3,4,7,8 — Hexachlórdibenzofurán (HxCDF)</w:t>
                  </w:r>
                </w:p>
              </w:tc>
              <w:tc>
                <w:tcPr>
                  <w:tcW w:w="1350" w:type="dxa"/>
                  <w:tcBorders>
                    <w:top w:val="single" w:sz="4" w:space="0" w:color="000000"/>
                    <w:left w:val="single" w:sz="4" w:space="0" w:color="000000"/>
                    <w:bottom w:val="single" w:sz="4" w:space="0" w:color="000000"/>
                    <w:right w:val="single" w:sz="4" w:space="0" w:color="000000"/>
                  </w:tcBorders>
                </w:tcPr>
                <w:p w14:paraId="15133A5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0,1</w:t>
                  </w:r>
                </w:p>
              </w:tc>
            </w:tr>
            <w:tr w:rsidR="00236AB5" w:rsidRPr="008819AF" w14:paraId="15133A60"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5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1,2,3,6,7,8 — Hexachlórdibenzofurán (HxCDF)</w:t>
                  </w:r>
                </w:p>
              </w:tc>
              <w:tc>
                <w:tcPr>
                  <w:tcW w:w="1350" w:type="dxa"/>
                  <w:tcBorders>
                    <w:top w:val="single" w:sz="4" w:space="0" w:color="000000"/>
                    <w:left w:val="single" w:sz="4" w:space="0" w:color="000000"/>
                    <w:bottom w:val="single" w:sz="4" w:space="0" w:color="000000"/>
                    <w:right w:val="single" w:sz="4" w:space="0" w:color="000000"/>
                  </w:tcBorders>
                </w:tcPr>
                <w:p w14:paraId="15133A5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0,1</w:t>
                  </w:r>
                </w:p>
              </w:tc>
            </w:tr>
            <w:tr w:rsidR="00236AB5" w:rsidRPr="008819AF" w14:paraId="15133A63"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6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1,2,3,7,8,9 — Hexachlórdibenzofurán (HxCDF)</w:t>
                  </w:r>
                </w:p>
              </w:tc>
              <w:tc>
                <w:tcPr>
                  <w:tcW w:w="1350" w:type="dxa"/>
                  <w:tcBorders>
                    <w:top w:val="single" w:sz="4" w:space="0" w:color="000000"/>
                    <w:left w:val="single" w:sz="4" w:space="0" w:color="000000"/>
                    <w:bottom w:val="single" w:sz="4" w:space="0" w:color="000000"/>
                    <w:right w:val="single" w:sz="4" w:space="0" w:color="000000"/>
                  </w:tcBorders>
                </w:tcPr>
                <w:p w14:paraId="15133A6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0,1</w:t>
                  </w:r>
                </w:p>
              </w:tc>
            </w:tr>
            <w:tr w:rsidR="00236AB5" w:rsidRPr="008819AF" w14:paraId="15133A66"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6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2,3,4,6,7,8 — Hexachlórdibenzofurán (HxCDF)</w:t>
                  </w:r>
                </w:p>
              </w:tc>
              <w:tc>
                <w:tcPr>
                  <w:tcW w:w="1350" w:type="dxa"/>
                  <w:tcBorders>
                    <w:top w:val="single" w:sz="4" w:space="0" w:color="000000"/>
                    <w:left w:val="single" w:sz="4" w:space="0" w:color="000000"/>
                    <w:bottom w:val="single" w:sz="4" w:space="0" w:color="000000"/>
                    <w:right w:val="single" w:sz="4" w:space="0" w:color="000000"/>
                  </w:tcBorders>
                </w:tcPr>
                <w:p w14:paraId="15133A6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0,1</w:t>
                  </w:r>
                </w:p>
              </w:tc>
            </w:tr>
            <w:tr w:rsidR="00236AB5" w:rsidRPr="008819AF" w14:paraId="15133A69"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6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1,2,3,4,6,7,8 — Heptachlórdibenzofurán (HpCDF)</w:t>
                  </w:r>
                </w:p>
              </w:tc>
              <w:tc>
                <w:tcPr>
                  <w:tcW w:w="1350" w:type="dxa"/>
                  <w:tcBorders>
                    <w:top w:val="single" w:sz="4" w:space="0" w:color="000000"/>
                    <w:left w:val="single" w:sz="4" w:space="0" w:color="000000"/>
                    <w:bottom w:val="single" w:sz="4" w:space="0" w:color="000000"/>
                    <w:right w:val="single" w:sz="4" w:space="0" w:color="000000"/>
                  </w:tcBorders>
                </w:tcPr>
                <w:p w14:paraId="15133A6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0,01</w:t>
                  </w:r>
                </w:p>
              </w:tc>
            </w:tr>
            <w:tr w:rsidR="00236AB5" w:rsidRPr="008819AF" w14:paraId="15133A6C"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6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1,2,3,4,7,8,9 — Heptachlórdibenzofurán (HpCDF)</w:t>
                  </w:r>
                </w:p>
              </w:tc>
              <w:tc>
                <w:tcPr>
                  <w:tcW w:w="1350" w:type="dxa"/>
                  <w:tcBorders>
                    <w:top w:val="single" w:sz="4" w:space="0" w:color="000000"/>
                    <w:left w:val="single" w:sz="4" w:space="0" w:color="000000"/>
                    <w:bottom w:val="single" w:sz="4" w:space="0" w:color="000000"/>
                    <w:right w:val="single" w:sz="4" w:space="0" w:color="000000"/>
                  </w:tcBorders>
                </w:tcPr>
                <w:p w14:paraId="15133A6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0,01</w:t>
                  </w:r>
                </w:p>
              </w:tc>
            </w:tr>
            <w:tr w:rsidR="00236AB5" w:rsidRPr="008819AF" w14:paraId="15133A6F"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15133A6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Oktachlórdibenzofurán (OCDF)</w:t>
                  </w:r>
                </w:p>
              </w:tc>
              <w:tc>
                <w:tcPr>
                  <w:tcW w:w="1350" w:type="dxa"/>
                  <w:tcBorders>
                    <w:top w:val="single" w:sz="4" w:space="0" w:color="000000"/>
                    <w:left w:val="single" w:sz="4" w:space="0" w:color="000000"/>
                    <w:bottom w:val="single" w:sz="4" w:space="0" w:color="000000"/>
                    <w:right w:val="single" w:sz="4" w:space="0" w:color="000000"/>
                  </w:tcBorders>
                </w:tcPr>
                <w:p w14:paraId="15133A6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0,001</w:t>
                  </w:r>
                </w:p>
              </w:tc>
            </w:tr>
          </w:tbl>
          <w:p w14:paraId="15133A70" w14:textId="77777777" w:rsidR="00236AB5" w:rsidRPr="008819AF" w:rsidRDefault="00236AB5" w:rsidP="00236AB5">
            <w:pPr>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A71"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A72" w14:textId="77777777" w:rsidR="00236AB5" w:rsidRPr="008819AF" w:rsidRDefault="00236AB5" w:rsidP="00236AB5">
            <w:pPr>
              <w:ind w:left="55" w:hanging="55"/>
              <w:rPr>
                <w:sz w:val="18"/>
                <w:szCs w:val="18"/>
              </w:rPr>
            </w:pPr>
            <w:r w:rsidRPr="008819AF">
              <w:rPr>
                <w:sz w:val="18"/>
                <w:szCs w:val="18"/>
              </w:rPr>
              <w:t>NV2</w:t>
            </w:r>
          </w:p>
        </w:tc>
        <w:tc>
          <w:tcPr>
            <w:tcW w:w="543" w:type="dxa"/>
            <w:tcBorders>
              <w:top w:val="single" w:sz="4" w:space="0" w:color="000000"/>
              <w:left w:val="single" w:sz="6" w:space="0" w:color="000000"/>
              <w:bottom w:val="single" w:sz="6" w:space="0" w:color="000000"/>
              <w:right w:val="single" w:sz="6" w:space="0" w:color="000000"/>
            </w:tcBorders>
          </w:tcPr>
          <w:p w14:paraId="15133A73" w14:textId="77777777" w:rsidR="00236AB5" w:rsidRPr="008819AF" w:rsidRDefault="00236AB5" w:rsidP="00236AB5">
            <w:pPr>
              <w:ind w:left="55" w:hanging="55"/>
              <w:rPr>
                <w:sz w:val="18"/>
                <w:szCs w:val="18"/>
              </w:rPr>
            </w:pPr>
            <w:r w:rsidRPr="008819AF">
              <w:rPr>
                <w:sz w:val="18"/>
                <w:szCs w:val="18"/>
              </w:rPr>
              <w:t>Pr. 2</w:t>
            </w:r>
          </w:p>
          <w:p w14:paraId="15133A74" w14:textId="77777777" w:rsidR="00236AB5" w:rsidRPr="008819AF" w:rsidRDefault="00236AB5" w:rsidP="00236AB5">
            <w:pPr>
              <w:ind w:left="55" w:hanging="55"/>
              <w:rPr>
                <w:sz w:val="18"/>
                <w:szCs w:val="18"/>
              </w:rPr>
            </w:pPr>
            <w:r w:rsidRPr="008819AF">
              <w:rPr>
                <w:sz w:val="18"/>
                <w:szCs w:val="18"/>
              </w:rPr>
              <w:t>Časť II.</w:t>
            </w:r>
          </w:p>
        </w:tc>
        <w:tc>
          <w:tcPr>
            <w:tcW w:w="5230" w:type="dxa"/>
            <w:gridSpan w:val="3"/>
            <w:tcBorders>
              <w:top w:val="single" w:sz="4" w:space="0" w:color="000000"/>
              <w:left w:val="single" w:sz="6" w:space="0" w:color="000000"/>
              <w:bottom w:val="single" w:sz="6" w:space="0" w:color="000000"/>
              <w:right w:val="single" w:sz="6" w:space="0" w:color="000000"/>
            </w:tcBorders>
          </w:tcPr>
          <w:p w14:paraId="15133A75" w14:textId="77777777" w:rsidR="00236AB5" w:rsidRPr="008819AF" w:rsidRDefault="00236AB5" w:rsidP="00236AB5">
            <w:pPr>
              <w:pStyle w:val="Hlavika"/>
              <w:ind w:left="55" w:hanging="55"/>
              <w:rPr>
                <w:rFonts w:ascii="Times New Roman" w:eastAsia="Times New Roman" w:hAnsi="Times New Roman" w:cs="Times New Roman"/>
                <w:sz w:val="18"/>
                <w:szCs w:val="18"/>
              </w:rPr>
            </w:pPr>
            <w:r w:rsidRPr="008819AF">
              <w:rPr>
                <w:rFonts w:ascii="Times New Roman" w:eastAsia="Times New Roman" w:hAnsi="Times New Roman" w:cs="Times New Roman"/>
                <w:sz w:val="18"/>
                <w:szCs w:val="18"/>
              </w:rPr>
              <w:t>1.  Faktory toxickej ekvivalencie pre  PCDD + PCDF (ďalej len „I-TEF“)</w:t>
            </w:r>
          </w:p>
          <w:p w14:paraId="15133A76" w14:textId="77777777" w:rsidR="00236AB5" w:rsidRPr="008819AF" w:rsidRDefault="00236AB5" w:rsidP="00236AB5">
            <w:pPr>
              <w:pStyle w:val="Hlavika"/>
              <w:ind w:left="55" w:hanging="55"/>
              <w:rPr>
                <w:rFonts w:ascii="Times New Roman" w:eastAsia="Times New Roman" w:hAnsi="Times New Roman" w:cs="Times New Roman"/>
                <w:sz w:val="18"/>
                <w:szCs w:val="18"/>
              </w:rPr>
            </w:pPr>
          </w:p>
          <w:tbl>
            <w:tblPr>
              <w:tblW w:w="5000" w:type="pct"/>
              <w:jc w:val="center"/>
              <w:tblLayout w:type="fixed"/>
              <w:tblCellMar>
                <w:top w:w="48" w:type="dxa"/>
                <w:left w:w="59" w:type="dxa"/>
                <w:right w:w="115" w:type="dxa"/>
              </w:tblCellMar>
              <w:tblLook w:val="04A0" w:firstRow="1" w:lastRow="0" w:firstColumn="1" w:lastColumn="0" w:noHBand="0" w:noVBand="1"/>
            </w:tblPr>
            <w:tblGrid>
              <w:gridCol w:w="1165"/>
              <w:gridCol w:w="2037"/>
              <w:gridCol w:w="932"/>
              <w:gridCol w:w="976"/>
            </w:tblGrid>
            <w:tr w:rsidR="00236AB5" w:rsidRPr="008819AF" w14:paraId="15133A7A" w14:textId="77777777" w:rsidTr="00C16C5A">
              <w:trPr>
                <w:trHeight w:val="287"/>
                <w:jc w:val="center"/>
              </w:trPr>
              <w:tc>
                <w:tcPr>
                  <w:tcW w:w="3202" w:type="dxa"/>
                  <w:gridSpan w:val="2"/>
                  <w:tcBorders>
                    <w:top w:val="single" w:sz="2" w:space="0" w:color="000000"/>
                    <w:left w:val="single" w:sz="2" w:space="0" w:color="000000"/>
                    <w:bottom w:val="single" w:sz="2" w:space="0" w:color="000000"/>
                    <w:right w:val="single" w:sz="2" w:space="0" w:color="000000"/>
                  </w:tcBorders>
                  <w:vAlign w:val="center"/>
                </w:tcPr>
                <w:p w14:paraId="15133A77" w14:textId="77777777" w:rsidR="00236AB5" w:rsidRPr="008819AF" w:rsidRDefault="00236AB5" w:rsidP="00236AB5">
                  <w:pPr>
                    <w:ind w:left="55" w:hanging="55"/>
                    <w:jc w:val="center"/>
                    <w:rPr>
                      <w:sz w:val="18"/>
                      <w:szCs w:val="18"/>
                    </w:rPr>
                  </w:pPr>
                  <w:r w:rsidRPr="008819AF">
                    <w:rPr>
                      <w:sz w:val="18"/>
                      <w:szCs w:val="18"/>
                    </w:rPr>
                    <w:t>Názov</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78" w14:textId="77777777" w:rsidR="00236AB5" w:rsidRPr="008819AF" w:rsidRDefault="00236AB5" w:rsidP="00236AB5">
                  <w:pPr>
                    <w:ind w:left="55" w:hanging="55"/>
                    <w:rPr>
                      <w:sz w:val="18"/>
                      <w:szCs w:val="18"/>
                    </w:rPr>
                  </w:pPr>
                  <w:r w:rsidRPr="008819AF">
                    <w:rPr>
                      <w:sz w:val="18"/>
                      <w:szCs w:val="18"/>
                    </w:rPr>
                    <w:t>Skratka</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79" w14:textId="77777777" w:rsidR="00236AB5" w:rsidRPr="008819AF" w:rsidRDefault="00236AB5" w:rsidP="00236AB5">
                  <w:pPr>
                    <w:ind w:left="55" w:hanging="55"/>
                    <w:rPr>
                      <w:sz w:val="18"/>
                      <w:szCs w:val="18"/>
                    </w:rPr>
                  </w:pPr>
                  <w:r w:rsidRPr="008819AF">
                    <w:rPr>
                      <w:sz w:val="18"/>
                      <w:szCs w:val="18"/>
                    </w:rPr>
                    <w:t>I-TEF</w:t>
                  </w:r>
                </w:p>
              </w:tc>
            </w:tr>
            <w:tr w:rsidR="00236AB5" w:rsidRPr="008819AF" w14:paraId="15133A7F" w14:textId="77777777" w:rsidTr="00C16C5A">
              <w:trPr>
                <w:trHeight w:val="288"/>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7B" w14:textId="77777777" w:rsidR="00236AB5" w:rsidRPr="008819AF" w:rsidRDefault="00236AB5" w:rsidP="00236AB5">
                  <w:pPr>
                    <w:ind w:left="55" w:hanging="55"/>
                    <w:rPr>
                      <w:sz w:val="18"/>
                      <w:szCs w:val="18"/>
                    </w:rPr>
                  </w:pPr>
                  <w:r w:rsidRPr="008819AF">
                    <w:rPr>
                      <w:sz w:val="18"/>
                      <w:szCs w:val="18"/>
                    </w:rPr>
                    <w:t>2,3,7,8</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7C" w14:textId="77777777" w:rsidR="00236AB5" w:rsidRPr="008819AF" w:rsidRDefault="00236AB5" w:rsidP="00236AB5">
                  <w:pPr>
                    <w:ind w:left="55" w:hanging="55"/>
                    <w:rPr>
                      <w:sz w:val="18"/>
                      <w:szCs w:val="18"/>
                    </w:rPr>
                  </w:pPr>
                  <w:r w:rsidRPr="008819AF">
                    <w:rPr>
                      <w:sz w:val="18"/>
                      <w:szCs w:val="18"/>
                    </w:rPr>
                    <w:t>tetrachlórdibenzodioxín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7D" w14:textId="77777777" w:rsidR="00236AB5" w:rsidRPr="008819AF" w:rsidRDefault="00236AB5" w:rsidP="00236AB5">
                  <w:pPr>
                    <w:ind w:left="55" w:hanging="55"/>
                    <w:rPr>
                      <w:sz w:val="18"/>
                      <w:szCs w:val="18"/>
                    </w:rPr>
                  </w:pPr>
                  <w:r w:rsidRPr="008819AF">
                    <w:rPr>
                      <w:sz w:val="18"/>
                      <w:szCs w:val="18"/>
                    </w:rPr>
                    <w:t>TCDD</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7E" w14:textId="77777777" w:rsidR="00236AB5" w:rsidRPr="008819AF" w:rsidRDefault="00236AB5" w:rsidP="00236AB5">
                  <w:pPr>
                    <w:ind w:left="55" w:hanging="55"/>
                    <w:rPr>
                      <w:sz w:val="18"/>
                      <w:szCs w:val="18"/>
                    </w:rPr>
                  </w:pPr>
                  <w:r w:rsidRPr="008819AF">
                    <w:rPr>
                      <w:sz w:val="18"/>
                      <w:szCs w:val="18"/>
                    </w:rPr>
                    <w:t>1</w:t>
                  </w:r>
                </w:p>
              </w:tc>
            </w:tr>
            <w:tr w:rsidR="00236AB5" w:rsidRPr="008819AF" w14:paraId="15133A84"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80" w14:textId="77777777" w:rsidR="00236AB5" w:rsidRPr="008819AF" w:rsidRDefault="00236AB5" w:rsidP="00236AB5">
                  <w:pPr>
                    <w:ind w:left="55" w:hanging="55"/>
                    <w:rPr>
                      <w:sz w:val="18"/>
                      <w:szCs w:val="18"/>
                    </w:rPr>
                  </w:pPr>
                  <w:r w:rsidRPr="008819AF">
                    <w:rPr>
                      <w:sz w:val="18"/>
                      <w:szCs w:val="18"/>
                    </w:rPr>
                    <w:t>1,2,3,7,8</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81" w14:textId="77777777" w:rsidR="00236AB5" w:rsidRPr="008819AF" w:rsidRDefault="00236AB5" w:rsidP="00236AB5">
                  <w:pPr>
                    <w:ind w:left="55" w:hanging="55"/>
                    <w:rPr>
                      <w:sz w:val="18"/>
                      <w:szCs w:val="18"/>
                    </w:rPr>
                  </w:pPr>
                  <w:r w:rsidRPr="008819AF">
                    <w:rPr>
                      <w:sz w:val="18"/>
                      <w:szCs w:val="18"/>
                    </w:rPr>
                    <w:t>pentachlórdibenzodioxín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82" w14:textId="77777777" w:rsidR="00236AB5" w:rsidRPr="008819AF" w:rsidRDefault="00236AB5" w:rsidP="00236AB5">
                  <w:pPr>
                    <w:ind w:left="55" w:hanging="55"/>
                    <w:rPr>
                      <w:sz w:val="18"/>
                      <w:szCs w:val="18"/>
                    </w:rPr>
                  </w:pPr>
                  <w:r w:rsidRPr="008819AF">
                    <w:rPr>
                      <w:sz w:val="18"/>
                      <w:szCs w:val="18"/>
                    </w:rPr>
                    <w:t>PeCDD</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83" w14:textId="77777777" w:rsidR="00236AB5" w:rsidRPr="008819AF" w:rsidRDefault="00236AB5" w:rsidP="00236AB5">
                  <w:pPr>
                    <w:ind w:left="55" w:hanging="55"/>
                    <w:rPr>
                      <w:sz w:val="18"/>
                      <w:szCs w:val="18"/>
                    </w:rPr>
                  </w:pPr>
                  <w:r w:rsidRPr="008819AF">
                    <w:rPr>
                      <w:sz w:val="18"/>
                      <w:szCs w:val="18"/>
                    </w:rPr>
                    <w:t>0,5</w:t>
                  </w:r>
                </w:p>
              </w:tc>
            </w:tr>
            <w:tr w:rsidR="00236AB5" w:rsidRPr="008819AF" w14:paraId="15133A89"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85" w14:textId="77777777" w:rsidR="00236AB5" w:rsidRPr="008819AF" w:rsidRDefault="00236AB5" w:rsidP="00236AB5">
                  <w:pPr>
                    <w:ind w:left="55" w:hanging="55"/>
                    <w:rPr>
                      <w:sz w:val="18"/>
                      <w:szCs w:val="18"/>
                    </w:rPr>
                  </w:pPr>
                  <w:r w:rsidRPr="008819AF">
                    <w:rPr>
                      <w:sz w:val="18"/>
                      <w:szCs w:val="18"/>
                    </w:rPr>
                    <w:t>1,2,3,4,7,8</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86" w14:textId="77777777" w:rsidR="00236AB5" w:rsidRPr="008819AF" w:rsidRDefault="00236AB5" w:rsidP="00236AB5">
                  <w:pPr>
                    <w:ind w:left="55" w:hanging="55"/>
                    <w:rPr>
                      <w:sz w:val="18"/>
                      <w:szCs w:val="18"/>
                    </w:rPr>
                  </w:pPr>
                  <w:r w:rsidRPr="008819AF">
                    <w:rPr>
                      <w:sz w:val="18"/>
                      <w:szCs w:val="18"/>
                    </w:rPr>
                    <w:t>hexachlórdibenzodioxín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87" w14:textId="77777777" w:rsidR="00236AB5" w:rsidRPr="008819AF" w:rsidRDefault="00236AB5" w:rsidP="00236AB5">
                  <w:pPr>
                    <w:ind w:left="55" w:hanging="55"/>
                    <w:rPr>
                      <w:sz w:val="18"/>
                      <w:szCs w:val="18"/>
                    </w:rPr>
                  </w:pPr>
                  <w:r w:rsidRPr="008819AF">
                    <w:rPr>
                      <w:sz w:val="18"/>
                      <w:szCs w:val="18"/>
                    </w:rPr>
                    <w:t>HxCDD</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88" w14:textId="77777777" w:rsidR="00236AB5" w:rsidRPr="008819AF" w:rsidRDefault="00236AB5" w:rsidP="00236AB5">
                  <w:pPr>
                    <w:ind w:left="55" w:hanging="55"/>
                    <w:rPr>
                      <w:sz w:val="18"/>
                      <w:szCs w:val="18"/>
                    </w:rPr>
                  </w:pPr>
                  <w:r w:rsidRPr="008819AF">
                    <w:rPr>
                      <w:sz w:val="18"/>
                      <w:szCs w:val="18"/>
                    </w:rPr>
                    <w:t>0,1</w:t>
                  </w:r>
                </w:p>
              </w:tc>
            </w:tr>
            <w:tr w:rsidR="00236AB5" w:rsidRPr="008819AF" w14:paraId="15133A8E"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8A" w14:textId="77777777" w:rsidR="00236AB5" w:rsidRPr="008819AF" w:rsidRDefault="00236AB5" w:rsidP="00236AB5">
                  <w:pPr>
                    <w:ind w:left="55" w:hanging="55"/>
                    <w:rPr>
                      <w:sz w:val="18"/>
                      <w:szCs w:val="18"/>
                    </w:rPr>
                  </w:pPr>
                  <w:r w:rsidRPr="008819AF">
                    <w:rPr>
                      <w:sz w:val="18"/>
                      <w:szCs w:val="18"/>
                    </w:rPr>
                    <w:t>1,2,3,6,7,8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8B" w14:textId="77777777" w:rsidR="00236AB5" w:rsidRPr="008819AF" w:rsidRDefault="00236AB5" w:rsidP="00236AB5">
                  <w:pPr>
                    <w:ind w:left="55" w:hanging="55"/>
                    <w:rPr>
                      <w:sz w:val="18"/>
                      <w:szCs w:val="18"/>
                    </w:rPr>
                  </w:pPr>
                  <w:r w:rsidRPr="008819AF">
                    <w:rPr>
                      <w:sz w:val="18"/>
                      <w:szCs w:val="18"/>
                    </w:rPr>
                    <w:t>hexachlórdibenzodioxín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8C" w14:textId="77777777" w:rsidR="00236AB5" w:rsidRPr="008819AF" w:rsidRDefault="00236AB5" w:rsidP="00236AB5">
                  <w:pPr>
                    <w:ind w:left="55" w:hanging="55"/>
                    <w:rPr>
                      <w:sz w:val="18"/>
                      <w:szCs w:val="18"/>
                    </w:rPr>
                  </w:pPr>
                  <w:r w:rsidRPr="008819AF">
                    <w:rPr>
                      <w:sz w:val="18"/>
                      <w:szCs w:val="18"/>
                    </w:rPr>
                    <w:t>HxCDD</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8D" w14:textId="77777777" w:rsidR="00236AB5" w:rsidRPr="008819AF" w:rsidRDefault="00236AB5" w:rsidP="00236AB5">
                  <w:pPr>
                    <w:ind w:left="55" w:hanging="55"/>
                    <w:rPr>
                      <w:sz w:val="18"/>
                      <w:szCs w:val="18"/>
                    </w:rPr>
                  </w:pPr>
                  <w:r w:rsidRPr="008819AF">
                    <w:rPr>
                      <w:sz w:val="18"/>
                      <w:szCs w:val="18"/>
                    </w:rPr>
                    <w:t>0,1</w:t>
                  </w:r>
                </w:p>
              </w:tc>
            </w:tr>
            <w:tr w:rsidR="00236AB5" w:rsidRPr="008819AF" w14:paraId="15133A93"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8F" w14:textId="77777777" w:rsidR="00236AB5" w:rsidRPr="008819AF" w:rsidRDefault="00236AB5" w:rsidP="00236AB5">
                  <w:pPr>
                    <w:ind w:left="55" w:hanging="55"/>
                    <w:rPr>
                      <w:sz w:val="18"/>
                      <w:szCs w:val="18"/>
                    </w:rPr>
                  </w:pPr>
                  <w:r w:rsidRPr="008819AF">
                    <w:rPr>
                      <w:sz w:val="18"/>
                      <w:szCs w:val="18"/>
                    </w:rPr>
                    <w:t>1,2,3,7,8,9</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90" w14:textId="77777777" w:rsidR="00236AB5" w:rsidRPr="008819AF" w:rsidRDefault="00236AB5" w:rsidP="00236AB5">
                  <w:pPr>
                    <w:ind w:left="55" w:hanging="55"/>
                    <w:rPr>
                      <w:sz w:val="18"/>
                      <w:szCs w:val="18"/>
                    </w:rPr>
                  </w:pPr>
                  <w:r w:rsidRPr="008819AF">
                    <w:rPr>
                      <w:sz w:val="18"/>
                      <w:szCs w:val="18"/>
                    </w:rPr>
                    <w:t>hexachlórdibenzodioxín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91" w14:textId="77777777" w:rsidR="00236AB5" w:rsidRPr="008819AF" w:rsidRDefault="00236AB5" w:rsidP="00236AB5">
                  <w:pPr>
                    <w:ind w:left="55" w:hanging="55"/>
                    <w:rPr>
                      <w:sz w:val="18"/>
                      <w:szCs w:val="18"/>
                    </w:rPr>
                  </w:pPr>
                  <w:r w:rsidRPr="008819AF">
                    <w:rPr>
                      <w:sz w:val="18"/>
                      <w:szCs w:val="18"/>
                    </w:rPr>
                    <w:t>HxCDD</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92" w14:textId="77777777" w:rsidR="00236AB5" w:rsidRPr="008819AF" w:rsidRDefault="00236AB5" w:rsidP="00236AB5">
                  <w:pPr>
                    <w:ind w:left="55" w:hanging="55"/>
                    <w:rPr>
                      <w:sz w:val="18"/>
                      <w:szCs w:val="18"/>
                    </w:rPr>
                  </w:pPr>
                  <w:r w:rsidRPr="008819AF">
                    <w:rPr>
                      <w:sz w:val="18"/>
                      <w:szCs w:val="18"/>
                    </w:rPr>
                    <w:t>0,1</w:t>
                  </w:r>
                </w:p>
              </w:tc>
            </w:tr>
            <w:tr w:rsidR="00236AB5" w:rsidRPr="008819AF" w14:paraId="15133A98"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94" w14:textId="77777777" w:rsidR="00236AB5" w:rsidRPr="008819AF" w:rsidRDefault="00236AB5" w:rsidP="00236AB5">
                  <w:pPr>
                    <w:ind w:left="55" w:hanging="55"/>
                    <w:rPr>
                      <w:sz w:val="18"/>
                      <w:szCs w:val="18"/>
                    </w:rPr>
                  </w:pPr>
                  <w:r w:rsidRPr="008819AF">
                    <w:rPr>
                      <w:sz w:val="18"/>
                      <w:szCs w:val="18"/>
                    </w:rPr>
                    <w:t>1,2,3,4,6,7,8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95" w14:textId="77777777" w:rsidR="00236AB5" w:rsidRPr="008819AF" w:rsidRDefault="00236AB5" w:rsidP="00236AB5">
                  <w:pPr>
                    <w:ind w:left="55" w:hanging="55"/>
                    <w:rPr>
                      <w:sz w:val="18"/>
                      <w:szCs w:val="18"/>
                    </w:rPr>
                  </w:pPr>
                  <w:r w:rsidRPr="008819AF">
                    <w:rPr>
                      <w:sz w:val="18"/>
                      <w:szCs w:val="18"/>
                    </w:rPr>
                    <w:t>heptachlórdibenzodioxín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96" w14:textId="77777777" w:rsidR="00236AB5" w:rsidRPr="008819AF" w:rsidRDefault="00236AB5" w:rsidP="00236AB5">
                  <w:pPr>
                    <w:ind w:left="55" w:hanging="55"/>
                    <w:rPr>
                      <w:sz w:val="18"/>
                      <w:szCs w:val="18"/>
                    </w:rPr>
                  </w:pPr>
                  <w:r w:rsidRPr="008819AF">
                    <w:rPr>
                      <w:sz w:val="18"/>
                      <w:szCs w:val="18"/>
                    </w:rPr>
                    <w:t>HpCDD</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97" w14:textId="77777777" w:rsidR="00236AB5" w:rsidRPr="008819AF" w:rsidRDefault="00236AB5" w:rsidP="00236AB5">
                  <w:pPr>
                    <w:ind w:left="55" w:hanging="55"/>
                    <w:rPr>
                      <w:sz w:val="18"/>
                      <w:szCs w:val="18"/>
                    </w:rPr>
                  </w:pPr>
                  <w:r w:rsidRPr="008819AF">
                    <w:rPr>
                      <w:sz w:val="18"/>
                      <w:szCs w:val="18"/>
                    </w:rPr>
                    <w:t>0,01</w:t>
                  </w:r>
                </w:p>
              </w:tc>
            </w:tr>
            <w:tr w:rsidR="00236AB5" w:rsidRPr="008819AF" w14:paraId="15133A9D"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99" w14:textId="77777777" w:rsidR="00236AB5" w:rsidRPr="008819AF" w:rsidRDefault="00236AB5" w:rsidP="00236AB5">
                  <w:pPr>
                    <w:ind w:left="55" w:hanging="55"/>
                    <w:rPr>
                      <w:sz w:val="18"/>
                      <w:szCs w:val="18"/>
                    </w:rPr>
                  </w:pPr>
                </w:p>
              </w:tc>
              <w:tc>
                <w:tcPr>
                  <w:tcW w:w="2037" w:type="dxa"/>
                  <w:tcBorders>
                    <w:top w:val="single" w:sz="2" w:space="0" w:color="000000"/>
                    <w:left w:val="single" w:sz="2" w:space="0" w:color="000000"/>
                    <w:bottom w:val="single" w:sz="2" w:space="0" w:color="000000"/>
                    <w:right w:val="single" w:sz="2" w:space="0" w:color="000000"/>
                  </w:tcBorders>
                  <w:vAlign w:val="center"/>
                </w:tcPr>
                <w:p w14:paraId="15133A9A" w14:textId="77777777" w:rsidR="00236AB5" w:rsidRPr="008819AF" w:rsidRDefault="00236AB5" w:rsidP="00236AB5">
                  <w:pPr>
                    <w:ind w:left="55" w:hanging="55"/>
                    <w:rPr>
                      <w:sz w:val="18"/>
                      <w:szCs w:val="18"/>
                    </w:rPr>
                  </w:pPr>
                  <w:r w:rsidRPr="008819AF">
                    <w:rPr>
                      <w:sz w:val="18"/>
                      <w:szCs w:val="18"/>
                    </w:rPr>
                    <w:t>oktachlórdibenzodioxín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9B" w14:textId="77777777" w:rsidR="00236AB5" w:rsidRPr="008819AF" w:rsidRDefault="00236AB5" w:rsidP="00236AB5">
                  <w:pPr>
                    <w:ind w:left="55" w:hanging="55"/>
                    <w:rPr>
                      <w:sz w:val="18"/>
                      <w:szCs w:val="18"/>
                    </w:rPr>
                  </w:pPr>
                  <w:r w:rsidRPr="008819AF">
                    <w:rPr>
                      <w:sz w:val="18"/>
                      <w:szCs w:val="18"/>
                    </w:rPr>
                    <w:t>OCDD</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9C" w14:textId="77777777" w:rsidR="00236AB5" w:rsidRPr="008819AF" w:rsidRDefault="00236AB5" w:rsidP="00236AB5">
                  <w:pPr>
                    <w:ind w:left="55" w:hanging="55"/>
                    <w:rPr>
                      <w:sz w:val="18"/>
                      <w:szCs w:val="18"/>
                    </w:rPr>
                  </w:pPr>
                  <w:r w:rsidRPr="008819AF">
                    <w:rPr>
                      <w:sz w:val="18"/>
                      <w:szCs w:val="18"/>
                    </w:rPr>
                    <w:t>0,001</w:t>
                  </w:r>
                </w:p>
              </w:tc>
            </w:tr>
            <w:tr w:rsidR="00236AB5" w:rsidRPr="008819AF" w14:paraId="15133AA2" w14:textId="77777777" w:rsidTr="00C16C5A">
              <w:trPr>
                <w:trHeight w:val="288"/>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9E" w14:textId="77777777" w:rsidR="00236AB5" w:rsidRPr="008819AF" w:rsidRDefault="00236AB5" w:rsidP="00236AB5">
                  <w:pPr>
                    <w:ind w:left="55" w:hanging="55"/>
                    <w:rPr>
                      <w:sz w:val="18"/>
                      <w:szCs w:val="18"/>
                    </w:rPr>
                  </w:pPr>
                  <w:r w:rsidRPr="008819AF">
                    <w:rPr>
                      <w:sz w:val="18"/>
                      <w:szCs w:val="18"/>
                    </w:rPr>
                    <w:t>2,3,7,8</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9F" w14:textId="77777777" w:rsidR="00236AB5" w:rsidRPr="008819AF" w:rsidRDefault="00236AB5" w:rsidP="00236AB5">
                  <w:pPr>
                    <w:ind w:left="55" w:hanging="55"/>
                    <w:rPr>
                      <w:sz w:val="18"/>
                      <w:szCs w:val="18"/>
                    </w:rPr>
                  </w:pPr>
                  <w:r w:rsidRPr="008819AF">
                    <w:rPr>
                      <w:sz w:val="18"/>
                      <w:szCs w:val="18"/>
                    </w:rPr>
                    <w:t>tetrachlórdibenzofurán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A0" w14:textId="77777777" w:rsidR="00236AB5" w:rsidRPr="008819AF" w:rsidRDefault="00236AB5" w:rsidP="00236AB5">
                  <w:pPr>
                    <w:ind w:left="55" w:hanging="55"/>
                    <w:rPr>
                      <w:sz w:val="18"/>
                      <w:szCs w:val="18"/>
                    </w:rPr>
                  </w:pPr>
                  <w:r w:rsidRPr="008819AF">
                    <w:rPr>
                      <w:sz w:val="18"/>
                      <w:szCs w:val="18"/>
                    </w:rPr>
                    <w:t>TCDF</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A1" w14:textId="77777777" w:rsidR="00236AB5" w:rsidRPr="008819AF" w:rsidRDefault="00236AB5" w:rsidP="00236AB5">
                  <w:pPr>
                    <w:ind w:left="55" w:hanging="55"/>
                    <w:rPr>
                      <w:sz w:val="18"/>
                      <w:szCs w:val="18"/>
                    </w:rPr>
                  </w:pPr>
                  <w:r w:rsidRPr="008819AF">
                    <w:rPr>
                      <w:sz w:val="18"/>
                      <w:szCs w:val="18"/>
                    </w:rPr>
                    <w:t>0,1</w:t>
                  </w:r>
                </w:p>
              </w:tc>
            </w:tr>
            <w:tr w:rsidR="00236AB5" w:rsidRPr="008819AF" w14:paraId="15133AA7"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A3" w14:textId="77777777" w:rsidR="00236AB5" w:rsidRPr="008819AF" w:rsidRDefault="00236AB5" w:rsidP="00236AB5">
                  <w:pPr>
                    <w:ind w:left="55" w:hanging="55"/>
                    <w:rPr>
                      <w:sz w:val="18"/>
                      <w:szCs w:val="18"/>
                    </w:rPr>
                  </w:pPr>
                  <w:r w:rsidRPr="008819AF">
                    <w:rPr>
                      <w:sz w:val="18"/>
                      <w:szCs w:val="18"/>
                    </w:rPr>
                    <w:t>2,3,4,7,8</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A4" w14:textId="77777777" w:rsidR="00236AB5" w:rsidRPr="008819AF" w:rsidRDefault="00236AB5" w:rsidP="00236AB5">
                  <w:pPr>
                    <w:ind w:left="55" w:hanging="55"/>
                    <w:rPr>
                      <w:sz w:val="18"/>
                      <w:szCs w:val="18"/>
                    </w:rPr>
                  </w:pPr>
                  <w:r w:rsidRPr="008819AF">
                    <w:rPr>
                      <w:sz w:val="18"/>
                      <w:szCs w:val="18"/>
                    </w:rPr>
                    <w:t>pentachlórdibenzofurán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A5" w14:textId="77777777" w:rsidR="00236AB5" w:rsidRPr="008819AF" w:rsidRDefault="00236AB5" w:rsidP="00236AB5">
                  <w:pPr>
                    <w:ind w:left="55" w:hanging="55"/>
                    <w:rPr>
                      <w:sz w:val="18"/>
                      <w:szCs w:val="18"/>
                    </w:rPr>
                  </w:pPr>
                  <w:r w:rsidRPr="008819AF">
                    <w:rPr>
                      <w:sz w:val="18"/>
                      <w:szCs w:val="18"/>
                    </w:rPr>
                    <w:t>PeCDF</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A6" w14:textId="77777777" w:rsidR="00236AB5" w:rsidRPr="008819AF" w:rsidRDefault="00236AB5" w:rsidP="00236AB5">
                  <w:pPr>
                    <w:ind w:left="55" w:hanging="55"/>
                    <w:rPr>
                      <w:sz w:val="18"/>
                      <w:szCs w:val="18"/>
                    </w:rPr>
                  </w:pPr>
                  <w:r w:rsidRPr="008819AF">
                    <w:rPr>
                      <w:sz w:val="18"/>
                      <w:szCs w:val="18"/>
                    </w:rPr>
                    <w:t>0,5</w:t>
                  </w:r>
                </w:p>
              </w:tc>
            </w:tr>
            <w:tr w:rsidR="00236AB5" w:rsidRPr="008819AF" w14:paraId="15133AAC"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A8" w14:textId="77777777" w:rsidR="00236AB5" w:rsidRPr="008819AF" w:rsidRDefault="00236AB5" w:rsidP="00236AB5">
                  <w:pPr>
                    <w:ind w:left="55" w:hanging="55"/>
                    <w:rPr>
                      <w:sz w:val="18"/>
                      <w:szCs w:val="18"/>
                    </w:rPr>
                  </w:pPr>
                  <w:r w:rsidRPr="008819AF">
                    <w:rPr>
                      <w:sz w:val="18"/>
                      <w:szCs w:val="18"/>
                    </w:rPr>
                    <w:t>1,2,3,7,8</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A9" w14:textId="77777777" w:rsidR="00236AB5" w:rsidRPr="008819AF" w:rsidRDefault="00236AB5" w:rsidP="00236AB5">
                  <w:pPr>
                    <w:ind w:left="55" w:hanging="55"/>
                    <w:rPr>
                      <w:sz w:val="18"/>
                      <w:szCs w:val="18"/>
                    </w:rPr>
                  </w:pPr>
                  <w:r w:rsidRPr="008819AF">
                    <w:rPr>
                      <w:sz w:val="18"/>
                      <w:szCs w:val="18"/>
                    </w:rPr>
                    <w:t>pentachlórdibenzofurán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AA" w14:textId="77777777" w:rsidR="00236AB5" w:rsidRPr="008819AF" w:rsidRDefault="00236AB5" w:rsidP="00236AB5">
                  <w:pPr>
                    <w:ind w:left="55" w:hanging="55"/>
                    <w:rPr>
                      <w:sz w:val="18"/>
                      <w:szCs w:val="18"/>
                    </w:rPr>
                  </w:pPr>
                  <w:r w:rsidRPr="008819AF">
                    <w:rPr>
                      <w:sz w:val="18"/>
                      <w:szCs w:val="18"/>
                    </w:rPr>
                    <w:t>PeCDF</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AB" w14:textId="77777777" w:rsidR="00236AB5" w:rsidRPr="008819AF" w:rsidRDefault="00236AB5" w:rsidP="00236AB5">
                  <w:pPr>
                    <w:ind w:left="55" w:hanging="55"/>
                    <w:rPr>
                      <w:sz w:val="18"/>
                      <w:szCs w:val="18"/>
                    </w:rPr>
                  </w:pPr>
                  <w:r w:rsidRPr="008819AF">
                    <w:rPr>
                      <w:sz w:val="18"/>
                      <w:szCs w:val="18"/>
                    </w:rPr>
                    <w:t>0,05</w:t>
                  </w:r>
                </w:p>
              </w:tc>
            </w:tr>
            <w:tr w:rsidR="00236AB5" w:rsidRPr="008819AF" w14:paraId="15133AB1"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AD" w14:textId="77777777" w:rsidR="00236AB5" w:rsidRPr="008819AF" w:rsidRDefault="00236AB5" w:rsidP="00236AB5">
                  <w:pPr>
                    <w:ind w:left="55" w:hanging="55"/>
                    <w:rPr>
                      <w:sz w:val="18"/>
                      <w:szCs w:val="18"/>
                    </w:rPr>
                  </w:pPr>
                  <w:r w:rsidRPr="008819AF">
                    <w:rPr>
                      <w:sz w:val="18"/>
                      <w:szCs w:val="18"/>
                    </w:rPr>
                    <w:t>1,2,3,4,7,8</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AE" w14:textId="77777777" w:rsidR="00236AB5" w:rsidRPr="008819AF" w:rsidRDefault="00236AB5" w:rsidP="00236AB5">
                  <w:pPr>
                    <w:ind w:left="55" w:hanging="55"/>
                    <w:rPr>
                      <w:sz w:val="18"/>
                      <w:szCs w:val="18"/>
                    </w:rPr>
                  </w:pPr>
                  <w:r w:rsidRPr="008819AF">
                    <w:rPr>
                      <w:sz w:val="18"/>
                      <w:szCs w:val="18"/>
                    </w:rPr>
                    <w:t>hexachlórdibenzofurán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AF" w14:textId="77777777" w:rsidR="00236AB5" w:rsidRPr="008819AF" w:rsidRDefault="00236AB5" w:rsidP="00236AB5">
                  <w:pPr>
                    <w:ind w:left="55" w:hanging="55"/>
                    <w:rPr>
                      <w:sz w:val="18"/>
                      <w:szCs w:val="18"/>
                    </w:rPr>
                  </w:pPr>
                  <w:r w:rsidRPr="008819AF">
                    <w:rPr>
                      <w:sz w:val="18"/>
                      <w:szCs w:val="18"/>
                    </w:rPr>
                    <w:t>HxCDF</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B0" w14:textId="77777777" w:rsidR="00236AB5" w:rsidRPr="008819AF" w:rsidRDefault="00236AB5" w:rsidP="00236AB5">
                  <w:pPr>
                    <w:ind w:left="55" w:hanging="55"/>
                    <w:rPr>
                      <w:sz w:val="18"/>
                      <w:szCs w:val="18"/>
                    </w:rPr>
                  </w:pPr>
                  <w:r w:rsidRPr="008819AF">
                    <w:rPr>
                      <w:sz w:val="18"/>
                      <w:szCs w:val="18"/>
                    </w:rPr>
                    <w:t>0,1</w:t>
                  </w:r>
                </w:p>
              </w:tc>
            </w:tr>
            <w:tr w:rsidR="00236AB5" w:rsidRPr="008819AF" w14:paraId="15133AB6"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B2" w14:textId="77777777" w:rsidR="00236AB5" w:rsidRPr="008819AF" w:rsidRDefault="00236AB5" w:rsidP="00236AB5">
                  <w:pPr>
                    <w:ind w:left="55" w:hanging="55"/>
                    <w:rPr>
                      <w:sz w:val="18"/>
                      <w:szCs w:val="18"/>
                    </w:rPr>
                  </w:pPr>
                  <w:r w:rsidRPr="008819AF">
                    <w:rPr>
                      <w:sz w:val="18"/>
                      <w:szCs w:val="18"/>
                    </w:rPr>
                    <w:lastRenderedPageBreak/>
                    <w:t>1,2,3,6,7,8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B3" w14:textId="77777777" w:rsidR="00236AB5" w:rsidRPr="008819AF" w:rsidRDefault="00236AB5" w:rsidP="00236AB5">
                  <w:pPr>
                    <w:ind w:left="55" w:hanging="55"/>
                    <w:rPr>
                      <w:sz w:val="18"/>
                      <w:szCs w:val="18"/>
                    </w:rPr>
                  </w:pPr>
                  <w:r w:rsidRPr="008819AF">
                    <w:rPr>
                      <w:sz w:val="18"/>
                      <w:szCs w:val="18"/>
                    </w:rPr>
                    <w:t>hexachlórdibenzofurán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B4" w14:textId="77777777" w:rsidR="00236AB5" w:rsidRPr="008819AF" w:rsidRDefault="00236AB5" w:rsidP="00236AB5">
                  <w:pPr>
                    <w:ind w:left="55" w:hanging="55"/>
                    <w:rPr>
                      <w:sz w:val="18"/>
                      <w:szCs w:val="18"/>
                    </w:rPr>
                  </w:pPr>
                  <w:r w:rsidRPr="008819AF">
                    <w:rPr>
                      <w:sz w:val="18"/>
                      <w:szCs w:val="18"/>
                    </w:rPr>
                    <w:t>HxCDF</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B5" w14:textId="77777777" w:rsidR="00236AB5" w:rsidRPr="008819AF" w:rsidRDefault="00236AB5" w:rsidP="00236AB5">
                  <w:pPr>
                    <w:ind w:left="55" w:hanging="55"/>
                    <w:rPr>
                      <w:sz w:val="18"/>
                      <w:szCs w:val="18"/>
                    </w:rPr>
                  </w:pPr>
                  <w:r w:rsidRPr="008819AF">
                    <w:rPr>
                      <w:sz w:val="18"/>
                      <w:szCs w:val="18"/>
                    </w:rPr>
                    <w:t>0,1</w:t>
                  </w:r>
                </w:p>
              </w:tc>
            </w:tr>
            <w:tr w:rsidR="00236AB5" w:rsidRPr="008819AF" w14:paraId="15133ABB"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B7" w14:textId="77777777" w:rsidR="00236AB5" w:rsidRPr="008819AF" w:rsidRDefault="00236AB5" w:rsidP="00236AB5">
                  <w:pPr>
                    <w:ind w:left="55" w:hanging="55"/>
                    <w:rPr>
                      <w:sz w:val="18"/>
                      <w:szCs w:val="18"/>
                    </w:rPr>
                  </w:pPr>
                  <w:r w:rsidRPr="008819AF">
                    <w:rPr>
                      <w:sz w:val="18"/>
                      <w:szCs w:val="18"/>
                    </w:rPr>
                    <w:t>1,2,3,7,8,9</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B8" w14:textId="77777777" w:rsidR="00236AB5" w:rsidRPr="008819AF" w:rsidRDefault="00236AB5" w:rsidP="00236AB5">
                  <w:pPr>
                    <w:ind w:left="55" w:hanging="55"/>
                    <w:rPr>
                      <w:sz w:val="18"/>
                      <w:szCs w:val="18"/>
                    </w:rPr>
                  </w:pPr>
                  <w:r w:rsidRPr="008819AF">
                    <w:rPr>
                      <w:sz w:val="18"/>
                      <w:szCs w:val="18"/>
                    </w:rPr>
                    <w:t>hexachlórdibenzofurán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B9" w14:textId="77777777" w:rsidR="00236AB5" w:rsidRPr="008819AF" w:rsidRDefault="00236AB5" w:rsidP="00236AB5">
                  <w:pPr>
                    <w:ind w:left="55" w:hanging="55"/>
                    <w:rPr>
                      <w:sz w:val="18"/>
                      <w:szCs w:val="18"/>
                    </w:rPr>
                  </w:pPr>
                  <w:r w:rsidRPr="008819AF">
                    <w:rPr>
                      <w:sz w:val="18"/>
                      <w:szCs w:val="18"/>
                    </w:rPr>
                    <w:t>HxCDF</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BA" w14:textId="77777777" w:rsidR="00236AB5" w:rsidRPr="008819AF" w:rsidRDefault="00236AB5" w:rsidP="00236AB5">
                  <w:pPr>
                    <w:ind w:left="55" w:hanging="55"/>
                    <w:rPr>
                      <w:sz w:val="18"/>
                      <w:szCs w:val="18"/>
                    </w:rPr>
                  </w:pPr>
                  <w:r w:rsidRPr="008819AF">
                    <w:rPr>
                      <w:sz w:val="18"/>
                      <w:szCs w:val="18"/>
                    </w:rPr>
                    <w:t>0,1</w:t>
                  </w:r>
                </w:p>
              </w:tc>
            </w:tr>
            <w:tr w:rsidR="00236AB5" w:rsidRPr="008819AF" w14:paraId="15133AC0"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BC" w14:textId="77777777" w:rsidR="00236AB5" w:rsidRPr="008819AF" w:rsidRDefault="00236AB5" w:rsidP="00236AB5">
                  <w:pPr>
                    <w:ind w:left="55" w:hanging="55"/>
                    <w:rPr>
                      <w:sz w:val="18"/>
                      <w:szCs w:val="18"/>
                    </w:rPr>
                  </w:pPr>
                  <w:r w:rsidRPr="008819AF">
                    <w:rPr>
                      <w:sz w:val="18"/>
                      <w:szCs w:val="18"/>
                    </w:rPr>
                    <w:t>2,3,4,6,7,8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BD" w14:textId="77777777" w:rsidR="00236AB5" w:rsidRPr="008819AF" w:rsidRDefault="00236AB5" w:rsidP="00236AB5">
                  <w:pPr>
                    <w:ind w:left="55" w:hanging="55"/>
                    <w:rPr>
                      <w:sz w:val="18"/>
                      <w:szCs w:val="18"/>
                    </w:rPr>
                  </w:pPr>
                  <w:r w:rsidRPr="008819AF">
                    <w:rPr>
                      <w:sz w:val="18"/>
                      <w:szCs w:val="18"/>
                    </w:rPr>
                    <w:t>hexachlórdibenzofurán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BE" w14:textId="77777777" w:rsidR="00236AB5" w:rsidRPr="008819AF" w:rsidRDefault="00236AB5" w:rsidP="00236AB5">
                  <w:pPr>
                    <w:ind w:left="55" w:hanging="55"/>
                    <w:rPr>
                      <w:sz w:val="18"/>
                      <w:szCs w:val="18"/>
                    </w:rPr>
                  </w:pPr>
                  <w:r w:rsidRPr="008819AF">
                    <w:rPr>
                      <w:sz w:val="18"/>
                      <w:szCs w:val="18"/>
                    </w:rPr>
                    <w:t>HxCDF</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BF" w14:textId="77777777" w:rsidR="00236AB5" w:rsidRPr="008819AF" w:rsidRDefault="00236AB5" w:rsidP="00236AB5">
                  <w:pPr>
                    <w:ind w:left="55" w:hanging="55"/>
                    <w:rPr>
                      <w:sz w:val="18"/>
                      <w:szCs w:val="18"/>
                    </w:rPr>
                  </w:pPr>
                  <w:r w:rsidRPr="008819AF">
                    <w:rPr>
                      <w:sz w:val="18"/>
                      <w:szCs w:val="18"/>
                    </w:rPr>
                    <w:t>0,1</w:t>
                  </w:r>
                </w:p>
              </w:tc>
            </w:tr>
            <w:tr w:rsidR="00236AB5" w:rsidRPr="008819AF" w14:paraId="15133AC5" w14:textId="77777777" w:rsidTr="00C16C5A">
              <w:trPr>
                <w:trHeight w:val="288"/>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C1" w14:textId="77777777" w:rsidR="00236AB5" w:rsidRPr="008819AF" w:rsidRDefault="00236AB5" w:rsidP="00236AB5">
                  <w:pPr>
                    <w:ind w:left="55" w:hanging="55"/>
                    <w:rPr>
                      <w:sz w:val="18"/>
                      <w:szCs w:val="18"/>
                    </w:rPr>
                  </w:pPr>
                  <w:r w:rsidRPr="008819AF">
                    <w:rPr>
                      <w:sz w:val="18"/>
                      <w:szCs w:val="18"/>
                    </w:rPr>
                    <w:t>1,2,3,4,6,7,8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C2" w14:textId="77777777" w:rsidR="00236AB5" w:rsidRPr="008819AF" w:rsidRDefault="00236AB5" w:rsidP="00236AB5">
                  <w:pPr>
                    <w:ind w:left="55" w:hanging="55"/>
                    <w:rPr>
                      <w:sz w:val="18"/>
                      <w:szCs w:val="18"/>
                    </w:rPr>
                  </w:pPr>
                  <w:r w:rsidRPr="008819AF">
                    <w:rPr>
                      <w:sz w:val="18"/>
                      <w:szCs w:val="18"/>
                    </w:rPr>
                    <w:t>heptachlórdibenzofurán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C3" w14:textId="77777777" w:rsidR="00236AB5" w:rsidRPr="008819AF" w:rsidRDefault="00236AB5" w:rsidP="00236AB5">
                  <w:pPr>
                    <w:ind w:left="55" w:hanging="55"/>
                    <w:rPr>
                      <w:sz w:val="18"/>
                      <w:szCs w:val="18"/>
                    </w:rPr>
                  </w:pPr>
                  <w:r w:rsidRPr="008819AF">
                    <w:rPr>
                      <w:sz w:val="18"/>
                      <w:szCs w:val="18"/>
                    </w:rPr>
                    <w:t>HpCDF</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C4" w14:textId="77777777" w:rsidR="00236AB5" w:rsidRPr="008819AF" w:rsidRDefault="00236AB5" w:rsidP="00236AB5">
                  <w:pPr>
                    <w:ind w:left="55" w:hanging="55"/>
                    <w:rPr>
                      <w:sz w:val="18"/>
                      <w:szCs w:val="18"/>
                    </w:rPr>
                  </w:pPr>
                  <w:r w:rsidRPr="008819AF">
                    <w:rPr>
                      <w:sz w:val="18"/>
                      <w:szCs w:val="18"/>
                    </w:rPr>
                    <w:t>0,01</w:t>
                  </w:r>
                </w:p>
              </w:tc>
            </w:tr>
            <w:tr w:rsidR="00236AB5" w:rsidRPr="008819AF" w14:paraId="15133ACA"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C6" w14:textId="77777777" w:rsidR="00236AB5" w:rsidRPr="008819AF" w:rsidRDefault="00236AB5" w:rsidP="00236AB5">
                  <w:pPr>
                    <w:ind w:left="55" w:hanging="55"/>
                    <w:rPr>
                      <w:sz w:val="18"/>
                      <w:szCs w:val="18"/>
                    </w:rPr>
                  </w:pPr>
                  <w:r w:rsidRPr="008819AF">
                    <w:rPr>
                      <w:sz w:val="18"/>
                      <w:szCs w:val="18"/>
                    </w:rPr>
                    <w:t>1,2,3,4,7,8,9</w:t>
                  </w:r>
                </w:p>
              </w:tc>
              <w:tc>
                <w:tcPr>
                  <w:tcW w:w="2037" w:type="dxa"/>
                  <w:tcBorders>
                    <w:top w:val="single" w:sz="2" w:space="0" w:color="000000"/>
                    <w:left w:val="single" w:sz="2" w:space="0" w:color="000000"/>
                    <w:bottom w:val="single" w:sz="2" w:space="0" w:color="000000"/>
                    <w:right w:val="single" w:sz="2" w:space="0" w:color="000000"/>
                  </w:tcBorders>
                  <w:vAlign w:val="center"/>
                </w:tcPr>
                <w:p w14:paraId="15133AC7" w14:textId="77777777" w:rsidR="00236AB5" w:rsidRPr="008819AF" w:rsidRDefault="00236AB5" w:rsidP="00236AB5">
                  <w:pPr>
                    <w:ind w:left="55" w:hanging="55"/>
                    <w:rPr>
                      <w:sz w:val="18"/>
                      <w:szCs w:val="18"/>
                    </w:rPr>
                  </w:pPr>
                  <w:r w:rsidRPr="008819AF">
                    <w:rPr>
                      <w:sz w:val="18"/>
                      <w:szCs w:val="18"/>
                    </w:rPr>
                    <w:t>heptachlórdibenzofurán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C8" w14:textId="77777777" w:rsidR="00236AB5" w:rsidRPr="008819AF" w:rsidRDefault="00236AB5" w:rsidP="00236AB5">
                  <w:pPr>
                    <w:ind w:left="55" w:hanging="55"/>
                    <w:rPr>
                      <w:sz w:val="18"/>
                      <w:szCs w:val="18"/>
                    </w:rPr>
                  </w:pPr>
                  <w:r w:rsidRPr="008819AF">
                    <w:rPr>
                      <w:sz w:val="18"/>
                      <w:szCs w:val="18"/>
                    </w:rPr>
                    <w:t>HpCDF</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C9" w14:textId="77777777" w:rsidR="00236AB5" w:rsidRPr="008819AF" w:rsidRDefault="00236AB5" w:rsidP="00236AB5">
                  <w:pPr>
                    <w:ind w:left="55" w:hanging="55"/>
                    <w:rPr>
                      <w:sz w:val="18"/>
                      <w:szCs w:val="18"/>
                    </w:rPr>
                  </w:pPr>
                  <w:r w:rsidRPr="008819AF">
                    <w:rPr>
                      <w:sz w:val="18"/>
                      <w:szCs w:val="18"/>
                    </w:rPr>
                    <w:t>0,01</w:t>
                  </w:r>
                </w:p>
              </w:tc>
            </w:tr>
            <w:tr w:rsidR="00236AB5" w:rsidRPr="008819AF" w14:paraId="15133ACF"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15133ACB" w14:textId="77777777" w:rsidR="00236AB5" w:rsidRPr="008819AF" w:rsidRDefault="00236AB5" w:rsidP="00236AB5">
                  <w:pPr>
                    <w:ind w:left="55" w:hanging="55"/>
                    <w:rPr>
                      <w:sz w:val="18"/>
                      <w:szCs w:val="18"/>
                    </w:rPr>
                  </w:pPr>
                </w:p>
              </w:tc>
              <w:tc>
                <w:tcPr>
                  <w:tcW w:w="2037" w:type="dxa"/>
                  <w:tcBorders>
                    <w:top w:val="single" w:sz="2" w:space="0" w:color="000000"/>
                    <w:left w:val="single" w:sz="2" w:space="0" w:color="000000"/>
                    <w:bottom w:val="single" w:sz="2" w:space="0" w:color="000000"/>
                    <w:right w:val="single" w:sz="2" w:space="0" w:color="000000"/>
                  </w:tcBorders>
                  <w:vAlign w:val="center"/>
                </w:tcPr>
                <w:p w14:paraId="15133ACC" w14:textId="77777777" w:rsidR="00236AB5" w:rsidRPr="008819AF" w:rsidRDefault="00236AB5" w:rsidP="00236AB5">
                  <w:pPr>
                    <w:ind w:left="55" w:hanging="55"/>
                    <w:rPr>
                      <w:sz w:val="18"/>
                      <w:szCs w:val="18"/>
                    </w:rPr>
                  </w:pPr>
                  <w:r w:rsidRPr="008819AF">
                    <w:rPr>
                      <w:sz w:val="18"/>
                      <w:szCs w:val="18"/>
                    </w:rPr>
                    <w:t>oktachlórdibenzofurán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15133ACD" w14:textId="77777777" w:rsidR="00236AB5" w:rsidRPr="008819AF" w:rsidRDefault="00236AB5" w:rsidP="00236AB5">
                  <w:pPr>
                    <w:ind w:left="55" w:hanging="55"/>
                    <w:rPr>
                      <w:sz w:val="18"/>
                      <w:szCs w:val="18"/>
                    </w:rPr>
                  </w:pPr>
                  <w:r w:rsidRPr="008819AF">
                    <w:rPr>
                      <w:sz w:val="18"/>
                      <w:szCs w:val="18"/>
                    </w:rPr>
                    <w:t>OCDF</w:t>
                  </w:r>
                </w:p>
              </w:tc>
              <w:tc>
                <w:tcPr>
                  <w:tcW w:w="976" w:type="dxa"/>
                  <w:tcBorders>
                    <w:top w:val="single" w:sz="2" w:space="0" w:color="000000"/>
                    <w:left w:val="single" w:sz="2" w:space="0" w:color="000000"/>
                    <w:bottom w:val="single" w:sz="2" w:space="0" w:color="000000"/>
                    <w:right w:val="single" w:sz="2" w:space="0" w:color="000000"/>
                  </w:tcBorders>
                  <w:vAlign w:val="center"/>
                </w:tcPr>
                <w:p w14:paraId="15133ACE" w14:textId="77777777" w:rsidR="00236AB5" w:rsidRPr="008819AF" w:rsidRDefault="00236AB5" w:rsidP="00236AB5">
                  <w:pPr>
                    <w:ind w:left="55" w:hanging="55"/>
                    <w:rPr>
                      <w:sz w:val="18"/>
                      <w:szCs w:val="18"/>
                    </w:rPr>
                  </w:pPr>
                  <w:r w:rsidRPr="008819AF">
                    <w:rPr>
                      <w:sz w:val="18"/>
                      <w:szCs w:val="18"/>
                    </w:rPr>
                    <w:t>0,001</w:t>
                  </w:r>
                </w:p>
              </w:tc>
            </w:tr>
          </w:tbl>
          <w:p w14:paraId="15133AD0" w14:textId="77777777" w:rsidR="00236AB5" w:rsidRPr="008819AF" w:rsidRDefault="00236AB5" w:rsidP="00236AB5">
            <w:pPr>
              <w:pStyle w:val="Hlavika"/>
              <w:ind w:left="55" w:hanging="55"/>
              <w:rPr>
                <w:rFonts w:ascii="Times New Roman" w:eastAsia="Times New Roman" w:hAnsi="Times New Roman" w:cs="Times New Roman"/>
                <w:sz w:val="18"/>
                <w:szCs w:val="18"/>
              </w:rPr>
            </w:pPr>
          </w:p>
          <w:p w14:paraId="15133AD1" w14:textId="77777777" w:rsidR="00236AB5" w:rsidRPr="008819AF" w:rsidRDefault="00236AB5" w:rsidP="00236AB5">
            <w:pPr>
              <w:pStyle w:val="Hlavika"/>
              <w:rPr>
                <w:rFonts w:ascii="Times New Roman" w:eastAsia="Times New Roman" w:hAnsi="Times New Roman" w:cs="Times New Roman"/>
                <w:sz w:val="18"/>
                <w:szCs w:val="18"/>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3AD2"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AD3" w14:textId="77777777" w:rsidR="00236AB5" w:rsidRPr="008819AF" w:rsidRDefault="00236AB5" w:rsidP="00236AB5">
            <w:pPr>
              <w:ind w:left="215" w:hanging="215"/>
              <w:rPr>
                <w:rFonts w:eastAsia="Arial"/>
              </w:rPr>
            </w:pPr>
          </w:p>
        </w:tc>
      </w:tr>
      <w:tr w:rsidR="00236AB5" w:rsidRPr="008819AF" w14:paraId="15133B9E" w14:textId="77777777" w:rsidTr="003E351D">
        <w:trPr>
          <w:gridAfter w:val="1"/>
          <w:wAfter w:w="62" w:type="dxa"/>
          <w:trHeight w:val="7511"/>
          <w:jc w:val="center"/>
        </w:trPr>
        <w:tc>
          <w:tcPr>
            <w:tcW w:w="483" w:type="dxa"/>
            <w:tcBorders>
              <w:top w:val="single" w:sz="4" w:space="0" w:color="000000"/>
              <w:left w:val="single" w:sz="6" w:space="0" w:color="000000"/>
              <w:bottom w:val="single" w:sz="6" w:space="0" w:color="000000"/>
              <w:right w:val="single" w:sz="6" w:space="0" w:color="000000"/>
            </w:tcBorders>
          </w:tcPr>
          <w:p w14:paraId="15133AD5"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AD6" w14:textId="77777777" w:rsidR="00236AB5" w:rsidRPr="008819AF" w:rsidRDefault="00236AB5" w:rsidP="00236AB5">
            <w:pPr>
              <w:ind w:left="215" w:hanging="215"/>
              <w:rPr>
                <w:rFonts w:eastAsia="Arial"/>
                <w:lang w:bidi="cs-CZ"/>
              </w:rPr>
            </w:pPr>
            <w:r w:rsidRPr="008819AF">
              <w:rPr>
                <w:rFonts w:eastAsia="Arial"/>
                <w:lang w:bidi="cs-CZ"/>
              </w:rPr>
              <w:t>ČASŤ 3</w:t>
            </w:r>
          </w:p>
          <w:p w14:paraId="15133AD7" w14:textId="77777777" w:rsidR="00236AB5" w:rsidRPr="008819AF" w:rsidRDefault="00236AB5" w:rsidP="00236AB5">
            <w:pPr>
              <w:ind w:left="215" w:hanging="215"/>
              <w:rPr>
                <w:rFonts w:eastAsia="Arial"/>
                <w:i/>
                <w:iCs/>
                <w:lang w:bidi="cs-CZ"/>
              </w:rPr>
            </w:pPr>
            <w:r w:rsidRPr="008819AF">
              <w:rPr>
                <w:rFonts w:eastAsia="Arial"/>
                <w:i/>
                <w:iCs/>
                <w:lang w:bidi="cs-CZ"/>
              </w:rPr>
              <w:t>Emisné limity do ovzdušia pre spaľovne odpadov</w:t>
            </w:r>
          </w:p>
          <w:p w14:paraId="15133AD8" w14:textId="77777777" w:rsidR="00236AB5" w:rsidRPr="008819AF" w:rsidRDefault="00236AB5" w:rsidP="00236AB5">
            <w:pPr>
              <w:ind w:left="215" w:hanging="215"/>
              <w:rPr>
                <w:rFonts w:eastAsia="Arial"/>
                <w:lang w:bidi="cs-CZ"/>
              </w:rPr>
            </w:pPr>
            <w:r w:rsidRPr="008819AF">
              <w:rPr>
                <w:rFonts w:eastAsia="Arial"/>
                <w:lang w:bidi="cs-CZ"/>
              </w:rPr>
              <w:t>1.  Všetky emisné limity sa vypočítavajú pri teplote 273,15 K, tlaku 101,3 kPa a po korekcii obsahu vodných pár v odpadových plynoch.</w:t>
            </w:r>
          </w:p>
          <w:p w14:paraId="15133AD9" w14:textId="77777777" w:rsidR="00236AB5" w:rsidRPr="008819AF" w:rsidRDefault="00236AB5" w:rsidP="00236AB5">
            <w:pPr>
              <w:ind w:left="215" w:hanging="215"/>
              <w:rPr>
                <w:rFonts w:eastAsia="Arial"/>
                <w:i/>
                <w:iCs/>
                <w:lang w:bidi="cs-CZ"/>
              </w:rPr>
            </w:pPr>
            <w:r w:rsidRPr="008819AF">
              <w:rPr>
                <w:rFonts w:eastAsia="Arial"/>
                <w:lang w:bidi="cs-CZ"/>
              </w:rPr>
              <w:t>Sú štandardizované vzhľadom na 11 % obsah kyslíka v odpadovom plyne s výnimkou prípadu spaľovania minerálneho odpadového oleja, ako je vymedzený v článku 3 bod 3 smernice 2008/98/ES, kde sú štandardizované vzhľadom na 3 % obsah kyslíka, ako aj s výnimkou prípadov uvedených v časti 6 bod 2.7.</w:t>
            </w:r>
          </w:p>
          <w:p w14:paraId="15133ADA" w14:textId="77777777" w:rsidR="00236AB5" w:rsidRPr="008819AF" w:rsidRDefault="00236AB5" w:rsidP="00236AB5">
            <w:pPr>
              <w:numPr>
                <w:ilvl w:val="1"/>
                <w:numId w:val="63"/>
              </w:numPr>
              <w:rPr>
                <w:rFonts w:eastAsia="Arial"/>
                <w:lang w:bidi="cs-CZ"/>
              </w:rPr>
            </w:pPr>
            <w:r w:rsidRPr="008819AF">
              <w:rPr>
                <w:rFonts w:eastAsia="Arial"/>
                <w:lang w:bidi="cs-CZ"/>
              </w:rPr>
              <w:t>Priemerné denné emisné limity pre tieto znečisťujúce látky (mg/Nm3)</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1051"/>
            </w:tblGrid>
            <w:tr w:rsidR="00236AB5" w:rsidRPr="008819AF" w14:paraId="15133ADD" w14:textId="77777777" w:rsidTr="009C63CF">
              <w:trPr>
                <w:trHeight w:val="103"/>
              </w:trPr>
              <w:tc>
                <w:tcPr>
                  <w:tcW w:w="4178" w:type="dxa"/>
                  <w:tcBorders>
                    <w:top w:val="single" w:sz="4" w:space="0" w:color="000000"/>
                    <w:left w:val="single" w:sz="4" w:space="0" w:color="000000"/>
                    <w:bottom w:val="single" w:sz="4" w:space="0" w:color="000000"/>
                    <w:right w:val="single" w:sz="4" w:space="0" w:color="000000"/>
                  </w:tcBorders>
                </w:tcPr>
                <w:p w14:paraId="15133AD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Celkové množstvo prachu</w:t>
                  </w:r>
                </w:p>
              </w:tc>
              <w:tc>
                <w:tcPr>
                  <w:tcW w:w="925" w:type="dxa"/>
                  <w:tcBorders>
                    <w:top w:val="single" w:sz="4" w:space="0" w:color="000000"/>
                    <w:left w:val="single" w:sz="4" w:space="0" w:color="000000"/>
                    <w:bottom w:val="single" w:sz="4" w:space="0" w:color="000000"/>
                    <w:right w:val="single" w:sz="4" w:space="0" w:color="000000"/>
                  </w:tcBorders>
                  <w:vAlign w:val="center"/>
                </w:tcPr>
                <w:p w14:paraId="15133AD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r>
            <w:tr w:rsidR="00236AB5" w:rsidRPr="008819AF" w14:paraId="15133AE0" w14:textId="77777777" w:rsidTr="009C63CF">
              <w:trPr>
                <w:trHeight w:val="199"/>
              </w:trPr>
              <w:tc>
                <w:tcPr>
                  <w:tcW w:w="4178" w:type="dxa"/>
                  <w:tcBorders>
                    <w:top w:val="single" w:sz="4" w:space="0" w:color="000000"/>
                    <w:left w:val="single" w:sz="4" w:space="0" w:color="000000"/>
                    <w:bottom w:val="single" w:sz="4" w:space="0" w:color="000000"/>
                    <w:right w:val="single" w:sz="4" w:space="0" w:color="000000"/>
                  </w:tcBorders>
                </w:tcPr>
                <w:p w14:paraId="15133AD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Organické látky vo forme plynov a pár vyjadrené ako celkový organický uhlík (TOC)</w:t>
                  </w:r>
                </w:p>
              </w:tc>
              <w:tc>
                <w:tcPr>
                  <w:tcW w:w="925" w:type="dxa"/>
                  <w:tcBorders>
                    <w:top w:val="single" w:sz="4" w:space="0" w:color="000000"/>
                    <w:left w:val="single" w:sz="4" w:space="0" w:color="000000"/>
                    <w:bottom w:val="single" w:sz="4" w:space="0" w:color="000000"/>
                    <w:right w:val="single" w:sz="4" w:space="0" w:color="000000"/>
                  </w:tcBorders>
                  <w:vAlign w:val="center"/>
                </w:tcPr>
                <w:p w14:paraId="15133AD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r>
            <w:tr w:rsidR="00236AB5" w:rsidRPr="008819AF" w14:paraId="15133AE3" w14:textId="77777777" w:rsidTr="009C63CF">
              <w:trPr>
                <w:trHeight w:val="103"/>
              </w:trPr>
              <w:tc>
                <w:tcPr>
                  <w:tcW w:w="4178" w:type="dxa"/>
                  <w:tcBorders>
                    <w:top w:val="single" w:sz="4" w:space="0" w:color="000000"/>
                    <w:left w:val="single" w:sz="4" w:space="0" w:color="000000"/>
                    <w:bottom w:val="single" w:sz="4" w:space="0" w:color="000000"/>
                    <w:right w:val="single" w:sz="4" w:space="0" w:color="000000"/>
                  </w:tcBorders>
                </w:tcPr>
                <w:p w14:paraId="15133AE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Chlorovodík (HCl)</w:t>
                  </w:r>
                </w:p>
              </w:tc>
              <w:tc>
                <w:tcPr>
                  <w:tcW w:w="925" w:type="dxa"/>
                  <w:tcBorders>
                    <w:top w:val="single" w:sz="4" w:space="0" w:color="000000"/>
                    <w:left w:val="single" w:sz="4" w:space="0" w:color="000000"/>
                    <w:bottom w:val="single" w:sz="4" w:space="0" w:color="000000"/>
                    <w:right w:val="single" w:sz="4" w:space="0" w:color="000000"/>
                  </w:tcBorders>
                  <w:vAlign w:val="center"/>
                </w:tcPr>
                <w:p w14:paraId="15133AE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r>
            <w:tr w:rsidR="00236AB5" w:rsidRPr="008819AF" w14:paraId="15133AE6" w14:textId="77777777" w:rsidTr="009C63CF">
              <w:trPr>
                <w:trHeight w:val="103"/>
              </w:trPr>
              <w:tc>
                <w:tcPr>
                  <w:tcW w:w="4178" w:type="dxa"/>
                  <w:tcBorders>
                    <w:top w:val="single" w:sz="4" w:space="0" w:color="000000"/>
                    <w:left w:val="single" w:sz="4" w:space="0" w:color="000000"/>
                    <w:bottom w:val="single" w:sz="4" w:space="0" w:color="000000"/>
                    <w:right w:val="single" w:sz="4" w:space="0" w:color="000000"/>
                  </w:tcBorders>
                </w:tcPr>
                <w:p w14:paraId="15133AE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Fluorovodík (HF)</w:t>
                  </w:r>
                </w:p>
              </w:tc>
              <w:tc>
                <w:tcPr>
                  <w:tcW w:w="925" w:type="dxa"/>
                  <w:tcBorders>
                    <w:top w:val="single" w:sz="4" w:space="0" w:color="000000"/>
                    <w:left w:val="single" w:sz="4" w:space="0" w:color="000000"/>
                    <w:bottom w:val="single" w:sz="4" w:space="0" w:color="000000"/>
                    <w:right w:val="single" w:sz="4" w:space="0" w:color="000000"/>
                  </w:tcBorders>
                  <w:vAlign w:val="center"/>
                </w:tcPr>
                <w:p w14:paraId="15133AE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w:t>
                  </w:r>
                </w:p>
              </w:tc>
            </w:tr>
            <w:tr w:rsidR="00236AB5" w:rsidRPr="008819AF" w14:paraId="15133AE9" w14:textId="77777777" w:rsidTr="009C63CF">
              <w:trPr>
                <w:trHeight w:val="114"/>
              </w:trPr>
              <w:tc>
                <w:tcPr>
                  <w:tcW w:w="4178" w:type="dxa"/>
                  <w:tcBorders>
                    <w:top w:val="single" w:sz="4" w:space="0" w:color="000000"/>
                    <w:left w:val="single" w:sz="4" w:space="0" w:color="000000"/>
                    <w:bottom w:val="single" w:sz="4" w:space="0" w:color="000000"/>
                    <w:right w:val="single" w:sz="4" w:space="0" w:color="000000"/>
                  </w:tcBorders>
                </w:tcPr>
                <w:p w14:paraId="15133AE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Oxid siričitý (SO2)</w:t>
                  </w:r>
                </w:p>
              </w:tc>
              <w:tc>
                <w:tcPr>
                  <w:tcW w:w="925" w:type="dxa"/>
                  <w:tcBorders>
                    <w:top w:val="single" w:sz="4" w:space="0" w:color="000000"/>
                    <w:left w:val="single" w:sz="4" w:space="0" w:color="000000"/>
                    <w:bottom w:val="single" w:sz="4" w:space="0" w:color="000000"/>
                    <w:right w:val="single" w:sz="4" w:space="0" w:color="000000"/>
                  </w:tcBorders>
                  <w:vAlign w:val="center"/>
                </w:tcPr>
                <w:p w14:paraId="15133AE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r>
            <w:tr w:rsidR="00236AB5" w:rsidRPr="008819AF" w14:paraId="15133AEC" w14:textId="77777777" w:rsidTr="009C63CF">
              <w:trPr>
                <w:trHeight w:val="199"/>
              </w:trPr>
              <w:tc>
                <w:tcPr>
                  <w:tcW w:w="4178" w:type="dxa"/>
                  <w:tcBorders>
                    <w:top w:val="single" w:sz="4" w:space="0" w:color="000000"/>
                    <w:left w:val="single" w:sz="4" w:space="0" w:color="000000"/>
                    <w:bottom w:val="single" w:sz="4" w:space="0" w:color="000000"/>
                    <w:right w:val="single" w:sz="4" w:space="0" w:color="000000"/>
                  </w:tcBorders>
                </w:tcPr>
                <w:p w14:paraId="15133AE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Oxid dusný (NO) a oxid dusičitý (NO 2 ) vyjadrené ako NO 2 pre existujúce spaľovne odpadov s menovitou kapacitou vyššou ako 6 ton za hodinu alebo pre nové spaľovne odpadov</w:t>
                  </w:r>
                </w:p>
              </w:tc>
              <w:tc>
                <w:tcPr>
                  <w:tcW w:w="925" w:type="dxa"/>
                  <w:tcBorders>
                    <w:top w:val="single" w:sz="4" w:space="0" w:color="000000"/>
                    <w:left w:val="single" w:sz="4" w:space="0" w:color="000000"/>
                    <w:bottom w:val="single" w:sz="4" w:space="0" w:color="000000"/>
                    <w:right w:val="single" w:sz="4" w:space="0" w:color="000000"/>
                  </w:tcBorders>
                  <w:vAlign w:val="center"/>
                </w:tcPr>
                <w:p w14:paraId="15133AE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AEF" w14:textId="77777777" w:rsidTr="009C63CF">
              <w:trPr>
                <w:trHeight w:val="199"/>
              </w:trPr>
              <w:tc>
                <w:tcPr>
                  <w:tcW w:w="4178" w:type="dxa"/>
                  <w:tcBorders>
                    <w:top w:val="single" w:sz="4" w:space="0" w:color="000000"/>
                    <w:left w:val="single" w:sz="4" w:space="0" w:color="000000"/>
                    <w:bottom w:val="single" w:sz="4" w:space="0" w:color="000000"/>
                    <w:right w:val="single" w:sz="4" w:space="0" w:color="000000"/>
                  </w:tcBorders>
                </w:tcPr>
                <w:p w14:paraId="15133AE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Oxid dusný (NO) a oxid dusičitý (NO2) vyjadrený ako NO2 pre existujúce spaľovne odpadov s menovitou kapacitou 6 ton za hodinu alebo nižšou</w:t>
                  </w:r>
                </w:p>
              </w:tc>
              <w:tc>
                <w:tcPr>
                  <w:tcW w:w="925" w:type="dxa"/>
                  <w:tcBorders>
                    <w:top w:val="single" w:sz="4" w:space="0" w:color="000000"/>
                    <w:left w:val="single" w:sz="4" w:space="0" w:color="000000"/>
                    <w:bottom w:val="single" w:sz="4" w:space="0" w:color="000000"/>
                    <w:right w:val="single" w:sz="4" w:space="0" w:color="000000"/>
                  </w:tcBorders>
                  <w:vAlign w:val="center"/>
                </w:tcPr>
                <w:p w14:paraId="15133AE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400</w:t>
                  </w:r>
                </w:p>
              </w:tc>
            </w:tr>
          </w:tbl>
          <w:p w14:paraId="15133AF0" w14:textId="77777777" w:rsidR="00236AB5" w:rsidRPr="008819AF" w:rsidRDefault="00236AB5" w:rsidP="00236AB5">
            <w:pPr>
              <w:ind w:left="215" w:hanging="215"/>
              <w:rPr>
                <w:rFonts w:eastAsia="Arial"/>
                <w:lang w:bidi="cs-CZ"/>
              </w:rPr>
            </w:pPr>
          </w:p>
          <w:p w14:paraId="15133AF1" w14:textId="77777777" w:rsidR="00236AB5" w:rsidRPr="008819AF" w:rsidRDefault="00236AB5" w:rsidP="00236AB5">
            <w:pPr>
              <w:numPr>
                <w:ilvl w:val="1"/>
                <w:numId w:val="63"/>
              </w:numPr>
              <w:rPr>
                <w:rFonts w:eastAsia="Arial"/>
                <w:lang w:bidi="cs-CZ"/>
              </w:rPr>
            </w:pPr>
            <w:r w:rsidRPr="008819AF">
              <w:rPr>
                <w:rFonts w:eastAsia="Arial"/>
                <w:lang w:bidi="cs-CZ"/>
              </w:rPr>
              <w:t>Polhodinové priemerné emisné limity pre tieto znečisťujúce látky (mg/Nm3)</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4"/>
              <w:gridCol w:w="1288"/>
              <w:gridCol w:w="1166"/>
            </w:tblGrid>
            <w:tr w:rsidR="00236AB5" w:rsidRPr="008819AF" w14:paraId="15133AF5" w14:textId="77777777" w:rsidTr="009C63CF">
              <w:trPr>
                <w:trHeight w:val="90"/>
              </w:trPr>
              <w:tc>
                <w:tcPr>
                  <w:tcW w:w="2943" w:type="dxa"/>
                  <w:tcBorders>
                    <w:top w:val="single" w:sz="4" w:space="0" w:color="000000"/>
                    <w:left w:val="single" w:sz="4" w:space="0" w:color="000000"/>
                    <w:bottom w:val="single" w:sz="4" w:space="0" w:color="000000"/>
                    <w:right w:val="single" w:sz="4" w:space="0" w:color="000000"/>
                  </w:tcBorders>
                </w:tcPr>
                <w:p w14:paraId="15133AF2" w14:textId="77777777" w:rsidR="00236AB5" w:rsidRPr="008819AF" w:rsidRDefault="00236AB5" w:rsidP="00236AB5">
                  <w:pPr>
                    <w:pStyle w:val="Default"/>
                    <w:rPr>
                      <w:rFonts w:ascii="Times New Roman" w:eastAsia="Arial"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5133AF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 A</w:t>
                  </w:r>
                </w:p>
              </w:tc>
              <w:tc>
                <w:tcPr>
                  <w:tcW w:w="1026" w:type="dxa"/>
                  <w:tcBorders>
                    <w:top w:val="single" w:sz="4" w:space="0" w:color="000000"/>
                    <w:left w:val="single" w:sz="4" w:space="0" w:color="000000"/>
                    <w:bottom w:val="single" w:sz="4" w:space="0" w:color="000000"/>
                    <w:right w:val="single" w:sz="4" w:space="0" w:color="000000"/>
                  </w:tcBorders>
                  <w:vAlign w:val="center"/>
                </w:tcPr>
                <w:p w14:paraId="15133AF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(97 %) B</w:t>
                  </w:r>
                </w:p>
              </w:tc>
            </w:tr>
            <w:tr w:rsidR="00236AB5" w:rsidRPr="008819AF" w14:paraId="15133AF9" w14:textId="77777777" w:rsidTr="009C63CF">
              <w:trPr>
                <w:trHeight w:val="103"/>
              </w:trPr>
              <w:tc>
                <w:tcPr>
                  <w:tcW w:w="2943" w:type="dxa"/>
                  <w:tcBorders>
                    <w:top w:val="single" w:sz="4" w:space="0" w:color="000000"/>
                    <w:left w:val="single" w:sz="4" w:space="0" w:color="000000"/>
                    <w:bottom w:val="single" w:sz="4" w:space="0" w:color="000000"/>
                    <w:right w:val="single" w:sz="4" w:space="0" w:color="000000"/>
                  </w:tcBorders>
                </w:tcPr>
                <w:p w14:paraId="15133AF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Celkové množstvo prachu</w:t>
                  </w:r>
                </w:p>
              </w:tc>
              <w:tc>
                <w:tcPr>
                  <w:tcW w:w="1134" w:type="dxa"/>
                  <w:tcBorders>
                    <w:top w:val="single" w:sz="4" w:space="0" w:color="000000"/>
                    <w:left w:val="single" w:sz="4" w:space="0" w:color="000000"/>
                    <w:bottom w:val="single" w:sz="4" w:space="0" w:color="000000"/>
                    <w:right w:val="single" w:sz="4" w:space="0" w:color="000000"/>
                  </w:tcBorders>
                </w:tcPr>
                <w:p w14:paraId="15133AF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c>
                <w:tcPr>
                  <w:tcW w:w="1026" w:type="dxa"/>
                  <w:tcBorders>
                    <w:top w:val="single" w:sz="4" w:space="0" w:color="000000"/>
                    <w:left w:val="single" w:sz="4" w:space="0" w:color="000000"/>
                    <w:bottom w:val="single" w:sz="4" w:space="0" w:color="000000"/>
                    <w:right w:val="single" w:sz="4" w:space="0" w:color="000000"/>
                  </w:tcBorders>
                  <w:vAlign w:val="center"/>
                </w:tcPr>
                <w:p w14:paraId="15133AF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r>
            <w:tr w:rsidR="00236AB5" w:rsidRPr="008819AF" w14:paraId="15133AFD" w14:textId="77777777" w:rsidTr="009C63CF">
              <w:trPr>
                <w:trHeight w:val="199"/>
              </w:trPr>
              <w:tc>
                <w:tcPr>
                  <w:tcW w:w="2943" w:type="dxa"/>
                  <w:tcBorders>
                    <w:top w:val="single" w:sz="4" w:space="0" w:color="000000"/>
                    <w:left w:val="single" w:sz="4" w:space="0" w:color="000000"/>
                    <w:bottom w:val="single" w:sz="4" w:space="0" w:color="000000"/>
                    <w:right w:val="single" w:sz="4" w:space="0" w:color="000000"/>
                  </w:tcBorders>
                </w:tcPr>
                <w:p w14:paraId="15133AF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Organické látky vo forme plynov a pár vyjadrené ako celkový organický uhlík (TOC)</w:t>
                  </w:r>
                </w:p>
              </w:tc>
              <w:tc>
                <w:tcPr>
                  <w:tcW w:w="1134" w:type="dxa"/>
                  <w:tcBorders>
                    <w:top w:val="single" w:sz="4" w:space="0" w:color="000000"/>
                    <w:left w:val="single" w:sz="4" w:space="0" w:color="000000"/>
                    <w:bottom w:val="single" w:sz="4" w:space="0" w:color="000000"/>
                    <w:right w:val="single" w:sz="4" w:space="0" w:color="000000"/>
                  </w:tcBorders>
                </w:tcPr>
                <w:p w14:paraId="15133AF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026" w:type="dxa"/>
                  <w:tcBorders>
                    <w:top w:val="single" w:sz="4" w:space="0" w:color="000000"/>
                    <w:left w:val="single" w:sz="4" w:space="0" w:color="000000"/>
                    <w:bottom w:val="single" w:sz="4" w:space="0" w:color="000000"/>
                    <w:right w:val="single" w:sz="4" w:space="0" w:color="000000"/>
                  </w:tcBorders>
                  <w:vAlign w:val="center"/>
                </w:tcPr>
                <w:p w14:paraId="15133AF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r>
            <w:tr w:rsidR="00236AB5" w:rsidRPr="008819AF" w14:paraId="15133B01" w14:textId="77777777" w:rsidTr="009C63CF">
              <w:trPr>
                <w:trHeight w:val="103"/>
              </w:trPr>
              <w:tc>
                <w:tcPr>
                  <w:tcW w:w="2943" w:type="dxa"/>
                  <w:tcBorders>
                    <w:top w:val="single" w:sz="4" w:space="0" w:color="000000"/>
                    <w:left w:val="single" w:sz="4" w:space="0" w:color="000000"/>
                    <w:bottom w:val="single" w:sz="4" w:space="0" w:color="000000"/>
                    <w:right w:val="single" w:sz="4" w:space="0" w:color="000000"/>
                  </w:tcBorders>
                </w:tcPr>
                <w:p w14:paraId="15133AF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Chlorovodík (HCl)</w:t>
                  </w:r>
                </w:p>
              </w:tc>
              <w:tc>
                <w:tcPr>
                  <w:tcW w:w="1134" w:type="dxa"/>
                  <w:tcBorders>
                    <w:top w:val="single" w:sz="4" w:space="0" w:color="000000"/>
                    <w:left w:val="single" w:sz="4" w:space="0" w:color="000000"/>
                    <w:bottom w:val="single" w:sz="4" w:space="0" w:color="000000"/>
                    <w:right w:val="single" w:sz="4" w:space="0" w:color="000000"/>
                  </w:tcBorders>
                </w:tcPr>
                <w:p w14:paraId="15133AF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60</w:t>
                  </w:r>
                </w:p>
              </w:tc>
              <w:tc>
                <w:tcPr>
                  <w:tcW w:w="1026" w:type="dxa"/>
                  <w:tcBorders>
                    <w:top w:val="single" w:sz="4" w:space="0" w:color="000000"/>
                    <w:left w:val="single" w:sz="4" w:space="0" w:color="000000"/>
                    <w:bottom w:val="single" w:sz="4" w:space="0" w:color="000000"/>
                    <w:right w:val="single" w:sz="4" w:space="0" w:color="000000"/>
                  </w:tcBorders>
                  <w:vAlign w:val="center"/>
                </w:tcPr>
                <w:p w14:paraId="15133B0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r>
            <w:tr w:rsidR="00236AB5" w:rsidRPr="008819AF" w14:paraId="15133B05" w14:textId="77777777" w:rsidTr="009C63CF">
              <w:trPr>
                <w:trHeight w:val="103"/>
              </w:trPr>
              <w:tc>
                <w:tcPr>
                  <w:tcW w:w="2943" w:type="dxa"/>
                  <w:tcBorders>
                    <w:top w:val="single" w:sz="4" w:space="0" w:color="000000"/>
                    <w:left w:val="single" w:sz="4" w:space="0" w:color="000000"/>
                    <w:bottom w:val="single" w:sz="4" w:space="0" w:color="000000"/>
                    <w:right w:val="single" w:sz="4" w:space="0" w:color="000000"/>
                  </w:tcBorders>
                </w:tcPr>
                <w:p w14:paraId="15133B0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Fluorovodík (HF)</w:t>
                  </w:r>
                </w:p>
              </w:tc>
              <w:tc>
                <w:tcPr>
                  <w:tcW w:w="1134" w:type="dxa"/>
                  <w:tcBorders>
                    <w:top w:val="single" w:sz="4" w:space="0" w:color="000000"/>
                    <w:left w:val="single" w:sz="4" w:space="0" w:color="000000"/>
                    <w:bottom w:val="single" w:sz="4" w:space="0" w:color="000000"/>
                    <w:right w:val="single" w:sz="4" w:space="0" w:color="000000"/>
                  </w:tcBorders>
                </w:tcPr>
                <w:p w14:paraId="15133B0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w:t>
                  </w:r>
                </w:p>
              </w:tc>
              <w:tc>
                <w:tcPr>
                  <w:tcW w:w="1026" w:type="dxa"/>
                  <w:tcBorders>
                    <w:top w:val="single" w:sz="4" w:space="0" w:color="000000"/>
                    <w:left w:val="single" w:sz="4" w:space="0" w:color="000000"/>
                    <w:bottom w:val="single" w:sz="4" w:space="0" w:color="000000"/>
                    <w:right w:val="single" w:sz="4" w:space="0" w:color="000000"/>
                  </w:tcBorders>
                  <w:vAlign w:val="center"/>
                </w:tcPr>
                <w:p w14:paraId="15133B0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w:t>
                  </w:r>
                </w:p>
              </w:tc>
            </w:tr>
            <w:tr w:rsidR="00236AB5" w:rsidRPr="008819AF" w14:paraId="15133B09" w14:textId="77777777" w:rsidTr="009C63CF">
              <w:trPr>
                <w:trHeight w:val="114"/>
              </w:trPr>
              <w:tc>
                <w:tcPr>
                  <w:tcW w:w="2943" w:type="dxa"/>
                  <w:tcBorders>
                    <w:top w:val="single" w:sz="4" w:space="0" w:color="000000"/>
                    <w:left w:val="single" w:sz="4" w:space="0" w:color="000000"/>
                    <w:bottom w:val="single" w:sz="4" w:space="0" w:color="000000"/>
                    <w:right w:val="single" w:sz="4" w:space="0" w:color="000000"/>
                  </w:tcBorders>
                </w:tcPr>
                <w:p w14:paraId="15133B0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Oxid siričitý (SO2)</w:t>
                  </w:r>
                </w:p>
              </w:tc>
              <w:tc>
                <w:tcPr>
                  <w:tcW w:w="1134" w:type="dxa"/>
                  <w:tcBorders>
                    <w:top w:val="single" w:sz="4" w:space="0" w:color="000000"/>
                    <w:left w:val="single" w:sz="4" w:space="0" w:color="000000"/>
                    <w:bottom w:val="single" w:sz="4" w:space="0" w:color="000000"/>
                    <w:right w:val="single" w:sz="4" w:space="0" w:color="000000"/>
                  </w:tcBorders>
                </w:tcPr>
                <w:p w14:paraId="15133B0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26" w:type="dxa"/>
                  <w:tcBorders>
                    <w:top w:val="single" w:sz="4" w:space="0" w:color="000000"/>
                    <w:left w:val="single" w:sz="4" w:space="0" w:color="000000"/>
                    <w:bottom w:val="single" w:sz="4" w:space="0" w:color="000000"/>
                    <w:right w:val="single" w:sz="4" w:space="0" w:color="000000"/>
                  </w:tcBorders>
                  <w:vAlign w:val="center"/>
                </w:tcPr>
                <w:p w14:paraId="15133B0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r>
            <w:tr w:rsidR="00236AB5" w:rsidRPr="008819AF" w14:paraId="15133B0D" w14:textId="77777777" w:rsidTr="009C63CF">
              <w:trPr>
                <w:trHeight w:val="294"/>
              </w:trPr>
              <w:tc>
                <w:tcPr>
                  <w:tcW w:w="2943" w:type="dxa"/>
                  <w:tcBorders>
                    <w:top w:val="single" w:sz="4" w:space="0" w:color="000000"/>
                    <w:left w:val="single" w:sz="4" w:space="0" w:color="000000"/>
                    <w:bottom w:val="single" w:sz="4" w:space="0" w:color="000000"/>
                    <w:right w:val="single" w:sz="4" w:space="0" w:color="000000"/>
                  </w:tcBorders>
                </w:tcPr>
                <w:p w14:paraId="15133B0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Oxid dusný (NO) a oxid dusičitý (NO 2 ) vyjadrené ako NO 2 pre existujúce spaľovne odpadov s menovitou kapacitou vyššou ako 6 ton za hodinu alebo pre nové spaľovne odpadov</w:t>
                  </w:r>
                </w:p>
              </w:tc>
              <w:tc>
                <w:tcPr>
                  <w:tcW w:w="1134" w:type="dxa"/>
                  <w:tcBorders>
                    <w:top w:val="single" w:sz="4" w:space="0" w:color="000000"/>
                    <w:left w:val="single" w:sz="4" w:space="0" w:color="000000"/>
                    <w:bottom w:val="single" w:sz="4" w:space="0" w:color="000000"/>
                    <w:right w:val="single" w:sz="4" w:space="0" w:color="000000"/>
                  </w:tcBorders>
                </w:tcPr>
                <w:p w14:paraId="15133B0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400</w:t>
                  </w:r>
                </w:p>
              </w:tc>
              <w:tc>
                <w:tcPr>
                  <w:tcW w:w="1026" w:type="dxa"/>
                  <w:tcBorders>
                    <w:top w:val="single" w:sz="4" w:space="0" w:color="000000"/>
                    <w:left w:val="single" w:sz="4" w:space="0" w:color="000000"/>
                    <w:bottom w:val="single" w:sz="4" w:space="0" w:color="000000"/>
                    <w:right w:val="single" w:sz="4" w:space="0" w:color="000000"/>
                  </w:tcBorders>
                  <w:vAlign w:val="center"/>
                </w:tcPr>
                <w:p w14:paraId="15133B0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bl>
          <w:p w14:paraId="15133B0E" w14:textId="77777777" w:rsidR="00236AB5" w:rsidRPr="008819AF" w:rsidRDefault="00236AB5" w:rsidP="00236AB5">
            <w:pPr>
              <w:ind w:left="215" w:hanging="215"/>
              <w:rPr>
                <w:rFonts w:eastAsia="Arial"/>
                <w:lang w:bidi="cs-CZ"/>
              </w:rPr>
            </w:pPr>
          </w:p>
          <w:p w14:paraId="15133B0F" w14:textId="77777777" w:rsidR="00236AB5" w:rsidRPr="008819AF" w:rsidRDefault="00236AB5" w:rsidP="00236AB5">
            <w:pPr>
              <w:ind w:left="356" w:hanging="356"/>
              <w:rPr>
                <w:rFonts w:eastAsia="Arial"/>
                <w:lang w:bidi="cs-CZ"/>
              </w:rPr>
            </w:pPr>
            <w:r w:rsidRPr="008819AF">
              <w:rPr>
                <w:rFonts w:eastAsia="Arial"/>
                <w:lang w:bidi="cs-CZ"/>
              </w:rPr>
              <w:lastRenderedPageBreak/>
              <w:t>1.3. Priemerné emisné limity (mg/Nm3) pre tieto ťažké kovy, ak odoberanie vzoriek trvá minimálne 30 minút a maximálne 8 hodín</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2"/>
              <w:gridCol w:w="1238"/>
            </w:tblGrid>
            <w:tr w:rsidR="00236AB5" w:rsidRPr="008819AF" w14:paraId="15133B12"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B1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Kadmium a jeho zlúčeniny, vyjadrené ako kadmium (Cd)</w:t>
                  </w:r>
                </w:p>
              </w:tc>
              <w:tc>
                <w:tcPr>
                  <w:tcW w:w="1067" w:type="dxa"/>
                  <w:vMerge w:val="restart"/>
                  <w:tcBorders>
                    <w:top w:val="single" w:sz="4" w:space="0" w:color="000000"/>
                    <w:left w:val="single" w:sz="4" w:space="0" w:color="000000"/>
                    <w:bottom w:val="single" w:sz="4" w:space="0" w:color="000000"/>
                    <w:right w:val="single" w:sz="4" w:space="0" w:color="000000"/>
                  </w:tcBorders>
                  <w:vAlign w:val="center"/>
                </w:tcPr>
                <w:p w14:paraId="15133B1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celkovo: 0,05</w:t>
                  </w:r>
                </w:p>
              </w:tc>
            </w:tr>
            <w:tr w:rsidR="00236AB5" w:rsidRPr="008819AF" w14:paraId="15133B15"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B1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Tálium a jeho zlúčeniny, vyjadrené ako tálium (Tl)</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15133B14" w14:textId="77777777" w:rsidR="00236AB5" w:rsidRPr="008819AF" w:rsidRDefault="00236AB5" w:rsidP="00236AB5">
                  <w:pPr>
                    <w:pStyle w:val="Default"/>
                    <w:rPr>
                      <w:rFonts w:ascii="Times New Roman" w:eastAsia="Arial" w:hAnsi="Times New Roman" w:cs="Times New Roman"/>
                      <w:color w:val="auto"/>
                      <w:sz w:val="20"/>
                      <w:szCs w:val="20"/>
                    </w:rPr>
                  </w:pPr>
                </w:p>
              </w:tc>
            </w:tr>
            <w:tr w:rsidR="00236AB5" w:rsidRPr="008819AF" w14:paraId="15133B18"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B1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Ortuť a jej zlúčeniny, vyjadrené ako ortuť (Hg)</w:t>
                  </w:r>
                </w:p>
              </w:tc>
              <w:tc>
                <w:tcPr>
                  <w:tcW w:w="1067" w:type="dxa"/>
                  <w:tcBorders>
                    <w:top w:val="single" w:sz="4" w:space="0" w:color="000000"/>
                    <w:left w:val="single" w:sz="4" w:space="0" w:color="000000"/>
                    <w:bottom w:val="single" w:sz="4" w:space="0" w:color="000000"/>
                    <w:right w:val="single" w:sz="4" w:space="0" w:color="000000"/>
                  </w:tcBorders>
                  <w:vAlign w:val="center"/>
                </w:tcPr>
                <w:p w14:paraId="15133B1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0,05</w:t>
                  </w:r>
                </w:p>
              </w:tc>
            </w:tr>
            <w:tr w:rsidR="00236AB5" w:rsidRPr="008819AF" w14:paraId="15133B1B"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B1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Antimón a jeho zlúčeniny, vyjadrené ako antimón (Sb)</w:t>
                  </w:r>
                </w:p>
              </w:tc>
              <w:tc>
                <w:tcPr>
                  <w:tcW w:w="1067" w:type="dxa"/>
                  <w:vMerge w:val="restart"/>
                  <w:tcBorders>
                    <w:top w:val="single" w:sz="4" w:space="0" w:color="000000"/>
                    <w:left w:val="single" w:sz="4" w:space="0" w:color="000000"/>
                    <w:bottom w:val="single" w:sz="4" w:space="0" w:color="000000"/>
                    <w:right w:val="single" w:sz="4" w:space="0" w:color="000000"/>
                  </w:tcBorders>
                  <w:vAlign w:val="center"/>
                </w:tcPr>
                <w:p w14:paraId="15133B1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celkovo: 0,5</w:t>
                  </w:r>
                </w:p>
              </w:tc>
            </w:tr>
            <w:tr w:rsidR="00236AB5" w:rsidRPr="008819AF" w14:paraId="15133B1E"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B1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Arzén a jeho zlúčeniny, vyjadrené ako arzén (As)</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15133B1D" w14:textId="77777777" w:rsidR="00236AB5" w:rsidRPr="008819AF" w:rsidRDefault="00236AB5" w:rsidP="00236AB5">
                  <w:pPr>
                    <w:pStyle w:val="Default"/>
                    <w:rPr>
                      <w:rFonts w:ascii="Times New Roman" w:eastAsia="Arial" w:hAnsi="Times New Roman" w:cs="Times New Roman"/>
                      <w:color w:val="auto"/>
                      <w:sz w:val="20"/>
                      <w:szCs w:val="20"/>
                    </w:rPr>
                  </w:pPr>
                </w:p>
              </w:tc>
            </w:tr>
            <w:tr w:rsidR="00236AB5" w:rsidRPr="008819AF" w14:paraId="15133B21"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B1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Olovo a jeho zlúčeniny, vyjadrené ako olovo (Pb)</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15133B20" w14:textId="77777777" w:rsidR="00236AB5" w:rsidRPr="008819AF" w:rsidRDefault="00236AB5" w:rsidP="00236AB5">
                  <w:pPr>
                    <w:pStyle w:val="Default"/>
                    <w:rPr>
                      <w:rFonts w:ascii="Times New Roman" w:eastAsia="Arial" w:hAnsi="Times New Roman" w:cs="Times New Roman"/>
                      <w:color w:val="auto"/>
                      <w:sz w:val="20"/>
                      <w:szCs w:val="20"/>
                    </w:rPr>
                  </w:pPr>
                </w:p>
              </w:tc>
            </w:tr>
            <w:tr w:rsidR="00236AB5" w:rsidRPr="008819AF" w14:paraId="15133B24"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B2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Chróm a jeho zlúčeniny, vyjadrené ako chróm (Cr)</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15133B23" w14:textId="77777777" w:rsidR="00236AB5" w:rsidRPr="008819AF" w:rsidRDefault="00236AB5" w:rsidP="00236AB5">
                  <w:pPr>
                    <w:pStyle w:val="Default"/>
                    <w:rPr>
                      <w:rFonts w:ascii="Times New Roman" w:eastAsia="Arial" w:hAnsi="Times New Roman" w:cs="Times New Roman"/>
                      <w:color w:val="auto"/>
                      <w:sz w:val="20"/>
                      <w:szCs w:val="20"/>
                    </w:rPr>
                  </w:pPr>
                </w:p>
              </w:tc>
            </w:tr>
            <w:tr w:rsidR="00236AB5" w:rsidRPr="008819AF" w14:paraId="15133B27"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B2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Kobalt a jeho zlúčeniny, vyjadrené ako kobalt (Co)</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15133B26" w14:textId="77777777" w:rsidR="00236AB5" w:rsidRPr="008819AF" w:rsidRDefault="00236AB5" w:rsidP="00236AB5">
                  <w:pPr>
                    <w:pStyle w:val="Default"/>
                    <w:rPr>
                      <w:rFonts w:ascii="Times New Roman" w:eastAsia="Arial" w:hAnsi="Times New Roman" w:cs="Times New Roman"/>
                      <w:color w:val="auto"/>
                      <w:sz w:val="20"/>
                      <w:szCs w:val="20"/>
                    </w:rPr>
                  </w:pPr>
                </w:p>
              </w:tc>
            </w:tr>
            <w:tr w:rsidR="00236AB5" w:rsidRPr="008819AF" w14:paraId="15133B2A"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B2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Meď a jej zlúčeniny, vyjadrené ako meď (Cu)</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15133B29" w14:textId="77777777" w:rsidR="00236AB5" w:rsidRPr="008819AF" w:rsidRDefault="00236AB5" w:rsidP="00236AB5">
                  <w:pPr>
                    <w:pStyle w:val="Default"/>
                    <w:rPr>
                      <w:rFonts w:ascii="Times New Roman" w:eastAsia="Arial" w:hAnsi="Times New Roman" w:cs="Times New Roman"/>
                      <w:color w:val="auto"/>
                      <w:sz w:val="20"/>
                      <w:szCs w:val="20"/>
                    </w:rPr>
                  </w:pPr>
                </w:p>
              </w:tc>
            </w:tr>
            <w:tr w:rsidR="00236AB5" w:rsidRPr="008819AF" w14:paraId="15133B2D"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B2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Mangán a jeho zlúčeniny, vyjadrené ako mangán (Mn)</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15133B2C" w14:textId="77777777" w:rsidR="00236AB5" w:rsidRPr="008819AF" w:rsidRDefault="00236AB5" w:rsidP="00236AB5">
                  <w:pPr>
                    <w:pStyle w:val="Default"/>
                    <w:rPr>
                      <w:rFonts w:ascii="Times New Roman" w:eastAsia="Arial" w:hAnsi="Times New Roman" w:cs="Times New Roman"/>
                      <w:color w:val="auto"/>
                      <w:sz w:val="20"/>
                      <w:szCs w:val="20"/>
                    </w:rPr>
                  </w:pPr>
                </w:p>
              </w:tc>
            </w:tr>
            <w:tr w:rsidR="00236AB5" w:rsidRPr="008819AF" w14:paraId="15133B30"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B2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Nikel a jeho zlúčeniny, vyjadrené ako nikel (Ni)</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15133B2F" w14:textId="77777777" w:rsidR="00236AB5" w:rsidRPr="008819AF" w:rsidRDefault="00236AB5" w:rsidP="00236AB5">
                  <w:pPr>
                    <w:pStyle w:val="Default"/>
                    <w:rPr>
                      <w:rFonts w:ascii="Times New Roman" w:eastAsia="Arial" w:hAnsi="Times New Roman" w:cs="Times New Roman"/>
                      <w:color w:val="auto"/>
                      <w:sz w:val="20"/>
                      <w:szCs w:val="20"/>
                    </w:rPr>
                  </w:pPr>
                </w:p>
              </w:tc>
            </w:tr>
            <w:tr w:rsidR="00236AB5" w:rsidRPr="008819AF" w14:paraId="15133B33"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15133B3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Vanád a jeho zlúčeniny, vyjadrené ako vanád (V)</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15133B32" w14:textId="77777777" w:rsidR="00236AB5" w:rsidRPr="008819AF" w:rsidRDefault="00236AB5" w:rsidP="00236AB5">
                  <w:pPr>
                    <w:pStyle w:val="Default"/>
                    <w:rPr>
                      <w:rFonts w:ascii="Times New Roman" w:eastAsia="Arial" w:hAnsi="Times New Roman" w:cs="Times New Roman"/>
                      <w:color w:val="auto"/>
                      <w:sz w:val="20"/>
                      <w:szCs w:val="20"/>
                    </w:rPr>
                  </w:pPr>
                </w:p>
              </w:tc>
            </w:tr>
          </w:tbl>
          <w:p w14:paraId="15133B34" w14:textId="77777777" w:rsidR="00236AB5" w:rsidRPr="008819AF" w:rsidRDefault="00236AB5" w:rsidP="00236AB5">
            <w:pPr>
              <w:rPr>
                <w:rFonts w:eastAsia="Arial"/>
                <w:lang w:bidi="cs-CZ"/>
              </w:rPr>
            </w:pPr>
            <w:r w:rsidRPr="008819AF">
              <w:rPr>
                <w:rFonts w:eastAsia="Arial"/>
                <w:lang w:bidi="cs-CZ"/>
              </w:rPr>
              <w:t>Tieto priemerné hodnoty sa vzťahujú aj na plynné a výparové formy príslušných emisií ťažkých kovov, ako aj ich zlúčenín.</w:t>
            </w:r>
          </w:p>
          <w:p w14:paraId="15133B35" w14:textId="77777777" w:rsidR="00236AB5" w:rsidRPr="008819AF" w:rsidRDefault="00236AB5" w:rsidP="00236AB5">
            <w:pPr>
              <w:ind w:left="356" w:hanging="356"/>
              <w:rPr>
                <w:rFonts w:eastAsia="Arial"/>
                <w:lang w:bidi="cs-CZ"/>
              </w:rPr>
            </w:pPr>
            <w:r w:rsidRPr="008819AF">
              <w:rPr>
                <w:rFonts w:eastAsia="Arial"/>
                <w:lang w:bidi="cs-CZ"/>
              </w:rPr>
              <w:t>1.4. Priemerné emisné limity (ng/Nm3) pre dioxíny a furány, ak odoberanie vzoriek trvá minimálne 6 hodín a maximálne 8 hodín. Emisný limit platí pre celkovú koncentráciu dioxínov a furánov vypočítanú v súlade s časťou 2.</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2"/>
            </w:tblGrid>
            <w:tr w:rsidR="00236AB5" w:rsidRPr="008819AF" w14:paraId="15133B38" w14:textId="77777777">
              <w:trPr>
                <w:trHeight w:val="103"/>
              </w:trPr>
              <w:tc>
                <w:tcPr>
                  <w:tcW w:w="2551" w:type="dxa"/>
                  <w:tcBorders>
                    <w:top w:val="single" w:sz="4" w:space="0" w:color="000000"/>
                    <w:left w:val="single" w:sz="4" w:space="0" w:color="000000"/>
                    <w:bottom w:val="single" w:sz="4" w:space="0" w:color="000000"/>
                    <w:right w:val="single" w:sz="4" w:space="0" w:color="000000"/>
                  </w:tcBorders>
                </w:tcPr>
                <w:p w14:paraId="15133B3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Dioxíny a furány</w:t>
                  </w:r>
                </w:p>
              </w:tc>
              <w:tc>
                <w:tcPr>
                  <w:tcW w:w="2552" w:type="dxa"/>
                  <w:tcBorders>
                    <w:top w:val="single" w:sz="4" w:space="0" w:color="000000"/>
                    <w:left w:val="single" w:sz="4" w:space="0" w:color="000000"/>
                    <w:bottom w:val="single" w:sz="4" w:space="0" w:color="000000"/>
                    <w:right w:val="single" w:sz="4" w:space="0" w:color="000000"/>
                  </w:tcBorders>
                </w:tcPr>
                <w:p w14:paraId="15133B3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0,1</w:t>
                  </w:r>
                </w:p>
              </w:tc>
            </w:tr>
          </w:tbl>
          <w:p w14:paraId="15133B39" w14:textId="77777777" w:rsidR="00236AB5" w:rsidRPr="008819AF" w:rsidRDefault="00236AB5" w:rsidP="00236AB5">
            <w:pPr>
              <w:ind w:left="215" w:hanging="215"/>
              <w:rPr>
                <w:rFonts w:eastAsia="Arial"/>
                <w:lang w:bidi="cs-CZ"/>
              </w:rPr>
            </w:pPr>
            <w:r w:rsidRPr="008819AF">
              <w:rPr>
                <w:rFonts w:eastAsia="Arial"/>
                <w:lang w:bidi="cs-CZ"/>
              </w:rPr>
              <w:t>1.5. Emisné limity (mg/Nm3) pre oxid uhoľnatý (CO) v odpadových plynoch:</w:t>
            </w:r>
          </w:p>
          <w:p w14:paraId="15133B3A" w14:textId="77777777" w:rsidR="00236AB5" w:rsidRPr="008819AF" w:rsidRDefault="00236AB5" w:rsidP="00236AB5">
            <w:pPr>
              <w:ind w:left="215" w:hanging="215"/>
              <w:rPr>
                <w:rFonts w:eastAsia="Arial"/>
                <w:lang w:bidi="cs-CZ"/>
              </w:rPr>
            </w:pPr>
            <w:r w:rsidRPr="008819AF">
              <w:rPr>
                <w:rFonts w:eastAsia="Arial"/>
                <w:lang w:bidi="cs-CZ"/>
              </w:rPr>
              <w:t>a) 50 ako denná priemerná hodnota;</w:t>
            </w:r>
          </w:p>
          <w:p w14:paraId="15133B3B" w14:textId="77777777" w:rsidR="00236AB5" w:rsidRPr="008819AF" w:rsidRDefault="00236AB5" w:rsidP="00236AB5">
            <w:pPr>
              <w:ind w:left="215" w:hanging="215"/>
              <w:rPr>
                <w:rFonts w:eastAsia="Arial"/>
                <w:lang w:bidi="cs-CZ"/>
              </w:rPr>
            </w:pPr>
            <w:r w:rsidRPr="008819AF">
              <w:rPr>
                <w:rFonts w:eastAsia="Arial"/>
                <w:lang w:bidi="cs-CZ"/>
              </w:rPr>
              <w:t>b) 100 ako polhodinová priemerná hodnota;</w:t>
            </w:r>
          </w:p>
          <w:p w14:paraId="15133B3C" w14:textId="77777777" w:rsidR="00236AB5" w:rsidRPr="008819AF" w:rsidRDefault="00236AB5" w:rsidP="00236AB5">
            <w:pPr>
              <w:ind w:left="215" w:hanging="215"/>
              <w:rPr>
                <w:rFonts w:eastAsia="Arial"/>
                <w:lang w:bidi="cs-CZ"/>
              </w:rPr>
            </w:pPr>
            <w:r w:rsidRPr="008819AF">
              <w:rPr>
                <w:rFonts w:eastAsia="Arial"/>
                <w:lang w:bidi="cs-CZ"/>
              </w:rPr>
              <w:t>c) 150 ako desaťminútová priemerná hodnota.</w:t>
            </w:r>
          </w:p>
          <w:p w14:paraId="15133B3D" w14:textId="77777777" w:rsidR="00236AB5" w:rsidRPr="008819AF" w:rsidRDefault="00236AB5" w:rsidP="00236AB5">
            <w:pPr>
              <w:ind w:left="215" w:hanging="215"/>
              <w:rPr>
                <w:rFonts w:eastAsia="Arial"/>
                <w:lang w:bidi="cs-CZ"/>
              </w:rPr>
            </w:pPr>
          </w:p>
          <w:p w14:paraId="15133B3E" w14:textId="77777777" w:rsidR="00236AB5" w:rsidRPr="008819AF" w:rsidRDefault="00236AB5" w:rsidP="00236AB5">
            <w:pPr>
              <w:rPr>
                <w:rFonts w:eastAsia="Arial"/>
              </w:rPr>
            </w:pPr>
            <w:r w:rsidRPr="008819AF">
              <w:rPr>
                <w:rFonts w:eastAsia="Arial"/>
                <w:lang w:bidi="cs-CZ"/>
              </w:rPr>
              <w:t>Príslušný orgán môže povoliť výnimky z emisných limitov stanovených v tomto bode pre spaľovne odpadov využívajúce technológiu spaľovania vo fluidnej vrstve za predpokladu, že v povolení je stanovená emisný limit pre oxid uhoľnatý (CO) maximálne 100 mg/Nm3 ako hodinová priemerná hodnota.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B3F"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B40"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B41" w14:textId="77777777" w:rsidR="00236AB5" w:rsidRPr="008819AF" w:rsidRDefault="00236AB5" w:rsidP="00236AB5">
            <w:pPr>
              <w:jc w:val="center"/>
            </w:pPr>
            <w:r w:rsidRPr="008819AF">
              <w:t>Pr.5</w:t>
            </w:r>
          </w:p>
          <w:p w14:paraId="15133B42" w14:textId="77777777" w:rsidR="00236AB5" w:rsidRPr="008819AF" w:rsidRDefault="00236AB5" w:rsidP="00236AB5">
            <w:pPr>
              <w:jc w:val="center"/>
            </w:pPr>
            <w:r w:rsidRPr="008819AF">
              <w:t>Časť III.</w:t>
            </w:r>
          </w:p>
          <w:p w14:paraId="15133B43" w14:textId="77777777" w:rsidR="00236AB5" w:rsidRPr="008819AF" w:rsidRDefault="00236AB5"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15133B44" w14:textId="77777777" w:rsidR="00236AB5" w:rsidRPr="008819AF" w:rsidRDefault="00236AB5" w:rsidP="00236AB5">
            <w:pPr>
              <w:pStyle w:val="Zkladntext20"/>
              <w:keepNext w:val="0"/>
              <w:widowControl w:val="0"/>
              <w:spacing w:before="0" w:after="0"/>
              <w:rPr>
                <w:sz w:val="20"/>
                <w:szCs w:val="20"/>
              </w:rPr>
            </w:pPr>
            <w:r w:rsidRPr="008819AF">
              <w:rPr>
                <w:sz w:val="20"/>
                <w:szCs w:val="20"/>
              </w:rPr>
              <w:t xml:space="preserve">III. EMISNÉ LIMITY PRE SPAĽOVNE ODPADOV </w:t>
            </w:r>
          </w:p>
          <w:p w14:paraId="15133B45" w14:textId="77777777" w:rsidR="00236AB5" w:rsidRPr="008819AF" w:rsidRDefault="00236AB5" w:rsidP="00236AB5">
            <w:pPr>
              <w:pStyle w:val="Zkladntext20"/>
              <w:keepNext w:val="0"/>
              <w:widowControl w:val="0"/>
              <w:numPr>
                <w:ilvl w:val="1"/>
                <w:numId w:val="81"/>
              </w:numPr>
              <w:spacing w:before="0" w:after="120"/>
              <w:ind w:left="425" w:hanging="425"/>
              <w:rPr>
                <w:sz w:val="20"/>
                <w:szCs w:val="20"/>
              </w:rPr>
            </w:pPr>
            <w:r w:rsidRPr="008819AF">
              <w:rPr>
                <w:sz w:val="20"/>
                <w:szCs w:val="20"/>
              </w:rPr>
              <w:t>Emisné limity</w:t>
            </w:r>
          </w:p>
          <w:tbl>
            <w:tblPr>
              <w:tblW w:w="4938" w:type="pct"/>
              <w:tblInd w:w="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417"/>
              <w:gridCol w:w="1090"/>
              <w:gridCol w:w="1182"/>
              <w:gridCol w:w="1366"/>
            </w:tblGrid>
            <w:tr w:rsidR="00236AB5" w:rsidRPr="008819AF" w14:paraId="15133B4D" w14:textId="77777777" w:rsidTr="009C63CF">
              <w:trPr>
                <w:trHeight w:val="283"/>
              </w:trPr>
              <w:tc>
                <w:tcPr>
                  <w:tcW w:w="992" w:type="dxa"/>
                  <w:tcBorders>
                    <w:top w:val="single" w:sz="2" w:space="0" w:color="auto"/>
                    <w:left w:val="single" w:sz="2" w:space="0" w:color="auto"/>
                    <w:bottom w:val="single" w:sz="2" w:space="0" w:color="auto"/>
                    <w:right w:val="single" w:sz="2" w:space="0" w:color="auto"/>
                  </w:tcBorders>
                  <w:vAlign w:val="center"/>
                </w:tcPr>
                <w:p w14:paraId="15133B46" w14:textId="77777777" w:rsidR="00236AB5" w:rsidRPr="008819AF" w:rsidRDefault="00236AB5" w:rsidP="00236AB5">
                  <w:pPr>
                    <w:pStyle w:val="Zkladntext20"/>
                    <w:keepNext w:val="0"/>
                    <w:numPr>
                      <w:ilvl w:val="12"/>
                      <w:numId w:val="0"/>
                    </w:numPr>
                    <w:spacing w:before="0" w:after="0"/>
                    <w:ind w:right="-66"/>
                    <w:jc w:val="left"/>
                    <w:rPr>
                      <w:b/>
                      <w:sz w:val="18"/>
                      <w:szCs w:val="18"/>
                    </w:rPr>
                  </w:pPr>
                  <w:r w:rsidRPr="008819AF">
                    <w:rPr>
                      <w:b/>
                      <w:sz w:val="18"/>
                      <w:szCs w:val="18"/>
                    </w:rPr>
                    <w:t>Podmienky platnosti EL</w:t>
                  </w:r>
                </w:p>
              </w:tc>
              <w:tc>
                <w:tcPr>
                  <w:tcW w:w="4055" w:type="dxa"/>
                  <w:gridSpan w:val="4"/>
                  <w:tcBorders>
                    <w:top w:val="single" w:sz="2" w:space="0" w:color="auto"/>
                    <w:left w:val="single" w:sz="2" w:space="0" w:color="auto"/>
                    <w:bottom w:val="single" w:sz="2" w:space="0" w:color="auto"/>
                    <w:right w:val="single" w:sz="2" w:space="0" w:color="auto"/>
                  </w:tcBorders>
                </w:tcPr>
                <w:p w14:paraId="15133B47" w14:textId="77777777" w:rsidR="00236AB5" w:rsidRPr="008819AF" w:rsidRDefault="00236AB5" w:rsidP="00236AB5">
                  <w:pPr>
                    <w:pStyle w:val="Zkladntext20"/>
                    <w:numPr>
                      <w:ilvl w:val="12"/>
                      <w:numId w:val="0"/>
                    </w:numPr>
                    <w:spacing w:before="0" w:after="0"/>
                    <w:rPr>
                      <w:sz w:val="18"/>
                      <w:szCs w:val="18"/>
                    </w:rPr>
                  </w:pPr>
                  <w:r w:rsidRPr="008819AF">
                    <w:rPr>
                      <w:sz w:val="18"/>
                      <w:szCs w:val="18"/>
                    </w:rPr>
                    <w:t xml:space="preserve">Štandardné stavové podmienky, suchý plyn, </w:t>
                  </w:r>
                </w:p>
                <w:p w14:paraId="15133B48" w14:textId="77777777" w:rsidR="00236AB5" w:rsidRPr="008819AF" w:rsidRDefault="00236AB5" w:rsidP="00236AB5">
                  <w:pPr>
                    <w:pStyle w:val="Zkladntext20"/>
                    <w:numPr>
                      <w:ilvl w:val="12"/>
                      <w:numId w:val="0"/>
                    </w:numPr>
                    <w:tabs>
                      <w:tab w:val="left" w:pos="245"/>
                    </w:tabs>
                    <w:spacing w:before="0" w:after="0"/>
                    <w:rPr>
                      <w:sz w:val="18"/>
                      <w:szCs w:val="18"/>
                    </w:rPr>
                  </w:pPr>
                  <w:r w:rsidRPr="008819AF">
                    <w:rPr>
                      <w:sz w:val="18"/>
                      <w:szCs w:val="18"/>
                    </w:rPr>
                    <w:t>O</w:t>
                  </w:r>
                  <w:r w:rsidRPr="008819AF">
                    <w:rPr>
                      <w:sz w:val="18"/>
                      <w:szCs w:val="18"/>
                      <w:vertAlign w:val="subscript"/>
                    </w:rPr>
                    <w:t>2 ref</w:t>
                  </w:r>
                  <w:r w:rsidRPr="008819AF">
                    <w:rPr>
                      <w:sz w:val="18"/>
                      <w:szCs w:val="18"/>
                    </w:rPr>
                    <w:t xml:space="preserve">  sa určí takto: </w:t>
                  </w:r>
                </w:p>
                <w:p w14:paraId="15133B49" w14:textId="77777777" w:rsidR="00236AB5" w:rsidRPr="008819AF" w:rsidRDefault="00236AB5" w:rsidP="00236AB5">
                  <w:pPr>
                    <w:pStyle w:val="Zkladntext20"/>
                    <w:tabs>
                      <w:tab w:val="left" w:pos="245"/>
                    </w:tabs>
                    <w:spacing w:before="0" w:after="0"/>
                    <w:ind w:left="20"/>
                    <w:jc w:val="left"/>
                    <w:rPr>
                      <w:sz w:val="18"/>
                      <w:szCs w:val="18"/>
                    </w:rPr>
                  </w:pPr>
                  <w:r w:rsidRPr="008819AF">
                    <w:rPr>
                      <w:sz w:val="18"/>
                      <w:szCs w:val="18"/>
                    </w:rPr>
                    <w:t xml:space="preserve">1. všeobecne: 11 % objemu, </w:t>
                  </w:r>
                </w:p>
                <w:p w14:paraId="15133B4A" w14:textId="77777777" w:rsidR="00236AB5" w:rsidRPr="008819AF" w:rsidRDefault="00236AB5" w:rsidP="00236AB5">
                  <w:pPr>
                    <w:pStyle w:val="Zkladntext20"/>
                    <w:tabs>
                      <w:tab w:val="left" w:pos="245"/>
                    </w:tabs>
                    <w:spacing w:before="0" w:after="0"/>
                    <w:ind w:left="20"/>
                    <w:rPr>
                      <w:sz w:val="18"/>
                      <w:szCs w:val="18"/>
                    </w:rPr>
                  </w:pPr>
                  <w:r w:rsidRPr="008819AF">
                    <w:rPr>
                      <w:sz w:val="18"/>
                      <w:szCs w:val="18"/>
                    </w:rPr>
                    <w:t>2. ak ide o spaľovanie  odpadového oleja: O</w:t>
                  </w:r>
                  <w:r w:rsidRPr="008819AF">
                    <w:rPr>
                      <w:sz w:val="18"/>
                      <w:szCs w:val="18"/>
                      <w:vertAlign w:val="subscript"/>
                    </w:rPr>
                    <w:t>2 ref</w:t>
                  </w:r>
                  <w:r w:rsidRPr="008819AF">
                    <w:rPr>
                      <w:sz w:val="18"/>
                      <w:szCs w:val="18"/>
                    </w:rPr>
                    <w:t>: 3 % objemu,</w:t>
                  </w:r>
                </w:p>
                <w:p w14:paraId="15133B4B" w14:textId="77777777" w:rsidR="00236AB5" w:rsidRPr="008819AF" w:rsidRDefault="00236AB5" w:rsidP="00236AB5">
                  <w:pPr>
                    <w:pStyle w:val="Zkladntext20"/>
                    <w:tabs>
                      <w:tab w:val="left" w:pos="245"/>
                    </w:tabs>
                    <w:spacing w:before="0" w:after="0"/>
                    <w:ind w:left="20"/>
                    <w:rPr>
                      <w:sz w:val="18"/>
                      <w:szCs w:val="18"/>
                    </w:rPr>
                  </w:pPr>
                  <w:r w:rsidRPr="008819AF">
                    <w:rPr>
                      <w:sz w:val="18"/>
                      <w:szCs w:val="18"/>
                    </w:rPr>
                    <w:t>3.ak sa odpad spaľuje v atmosfére obohatenej kyslíkom: správny orgán môže určiť iný O</w:t>
                  </w:r>
                  <w:r w:rsidRPr="008819AF">
                    <w:rPr>
                      <w:sz w:val="18"/>
                      <w:szCs w:val="18"/>
                      <w:vertAlign w:val="subscript"/>
                    </w:rPr>
                    <w:t>2 ref</w:t>
                  </w:r>
                  <w:r w:rsidRPr="008819AF">
                    <w:rPr>
                      <w:sz w:val="18"/>
                      <w:szCs w:val="18"/>
                    </w:rPr>
                    <w:t>, ktorý zodpovedá podmienkam procesu,</w:t>
                  </w:r>
                </w:p>
                <w:p w14:paraId="15133B4C" w14:textId="77777777" w:rsidR="00236AB5" w:rsidRPr="008819AF" w:rsidRDefault="00236AB5" w:rsidP="00236AB5">
                  <w:pPr>
                    <w:pStyle w:val="Zkladntext20"/>
                    <w:tabs>
                      <w:tab w:val="left" w:pos="245"/>
                    </w:tabs>
                    <w:spacing w:before="0" w:after="0"/>
                    <w:ind w:left="20"/>
                    <w:rPr>
                      <w:sz w:val="18"/>
                      <w:szCs w:val="18"/>
                    </w:rPr>
                  </w:pPr>
                  <w:r w:rsidRPr="008819AF">
                    <w:rPr>
                      <w:sz w:val="18"/>
                      <w:szCs w:val="18"/>
                    </w:rPr>
                    <w:t>4. ak sa množstvo emisií znečisťujúcich látok zo spaľovania nebezpečných odpadov znižuje čistením odpadových plynov, prepočet na O</w:t>
                  </w:r>
                  <w:r w:rsidRPr="008819AF">
                    <w:rPr>
                      <w:sz w:val="18"/>
                      <w:szCs w:val="18"/>
                      <w:vertAlign w:val="subscript"/>
                    </w:rPr>
                    <w:t>2 ref</w:t>
                  </w:r>
                  <w:r w:rsidRPr="008819AF">
                    <w:rPr>
                      <w:sz w:val="18"/>
                      <w:szCs w:val="18"/>
                    </w:rPr>
                    <w:t xml:space="preserve"> uvedený v bode 1 alebo v bode 2 sa vykoná len v prípade, ak obsah O</w:t>
                  </w:r>
                  <w:r w:rsidRPr="008819AF">
                    <w:rPr>
                      <w:sz w:val="18"/>
                      <w:szCs w:val="18"/>
                      <w:vertAlign w:val="subscript"/>
                    </w:rPr>
                    <w:t xml:space="preserve">2 </w:t>
                  </w:r>
                  <w:r w:rsidRPr="008819AF">
                    <w:rPr>
                      <w:sz w:val="18"/>
                      <w:szCs w:val="18"/>
                    </w:rPr>
                    <w:t>meraný za rovnaký čas ako v prípade príslušnej znečisťujúcej látky je vyšší ako príslušný obsah O</w:t>
                  </w:r>
                  <w:r w:rsidRPr="008819AF">
                    <w:rPr>
                      <w:sz w:val="18"/>
                      <w:szCs w:val="18"/>
                      <w:vertAlign w:val="subscript"/>
                    </w:rPr>
                    <w:t>2ref</w:t>
                  </w:r>
                  <w:r w:rsidRPr="008819AF">
                    <w:rPr>
                      <w:sz w:val="18"/>
                      <w:szCs w:val="18"/>
                    </w:rPr>
                    <w:t>.</w:t>
                  </w:r>
                </w:p>
              </w:tc>
            </w:tr>
            <w:tr w:rsidR="00236AB5" w:rsidRPr="008819AF" w14:paraId="15133B50" w14:textId="77777777" w:rsidTr="00C16C5A">
              <w:trPr>
                <w:trHeight w:val="283"/>
              </w:trPr>
              <w:tc>
                <w:tcPr>
                  <w:tcW w:w="1409" w:type="dxa"/>
                  <w:gridSpan w:val="2"/>
                  <w:vMerge w:val="restart"/>
                  <w:tcBorders>
                    <w:top w:val="single" w:sz="2" w:space="0" w:color="auto"/>
                    <w:left w:val="single" w:sz="2" w:space="0" w:color="auto"/>
                    <w:bottom w:val="single" w:sz="2" w:space="0" w:color="auto"/>
                    <w:right w:val="single" w:sz="2" w:space="0" w:color="auto"/>
                  </w:tcBorders>
                  <w:vAlign w:val="center"/>
                </w:tcPr>
                <w:p w14:paraId="15133B4E" w14:textId="77777777" w:rsidR="00236AB5" w:rsidRPr="008819AF" w:rsidRDefault="00236AB5" w:rsidP="00236AB5">
                  <w:pPr>
                    <w:pStyle w:val="Zkladntext20"/>
                    <w:keepNext w:val="0"/>
                    <w:numPr>
                      <w:ilvl w:val="12"/>
                      <w:numId w:val="0"/>
                    </w:numPr>
                    <w:spacing w:before="0" w:after="0"/>
                    <w:rPr>
                      <w:b/>
                      <w:sz w:val="18"/>
                      <w:szCs w:val="18"/>
                    </w:rPr>
                  </w:pPr>
                  <w:r w:rsidRPr="008819AF">
                    <w:rPr>
                      <w:b/>
                      <w:sz w:val="18"/>
                      <w:szCs w:val="18"/>
                    </w:rPr>
                    <w:t>Znečisťujúca látka</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15133B4F" w14:textId="77777777" w:rsidR="00236AB5" w:rsidRPr="008819AF" w:rsidRDefault="00236AB5" w:rsidP="00236AB5">
                  <w:pPr>
                    <w:pStyle w:val="Zkladntext20"/>
                    <w:keepNext w:val="0"/>
                    <w:numPr>
                      <w:ilvl w:val="12"/>
                      <w:numId w:val="0"/>
                    </w:numPr>
                    <w:spacing w:before="0" w:after="0"/>
                    <w:jc w:val="center"/>
                    <w:rPr>
                      <w:b/>
                      <w:sz w:val="18"/>
                      <w:szCs w:val="18"/>
                    </w:rPr>
                  </w:pPr>
                  <w:r w:rsidRPr="008819AF">
                    <w:rPr>
                      <w:b/>
                      <w:sz w:val="18"/>
                      <w:szCs w:val="18"/>
                    </w:rPr>
                    <w:t>Emisný limit [mg/m</w:t>
                  </w:r>
                  <w:r w:rsidRPr="008819AF">
                    <w:rPr>
                      <w:b/>
                      <w:sz w:val="18"/>
                      <w:szCs w:val="18"/>
                      <w:vertAlign w:val="superscript"/>
                    </w:rPr>
                    <w:t>3</w:t>
                  </w:r>
                  <w:r w:rsidRPr="008819AF">
                    <w:rPr>
                      <w:b/>
                      <w:sz w:val="18"/>
                      <w:szCs w:val="18"/>
                    </w:rPr>
                    <w:t>]</w:t>
                  </w:r>
                </w:p>
              </w:tc>
            </w:tr>
            <w:tr w:rsidR="00236AB5" w:rsidRPr="008819AF" w14:paraId="15133B54" w14:textId="77777777" w:rsidTr="00C16C5A">
              <w:trPr>
                <w:trHeight w:val="283"/>
              </w:trPr>
              <w:tc>
                <w:tcPr>
                  <w:tcW w:w="1409" w:type="dxa"/>
                  <w:gridSpan w:val="2"/>
                  <w:vMerge/>
                  <w:tcBorders>
                    <w:top w:val="single" w:sz="2" w:space="0" w:color="auto"/>
                    <w:left w:val="single" w:sz="2" w:space="0" w:color="auto"/>
                    <w:bottom w:val="single" w:sz="2" w:space="0" w:color="auto"/>
                    <w:right w:val="single" w:sz="2" w:space="0" w:color="auto"/>
                  </w:tcBorders>
                  <w:vAlign w:val="center"/>
                </w:tcPr>
                <w:p w14:paraId="15133B51" w14:textId="77777777" w:rsidR="00236AB5" w:rsidRPr="008819AF" w:rsidRDefault="00236AB5" w:rsidP="00236AB5">
                  <w:pPr>
                    <w:pStyle w:val="Zkladntext20"/>
                    <w:keepNext w:val="0"/>
                    <w:numPr>
                      <w:ilvl w:val="12"/>
                      <w:numId w:val="0"/>
                    </w:numPr>
                    <w:spacing w:before="0" w:after="0"/>
                    <w:jc w:val="center"/>
                    <w:rPr>
                      <w:b/>
                      <w:sz w:val="18"/>
                      <w:szCs w:val="18"/>
                    </w:rPr>
                  </w:pPr>
                </w:p>
              </w:tc>
              <w:tc>
                <w:tcPr>
                  <w:tcW w:w="1090" w:type="dxa"/>
                  <w:vMerge w:val="restart"/>
                  <w:tcBorders>
                    <w:top w:val="single" w:sz="2" w:space="0" w:color="auto"/>
                    <w:left w:val="single" w:sz="2" w:space="0" w:color="auto"/>
                    <w:bottom w:val="single" w:sz="2" w:space="0" w:color="auto"/>
                    <w:right w:val="single" w:sz="2" w:space="0" w:color="auto"/>
                  </w:tcBorders>
                  <w:vAlign w:val="center"/>
                </w:tcPr>
                <w:p w14:paraId="15133B52" w14:textId="77777777" w:rsidR="00236AB5" w:rsidRPr="008819AF" w:rsidRDefault="00236AB5" w:rsidP="00236AB5">
                  <w:pPr>
                    <w:pStyle w:val="Zkladntext20"/>
                    <w:keepNext w:val="0"/>
                    <w:numPr>
                      <w:ilvl w:val="12"/>
                      <w:numId w:val="0"/>
                    </w:numPr>
                    <w:spacing w:before="0" w:after="0"/>
                    <w:ind w:right="-70"/>
                    <w:jc w:val="center"/>
                    <w:rPr>
                      <w:b/>
                      <w:sz w:val="18"/>
                      <w:szCs w:val="18"/>
                    </w:rPr>
                  </w:pPr>
                  <w:r w:rsidRPr="008819AF">
                    <w:rPr>
                      <w:b/>
                      <w:sz w:val="18"/>
                      <w:szCs w:val="18"/>
                    </w:rPr>
                    <w:t>Denný priemer</w:t>
                  </w:r>
                </w:p>
              </w:tc>
              <w:tc>
                <w:tcPr>
                  <w:tcW w:w="2548" w:type="dxa"/>
                  <w:gridSpan w:val="2"/>
                  <w:tcBorders>
                    <w:top w:val="single" w:sz="2" w:space="0" w:color="auto"/>
                    <w:left w:val="single" w:sz="2" w:space="0" w:color="auto"/>
                    <w:bottom w:val="single" w:sz="2" w:space="0" w:color="auto"/>
                    <w:right w:val="single" w:sz="2" w:space="0" w:color="auto"/>
                  </w:tcBorders>
                  <w:vAlign w:val="center"/>
                </w:tcPr>
                <w:p w14:paraId="15133B53" w14:textId="77777777" w:rsidR="00236AB5" w:rsidRPr="008819AF" w:rsidRDefault="00236AB5" w:rsidP="00236AB5">
                  <w:pPr>
                    <w:pStyle w:val="Zkladntext20"/>
                    <w:keepNext w:val="0"/>
                    <w:numPr>
                      <w:ilvl w:val="12"/>
                      <w:numId w:val="0"/>
                    </w:numPr>
                    <w:spacing w:before="0" w:after="0"/>
                    <w:jc w:val="center"/>
                    <w:rPr>
                      <w:b/>
                      <w:sz w:val="18"/>
                      <w:szCs w:val="18"/>
                    </w:rPr>
                  </w:pPr>
                  <w:r w:rsidRPr="008819AF">
                    <w:rPr>
                      <w:b/>
                      <w:sz w:val="18"/>
                      <w:szCs w:val="18"/>
                    </w:rPr>
                    <w:t>Polhodinový priemer</w:t>
                  </w:r>
                </w:p>
              </w:tc>
            </w:tr>
            <w:tr w:rsidR="00236AB5" w:rsidRPr="008819AF" w14:paraId="15133B59" w14:textId="77777777" w:rsidTr="00C16C5A">
              <w:trPr>
                <w:trHeight w:val="283"/>
              </w:trPr>
              <w:tc>
                <w:tcPr>
                  <w:tcW w:w="1409" w:type="dxa"/>
                  <w:gridSpan w:val="2"/>
                  <w:vMerge/>
                  <w:tcBorders>
                    <w:top w:val="single" w:sz="2" w:space="0" w:color="auto"/>
                    <w:left w:val="single" w:sz="2" w:space="0" w:color="auto"/>
                    <w:bottom w:val="single" w:sz="2" w:space="0" w:color="auto"/>
                    <w:right w:val="single" w:sz="2" w:space="0" w:color="auto"/>
                  </w:tcBorders>
                  <w:vAlign w:val="center"/>
                </w:tcPr>
                <w:p w14:paraId="15133B55" w14:textId="77777777" w:rsidR="00236AB5" w:rsidRPr="008819AF" w:rsidRDefault="00236AB5" w:rsidP="00236AB5">
                  <w:pPr>
                    <w:pStyle w:val="Zkladntext20"/>
                    <w:keepNext w:val="0"/>
                    <w:numPr>
                      <w:ilvl w:val="12"/>
                      <w:numId w:val="0"/>
                    </w:numPr>
                    <w:spacing w:before="0" w:after="0"/>
                    <w:jc w:val="center"/>
                    <w:rPr>
                      <w:b/>
                      <w:sz w:val="18"/>
                      <w:szCs w:val="18"/>
                    </w:rPr>
                  </w:pPr>
                </w:p>
              </w:tc>
              <w:tc>
                <w:tcPr>
                  <w:tcW w:w="1090" w:type="dxa"/>
                  <w:vMerge/>
                  <w:tcBorders>
                    <w:top w:val="single" w:sz="2" w:space="0" w:color="auto"/>
                    <w:left w:val="single" w:sz="2" w:space="0" w:color="auto"/>
                    <w:bottom w:val="single" w:sz="2" w:space="0" w:color="auto"/>
                    <w:right w:val="single" w:sz="2" w:space="0" w:color="auto"/>
                  </w:tcBorders>
                  <w:vAlign w:val="center"/>
                </w:tcPr>
                <w:p w14:paraId="15133B56" w14:textId="77777777" w:rsidR="00236AB5" w:rsidRPr="008819AF" w:rsidRDefault="00236AB5" w:rsidP="00236AB5">
                  <w:pPr>
                    <w:pStyle w:val="Zkladntext20"/>
                    <w:keepNext w:val="0"/>
                    <w:numPr>
                      <w:ilvl w:val="12"/>
                      <w:numId w:val="0"/>
                    </w:numPr>
                    <w:spacing w:before="0" w:after="0"/>
                    <w:jc w:val="center"/>
                    <w:rPr>
                      <w:b/>
                      <w:sz w:val="18"/>
                      <w:szCs w:val="18"/>
                    </w:rPr>
                  </w:pPr>
                </w:p>
              </w:tc>
              <w:tc>
                <w:tcPr>
                  <w:tcW w:w="1182" w:type="dxa"/>
                  <w:tcBorders>
                    <w:top w:val="single" w:sz="2" w:space="0" w:color="auto"/>
                    <w:left w:val="single" w:sz="2" w:space="0" w:color="auto"/>
                    <w:bottom w:val="single" w:sz="2" w:space="0" w:color="auto"/>
                    <w:right w:val="single" w:sz="2" w:space="0" w:color="auto"/>
                  </w:tcBorders>
                  <w:vAlign w:val="center"/>
                </w:tcPr>
                <w:p w14:paraId="15133B57" w14:textId="77777777" w:rsidR="00236AB5" w:rsidRPr="008819AF" w:rsidRDefault="00236AB5" w:rsidP="00236AB5">
                  <w:pPr>
                    <w:pStyle w:val="Zkladntext20"/>
                    <w:keepNext w:val="0"/>
                    <w:numPr>
                      <w:ilvl w:val="12"/>
                      <w:numId w:val="0"/>
                    </w:numPr>
                    <w:spacing w:before="0" w:after="0"/>
                    <w:ind w:left="110"/>
                    <w:jc w:val="center"/>
                    <w:rPr>
                      <w:b/>
                      <w:sz w:val="18"/>
                      <w:szCs w:val="18"/>
                      <w:vertAlign w:val="superscript"/>
                    </w:rPr>
                  </w:pPr>
                  <w:r w:rsidRPr="008819AF">
                    <w:rPr>
                      <w:b/>
                      <w:sz w:val="18"/>
                      <w:szCs w:val="18"/>
                    </w:rPr>
                    <w:t xml:space="preserve">A  [100 %]  </w:t>
                  </w:r>
                </w:p>
              </w:tc>
              <w:tc>
                <w:tcPr>
                  <w:tcW w:w="1366" w:type="dxa"/>
                  <w:tcBorders>
                    <w:top w:val="single" w:sz="2" w:space="0" w:color="auto"/>
                    <w:left w:val="single" w:sz="2" w:space="0" w:color="auto"/>
                    <w:bottom w:val="single" w:sz="2" w:space="0" w:color="auto"/>
                    <w:right w:val="single" w:sz="2" w:space="0" w:color="auto"/>
                  </w:tcBorders>
                  <w:vAlign w:val="center"/>
                </w:tcPr>
                <w:p w14:paraId="15133B58" w14:textId="77777777" w:rsidR="00236AB5" w:rsidRPr="008819AF" w:rsidRDefault="00236AB5" w:rsidP="00236AB5">
                  <w:pPr>
                    <w:pStyle w:val="Zkladntext20"/>
                    <w:keepNext w:val="0"/>
                    <w:numPr>
                      <w:ilvl w:val="12"/>
                      <w:numId w:val="0"/>
                    </w:numPr>
                    <w:spacing w:before="0" w:after="0"/>
                    <w:jc w:val="center"/>
                    <w:rPr>
                      <w:b/>
                      <w:sz w:val="18"/>
                      <w:szCs w:val="18"/>
                    </w:rPr>
                  </w:pPr>
                  <w:r w:rsidRPr="008819AF">
                    <w:rPr>
                      <w:b/>
                      <w:sz w:val="18"/>
                      <w:szCs w:val="18"/>
                    </w:rPr>
                    <w:t xml:space="preserve">B  [97 %] </w:t>
                  </w:r>
                </w:p>
              </w:tc>
            </w:tr>
            <w:tr w:rsidR="00236AB5" w:rsidRPr="008819AF" w14:paraId="15133B5E"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15133B5A"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TZL</w:t>
                  </w:r>
                </w:p>
              </w:tc>
              <w:tc>
                <w:tcPr>
                  <w:tcW w:w="1090" w:type="dxa"/>
                  <w:tcBorders>
                    <w:top w:val="single" w:sz="2" w:space="0" w:color="auto"/>
                    <w:left w:val="single" w:sz="2" w:space="0" w:color="auto"/>
                    <w:bottom w:val="single" w:sz="2" w:space="0" w:color="auto"/>
                    <w:right w:val="single" w:sz="2" w:space="0" w:color="auto"/>
                  </w:tcBorders>
                  <w:vAlign w:val="center"/>
                </w:tcPr>
                <w:p w14:paraId="15133B5B" w14:textId="77777777" w:rsidR="00236AB5" w:rsidRPr="008819AF" w:rsidRDefault="00236AB5" w:rsidP="00236AB5">
                  <w:pPr>
                    <w:pStyle w:val="Zkladntext20"/>
                    <w:keepNext w:val="0"/>
                    <w:spacing w:before="0" w:after="0"/>
                    <w:jc w:val="center"/>
                    <w:rPr>
                      <w:sz w:val="18"/>
                      <w:szCs w:val="18"/>
                    </w:rPr>
                  </w:pPr>
                  <w:r w:rsidRPr="008819AF">
                    <w:rPr>
                      <w:sz w:val="18"/>
                      <w:szCs w:val="18"/>
                    </w:rPr>
                    <w:t>10</w:t>
                  </w:r>
                </w:p>
              </w:tc>
              <w:tc>
                <w:tcPr>
                  <w:tcW w:w="1182" w:type="dxa"/>
                  <w:tcBorders>
                    <w:top w:val="single" w:sz="2" w:space="0" w:color="auto"/>
                    <w:left w:val="single" w:sz="2" w:space="0" w:color="auto"/>
                    <w:bottom w:val="single" w:sz="2" w:space="0" w:color="auto"/>
                    <w:right w:val="single" w:sz="2" w:space="0" w:color="auto"/>
                  </w:tcBorders>
                  <w:vAlign w:val="center"/>
                </w:tcPr>
                <w:p w14:paraId="15133B5C"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 xml:space="preserve"> 30</w:t>
                  </w:r>
                </w:p>
              </w:tc>
              <w:tc>
                <w:tcPr>
                  <w:tcW w:w="1366" w:type="dxa"/>
                  <w:tcBorders>
                    <w:top w:val="single" w:sz="2" w:space="0" w:color="auto"/>
                    <w:left w:val="single" w:sz="2" w:space="0" w:color="auto"/>
                    <w:bottom w:val="single" w:sz="2" w:space="0" w:color="auto"/>
                    <w:right w:val="single" w:sz="2" w:space="0" w:color="auto"/>
                  </w:tcBorders>
                  <w:vAlign w:val="center"/>
                </w:tcPr>
                <w:p w14:paraId="15133B5D"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10</w:t>
                  </w:r>
                </w:p>
              </w:tc>
            </w:tr>
            <w:tr w:rsidR="00236AB5" w:rsidRPr="008819AF" w14:paraId="15133B63"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15133B5F"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SO</w:t>
                  </w:r>
                  <w:r w:rsidRPr="008819AF">
                    <w:rPr>
                      <w:sz w:val="18"/>
                      <w:szCs w:val="18"/>
                      <w:vertAlign w:val="subscript"/>
                    </w:rPr>
                    <w:t>2</w:t>
                  </w:r>
                </w:p>
              </w:tc>
              <w:tc>
                <w:tcPr>
                  <w:tcW w:w="1090" w:type="dxa"/>
                  <w:tcBorders>
                    <w:top w:val="single" w:sz="2" w:space="0" w:color="auto"/>
                    <w:left w:val="single" w:sz="2" w:space="0" w:color="auto"/>
                    <w:bottom w:val="single" w:sz="2" w:space="0" w:color="auto"/>
                    <w:right w:val="single" w:sz="2" w:space="0" w:color="auto"/>
                  </w:tcBorders>
                  <w:vAlign w:val="center"/>
                </w:tcPr>
                <w:p w14:paraId="15133B60" w14:textId="77777777" w:rsidR="00236AB5" w:rsidRPr="008819AF" w:rsidRDefault="00236AB5" w:rsidP="00236AB5">
                  <w:pPr>
                    <w:pStyle w:val="Zkladntext20"/>
                    <w:keepNext w:val="0"/>
                    <w:spacing w:before="0" w:after="0"/>
                    <w:jc w:val="center"/>
                    <w:rPr>
                      <w:sz w:val="18"/>
                      <w:szCs w:val="18"/>
                    </w:rPr>
                  </w:pPr>
                  <w:r w:rsidRPr="008819AF">
                    <w:rPr>
                      <w:sz w:val="18"/>
                      <w:szCs w:val="18"/>
                    </w:rPr>
                    <w:t>50</w:t>
                  </w:r>
                </w:p>
              </w:tc>
              <w:tc>
                <w:tcPr>
                  <w:tcW w:w="1182" w:type="dxa"/>
                  <w:tcBorders>
                    <w:top w:val="single" w:sz="2" w:space="0" w:color="auto"/>
                    <w:left w:val="single" w:sz="2" w:space="0" w:color="auto"/>
                    <w:bottom w:val="single" w:sz="2" w:space="0" w:color="auto"/>
                    <w:right w:val="single" w:sz="2" w:space="0" w:color="auto"/>
                  </w:tcBorders>
                  <w:vAlign w:val="center"/>
                </w:tcPr>
                <w:p w14:paraId="15133B61"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200</w:t>
                  </w:r>
                </w:p>
              </w:tc>
              <w:tc>
                <w:tcPr>
                  <w:tcW w:w="1366" w:type="dxa"/>
                  <w:tcBorders>
                    <w:top w:val="single" w:sz="2" w:space="0" w:color="auto"/>
                    <w:left w:val="single" w:sz="2" w:space="0" w:color="auto"/>
                    <w:bottom w:val="single" w:sz="2" w:space="0" w:color="auto"/>
                    <w:right w:val="single" w:sz="2" w:space="0" w:color="auto"/>
                  </w:tcBorders>
                  <w:vAlign w:val="center"/>
                </w:tcPr>
                <w:p w14:paraId="15133B62"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 xml:space="preserve"> 50</w:t>
                  </w:r>
                </w:p>
              </w:tc>
            </w:tr>
            <w:tr w:rsidR="00236AB5" w:rsidRPr="008819AF" w14:paraId="15133B68"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15133B64" w14:textId="77777777" w:rsidR="00236AB5" w:rsidRPr="008819AF" w:rsidRDefault="00236AB5" w:rsidP="00236AB5">
                  <w:pPr>
                    <w:pStyle w:val="Zkladntext20"/>
                    <w:keepNext w:val="0"/>
                    <w:numPr>
                      <w:ilvl w:val="12"/>
                      <w:numId w:val="0"/>
                    </w:numPr>
                    <w:spacing w:before="0" w:after="0"/>
                    <w:jc w:val="center"/>
                    <w:rPr>
                      <w:sz w:val="18"/>
                      <w:szCs w:val="18"/>
                      <w:vertAlign w:val="subscript"/>
                    </w:rPr>
                  </w:pPr>
                  <w:r w:rsidRPr="008819AF">
                    <w:rPr>
                      <w:sz w:val="18"/>
                      <w:szCs w:val="18"/>
                    </w:rPr>
                    <w:t>NO</w:t>
                  </w:r>
                  <w:r w:rsidRPr="008819AF">
                    <w:rPr>
                      <w:sz w:val="18"/>
                      <w:szCs w:val="18"/>
                      <w:vertAlign w:val="subscript"/>
                    </w:rPr>
                    <w:t>X</w:t>
                  </w:r>
                </w:p>
              </w:tc>
              <w:tc>
                <w:tcPr>
                  <w:tcW w:w="1090" w:type="dxa"/>
                  <w:tcBorders>
                    <w:top w:val="single" w:sz="2" w:space="0" w:color="auto"/>
                    <w:left w:val="single" w:sz="2" w:space="0" w:color="auto"/>
                    <w:bottom w:val="single" w:sz="2" w:space="0" w:color="auto"/>
                    <w:right w:val="single" w:sz="2" w:space="0" w:color="auto"/>
                  </w:tcBorders>
                  <w:vAlign w:val="center"/>
                </w:tcPr>
                <w:p w14:paraId="15133B65" w14:textId="77777777" w:rsidR="00236AB5" w:rsidRPr="008819AF" w:rsidRDefault="00236AB5" w:rsidP="00236AB5">
                  <w:pPr>
                    <w:pStyle w:val="Zkladntext20"/>
                    <w:keepNext w:val="0"/>
                    <w:spacing w:before="0" w:after="0"/>
                    <w:jc w:val="center"/>
                    <w:rPr>
                      <w:sz w:val="18"/>
                      <w:szCs w:val="18"/>
                    </w:rPr>
                  </w:pPr>
                  <w:r w:rsidRPr="008819AF">
                    <w:rPr>
                      <w:sz w:val="18"/>
                      <w:szCs w:val="18"/>
                    </w:rPr>
                    <w:t xml:space="preserve"> 200, 400</w:t>
                  </w:r>
                  <w:r w:rsidRPr="008819AF">
                    <w:rPr>
                      <w:sz w:val="18"/>
                      <w:szCs w:val="18"/>
                      <w:vertAlign w:val="superscript"/>
                    </w:rPr>
                    <w:t>1</w:t>
                  </w:r>
                  <w:r w:rsidRPr="008819AF">
                    <w:rPr>
                      <w:sz w:val="18"/>
                      <w:szCs w:val="18"/>
                    </w:rPr>
                    <w:t>)</w:t>
                  </w:r>
                </w:p>
              </w:tc>
              <w:tc>
                <w:tcPr>
                  <w:tcW w:w="1182" w:type="dxa"/>
                  <w:tcBorders>
                    <w:top w:val="single" w:sz="2" w:space="0" w:color="auto"/>
                    <w:left w:val="single" w:sz="2" w:space="0" w:color="auto"/>
                    <w:bottom w:val="single" w:sz="2" w:space="0" w:color="auto"/>
                    <w:right w:val="single" w:sz="2" w:space="0" w:color="auto"/>
                  </w:tcBorders>
                  <w:vAlign w:val="center"/>
                </w:tcPr>
                <w:p w14:paraId="15133B66"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 xml:space="preserve">  400</w:t>
                  </w:r>
                  <w:r w:rsidRPr="008819AF">
                    <w:rPr>
                      <w:sz w:val="18"/>
                      <w:szCs w:val="18"/>
                      <w:vertAlign w:val="superscript"/>
                    </w:rPr>
                    <w:t>2</w:t>
                  </w:r>
                  <w:r w:rsidRPr="008819AF">
                    <w:rPr>
                      <w:sz w:val="18"/>
                      <w:szCs w:val="18"/>
                    </w:rPr>
                    <w:t>)</w:t>
                  </w:r>
                </w:p>
              </w:tc>
              <w:tc>
                <w:tcPr>
                  <w:tcW w:w="1366" w:type="dxa"/>
                  <w:tcBorders>
                    <w:top w:val="single" w:sz="2" w:space="0" w:color="auto"/>
                    <w:left w:val="single" w:sz="2" w:space="0" w:color="auto"/>
                    <w:bottom w:val="single" w:sz="2" w:space="0" w:color="auto"/>
                    <w:right w:val="single" w:sz="2" w:space="0" w:color="auto"/>
                  </w:tcBorders>
                  <w:vAlign w:val="center"/>
                </w:tcPr>
                <w:p w14:paraId="15133B67"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 xml:space="preserve"> 200</w:t>
                  </w:r>
                  <w:r w:rsidRPr="008819AF">
                    <w:rPr>
                      <w:sz w:val="18"/>
                      <w:szCs w:val="18"/>
                      <w:vertAlign w:val="superscript"/>
                    </w:rPr>
                    <w:t>2</w:t>
                  </w:r>
                  <w:r w:rsidRPr="008819AF">
                    <w:rPr>
                      <w:sz w:val="18"/>
                      <w:szCs w:val="18"/>
                    </w:rPr>
                    <w:t xml:space="preserve">)            </w:t>
                  </w:r>
                </w:p>
              </w:tc>
            </w:tr>
            <w:tr w:rsidR="00236AB5" w:rsidRPr="008819AF" w14:paraId="15133B6D"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15133B69" w14:textId="77777777" w:rsidR="00236AB5" w:rsidRPr="008819AF" w:rsidRDefault="00236AB5" w:rsidP="00236AB5">
                  <w:pPr>
                    <w:pStyle w:val="Zkladntext20"/>
                    <w:keepNext w:val="0"/>
                    <w:numPr>
                      <w:ilvl w:val="12"/>
                      <w:numId w:val="0"/>
                    </w:numPr>
                    <w:spacing w:before="0" w:after="0"/>
                    <w:ind w:right="-70"/>
                    <w:jc w:val="center"/>
                    <w:rPr>
                      <w:sz w:val="18"/>
                      <w:szCs w:val="18"/>
                    </w:rPr>
                  </w:pPr>
                  <w:r w:rsidRPr="008819AF">
                    <w:rPr>
                      <w:sz w:val="18"/>
                      <w:szCs w:val="18"/>
                    </w:rPr>
                    <w:t>TOC</w:t>
                  </w:r>
                </w:p>
              </w:tc>
              <w:tc>
                <w:tcPr>
                  <w:tcW w:w="1090" w:type="dxa"/>
                  <w:tcBorders>
                    <w:top w:val="single" w:sz="2" w:space="0" w:color="auto"/>
                    <w:left w:val="single" w:sz="2" w:space="0" w:color="auto"/>
                    <w:bottom w:val="single" w:sz="2" w:space="0" w:color="auto"/>
                    <w:right w:val="single" w:sz="2" w:space="0" w:color="auto"/>
                  </w:tcBorders>
                  <w:vAlign w:val="center"/>
                </w:tcPr>
                <w:p w14:paraId="15133B6A" w14:textId="77777777" w:rsidR="00236AB5" w:rsidRPr="008819AF" w:rsidRDefault="00236AB5" w:rsidP="00236AB5">
                  <w:pPr>
                    <w:pStyle w:val="Zkladntext20"/>
                    <w:keepNext w:val="0"/>
                    <w:spacing w:before="0" w:after="0"/>
                    <w:jc w:val="center"/>
                    <w:rPr>
                      <w:sz w:val="18"/>
                      <w:szCs w:val="18"/>
                    </w:rPr>
                  </w:pPr>
                  <w:r w:rsidRPr="008819AF">
                    <w:rPr>
                      <w:sz w:val="18"/>
                      <w:szCs w:val="18"/>
                    </w:rPr>
                    <w:t>10</w:t>
                  </w:r>
                </w:p>
              </w:tc>
              <w:tc>
                <w:tcPr>
                  <w:tcW w:w="1182" w:type="dxa"/>
                  <w:tcBorders>
                    <w:top w:val="single" w:sz="2" w:space="0" w:color="auto"/>
                    <w:left w:val="single" w:sz="2" w:space="0" w:color="auto"/>
                    <w:bottom w:val="single" w:sz="2" w:space="0" w:color="auto"/>
                    <w:right w:val="single" w:sz="2" w:space="0" w:color="auto"/>
                  </w:tcBorders>
                  <w:vAlign w:val="center"/>
                </w:tcPr>
                <w:p w14:paraId="15133B6B"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20</w:t>
                  </w:r>
                </w:p>
              </w:tc>
              <w:tc>
                <w:tcPr>
                  <w:tcW w:w="1366" w:type="dxa"/>
                  <w:tcBorders>
                    <w:top w:val="single" w:sz="2" w:space="0" w:color="auto"/>
                    <w:left w:val="single" w:sz="2" w:space="0" w:color="auto"/>
                    <w:bottom w:val="single" w:sz="2" w:space="0" w:color="auto"/>
                    <w:right w:val="single" w:sz="2" w:space="0" w:color="auto"/>
                  </w:tcBorders>
                  <w:vAlign w:val="center"/>
                </w:tcPr>
                <w:p w14:paraId="15133B6C"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10</w:t>
                  </w:r>
                </w:p>
              </w:tc>
            </w:tr>
            <w:tr w:rsidR="00236AB5" w:rsidRPr="008819AF" w14:paraId="15133B72"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15133B6E" w14:textId="77777777" w:rsidR="00236AB5" w:rsidRPr="008819AF" w:rsidRDefault="00236AB5" w:rsidP="00236AB5">
                  <w:pPr>
                    <w:pStyle w:val="Zkladntext20"/>
                    <w:keepNext w:val="0"/>
                    <w:numPr>
                      <w:ilvl w:val="12"/>
                      <w:numId w:val="0"/>
                    </w:numPr>
                    <w:spacing w:before="0" w:after="0"/>
                    <w:ind w:right="-70"/>
                    <w:jc w:val="center"/>
                    <w:rPr>
                      <w:sz w:val="18"/>
                      <w:szCs w:val="18"/>
                    </w:rPr>
                  </w:pPr>
                  <w:r w:rsidRPr="008819AF">
                    <w:rPr>
                      <w:sz w:val="18"/>
                      <w:szCs w:val="18"/>
                    </w:rPr>
                    <w:t>HCl</w:t>
                  </w:r>
                </w:p>
              </w:tc>
              <w:tc>
                <w:tcPr>
                  <w:tcW w:w="1090" w:type="dxa"/>
                  <w:tcBorders>
                    <w:top w:val="single" w:sz="2" w:space="0" w:color="auto"/>
                    <w:left w:val="single" w:sz="2" w:space="0" w:color="auto"/>
                    <w:bottom w:val="single" w:sz="2" w:space="0" w:color="auto"/>
                    <w:right w:val="single" w:sz="2" w:space="0" w:color="auto"/>
                  </w:tcBorders>
                  <w:vAlign w:val="center"/>
                </w:tcPr>
                <w:p w14:paraId="15133B6F" w14:textId="77777777" w:rsidR="00236AB5" w:rsidRPr="008819AF" w:rsidRDefault="00236AB5" w:rsidP="00236AB5">
                  <w:pPr>
                    <w:pStyle w:val="Zkladntext20"/>
                    <w:keepNext w:val="0"/>
                    <w:spacing w:before="0" w:after="0"/>
                    <w:jc w:val="center"/>
                    <w:rPr>
                      <w:sz w:val="18"/>
                      <w:szCs w:val="18"/>
                    </w:rPr>
                  </w:pPr>
                  <w:r w:rsidRPr="008819AF">
                    <w:rPr>
                      <w:sz w:val="18"/>
                      <w:szCs w:val="18"/>
                    </w:rPr>
                    <w:t>10</w:t>
                  </w:r>
                </w:p>
              </w:tc>
              <w:tc>
                <w:tcPr>
                  <w:tcW w:w="1182" w:type="dxa"/>
                  <w:tcBorders>
                    <w:top w:val="single" w:sz="2" w:space="0" w:color="auto"/>
                    <w:left w:val="single" w:sz="2" w:space="0" w:color="auto"/>
                    <w:bottom w:val="single" w:sz="2" w:space="0" w:color="auto"/>
                    <w:right w:val="single" w:sz="2" w:space="0" w:color="auto"/>
                  </w:tcBorders>
                  <w:vAlign w:val="center"/>
                </w:tcPr>
                <w:p w14:paraId="15133B70"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 xml:space="preserve"> 60</w:t>
                  </w:r>
                </w:p>
              </w:tc>
              <w:tc>
                <w:tcPr>
                  <w:tcW w:w="1366" w:type="dxa"/>
                  <w:tcBorders>
                    <w:top w:val="single" w:sz="2" w:space="0" w:color="auto"/>
                    <w:left w:val="single" w:sz="2" w:space="0" w:color="auto"/>
                    <w:bottom w:val="single" w:sz="2" w:space="0" w:color="auto"/>
                    <w:right w:val="single" w:sz="2" w:space="0" w:color="auto"/>
                  </w:tcBorders>
                  <w:vAlign w:val="center"/>
                </w:tcPr>
                <w:p w14:paraId="15133B71"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 xml:space="preserve"> 10              </w:t>
                  </w:r>
                </w:p>
              </w:tc>
            </w:tr>
            <w:tr w:rsidR="00236AB5" w:rsidRPr="008819AF" w14:paraId="15133B77"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15133B73"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HF</w:t>
                  </w:r>
                </w:p>
              </w:tc>
              <w:tc>
                <w:tcPr>
                  <w:tcW w:w="1090" w:type="dxa"/>
                  <w:tcBorders>
                    <w:top w:val="single" w:sz="2" w:space="0" w:color="auto"/>
                    <w:left w:val="single" w:sz="2" w:space="0" w:color="auto"/>
                    <w:bottom w:val="single" w:sz="2" w:space="0" w:color="auto"/>
                    <w:right w:val="single" w:sz="2" w:space="0" w:color="auto"/>
                  </w:tcBorders>
                  <w:vAlign w:val="center"/>
                </w:tcPr>
                <w:p w14:paraId="15133B74" w14:textId="77777777" w:rsidR="00236AB5" w:rsidRPr="008819AF" w:rsidRDefault="00236AB5" w:rsidP="00236AB5">
                  <w:pPr>
                    <w:pStyle w:val="Zkladntext20"/>
                    <w:keepNext w:val="0"/>
                    <w:spacing w:before="0" w:after="0"/>
                    <w:jc w:val="center"/>
                    <w:rPr>
                      <w:sz w:val="18"/>
                      <w:szCs w:val="18"/>
                    </w:rPr>
                  </w:pPr>
                  <w:r w:rsidRPr="008819AF">
                    <w:rPr>
                      <w:sz w:val="18"/>
                      <w:szCs w:val="18"/>
                    </w:rPr>
                    <w:t xml:space="preserve"> 1</w:t>
                  </w:r>
                </w:p>
              </w:tc>
              <w:tc>
                <w:tcPr>
                  <w:tcW w:w="1182" w:type="dxa"/>
                  <w:tcBorders>
                    <w:top w:val="single" w:sz="2" w:space="0" w:color="auto"/>
                    <w:left w:val="single" w:sz="2" w:space="0" w:color="auto"/>
                    <w:bottom w:val="single" w:sz="2" w:space="0" w:color="auto"/>
                    <w:right w:val="single" w:sz="2" w:space="0" w:color="auto"/>
                  </w:tcBorders>
                  <w:vAlign w:val="center"/>
                </w:tcPr>
                <w:p w14:paraId="15133B75"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 xml:space="preserve">  4</w:t>
                  </w:r>
                </w:p>
              </w:tc>
              <w:tc>
                <w:tcPr>
                  <w:tcW w:w="1366" w:type="dxa"/>
                  <w:tcBorders>
                    <w:top w:val="single" w:sz="2" w:space="0" w:color="auto"/>
                    <w:left w:val="single" w:sz="2" w:space="0" w:color="auto"/>
                    <w:bottom w:val="single" w:sz="2" w:space="0" w:color="auto"/>
                    <w:right w:val="single" w:sz="2" w:space="0" w:color="auto"/>
                  </w:tcBorders>
                  <w:vAlign w:val="center"/>
                </w:tcPr>
                <w:p w14:paraId="15133B76"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 xml:space="preserve">  2                 </w:t>
                  </w:r>
                </w:p>
              </w:tc>
            </w:tr>
            <w:tr w:rsidR="00236AB5" w:rsidRPr="008819AF" w14:paraId="15133B7D" w14:textId="77777777" w:rsidTr="00C16C5A">
              <w:trPr>
                <w:trHeight w:val="283"/>
              </w:trPr>
              <w:tc>
                <w:tcPr>
                  <w:tcW w:w="1409" w:type="dxa"/>
                  <w:gridSpan w:val="2"/>
                  <w:vMerge w:val="restart"/>
                  <w:tcBorders>
                    <w:top w:val="single" w:sz="2" w:space="0" w:color="auto"/>
                    <w:left w:val="single" w:sz="2" w:space="0" w:color="auto"/>
                    <w:bottom w:val="single" w:sz="2" w:space="0" w:color="auto"/>
                    <w:right w:val="single" w:sz="2" w:space="0" w:color="auto"/>
                  </w:tcBorders>
                  <w:vAlign w:val="center"/>
                </w:tcPr>
                <w:p w14:paraId="15133B78"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CO</w:t>
                  </w:r>
                  <w:r w:rsidRPr="008819AF">
                    <w:rPr>
                      <w:sz w:val="18"/>
                      <w:szCs w:val="18"/>
                      <w:vertAlign w:val="superscript"/>
                    </w:rPr>
                    <w:t>3</w:t>
                  </w:r>
                  <w:r w:rsidRPr="008819AF">
                    <w:rPr>
                      <w:sz w:val="18"/>
                      <w:szCs w:val="18"/>
                    </w:rPr>
                    <w:t>)</w:t>
                  </w:r>
                </w:p>
              </w:tc>
              <w:tc>
                <w:tcPr>
                  <w:tcW w:w="1090" w:type="dxa"/>
                  <w:vMerge w:val="restart"/>
                  <w:tcBorders>
                    <w:top w:val="single" w:sz="2" w:space="0" w:color="auto"/>
                    <w:left w:val="single" w:sz="2" w:space="0" w:color="auto"/>
                    <w:bottom w:val="single" w:sz="2" w:space="0" w:color="auto"/>
                    <w:right w:val="single" w:sz="2" w:space="0" w:color="auto"/>
                  </w:tcBorders>
                  <w:vAlign w:val="center"/>
                </w:tcPr>
                <w:p w14:paraId="15133B79" w14:textId="77777777" w:rsidR="00236AB5" w:rsidRPr="008819AF" w:rsidRDefault="00236AB5" w:rsidP="00236AB5">
                  <w:pPr>
                    <w:pStyle w:val="Zkladntext20"/>
                    <w:keepNext w:val="0"/>
                    <w:spacing w:before="0" w:after="0"/>
                    <w:jc w:val="center"/>
                    <w:rPr>
                      <w:sz w:val="18"/>
                      <w:szCs w:val="18"/>
                    </w:rPr>
                  </w:pPr>
                  <w:r w:rsidRPr="008819AF">
                    <w:rPr>
                      <w:sz w:val="18"/>
                      <w:szCs w:val="18"/>
                    </w:rPr>
                    <w:t>50</w:t>
                  </w:r>
                </w:p>
              </w:tc>
              <w:tc>
                <w:tcPr>
                  <w:tcW w:w="1182" w:type="dxa"/>
                  <w:vMerge w:val="restart"/>
                  <w:tcBorders>
                    <w:top w:val="single" w:sz="2" w:space="0" w:color="auto"/>
                    <w:left w:val="single" w:sz="2" w:space="0" w:color="auto"/>
                    <w:bottom w:val="single" w:sz="2" w:space="0" w:color="auto"/>
                    <w:right w:val="single" w:sz="2" w:space="0" w:color="auto"/>
                  </w:tcBorders>
                  <w:vAlign w:val="center"/>
                </w:tcPr>
                <w:p w14:paraId="15133B7A"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100</w:t>
                  </w:r>
                </w:p>
              </w:tc>
              <w:tc>
                <w:tcPr>
                  <w:tcW w:w="1366" w:type="dxa"/>
                  <w:tcBorders>
                    <w:top w:val="single" w:sz="2" w:space="0" w:color="auto"/>
                    <w:left w:val="single" w:sz="2" w:space="0" w:color="auto"/>
                    <w:bottom w:val="single" w:sz="2" w:space="0" w:color="auto"/>
                    <w:right w:val="single" w:sz="2" w:space="0" w:color="auto"/>
                  </w:tcBorders>
                  <w:vAlign w:val="center"/>
                </w:tcPr>
                <w:p w14:paraId="15133B7B" w14:textId="77777777" w:rsidR="00236AB5" w:rsidRPr="008819AF" w:rsidRDefault="00236AB5" w:rsidP="00236AB5">
                  <w:pPr>
                    <w:pStyle w:val="Zkladntext20"/>
                    <w:keepNext w:val="0"/>
                    <w:numPr>
                      <w:ilvl w:val="12"/>
                      <w:numId w:val="0"/>
                    </w:numPr>
                    <w:spacing w:before="0" w:after="0"/>
                    <w:jc w:val="center"/>
                    <w:rPr>
                      <w:b/>
                      <w:sz w:val="18"/>
                      <w:szCs w:val="18"/>
                    </w:rPr>
                  </w:pPr>
                  <w:r w:rsidRPr="008819AF">
                    <w:rPr>
                      <w:b/>
                      <w:sz w:val="18"/>
                      <w:szCs w:val="18"/>
                    </w:rPr>
                    <w:t xml:space="preserve">Krátkodobý priemer </w:t>
                  </w:r>
                  <w:r w:rsidRPr="008819AF">
                    <w:rPr>
                      <w:b/>
                      <w:sz w:val="18"/>
                      <w:szCs w:val="18"/>
                      <w:vertAlign w:val="superscript"/>
                    </w:rPr>
                    <w:t>4</w:t>
                  </w:r>
                  <w:r w:rsidRPr="008819AF">
                    <w:rPr>
                      <w:b/>
                      <w:sz w:val="18"/>
                      <w:szCs w:val="18"/>
                    </w:rPr>
                    <w:t xml:space="preserve">)   </w:t>
                  </w:r>
                </w:p>
                <w:p w14:paraId="15133B7C"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b/>
                      <w:sz w:val="18"/>
                      <w:szCs w:val="18"/>
                    </w:rPr>
                    <w:t>C [95 %]</w:t>
                  </w:r>
                </w:p>
              </w:tc>
            </w:tr>
            <w:tr w:rsidR="00236AB5" w:rsidRPr="008819AF" w14:paraId="15133B82" w14:textId="77777777" w:rsidTr="00C16C5A">
              <w:trPr>
                <w:trHeight w:val="283"/>
              </w:trPr>
              <w:tc>
                <w:tcPr>
                  <w:tcW w:w="1409" w:type="dxa"/>
                  <w:gridSpan w:val="2"/>
                  <w:vMerge/>
                  <w:tcBorders>
                    <w:top w:val="single" w:sz="2" w:space="0" w:color="auto"/>
                    <w:left w:val="single" w:sz="2" w:space="0" w:color="auto"/>
                    <w:bottom w:val="single" w:sz="2" w:space="0" w:color="auto"/>
                    <w:right w:val="single" w:sz="2" w:space="0" w:color="auto"/>
                  </w:tcBorders>
                  <w:vAlign w:val="center"/>
                </w:tcPr>
                <w:p w14:paraId="15133B7E" w14:textId="77777777" w:rsidR="00236AB5" w:rsidRPr="008819AF" w:rsidRDefault="00236AB5" w:rsidP="00236AB5">
                  <w:pPr>
                    <w:pStyle w:val="Zkladntext20"/>
                    <w:keepNext w:val="0"/>
                    <w:numPr>
                      <w:ilvl w:val="12"/>
                      <w:numId w:val="0"/>
                    </w:numPr>
                    <w:spacing w:before="0" w:after="0"/>
                    <w:jc w:val="center"/>
                    <w:rPr>
                      <w:sz w:val="18"/>
                      <w:szCs w:val="18"/>
                    </w:rPr>
                  </w:pPr>
                </w:p>
              </w:tc>
              <w:tc>
                <w:tcPr>
                  <w:tcW w:w="1090" w:type="dxa"/>
                  <w:vMerge/>
                  <w:tcBorders>
                    <w:top w:val="single" w:sz="2" w:space="0" w:color="auto"/>
                    <w:left w:val="single" w:sz="2" w:space="0" w:color="auto"/>
                    <w:bottom w:val="single" w:sz="2" w:space="0" w:color="auto"/>
                    <w:right w:val="single" w:sz="2" w:space="0" w:color="auto"/>
                  </w:tcBorders>
                  <w:vAlign w:val="center"/>
                </w:tcPr>
                <w:p w14:paraId="15133B7F" w14:textId="77777777" w:rsidR="00236AB5" w:rsidRPr="008819AF" w:rsidRDefault="00236AB5" w:rsidP="00236AB5">
                  <w:pPr>
                    <w:pStyle w:val="Zkladntext20"/>
                    <w:keepNext w:val="0"/>
                    <w:spacing w:before="0" w:after="0"/>
                    <w:jc w:val="center"/>
                    <w:rPr>
                      <w:sz w:val="18"/>
                      <w:szCs w:val="18"/>
                    </w:rPr>
                  </w:pPr>
                </w:p>
              </w:tc>
              <w:tc>
                <w:tcPr>
                  <w:tcW w:w="1182" w:type="dxa"/>
                  <w:vMerge/>
                  <w:tcBorders>
                    <w:top w:val="single" w:sz="2" w:space="0" w:color="auto"/>
                    <w:left w:val="single" w:sz="2" w:space="0" w:color="auto"/>
                    <w:bottom w:val="single" w:sz="2" w:space="0" w:color="auto"/>
                    <w:right w:val="single" w:sz="2" w:space="0" w:color="auto"/>
                  </w:tcBorders>
                  <w:vAlign w:val="center"/>
                </w:tcPr>
                <w:p w14:paraId="15133B80" w14:textId="77777777" w:rsidR="00236AB5" w:rsidRPr="008819AF" w:rsidRDefault="00236AB5" w:rsidP="00236AB5">
                  <w:pPr>
                    <w:pStyle w:val="Zkladntext20"/>
                    <w:keepNext w:val="0"/>
                    <w:numPr>
                      <w:ilvl w:val="12"/>
                      <w:numId w:val="0"/>
                    </w:numPr>
                    <w:spacing w:before="0" w:after="0"/>
                    <w:jc w:val="center"/>
                    <w:rPr>
                      <w:sz w:val="18"/>
                      <w:szCs w:val="18"/>
                    </w:rPr>
                  </w:pPr>
                </w:p>
              </w:tc>
              <w:tc>
                <w:tcPr>
                  <w:tcW w:w="1366" w:type="dxa"/>
                  <w:tcBorders>
                    <w:top w:val="single" w:sz="2" w:space="0" w:color="auto"/>
                    <w:left w:val="single" w:sz="2" w:space="0" w:color="auto"/>
                    <w:bottom w:val="single" w:sz="2" w:space="0" w:color="auto"/>
                    <w:right w:val="single" w:sz="2" w:space="0" w:color="auto"/>
                  </w:tcBorders>
                  <w:vAlign w:val="center"/>
                </w:tcPr>
                <w:p w14:paraId="15133B81" w14:textId="77777777" w:rsidR="00236AB5" w:rsidRPr="008819AF" w:rsidRDefault="00236AB5" w:rsidP="00236AB5">
                  <w:pPr>
                    <w:pStyle w:val="Zkladntext20"/>
                    <w:keepNext w:val="0"/>
                    <w:numPr>
                      <w:ilvl w:val="12"/>
                      <w:numId w:val="0"/>
                    </w:numPr>
                    <w:spacing w:before="0" w:after="0"/>
                    <w:jc w:val="center"/>
                    <w:rPr>
                      <w:b/>
                      <w:sz w:val="18"/>
                      <w:szCs w:val="18"/>
                    </w:rPr>
                  </w:pPr>
                  <w:r w:rsidRPr="008819AF">
                    <w:rPr>
                      <w:sz w:val="18"/>
                      <w:szCs w:val="18"/>
                    </w:rPr>
                    <w:t>150</w:t>
                  </w:r>
                </w:p>
              </w:tc>
            </w:tr>
            <w:tr w:rsidR="00236AB5" w:rsidRPr="008819AF" w14:paraId="15133B85"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15133B83" w14:textId="77777777" w:rsidR="00236AB5" w:rsidRPr="008819AF" w:rsidRDefault="00236AB5" w:rsidP="00236AB5">
                  <w:pPr>
                    <w:pStyle w:val="Zkladntext20"/>
                    <w:keepNext w:val="0"/>
                    <w:numPr>
                      <w:ilvl w:val="12"/>
                      <w:numId w:val="0"/>
                    </w:numPr>
                    <w:spacing w:before="0" w:after="0"/>
                    <w:rPr>
                      <w:sz w:val="18"/>
                      <w:szCs w:val="18"/>
                    </w:rPr>
                  </w:pPr>
                  <w:r w:rsidRPr="008819AF">
                    <w:rPr>
                      <w:sz w:val="18"/>
                      <w:szCs w:val="18"/>
                    </w:rPr>
                    <w:t xml:space="preserve">        Ťažké kovy </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15133B84" w14:textId="77777777" w:rsidR="00236AB5" w:rsidRPr="008819AF" w:rsidRDefault="00236AB5" w:rsidP="00236AB5">
                  <w:pPr>
                    <w:pStyle w:val="Zkladntext20"/>
                    <w:keepNext w:val="0"/>
                    <w:numPr>
                      <w:ilvl w:val="12"/>
                      <w:numId w:val="0"/>
                    </w:numPr>
                    <w:spacing w:before="0" w:after="0"/>
                    <w:jc w:val="center"/>
                    <w:rPr>
                      <w:b/>
                      <w:sz w:val="18"/>
                      <w:szCs w:val="18"/>
                    </w:rPr>
                  </w:pPr>
                  <w:r w:rsidRPr="008819AF">
                    <w:rPr>
                      <w:b/>
                      <w:sz w:val="18"/>
                      <w:szCs w:val="18"/>
                    </w:rPr>
                    <w:t xml:space="preserve">Priemerná hodnota </w:t>
                  </w:r>
                  <w:r w:rsidRPr="008819AF">
                    <w:rPr>
                      <w:sz w:val="18"/>
                      <w:szCs w:val="18"/>
                      <w:vertAlign w:val="superscript"/>
                    </w:rPr>
                    <w:t>5</w:t>
                  </w:r>
                  <w:r w:rsidRPr="008819AF">
                    <w:rPr>
                      <w:sz w:val="18"/>
                      <w:szCs w:val="18"/>
                    </w:rPr>
                    <w:t xml:space="preserve">)  </w:t>
                  </w:r>
                </w:p>
              </w:tc>
            </w:tr>
            <w:tr w:rsidR="00236AB5" w:rsidRPr="008819AF" w14:paraId="15133B88"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15133B86"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Cd + Tl</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15133B87"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spolu 0,05</w:t>
                  </w:r>
                </w:p>
              </w:tc>
            </w:tr>
            <w:tr w:rsidR="00236AB5" w:rsidRPr="008819AF" w14:paraId="15133B8B"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15133B89"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Hg</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15133B8A"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0,05</w:t>
                  </w:r>
                </w:p>
              </w:tc>
            </w:tr>
            <w:tr w:rsidR="00236AB5" w:rsidRPr="008819AF" w14:paraId="15133B8E"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15133B8C" w14:textId="77777777" w:rsidR="00236AB5" w:rsidRPr="008819AF" w:rsidRDefault="00236AB5" w:rsidP="00236AB5">
                  <w:pPr>
                    <w:pStyle w:val="Zkladntext20"/>
                    <w:keepNext w:val="0"/>
                    <w:numPr>
                      <w:ilvl w:val="12"/>
                      <w:numId w:val="0"/>
                    </w:numPr>
                    <w:spacing w:before="0" w:after="0"/>
                    <w:rPr>
                      <w:sz w:val="18"/>
                      <w:szCs w:val="18"/>
                    </w:rPr>
                  </w:pPr>
                  <w:r w:rsidRPr="008819AF">
                    <w:rPr>
                      <w:sz w:val="18"/>
                      <w:szCs w:val="18"/>
                    </w:rPr>
                    <w:t xml:space="preserve">Sb + As + Pb + Cr + Co + Cu + Mn + Ni +V  </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15133B8D"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spolu 0,5</w:t>
                  </w:r>
                </w:p>
              </w:tc>
            </w:tr>
            <w:tr w:rsidR="00236AB5" w:rsidRPr="008819AF" w14:paraId="15133B91"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15133B8F" w14:textId="77777777" w:rsidR="00236AB5" w:rsidRPr="008819AF" w:rsidRDefault="00236AB5" w:rsidP="00236AB5">
                  <w:pPr>
                    <w:pStyle w:val="Zkladntext20"/>
                    <w:keepNext w:val="0"/>
                    <w:numPr>
                      <w:ilvl w:val="12"/>
                      <w:numId w:val="0"/>
                    </w:numPr>
                    <w:spacing w:before="0" w:after="0"/>
                    <w:jc w:val="center"/>
                    <w:rPr>
                      <w:sz w:val="18"/>
                      <w:szCs w:val="18"/>
                    </w:rPr>
                  </w:pP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15133B90" w14:textId="77777777" w:rsidR="00236AB5" w:rsidRPr="008819AF" w:rsidRDefault="00236AB5" w:rsidP="00236AB5">
                  <w:pPr>
                    <w:pStyle w:val="Zkladntext20"/>
                    <w:keepNext w:val="0"/>
                    <w:numPr>
                      <w:ilvl w:val="12"/>
                      <w:numId w:val="0"/>
                    </w:numPr>
                    <w:spacing w:before="0" w:after="0"/>
                    <w:jc w:val="center"/>
                    <w:rPr>
                      <w:b/>
                      <w:sz w:val="18"/>
                      <w:szCs w:val="18"/>
                    </w:rPr>
                  </w:pPr>
                  <w:r w:rsidRPr="008819AF">
                    <w:rPr>
                      <w:b/>
                      <w:sz w:val="18"/>
                      <w:szCs w:val="18"/>
                    </w:rPr>
                    <w:t xml:space="preserve">Priemerná  hodnota </w:t>
                  </w:r>
                  <w:r w:rsidRPr="008819AF">
                    <w:rPr>
                      <w:sz w:val="18"/>
                      <w:szCs w:val="18"/>
                      <w:vertAlign w:val="superscript"/>
                    </w:rPr>
                    <w:t>6</w:t>
                  </w:r>
                  <w:r w:rsidRPr="008819AF">
                    <w:rPr>
                      <w:sz w:val="18"/>
                      <w:szCs w:val="18"/>
                    </w:rPr>
                    <w:t>)</w:t>
                  </w:r>
                </w:p>
              </w:tc>
            </w:tr>
            <w:tr w:rsidR="00236AB5" w:rsidRPr="008819AF" w14:paraId="15133B94"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15133B92"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 xml:space="preserve">PCDD + PCDF </w:t>
                  </w:r>
                  <w:r w:rsidRPr="008819AF">
                    <w:rPr>
                      <w:sz w:val="18"/>
                      <w:szCs w:val="18"/>
                      <w:vertAlign w:val="superscript"/>
                    </w:rPr>
                    <w:t>6</w:t>
                  </w:r>
                  <w:r w:rsidRPr="008819AF">
                    <w:rPr>
                      <w:sz w:val="18"/>
                      <w:szCs w:val="18"/>
                    </w:rPr>
                    <w:t>)</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15133B93" w14:textId="77777777" w:rsidR="00236AB5" w:rsidRPr="008819AF" w:rsidRDefault="00236AB5" w:rsidP="00236AB5">
                  <w:pPr>
                    <w:pStyle w:val="Zkladntext20"/>
                    <w:keepNext w:val="0"/>
                    <w:numPr>
                      <w:ilvl w:val="12"/>
                      <w:numId w:val="0"/>
                    </w:numPr>
                    <w:spacing w:before="0" w:after="0"/>
                    <w:jc w:val="center"/>
                    <w:rPr>
                      <w:sz w:val="18"/>
                      <w:szCs w:val="18"/>
                    </w:rPr>
                  </w:pPr>
                  <w:r w:rsidRPr="008819AF">
                    <w:rPr>
                      <w:sz w:val="18"/>
                      <w:szCs w:val="18"/>
                    </w:rPr>
                    <w:t>0,1 ng TEQ/m</w:t>
                  </w:r>
                  <w:r w:rsidRPr="008819AF">
                    <w:rPr>
                      <w:sz w:val="18"/>
                      <w:szCs w:val="18"/>
                      <w:vertAlign w:val="superscript"/>
                    </w:rPr>
                    <w:t>3</w:t>
                  </w:r>
                </w:p>
              </w:tc>
            </w:tr>
          </w:tbl>
          <w:p w14:paraId="15133B95" w14:textId="77777777" w:rsidR="00236AB5" w:rsidRPr="008819AF" w:rsidRDefault="00236AB5" w:rsidP="00236AB5">
            <w:pPr>
              <w:pStyle w:val="Textpoznmkypodiarou"/>
              <w:spacing w:before="60"/>
              <w:ind w:left="357" w:hanging="357"/>
              <w:rPr>
                <w:rFonts w:ascii="Times New Roman" w:hAnsi="Times New Roman" w:cs="Times New Roman"/>
                <w:sz w:val="20"/>
                <w:szCs w:val="20"/>
              </w:rPr>
            </w:pPr>
            <w:r w:rsidRPr="008819AF">
              <w:rPr>
                <w:rFonts w:ascii="Times New Roman" w:hAnsi="Times New Roman" w:cs="Times New Roman"/>
                <w:sz w:val="20"/>
                <w:szCs w:val="20"/>
                <w:vertAlign w:val="superscript"/>
              </w:rPr>
              <w:lastRenderedPageBreak/>
              <w:t>1</w:t>
            </w:r>
            <w:r w:rsidRPr="008819AF">
              <w:rPr>
                <w:rFonts w:ascii="Times New Roman" w:hAnsi="Times New Roman" w:cs="Times New Roman"/>
                <w:sz w:val="20"/>
                <w:szCs w:val="20"/>
              </w:rPr>
              <w:t>) Platí pre jestvujúce zariadenia s kapacitou do 6 t/h.</w:t>
            </w:r>
          </w:p>
          <w:p w14:paraId="15133B96" w14:textId="77777777" w:rsidR="00236AB5" w:rsidRPr="008819AF" w:rsidRDefault="00236AB5" w:rsidP="00236AB5">
            <w:pPr>
              <w:pStyle w:val="Textpoznmkypodiarou"/>
              <w:ind w:left="270" w:hanging="270"/>
              <w:jc w:val="both"/>
              <w:rPr>
                <w:rFonts w:ascii="Times New Roman" w:hAnsi="Times New Roman" w:cs="Times New Roman"/>
                <w:sz w:val="20"/>
                <w:szCs w:val="20"/>
              </w:rPr>
            </w:pPr>
            <w:r w:rsidRPr="008819AF">
              <w:rPr>
                <w:rFonts w:ascii="Times New Roman" w:hAnsi="Times New Roman" w:cs="Times New Roman"/>
                <w:sz w:val="20"/>
                <w:szCs w:val="20"/>
                <w:vertAlign w:val="superscript"/>
              </w:rPr>
              <w:t>2</w:t>
            </w:r>
            <w:r w:rsidRPr="008819AF">
              <w:rPr>
                <w:rFonts w:ascii="Times New Roman" w:hAnsi="Times New Roman" w:cs="Times New Roman"/>
                <w:sz w:val="20"/>
                <w:szCs w:val="20"/>
              </w:rPr>
              <w:t>) Pre jestvujúce zariadenia s  kapacitou do 6 t/h sa emisné limity pre NO</w:t>
            </w:r>
            <w:r w:rsidRPr="008819AF">
              <w:rPr>
                <w:rFonts w:ascii="Times New Roman" w:hAnsi="Times New Roman" w:cs="Times New Roman"/>
                <w:sz w:val="20"/>
                <w:szCs w:val="20"/>
                <w:vertAlign w:val="subscript"/>
              </w:rPr>
              <w:t>X</w:t>
            </w:r>
            <w:r w:rsidRPr="008819AF">
              <w:rPr>
                <w:rFonts w:ascii="Times New Roman" w:hAnsi="Times New Roman" w:cs="Times New Roman"/>
                <w:sz w:val="20"/>
                <w:szCs w:val="20"/>
              </w:rPr>
              <w:t xml:space="preserve"> vyjadrené ako polhodinový priemer neuplatňujú.</w:t>
            </w:r>
          </w:p>
          <w:p w14:paraId="15133B97" w14:textId="77777777" w:rsidR="00236AB5" w:rsidRPr="008819AF" w:rsidRDefault="00236AB5" w:rsidP="00236AB5">
            <w:pPr>
              <w:pStyle w:val="Textpoznmkypodiarou"/>
              <w:ind w:left="270" w:hanging="270"/>
              <w:jc w:val="both"/>
              <w:rPr>
                <w:rFonts w:ascii="Times New Roman" w:hAnsi="Times New Roman" w:cs="Times New Roman"/>
                <w:sz w:val="20"/>
                <w:szCs w:val="20"/>
              </w:rPr>
            </w:pPr>
            <w:r w:rsidRPr="008819AF">
              <w:rPr>
                <w:rFonts w:ascii="Times New Roman" w:hAnsi="Times New Roman" w:cs="Times New Roman"/>
                <w:sz w:val="20"/>
                <w:szCs w:val="20"/>
                <w:vertAlign w:val="superscript"/>
              </w:rPr>
              <w:t>3</w:t>
            </w:r>
            <w:r w:rsidRPr="008819AF">
              <w:rPr>
                <w:rFonts w:ascii="Times New Roman" w:hAnsi="Times New Roman" w:cs="Times New Roman"/>
                <w:sz w:val="20"/>
                <w:szCs w:val="20"/>
              </w:rPr>
              <w:t>) Pre spaľovne odpadov na princípe fluidného lôžka správny orgán môže povoliť výnimku z emisných limitov pre CO, pričom určený emisný limit pre CO vyjadrený ako hodinová priemerná hodnota nesmie byť vyšší ako 100 mg/m</w:t>
            </w:r>
            <w:r w:rsidRPr="008819AF">
              <w:rPr>
                <w:rFonts w:ascii="Times New Roman" w:hAnsi="Times New Roman" w:cs="Times New Roman"/>
                <w:sz w:val="20"/>
                <w:szCs w:val="20"/>
                <w:vertAlign w:val="superscript"/>
              </w:rPr>
              <w:t>3</w:t>
            </w:r>
            <w:r w:rsidRPr="008819AF">
              <w:rPr>
                <w:rFonts w:ascii="Times New Roman" w:hAnsi="Times New Roman" w:cs="Times New Roman"/>
                <w:sz w:val="20"/>
                <w:szCs w:val="20"/>
              </w:rPr>
              <w:t>.</w:t>
            </w:r>
          </w:p>
          <w:p w14:paraId="15133B98" w14:textId="77777777" w:rsidR="00236AB5" w:rsidRPr="008819AF" w:rsidRDefault="00236AB5" w:rsidP="00236AB5">
            <w:pPr>
              <w:pStyle w:val="Textpoznmkypodiarou"/>
              <w:ind w:left="360" w:hanging="360"/>
              <w:rPr>
                <w:rFonts w:ascii="Times New Roman" w:hAnsi="Times New Roman" w:cs="Times New Roman"/>
                <w:sz w:val="20"/>
                <w:szCs w:val="20"/>
              </w:rPr>
            </w:pPr>
            <w:r w:rsidRPr="008819AF">
              <w:rPr>
                <w:rFonts w:ascii="Times New Roman" w:hAnsi="Times New Roman" w:cs="Times New Roman"/>
                <w:sz w:val="20"/>
                <w:szCs w:val="20"/>
                <w:vertAlign w:val="superscript"/>
              </w:rPr>
              <w:t>4</w:t>
            </w:r>
            <w:r w:rsidRPr="008819AF">
              <w:rPr>
                <w:rFonts w:ascii="Times New Roman" w:hAnsi="Times New Roman" w:cs="Times New Roman"/>
                <w:sz w:val="20"/>
                <w:szCs w:val="20"/>
              </w:rPr>
              <w:t xml:space="preserve">)  Platí pre 10-minútové priemerné hodnoty. </w:t>
            </w:r>
          </w:p>
          <w:p w14:paraId="15133B99" w14:textId="77777777" w:rsidR="00236AB5" w:rsidRPr="008819AF" w:rsidRDefault="00236AB5" w:rsidP="00236AB5">
            <w:pPr>
              <w:pStyle w:val="Zkladntext20"/>
              <w:keepNext w:val="0"/>
              <w:spacing w:before="0" w:after="0"/>
              <w:ind w:left="360" w:right="-157" w:hanging="360"/>
              <w:rPr>
                <w:b/>
                <w:sz w:val="20"/>
                <w:szCs w:val="20"/>
              </w:rPr>
            </w:pPr>
            <w:r w:rsidRPr="008819AF">
              <w:rPr>
                <w:sz w:val="20"/>
                <w:szCs w:val="20"/>
                <w:vertAlign w:val="superscript"/>
              </w:rPr>
              <w:t>5</w:t>
            </w:r>
            <w:r w:rsidRPr="008819AF">
              <w:rPr>
                <w:sz w:val="20"/>
                <w:szCs w:val="20"/>
              </w:rPr>
              <w:t>) Platí pre priemerné hodnoty za čas odberu vzorky v trvaní najmenej 30 min a najviac 8 h.</w:t>
            </w:r>
          </w:p>
          <w:p w14:paraId="15133B9A" w14:textId="77777777" w:rsidR="00236AB5" w:rsidRPr="008819AF" w:rsidRDefault="00236AB5" w:rsidP="00236AB5">
            <w:pPr>
              <w:pStyle w:val="Zkladntext20"/>
              <w:spacing w:before="0" w:after="240"/>
              <w:rPr>
                <w:sz w:val="20"/>
                <w:szCs w:val="20"/>
              </w:rPr>
            </w:pPr>
            <w:r w:rsidRPr="008819AF">
              <w:rPr>
                <w:sz w:val="20"/>
                <w:szCs w:val="20"/>
                <w:vertAlign w:val="superscript"/>
              </w:rPr>
              <w:t>6</w:t>
            </w:r>
            <w:r w:rsidRPr="008819AF">
              <w:rPr>
                <w:sz w:val="20"/>
                <w:szCs w:val="20"/>
              </w:rPr>
              <w:t xml:space="preserve">) Platí pre priemerné hodnoty za čas odberu vzorky v trvaní najmenej 6 h a najviac 8 h.   </w:t>
            </w:r>
          </w:p>
          <w:p w14:paraId="15133B9B" w14:textId="77777777" w:rsidR="00236AB5" w:rsidRPr="008819AF" w:rsidRDefault="00236AB5" w:rsidP="00236AB5">
            <w:pPr>
              <w:pStyle w:val="Hlavika"/>
              <w:ind w:left="72" w:hanging="1"/>
              <w:rPr>
                <w:rFonts w:ascii="Times New Roman" w:hAnsi="Times New Roman" w:cs="Times New Roman"/>
                <w:lang w:bidi="cs-CZ"/>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3B9C"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B9D" w14:textId="77777777" w:rsidR="00236AB5" w:rsidRPr="008819AF" w:rsidRDefault="00236AB5" w:rsidP="00236AB5">
            <w:pPr>
              <w:ind w:left="215" w:hanging="215"/>
              <w:rPr>
                <w:rFonts w:eastAsia="Arial"/>
              </w:rPr>
            </w:pPr>
          </w:p>
        </w:tc>
      </w:tr>
      <w:tr w:rsidR="00236AB5" w:rsidRPr="008819AF" w14:paraId="15133BAC"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15133B9F"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BA0" w14:textId="77777777" w:rsidR="00236AB5" w:rsidRPr="008819AF" w:rsidRDefault="00236AB5" w:rsidP="00236AB5">
            <w:pPr>
              <w:ind w:left="215" w:hanging="215"/>
              <w:rPr>
                <w:rFonts w:eastAsia="Arial"/>
                <w:lang w:bidi="cs-CZ"/>
              </w:rPr>
            </w:pPr>
            <w:r w:rsidRPr="008819AF">
              <w:rPr>
                <w:rFonts w:eastAsia="Arial"/>
                <w:lang w:bidi="cs-CZ"/>
              </w:rPr>
              <w:t>2. Emisné limity platné za okolností opísaných v článku 46 ods. 6 a článku 47.</w:t>
            </w:r>
          </w:p>
          <w:p w14:paraId="15133BA1" w14:textId="77777777" w:rsidR="00236AB5" w:rsidRPr="008819AF" w:rsidRDefault="00236AB5" w:rsidP="00236AB5">
            <w:pPr>
              <w:rPr>
                <w:rFonts w:eastAsia="Arial"/>
              </w:rPr>
            </w:pPr>
            <w:r w:rsidRPr="008819AF">
              <w:rPr>
                <w:rFonts w:eastAsia="Arial"/>
                <w:lang w:bidi="cs-CZ"/>
              </w:rPr>
              <w:t>Celková koncentrácia prachu v emisiách do ovzdušia pochádzajúcich zo spaľovne odpadov nesmie za žiadnych okolností prekročiť 150 mg/Nm3, vyjadrená ako polhodinová priemerná hodnota. Nesmú byť prekročené emisné limity do ovzdušia pre TOC a CO stanovené v bodoch 1.2 a 1.5 písm. b).</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BA2"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BA3"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BA4" w14:textId="77777777" w:rsidR="00236AB5" w:rsidRPr="008819AF" w:rsidRDefault="00236AB5" w:rsidP="00236AB5">
            <w:pPr>
              <w:jc w:val="center"/>
            </w:pPr>
            <w:r w:rsidRPr="008819AF">
              <w:t>Pr.5</w:t>
            </w:r>
          </w:p>
          <w:p w14:paraId="15133BA5" w14:textId="77777777" w:rsidR="00236AB5" w:rsidRPr="008819AF" w:rsidRDefault="00236AB5" w:rsidP="00236AB5">
            <w:pPr>
              <w:jc w:val="center"/>
            </w:pPr>
            <w:r w:rsidRPr="008819AF">
              <w:t>Časť III.</w:t>
            </w:r>
          </w:p>
          <w:p w14:paraId="15133BA6" w14:textId="77777777" w:rsidR="00236AB5" w:rsidRPr="008819AF" w:rsidRDefault="00236AB5"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15133BA7"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 xml:space="preserve">2.   Emisné limity platné počas prekročenia emisného limitu alebo pri poruche </w:t>
            </w:r>
          </w:p>
          <w:p w14:paraId="15133BA8"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Ak v spaľovni odpadov dôjde k prekročeniu emisných limitov § 34 ods. 10 písm. a) zákona alebo pri poruche zariadenie § 34 ods. 10 písm b)zákona treba zabezpečiť tieto požiadavky:</w:t>
            </w:r>
          </w:p>
          <w:p w14:paraId="15133BA9"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za žiadnych okolností nesmie dôjsť k prekročeniu emisného limitu TZL: 150 mg/m</w:t>
            </w:r>
            <w:r w:rsidRPr="008819AF">
              <w:rPr>
                <w:rFonts w:ascii="Times New Roman" w:hAnsi="Times New Roman" w:cs="Times New Roman"/>
                <w:vertAlign w:val="superscript"/>
              </w:rPr>
              <w:t>3</w:t>
            </w:r>
            <w:r w:rsidRPr="008819AF">
              <w:rPr>
                <w:rFonts w:ascii="Times New Roman" w:hAnsi="Times New Roman" w:cs="Times New Roman"/>
              </w:rPr>
              <w:t xml:space="preserve"> vyjadreného ako polhodinová </w:t>
            </w:r>
            <w:r w:rsidRPr="008819AF">
              <w:rPr>
                <w:rFonts w:ascii="Times New Roman" w:hAnsi="Times New Roman" w:cs="Times New Roman"/>
              </w:rPr>
              <w:lastRenderedPageBreak/>
              <w:t>priemerná hodnota, musia byť dodržané emisné limity pre TOC a CO vyjadrené ako polhodinové hodnoty  v bode 1 tejto časti prílohy.</w:t>
            </w:r>
          </w:p>
        </w:tc>
        <w:tc>
          <w:tcPr>
            <w:tcW w:w="863" w:type="dxa"/>
            <w:gridSpan w:val="3"/>
            <w:tcBorders>
              <w:top w:val="single" w:sz="4" w:space="0" w:color="000000"/>
              <w:left w:val="single" w:sz="6" w:space="0" w:color="000000"/>
              <w:bottom w:val="single" w:sz="6" w:space="0" w:color="000000"/>
              <w:right w:val="single" w:sz="6" w:space="0" w:color="000000"/>
            </w:tcBorders>
          </w:tcPr>
          <w:p w14:paraId="15133BAA"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BAB" w14:textId="77777777" w:rsidR="00236AB5" w:rsidRPr="008819AF" w:rsidRDefault="00236AB5" w:rsidP="00236AB5">
            <w:pPr>
              <w:ind w:left="215" w:hanging="215"/>
              <w:rPr>
                <w:rFonts w:eastAsia="Arial"/>
              </w:rPr>
            </w:pPr>
          </w:p>
        </w:tc>
      </w:tr>
      <w:tr w:rsidR="00236AB5" w:rsidRPr="008819AF" w14:paraId="15133BB5"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15133BAD"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BAE" w14:textId="77777777" w:rsidR="00236AB5" w:rsidRPr="008819AF" w:rsidRDefault="00236AB5" w:rsidP="00236AB5">
            <w:pPr>
              <w:ind w:left="215" w:hanging="215"/>
              <w:rPr>
                <w:rFonts w:eastAsia="Arial"/>
                <w:lang w:bidi="cs-CZ"/>
              </w:rPr>
            </w:pPr>
            <w:r w:rsidRPr="008819AF">
              <w:rPr>
                <w:rFonts w:eastAsia="Arial"/>
                <w:lang w:bidi="cs-CZ"/>
              </w:rPr>
              <w:t>3. Členské štáty môžu ustanoviť pravidlá, ktorými sa riadia výnimky stanovené v tejto časti.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BAF"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BB0"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BB1" w14:textId="77777777" w:rsidR="00236AB5" w:rsidRPr="008819AF" w:rsidRDefault="00236AB5" w:rsidP="00236AB5">
            <w:pPr>
              <w:pStyle w:val="BodyText21"/>
              <w:spacing w:before="0"/>
              <w:jc w:val="center"/>
              <w:rPr>
                <w:rFonts w:ascii="Times New Roman" w:hAnsi="Times New Roman" w:cs="Times New Roman"/>
              </w:rPr>
            </w:pPr>
          </w:p>
        </w:tc>
        <w:tc>
          <w:tcPr>
            <w:tcW w:w="5230" w:type="dxa"/>
            <w:gridSpan w:val="3"/>
            <w:tcBorders>
              <w:top w:val="single" w:sz="4" w:space="0" w:color="000000"/>
              <w:left w:val="single" w:sz="6" w:space="0" w:color="000000"/>
              <w:bottom w:val="single" w:sz="6" w:space="0" w:color="000000"/>
              <w:right w:val="single" w:sz="6" w:space="0" w:color="000000"/>
            </w:tcBorders>
          </w:tcPr>
          <w:p w14:paraId="15133BB2" w14:textId="77777777" w:rsidR="00236AB5" w:rsidRPr="008819AF" w:rsidRDefault="00236AB5" w:rsidP="00236AB5"/>
        </w:tc>
        <w:tc>
          <w:tcPr>
            <w:tcW w:w="863" w:type="dxa"/>
            <w:gridSpan w:val="3"/>
            <w:tcBorders>
              <w:top w:val="single" w:sz="4" w:space="0" w:color="000000"/>
              <w:left w:val="single" w:sz="6" w:space="0" w:color="000000"/>
              <w:bottom w:val="single" w:sz="6" w:space="0" w:color="000000"/>
              <w:right w:val="single" w:sz="6" w:space="0" w:color="000000"/>
            </w:tcBorders>
          </w:tcPr>
          <w:p w14:paraId="15133BB3"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BB4" w14:textId="77777777" w:rsidR="00236AB5" w:rsidRPr="008819AF" w:rsidRDefault="00236AB5" w:rsidP="00236AB5">
            <w:pPr>
              <w:ind w:left="215" w:hanging="215"/>
              <w:rPr>
                <w:rFonts w:eastAsia="Arial"/>
              </w:rPr>
            </w:pPr>
          </w:p>
        </w:tc>
      </w:tr>
      <w:tr w:rsidR="00236AB5" w:rsidRPr="008819AF" w14:paraId="15133BFD"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15133BB6"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BB7" w14:textId="77777777" w:rsidR="00236AB5" w:rsidRPr="008819AF" w:rsidRDefault="00236AB5" w:rsidP="00236AB5">
            <w:pPr>
              <w:ind w:left="781" w:hanging="781"/>
              <w:rPr>
                <w:rFonts w:eastAsia="Arial"/>
                <w:i/>
                <w:iCs/>
                <w:lang w:bidi="cs-CZ"/>
              </w:rPr>
            </w:pPr>
            <w:r w:rsidRPr="008819AF">
              <w:rPr>
                <w:rFonts w:eastAsia="Arial"/>
                <w:lang w:bidi="cs-CZ"/>
              </w:rPr>
              <w:t xml:space="preserve">ČASŤ 4 </w:t>
            </w:r>
            <w:r w:rsidRPr="008819AF">
              <w:rPr>
                <w:rFonts w:eastAsia="Arial"/>
                <w:i/>
                <w:iCs/>
                <w:lang w:bidi="cs-CZ"/>
              </w:rPr>
              <w:t>Stanovenie emisných limitov do ovzdušia pre spoluspaľovanie odpadu</w:t>
            </w:r>
          </w:p>
          <w:p w14:paraId="15133BB8" w14:textId="77777777" w:rsidR="00236AB5" w:rsidRPr="008819AF" w:rsidRDefault="00236AB5" w:rsidP="00236AB5">
            <w:pPr>
              <w:ind w:left="781" w:hanging="781"/>
              <w:rPr>
                <w:rFonts w:eastAsia="Arial"/>
              </w:rPr>
            </w:pPr>
          </w:p>
          <w:p w14:paraId="15133BB9" w14:textId="77777777" w:rsidR="00236AB5" w:rsidRPr="008819AF" w:rsidRDefault="00236AB5" w:rsidP="00236AB5">
            <w:pPr>
              <w:ind w:left="215" w:hanging="215"/>
              <w:rPr>
                <w:rFonts w:eastAsia="Arial"/>
                <w:lang w:bidi="cs-CZ"/>
              </w:rPr>
            </w:pPr>
            <w:r w:rsidRPr="008819AF">
              <w:rPr>
                <w:rFonts w:eastAsia="Arial"/>
                <w:lang w:bidi="cs-CZ"/>
              </w:rPr>
              <w:t>1. Keď v tabuľke v tejto časti nie je stanovený špecifický celkový emisný limit „C“, používa sa tento vzťah (zmiešavacie pravidlo).</w:t>
            </w:r>
          </w:p>
          <w:p w14:paraId="15133BBA" w14:textId="77777777" w:rsidR="00236AB5" w:rsidRPr="008819AF" w:rsidRDefault="00236AB5" w:rsidP="00236AB5">
            <w:pPr>
              <w:ind w:left="215" w:hanging="215"/>
              <w:rPr>
                <w:rFonts w:eastAsia="Arial"/>
                <w:lang w:bidi="cs-CZ"/>
              </w:rPr>
            </w:pPr>
          </w:p>
          <w:p w14:paraId="15133BBB" w14:textId="77777777" w:rsidR="00236AB5" w:rsidRPr="008819AF" w:rsidRDefault="00236AB5" w:rsidP="00236AB5">
            <w:pPr>
              <w:ind w:left="215" w:hanging="1"/>
              <w:rPr>
                <w:rFonts w:eastAsia="Arial"/>
              </w:rPr>
            </w:pPr>
            <w:r w:rsidRPr="008819AF">
              <w:rPr>
                <w:rFonts w:eastAsia="Arial"/>
                <w:lang w:bidi="cs-CZ"/>
              </w:rPr>
              <w:t>Emisný limit pre každú jednotlivú znečisťujúcu látku a CO v odpadových plynoch, ktoré vznikajú pri spoluspaľovaní odpadu, sa vypočítava takto:</w:t>
            </w:r>
          </w:p>
          <w:p w14:paraId="15133BBC" w14:textId="77777777" w:rsidR="00236AB5" w:rsidRPr="008819AF" w:rsidRDefault="00236AB5" w:rsidP="00236AB5">
            <w:pPr>
              <w:ind w:left="781" w:hanging="781"/>
              <w:rPr>
                <w:rFonts w:eastAsia="Arial"/>
              </w:rPr>
            </w:pPr>
          </w:p>
          <w:p w14:paraId="15133BBD" w14:textId="77777777" w:rsidR="00236AB5" w:rsidRPr="008819AF" w:rsidRDefault="00236AB5" w:rsidP="00236AB5">
            <w:pPr>
              <w:ind w:left="781" w:hanging="781"/>
              <w:rPr>
                <w:rFonts w:eastAsia="Arial"/>
                <w:lang w:bidi="cs-CZ"/>
              </w:rPr>
            </w:pPr>
            <w:r w:rsidRPr="008819AF">
              <w:rPr>
                <w:rFonts w:eastAsia="Arial"/>
                <w:lang w:bidi="cs-CZ"/>
              </w:rPr>
              <w:t>Vodpad × Codpad + Vproces × Cproces</w:t>
            </w:r>
          </w:p>
          <w:p w14:paraId="15133BBE" w14:textId="77777777" w:rsidR="00236AB5" w:rsidRPr="008819AF" w:rsidRDefault="00236AB5" w:rsidP="00236AB5">
            <w:pPr>
              <w:ind w:left="781" w:hanging="781"/>
              <w:rPr>
                <w:rFonts w:eastAsia="Arial"/>
              </w:rPr>
            </w:pPr>
            <w:r w:rsidRPr="008819AF">
              <w:rPr>
                <w:rFonts w:eastAsia="Arial"/>
                <w:lang w:bidi="cs-CZ"/>
              </w:rPr>
              <w:t>-----------------------------------------------------------   = C</w:t>
            </w:r>
          </w:p>
          <w:p w14:paraId="15133BBF" w14:textId="77777777" w:rsidR="00236AB5" w:rsidRPr="008819AF" w:rsidRDefault="00236AB5" w:rsidP="00236AB5">
            <w:pPr>
              <w:ind w:left="781" w:hanging="781"/>
              <w:rPr>
                <w:rFonts w:eastAsia="Arial"/>
              </w:rPr>
            </w:pPr>
            <w:r w:rsidRPr="008819AF">
              <w:rPr>
                <w:rFonts w:eastAsia="Arial"/>
                <w:lang w:bidi="cs-CZ"/>
              </w:rPr>
              <w:t>Vodpad + Cproces</w:t>
            </w:r>
          </w:p>
          <w:p w14:paraId="15133BC0" w14:textId="77777777" w:rsidR="00236AB5" w:rsidRPr="008819AF" w:rsidRDefault="00236AB5" w:rsidP="00236AB5">
            <w:pPr>
              <w:ind w:left="781" w:hanging="781"/>
              <w:rPr>
                <w:rFonts w:eastAsia="Arial"/>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3897"/>
            </w:tblGrid>
            <w:tr w:rsidR="00236AB5" w:rsidRPr="008819AF" w14:paraId="15133BC4" w14:textId="77777777" w:rsidTr="00C57FCC">
              <w:trPr>
                <w:trHeight w:val="778"/>
              </w:trPr>
              <w:tc>
                <w:tcPr>
                  <w:tcW w:w="1206" w:type="dxa"/>
                </w:tcPr>
                <w:p w14:paraId="15133BC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Vodpad:</w:t>
                  </w:r>
                </w:p>
              </w:tc>
              <w:tc>
                <w:tcPr>
                  <w:tcW w:w="3897" w:type="dxa"/>
                </w:tcPr>
                <w:p w14:paraId="15133BC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objem odpadových plynov vznikajúcich výhradne pri spaľovaní odpadov určený z odpadov s najnižšou hodnotou spalného tepla uvedených v povolení a vzťahuje sa na podmienky stanovené v tejto smernici.</w:t>
                  </w:r>
                </w:p>
                <w:p w14:paraId="15133BC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Ak výsledné množstvo tepla uvoľneného pri spaľovaní nebezpečných odpadov dosahuje menej ako 10 % celkového množstva tepla uvoľneného v zariadení, musí sa Vodpad vypočítať z (teoretického) množstva odpadov, pri spaľovaní ktorých by sa uvoľnilo 10 % tepla pri konštantnom celkovom množstve tepla.</w:t>
                  </w:r>
                </w:p>
              </w:tc>
            </w:tr>
            <w:tr w:rsidR="00236AB5" w:rsidRPr="008819AF" w14:paraId="15133BC7" w14:textId="77777777" w:rsidTr="00C57FCC">
              <w:trPr>
                <w:trHeight w:val="114"/>
              </w:trPr>
              <w:tc>
                <w:tcPr>
                  <w:tcW w:w="1206" w:type="dxa"/>
                </w:tcPr>
                <w:p w14:paraId="15133BC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Codpad:</w:t>
                  </w:r>
                </w:p>
              </w:tc>
              <w:tc>
                <w:tcPr>
                  <w:tcW w:w="3897" w:type="dxa"/>
                </w:tcPr>
                <w:p w14:paraId="15133BC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emisné limity pre spaľovne odpadov stanovené v časti 3.</w:t>
                  </w:r>
                </w:p>
              </w:tc>
            </w:tr>
            <w:tr w:rsidR="00236AB5" w:rsidRPr="008819AF" w14:paraId="15133BCA" w14:textId="77777777" w:rsidTr="00C57FCC">
              <w:trPr>
                <w:trHeight w:val="486"/>
              </w:trPr>
              <w:tc>
                <w:tcPr>
                  <w:tcW w:w="1206" w:type="dxa"/>
                </w:tcPr>
                <w:p w14:paraId="15133BC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Vproces:</w:t>
                  </w:r>
                </w:p>
              </w:tc>
              <w:tc>
                <w:tcPr>
                  <w:tcW w:w="3897" w:type="dxa"/>
                </w:tcPr>
                <w:p w14:paraId="15133BC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objem odpadového plynu vznikajúceho pri procesoch používaných v zariadení vrátane spaľovania povolených palív, ktoré sa v zariadení bežne používajú (bez odpadov), určený na základe referenčného obsahu kyslíka stanoveného v právnych predpisoch </w:t>
                  </w:r>
                  <w:r w:rsidRPr="008819AF">
                    <w:rPr>
                      <w:rFonts w:ascii="Times New Roman" w:eastAsia="Arial" w:hAnsi="Times New Roman" w:cs="Times New Roman"/>
                      <w:color w:val="auto"/>
                      <w:sz w:val="20"/>
                      <w:szCs w:val="20"/>
                    </w:rPr>
                    <w:lastRenderedPageBreak/>
                    <w:t>Únie alebo vnútroštátnych právnych predpisoch. Ak pre tento druh zariadenia neexistujú právne predpisy, musí sa použiť skutočný obsah kyslíka v odpadovom plyne nezriedený pridaním vzduchu, ktorý je pre tento proces zbytočný.</w:t>
                  </w:r>
                </w:p>
              </w:tc>
            </w:tr>
            <w:tr w:rsidR="00236AB5" w:rsidRPr="008819AF" w14:paraId="15133BCD" w14:textId="77777777" w:rsidTr="00C57FCC">
              <w:trPr>
                <w:trHeight w:val="582"/>
              </w:trPr>
              <w:tc>
                <w:tcPr>
                  <w:tcW w:w="1206" w:type="dxa"/>
                </w:tcPr>
                <w:p w14:paraId="15133BC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Cproces:</w:t>
                  </w:r>
                </w:p>
              </w:tc>
              <w:tc>
                <w:tcPr>
                  <w:tcW w:w="3897" w:type="dxa"/>
                </w:tcPr>
                <w:p w14:paraId="15133BC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emisné limity stanovené v tejto časti pre určité priemyselné činnosti alebo v prípade, že takéto hodnoty neexistujú, emisné limity zo zariadení, ktoré vyhovujú vnútroštátnym zákonom, iným právnym predpisom a správnym opatreniam pre takéto zariadenia, ak spaľujú bežne povolené palivá (bez odpadov). Ak tieto opatrenia neexistujú, použijú sa emisné limity stanovené v povolení. Ak tieto hodnoty nie sú stanovené ani v povolení, použijú sa skutočné hmotnostné koncentrácie.</w:t>
                  </w:r>
                </w:p>
              </w:tc>
            </w:tr>
            <w:tr w:rsidR="00236AB5" w:rsidRPr="008819AF" w14:paraId="15133BD3" w14:textId="77777777" w:rsidTr="00C57FCC">
              <w:trPr>
                <w:trHeight w:val="582"/>
              </w:trPr>
              <w:tc>
                <w:tcPr>
                  <w:tcW w:w="1206" w:type="dxa"/>
                </w:tcPr>
                <w:p w14:paraId="15133BC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w:t>
                  </w:r>
                </w:p>
              </w:tc>
              <w:tc>
                <w:tcPr>
                  <w:tcW w:w="3897" w:type="dxa"/>
                </w:tcPr>
                <w:p w14:paraId="15133BC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celkové emisné limity pri obsahu kyslíka stanoveného v tejto časti pre určité priemyselné činnosti a určité znečisťujúce látky alebo v prípade, že takéto hodnoty neexistujú, celkové emisné limity, ktorými sa nahrádzajú emisné limity stanovené v špecifických prílohách k tejto smernici. Celkový obsah kyslíka, ktorým sa nahradí referenčný obsah kyslíka, sa vypočíta na základe vyššie uvedeného obsahu, pričom sa rešpektujú parciálne objemy.</w:t>
                  </w:r>
                </w:p>
                <w:p w14:paraId="15133BD0" w14:textId="77777777" w:rsidR="00236AB5" w:rsidRPr="008819AF" w:rsidRDefault="00236AB5" w:rsidP="00236AB5">
                  <w:pPr>
                    <w:pStyle w:val="Default"/>
                    <w:rPr>
                      <w:rFonts w:ascii="Times New Roman" w:eastAsia="Arial" w:hAnsi="Times New Roman" w:cs="Times New Roman"/>
                      <w:color w:val="auto"/>
                      <w:sz w:val="20"/>
                      <w:szCs w:val="20"/>
                    </w:rPr>
                  </w:pPr>
                </w:p>
                <w:p w14:paraId="15133BD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Všetky emisné limity sa vypočítavajú pri teplote 273,15 K, tlaku 101,3 kPa a po korekcii obsahu vodných pár v odpadových plynoch.</w:t>
                  </w:r>
                </w:p>
                <w:p w14:paraId="15133BD2" w14:textId="77777777" w:rsidR="00236AB5" w:rsidRPr="008819AF" w:rsidRDefault="00236AB5" w:rsidP="00236AB5">
                  <w:pPr>
                    <w:pStyle w:val="Default"/>
                    <w:rPr>
                      <w:rFonts w:ascii="Times New Roman" w:eastAsia="Arial" w:hAnsi="Times New Roman" w:cs="Times New Roman"/>
                      <w:color w:val="auto"/>
                      <w:sz w:val="20"/>
                      <w:szCs w:val="20"/>
                    </w:rPr>
                  </w:pPr>
                </w:p>
              </w:tc>
            </w:tr>
          </w:tbl>
          <w:p w14:paraId="15133BD4" w14:textId="77777777" w:rsidR="00236AB5" w:rsidRPr="008819AF" w:rsidRDefault="00236AB5" w:rsidP="00236AB5">
            <w:pPr>
              <w:ind w:left="781" w:hanging="781"/>
              <w:rPr>
                <w:rFonts w:eastAsia="Arial"/>
              </w:rPr>
            </w:pPr>
          </w:p>
          <w:p w14:paraId="15133BD5" w14:textId="77777777" w:rsidR="00236AB5" w:rsidRPr="008819AF" w:rsidRDefault="00236AB5" w:rsidP="00236AB5">
            <w:pPr>
              <w:ind w:left="215" w:hanging="1"/>
              <w:rPr>
                <w:rFonts w:eastAsia="Arial"/>
              </w:rPr>
            </w:pPr>
            <w:r w:rsidRPr="008819AF">
              <w:rPr>
                <w:rFonts w:eastAsia="Arial"/>
                <w:lang w:bidi="cs-CZ"/>
              </w:rPr>
              <w:t>Členské štáty môžu ustanoviť pravidlá, ktorými sa riadia výnimky stanovené v tejto časti.</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BD6"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BD7"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BD8" w14:textId="77777777" w:rsidR="00236AB5" w:rsidRPr="008819AF" w:rsidRDefault="00236AB5" w:rsidP="00236AB5">
            <w:pPr>
              <w:jc w:val="center"/>
            </w:pPr>
            <w:r w:rsidRPr="008819AF">
              <w:t>Pr.5</w:t>
            </w:r>
          </w:p>
          <w:p w14:paraId="15133BD9" w14:textId="77777777" w:rsidR="00236AB5" w:rsidRPr="008819AF" w:rsidRDefault="00236AB5" w:rsidP="00236AB5">
            <w:pPr>
              <w:jc w:val="center"/>
            </w:pPr>
            <w:r w:rsidRPr="008819AF">
              <w:t>Časť IV.</w:t>
            </w:r>
          </w:p>
          <w:p w14:paraId="15133BDA" w14:textId="77777777" w:rsidR="00236AB5" w:rsidRPr="008819AF" w:rsidRDefault="00236AB5"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15133BDB"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 xml:space="preserve">IV. EMISNÉ LIMITY PRE ZARIADENIA  NA SPOLUSPAĽOVANIE  ODPADOV </w:t>
            </w:r>
          </w:p>
          <w:p w14:paraId="15133BDC" w14:textId="77777777" w:rsidR="00236AB5" w:rsidRPr="008819AF" w:rsidRDefault="00236AB5" w:rsidP="00236AB5">
            <w:pPr>
              <w:pStyle w:val="Hlavika"/>
              <w:ind w:left="72" w:hanging="1"/>
              <w:rPr>
                <w:rFonts w:ascii="Times New Roman" w:hAnsi="Times New Roman" w:cs="Times New Roman"/>
              </w:rPr>
            </w:pPr>
          </w:p>
          <w:p w14:paraId="15133BDD"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 xml:space="preserve">1. Emisné limity pre zariadenia na spoluspaľovanie odpadov </w:t>
            </w:r>
          </w:p>
          <w:p w14:paraId="15133BDE" w14:textId="77777777" w:rsidR="00236AB5" w:rsidRPr="008819AF" w:rsidRDefault="00236AB5" w:rsidP="00236AB5">
            <w:pPr>
              <w:spacing w:before="120"/>
              <w:ind w:left="23"/>
              <w:rPr>
                <w:rFonts w:eastAsia="Arial"/>
              </w:rPr>
            </w:pPr>
            <w:r w:rsidRPr="008819AF">
              <w:rPr>
                <w:rFonts w:eastAsia="Arial"/>
              </w:rPr>
              <w:t>Ak pre znečisťujúcu látku a technológiu nie je emisný limit priamo ustanovený v ďalších bodoch, emisný limit sa určí výpočtom ako modifikovaný vážený priemer podľa tohto vzťahu:</w:t>
            </w:r>
          </w:p>
          <w:p w14:paraId="15133BDF" w14:textId="77777777" w:rsidR="00236AB5" w:rsidRPr="008819AF" w:rsidRDefault="00236AB5" w:rsidP="00236AB5">
            <w:pPr>
              <w:pStyle w:val="Hlavika"/>
              <w:ind w:left="72" w:hanging="1"/>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9"/>
              <w:gridCol w:w="118"/>
              <w:gridCol w:w="4253"/>
            </w:tblGrid>
            <w:tr w:rsidR="00236AB5" w:rsidRPr="008819AF" w14:paraId="15133BE3" w14:textId="77777777" w:rsidTr="00C57FCC">
              <w:trPr>
                <w:trHeight w:val="283"/>
                <w:jc w:val="center"/>
              </w:trPr>
              <w:tc>
                <w:tcPr>
                  <w:tcW w:w="857" w:type="dxa"/>
                  <w:gridSpan w:val="2"/>
                  <w:vAlign w:val="center"/>
                </w:tcPr>
                <w:p w14:paraId="15133BE0" w14:textId="77777777" w:rsidR="00236AB5" w:rsidRPr="008819AF" w:rsidRDefault="00236AB5" w:rsidP="00236AB5">
                  <w:pPr>
                    <w:pStyle w:val="Zkladntext20"/>
                    <w:keepNext w:val="0"/>
                    <w:numPr>
                      <w:ilvl w:val="12"/>
                      <w:numId w:val="0"/>
                    </w:numPr>
                    <w:spacing w:before="240" w:after="0"/>
                    <w:ind w:right="-108"/>
                    <w:jc w:val="left"/>
                    <w:rPr>
                      <w:b/>
                      <w:sz w:val="18"/>
                      <w:szCs w:val="18"/>
                    </w:rPr>
                  </w:pPr>
                  <w:r w:rsidRPr="008819AF">
                    <w:rPr>
                      <w:b/>
                      <w:sz w:val="18"/>
                      <w:szCs w:val="18"/>
                    </w:rPr>
                    <w:t>Podmienky platnosti EL</w:t>
                  </w:r>
                </w:p>
                <w:p w14:paraId="15133BE1" w14:textId="77777777" w:rsidR="00236AB5" w:rsidRPr="008819AF" w:rsidRDefault="00236AB5" w:rsidP="00236AB5">
                  <w:pPr>
                    <w:pStyle w:val="Zkladntext20"/>
                    <w:keepNext w:val="0"/>
                    <w:numPr>
                      <w:ilvl w:val="12"/>
                      <w:numId w:val="0"/>
                    </w:numPr>
                    <w:spacing w:before="0" w:after="0"/>
                    <w:ind w:right="-108"/>
                    <w:jc w:val="left"/>
                    <w:rPr>
                      <w:b/>
                      <w:sz w:val="18"/>
                      <w:szCs w:val="18"/>
                    </w:rPr>
                  </w:pPr>
                </w:p>
              </w:tc>
              <w:tc>
                <w:tcPr>
                  <w:tcW w:w="4253" w:type="dxa"/>
                  <w:vAlign w:val="center"/>
                </w:tcPr>
                <w:p w14:paraId="15133BE2" w14:textId="77777777" w:rsidR="00236AB5" w:rsidRPr="008819AF" w:rsidRDefault="00236AB5" w:rsidP="00236AB5">
                  <w:pPr>
                    <w:pStyle w:val="Zkladntext20"/>
                    <w:numPr>
                      <w:ilvl w:val="12"/>
                      <w:numId w:val="0"/>
                    </w:numPr>
                    <w:spacing w:before="0" w:after="0"/>
                    <w:jc w:val="left"/>
                    <w:rPr>
                      <w:sz w:val="18"/>
                      <w:szCs w:val="18"/>
                    </w:rPr>
                  </w:pPr>
                  <w:r w:rsidRPr="008819AF">
                    <w:rPr>
                      <w:sz w:val="18"/>
                      <w:szCs w:val="18"/>
                    </w:rPr>
                    <w:t>Štandardné stavové podmienky, suchý plyn</w:t>
                  </w:r>
                </w:p>
              </w:tc>
            </w:tr>
            <w:tr w:rsidR="00236AB5" w:rsidRPr="008819AF" w14:paraId="15133BE5" w14:textId="77777777" w:rsidTr="00C57FCC">
              <w:trPr>
                <w:trHeight w:val="283"/>
                <w:jc w:val="center"/>
              </w:trPr>
              <w:tc>
                <w:tcPr>
                  <w:tcW w:w="5110" w:type="dxa"/>
                  <w:gridSpan w:val="3"/>
                </w:tcPr>
                <w:p w14:paraId="15133BE4" w14:textId="77777777" w:rsidR="00236AB5" w:rsidRPr="008819AF" w:rsidRDefault="00236AB5" w:rsidP="00236AB5">
                  <w:pPr>
                    <w:pStyle w:val="Zkladntext20"/>
                    <w:keepNext w:val="0"/>
                    <w:spacing w:before="0"/>
                    <w:jc w:val="center"/>
                    <w:rPr>
                      <w:sz w:val="18"/>
                      <w:szCs w:val="18"/>
                    </w:rPr>
                  </w:pPr>
                  <w:r w:rsidRPr="008819AF">
                    <w:rPr>
                      <w:position w:val="-32"/>
                      <w:sz w:val="18"/>
                      <w:szCs w:val="18"/>
                    </w:rPr>
                    <w:object w:dxaOrig="3260" w:dyaOrig="740" w14:anchorId="15134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60.9pt;height:37.4pt" o:ole="">
                        <v:imagedata r:id="rId13" o:title=""/>
                      </v:shape>
                      <o:OLEObject Type="Embed" ProgID="Equation.3" ShapeID="_x0000_i1030" DrawAspect="Content" ObjectID="_1724661777" r:id="rId14"/>
                    </w:object>
                  </w:r>
                </w:p>
              </w:tc>
            </w:tr>
            <w:tr w:rsidR="00236AB5" w:rsidRPr="008819AF" w14:paraId="15133BEA" w14:textId="77777777" w:rsidTr="00C57FCC">
              <w:trPr>
                <w:trHeight w:val="283"/>
                <w:jc w:val="center"/>
              </w:trPr>
              <w:tc>
                <w:tcPr>
                  <w:tcW w:w="739" w:type="dxa"/>
                </w:tcPr>
                <w:p w14:paraId="15133BE6" w14:textId="77777777" w:rsidR="00236AB5" w:rsidRPr="008819AF" w:rsidRDefault="00236AB5" w:rsidP="00236AB5">
                  <w:pPr>
                    <w:pStyle w:val="Zkladntext20"/>
                    <w:keepNext w:val="0"/>
                    <w:spacing w:before="0"/>
                    <w:rPr>
                      <w:sz w:val="18"/>
                      <w:szCs w:val="18"/>
                    </w:rPr>
                  </w:pPr>
                  <w:r w:rsidRPr="008819AF">
                    <w:rPr>
                      <w:sz w:val="18"/>
                      <w:szCs w:val="18"/>
                    </w:rPr>
                    <w:t>C</w:t>
                  </w:r>
                </w:p>
              </w:tc>
              <w:tc>
                <w:tcPr>
                  <w:tcW w:w="4371" w:type="dxa"/>
                  <w:gridSpan w:val="2"/>
                </w:tcPr>
                <w:p w14:paraId="15133BE7" w14:textId="77777777" w:rsidR="00236AB5" w:rsidRPr="008819AF" w:rsidRDefault="00236AB5" w:rsidP="00236AB5">
                  <w:pPr>
                    <w:jc w:val="both"/>
                    <w:rPr>
                      <w:sz w:val="18"/>
                      <w:szCs w:val="18"/>
                    </w:rPr>
                  </w:pPr>
                  <w:r w:rsidRPr="008819AF">
                    <w:rPr>
                      <w:sz w:val="18"/>
                      <w:szCs w:val="18"/>
                    </w:rPr>
                    <w:t>Celková hodnota emisného limitu ustanovená pre zariadenia na spoluspaľovanie odpadov v tejto časti bodoch 2 až 4 pre určitý technologický proces a určitú znečisťujúcu látku; celková hodnota emisného limitu sa vzťahuje k určenému O</w:t>
                  </w:r>
                  <w:r w:rsidRPr="008819AF">
                    <w:rPr>
                      <w:sz w:val="18"/>
                      <w:szCs w:val="18"/>
                      <w:vertAlign w:val="subscript"/>
                    </w:rPr>
                    <w:t>2 ref</w:t>
                  </w:r>
                  <w:r w:rsidRPr="008819AF">
                    <w:rPr>
                      <w:sz w:val="18"/>
                      <w:szCs w:val="18"/>
                    </w:rPr>
                    <w:t xml:space="preserve">. </w:t>
                  </w:r>
                </w:p>
                <w:p w14:paraId="15133BE8" w14:textId="77777777" w:rsidR="00236AB5" w:rsidRPr="008819AF" w:rsidRDefault="00236AB5" w:rsidP="00236AB5">
                  <w:pPr>
                    <w:jc w:val="both"/>
                    <w:rPr>
                      <w:sz w:val="18"/>
                      <w:szCs w:val="18"/>
                    </w:rPr>
                  </w:pPr>
                  <w:r w:rsidRPr="008819AF">
                    <w:rPr>
                      <w:sz w:val="18"/>
                      <w:szCs w:val="18"/>
                    </w:rPr>
                    <w:t xml:space="preserve">Ak celková hodnota emisného limitu nie je ustanovená, ide o celkový emisný limit pre daný technologický proces, ktorým sa nahradí špecifický emisný limit z príloh č. 4, 6 a 7. </w:t>
                  </w:r>
                </w:p>
                <w:p w14:paraId="15133BE9" w14:textId="77777777" w:rsidR="00236AB5" w:rsidRPr="008819AF" w:rsidRDefault="00236AB5" w:rsidP="00236AB5">
                  <w:pPr>
                    <w:jc w:val="both"/>
                    <w:rPr>
                      <w:sz w:val="18"/>
                      <w:szCs w:val="18"/>
                    </w:rPr>
                  </w:pPr>
                  <w:r w:rsidRPr="008819AF">
                    <w:rPr>
                      <w:sz w:val="18"/>
                      <w:szCs w:val="18"/>
                    </w:rPr>
                    <w:t xml:space="preserve">Celkový obsah kyslíka, ktorým sa nahradí obsah kyslíka pre štandardizáciu, sa vypočíta na základe obsahu kyslíka, ako je uvedené ďalej, so zohľadnením parciálnych objemov. </w:t>
                  </w:r>
                </w:p>
              </w:tc>
            </w:tr>
            <w:tr w:rsidR="00236AB5" w:rsidRPr="008819AF" w14:paraId="15133BEE" w14:textId="77777777" w:rsidTr="00C57FCC">
              <w:trPr>
                <w:trHeight w:val="919"/>
                <w:jc w:val="center"/>
              </w:trPr>
              <w:tc>
                <w:tcPr>
                  <w:tcW w:w="739" w:type="dxa"/>
                  <w:vAlign w:val="center"/>
                </w:tcPr>
                <w:p w14:paraId="15133BEB" w14:textId="77777777" w:rsidR="00236AB5" w:rsidRPr="008819AF" w:rsidRDefault="00236AB5" w:rsidP="00236AB5">
                  <w:pPr>
                    <w:pStyle w:val="Zkladntext20"/>
                    <w:keepNext w:val="0"/>
                    <w:spacing w:before="0"/>
                    <w:jc w:val="left"/>
                    <w:rPr>
                      <w:sz w:val="18"/>
                      <w:szCs w:val="18"/>
                    </w:rPr>
                  </w:pPr>
                  <w:r w:rsidRPr="008819AF">
                    <w:rPr>
                      <w:sz w:val="18"/>
                      <w:szCs w:val="18"/>
                    </w:rPr>
                    <w:lastRenderedPageBreak/>
                    <w:t>V</w:t>
                  </w:r>
                  <w:r w:rsidRPr="008819AF">
                    <w:rPr>
                      <w:sz w:val="18"/>
                      <w:szCs w:val="18"/>
                      <w:vertAlign w:val="subscript"/>
                    </w:rPr>
                    <w:t>odpad</w:t>
                  </w:r>
                </w:p>
              </w:tc>
              <w:tc>
                <w:tcPr>
                  <w:tcW w:w="4371" w:type="dxa"/>
                  <w:gridSpan w:val="2"/>
                </w:tcPr>
                <w:p w14:paraId="15133BEC" w14:textId="77777777" w:rsidR="00236AB5" w:rsidRPr="008819AF" w:rsidRDefault="00236AB5" w:rsidP="00236AB5">
                  <w:pPr>
                    <w:jc w:val="both"/>
                    <w:rPr>
                      <w:sz w:val="18"/>
                      <w:szCs w:val="18"/>
                    </w:rPr>
                  </w:pPr>
                  <w:r w:rsidRPr="008819AF">
                    <w:rPr>
                      <w:sz w:val="18"/>
                      <w:szCs w:val="18"/>
                    </w:rPr>
                    <w:t>Objem spalín vznikajúcich výlučne zo spaľovania odpadov určený podľa odpadu s najnižšou výhrevnosťou určenou v povolení a prepočítaný na štandardné stavové podmienky.</w:t>
                  </w:r>
                </w:p>
                <w:p w14:paraId="15133BED" w14:textId="77777777" w:rsidR="00236AB5" w:rsidRPr="008819AF" w:rsidRDefault="00236AB5" w:rsidP="00236AB5">
                  <w:pPr>
                    <w:jc w:val="both"/>
                    <w:rPr>
                      <w:sz w:val="18"/>
                      <w:szCs w:val="18"/>
                    </w:rPr>
                  </w:pPr>
                  <w:r w:rsidRPr="008819AF">
                    <w:rPr>
                      <w:sz w:val="18"/>
                      <w:szCs w:val="18"/>
                    </w:rPr>
                    <w:t>Ak množstvo uvoľneného tepla zo spaľovania nebezpečného odpadu &lt; 10 % z celkového tepla uvoľneného z tohto zariadenia, hodnota V</w:t>
                  </w:r>
                  <w:r w:rsidRPr="008819AF">
                    <w:rPr>
                      <w:sz w:val="18"/>
                      <w:szCs w:val="18"/>
                      <w:vertAlign w:val="subscript"/>
                    </w:rPr>
                    <w:t>odpad</w:t>
                  </w:r>
                  <w:r w:rsidRPr="008819AF">
                    <w:rPr>
                      <w:sz w:val="18"/>
                      <w:szCs w:val="18"/>
                    </w:rPr>
                    <w:t xml:space="preserve"> sa vypočíta z (teoretického) množstva odpadu, pri spálení ktorého by sa uvoľnilo 10 % tepla pri stanovenej hodnote celkového uvoľneného tepla. </w:t>
                  </w:r>
                </w:p>
              </w:tc>
            </w:tr>
            <w:tr w:rsidR="00236AB5" w:rsidRPr="008819AF" w14:paraId="15133BF1" w14:textId="77777777" w:rsidTr="00C57FCC">
              <w:trPr>
                <w:trHeight w:val="283"/>
                <w:jc w:val="center"/>
              </w:trPr>
              <w:tc>
                <w:tcPr>
                  <w:tcW w:w="739" w:type="dxa"/>
                  <w:vAlign w:val="center"/>
                </w:tcPr>
                <w:p w14:paraId="15133BEF" w14:textId="77777777" w:rsidR="00236AB5" w:rsidRPr="008819AF" w:rsidRDefault="00236AB5" w:rsidP="00236AB5">
                  <w:pPr>
                    <w:pStyle w:val="Zkladntext20"/>
                    <w:keepNext w:val="0"/>
                    <w:spacing w:before="0"/>
                    <w:rPr>
                      <w:sz w:val="18"/>
                      <w:szCs w:val="18"/>
                    </w:rPr>
                  </w:pPr>
                  <w:r w:rsidRPr="008819AF">
                    <w:rPr>
                      <w:sz w:val="18"/>
                      <w:szCs w:val="18"/>
                    </w:rPr>
                    <w:t>C</w:t>
                  </w:r>
                  <w:r w:rsidRPr="008819AF">
                    <w:rPr>
                      <w:sz w:val="18"/>
                      <w:szCs w:val="18"/>
                      <w:vertAlign w:val="subscript"/>
                    </w:rPr>
                    <w:t>odpad</w:t>
                  </w:r>
                </w:p>
              </w:tc>
              <w:tc>
                <w:tcPr>
                  <w:tcW w:w="4371" w:type="dxa"/>
                  <w:gridSpan w:val="2"/>
                </w:tcPr>
                <w:p w14:paraId="15133BF0" w14:textId="77777777" w:rsidR="00236AB5" w:rsidRPr="008819AF" w:rsidRDefault="00236AB5" w:rsidP="00236AB5">
                  <w:pPr>
                    <w:pStyle w:val="Zkladntext20"/>
                    <w:keepNext w:val="0"/>
                    <w:spacing w:before="0"/>
                    <w:ind w:right="3"/>
                    <w:rPr>
                      <w:sz w:val="18"/>
                      <w:szCs w:val="18"/>
                    </w:rPr>
                  </w:pPr>
                  <w:r w:rsidRPr="008819AF">
                    <w:rPr>
                      <w:sz w:val="18"/>
                      <w:szCs w:val="18"/>
                    </w:rPr>
                    <w:t>Emisné limity platné pre spaľovne odpadov uvedené v tretej časti.</w:t>
                  </w:r>
                </w:p>
              </w:tc>
            </w:tr>
            <w:tr w:rsidR="00236AB5" w:rsidRPr="008819AF" w14:paraId="15133BF8" w14:textId="77777777" w:rsidTr="00C57FCC">
              <w:trPr>
                <w:trHeight w:val="283"/>
                <w:jc w:val="center"/>
              </w:trPr>
              <w:tc>
                <w:tcPr>
                  <w:tcW w:w="739" w:type="dxa"/>
                  <w:vAlign w:val="center"/>
                </w:tcPr>
                <w:p w14:paraId="15133BF2" w14:textId="77777777" w:rsidR="00236AB5" w:rsidRPr="008819AF" w:rsidRDefault="00236AB5" w:rsidP="00236AB5">
                  <w:pPr>
                    <w:pStyle w:val="Zkladntext20"/>
                    <w:keepNext w:val="0"/>
                    <w:spacing w:before="0"/>
                    <w:rPr>
                      <w:sz w:val="18"/>
                      <w:szCs w:val="18"/>
                    </w:rPr>
                  </w:pPr>
                  <w:r w:rsidRPr="008819AF">
                    <w:rPr>
                      <w:sz w:val="18"/>
                      <w:szCs w:val="18"/>
                    </w:rPr>
                    <w:t>V</w:t>
                  </w:r>
                  <w:r w:rsidRPr="008819AF">
                    <w:rPr>
                      <w:sz w:val="18"/>
                      <w:szCs w:val="18"/>
                      <w:vertAlign w:val="subscript"/>
                    </w:rPr>
                    <w:t>proces</w:t>
                  </w:r>
                </w:p>
                <w:p w14:paraId="15133BF3" w14:textId="77777777" w:rsidR="00236AB5" w:rsidRPr="008819AF" w:rsidRDefault="00236AB5" w:rsidP="00236AB5">
                  <w:pPr>
                    <w:pStyle w:val="Zkladntext20"/>
                    <w:keepNext w:val="0"/>
                    <w:spacing w:before="0"/>
                    <w:rPr>
                      <w:sz w:val="18"/>
                      <w:szCs w:val="18"/>
                      <w:vertAlign w:val="subscript"/>
                    </w:rPr>
                  </w:pPr>
                </w:p>
                <w:p w14:paraId="15133BF4" w14:textId="77777777" w:rsidR="00236AB5" w:rsidRPr="008819AF" w:rsidRDefault="00236AB5" w:rsidP="00236AB5">
                  <w:pPr>
                    <w:pStyle w:val="Zkladntext20"/>
                    <w:keepNext w:val="0"/>
                    <w:spacing w:before="0"/>
                    <w:rPr>
                      <w:sz w:val="18"/>
                      <w:szCs w:val="18"/>
                    </w:rPr>
                  </w:pPr>
                </w:p>
              </w:tc>
              <w:tc>
                <w:tcPr>
                  <w:tcW w:w="4371" w:type="dxa"/>
                  <w:gridSpan w:val="2"/>
                </w:tcPr>
                <w:p w14:paraId="15133BF5" w14:textId="77777777" w:rsidR="00236AB5" w:rsidRPr="008819AF" w:rsidRDefault="00236AB5" w:rsidP="00236AB5">
                  <w:pPr>
                    <w:pStyle w:val="Zkladntext20"/>
                    <w:keepNext w:val="0"/>
                    <w:spacing w:before="0" w:after="0"/>
                    <w:rPr>
                      <w:sz w:val="18"/>
                      <w:szCs w:val="18"/>
                    </w:rPr>
                  </w:pPr>
                  <w:r w:rsidRPr="008819AF">
                    <w:rPr>
                      <w:sz w:val="18"/>
                      <w:szCs w:val="18"/>
                    </w:rPr>
                    <w:t>Objem odpadových plynov zo zariadenia príslušného procesu vrátane spaľovania povolených a v procese bežne používaných palív okrem odpadov:</w:t>
                  </w:r>
                </w:p>
                <w:p w14:paraId="15133BF6" w14:textId="77777777" w:rsidR="00236AB5" w:rsidRPr="008819AF" w:rsidRDefault="00236AB5" w:rsidP="00236AB5">
                  <w:pPr>
                    <w:pStyle w:val="Odsekzoznamu"/>
                    <w:numPr>
                      <w:ilvl w:val="0"/>
                      <w:numId w:val="94"/>
                    </w:numPr>
                    <w:contextualSpacing/>
                    <w:jc w:val="both"/>
                    <w:rPr>
                      <w:sz w:val="18"/>
                      <w:szCs w:val="18"/>
                    </w:rPr>
                  </w:pPr>
                  <w:r w:rsidRPr="008819AF">
                    <w:rPr>
                      <w:sz w:val="18"/>
                      <w:szCs w:val="18"/>
                    </w:rPr>
                    <w:t>po prepočte na O</w:t>
                  </w:r>
                  <w:r w:rsidRPr="008819AF">
                    <w:rPr>
                      <w:sz w:val="18"/>
                      <w:szCs w:val="18"/>
                      <w:vertAlign w:val="subscript"/>
                    </w:rPr>
                    <w:t>2 ref</w:t>
                  </w:r>
                  <w:r w:rsidRPr="008819AF">
                    <w:rPr>
                      <w:sz w:val="18"/>
                      <w:szCs w:val="18"/>
                    </w:rPr>
                    <w:t>, ako je ustanovený  pre daný proces alebo zariadenie podľa príloh č. 4, 6 a 7,</w:t>
                  </w:r>
                </w:p>
                <w:p w14:paraId="15133BF7" w14:textId="77777777" w:rsidR="00236AB5" w:rsidRPr="008819AF" w:rsidRDefault="00236AB5" w:rsidP="00236AB5">
                  <w:pPr>
                    <w:pStyle w:val="Odsekzoznamu"/>
                    <w:numPr>
                      <w:ilvl w:val="0"/>
                      <w:numId w:val="94"/>
                    </w:numPr>
                    <w:contextualSpacing/>
                    <w:jc w:val="both"/>
                    <w:rPr>
                      <w:sz w:val="18"/>
                      <w:szCs w:val="18"/>
                    </w:rPr>
                  </w:pPr>
                  <w:r w:rsidRPr="008819AF">
                    <w:rPr>
                      <w:sz w:val="18"/>
                      <w:szCs w:val="18"/>
                    </w:rPr>
                    <w:t>ak pre daný proces nie je O</w:t>
                  </w:r>
                  <w:r w:rsidRPr="008819AF">
                    <w:rPr>
                      <w:sz w:val="18"/>
                      <w:szCs w:val="18"/>
                      <w:vertAlign w:val="subscript"/>
                    </w:rPr>
                    <w:t>2 ref</w:t>
                  </w:r>
                  <w:r w:rsidRPr="008819AF">
                    <w:rPr>
                      <w:sz w:val="18"/>
                      <w:szCs w:val="18"/>
                    </w:rPr>
                    <w:t xml:space="preserve"> ustanovený, použije sa skutočný obsah O</w:t>
                  </w:r>
                  <w:r w:rsidRPr="008819AF">
                    <w:rPr>
                      <w:sz w:val="18"/>
                      <w:szCs w:val="18"/>
                      <w:vertAlign w:val="subscript"/>
                    </w:rPr>
                    <w:t>2</w:t>
                  </w:r>
                  <w:r w:rsidRPr="008819AF">
                    <w:rPr>
                      <w:sz w:val="18"/>
                      <w:szCs w:val="18"/>
                    </w:rPr>
                    <w:t xml:space="preserve">  v odpadovom plyne, pričom množstvo vzduchu pridané na zrieďovanie, prebytočné pre technologicky proces, sa odrátava.</w:t>
                  </w:r>
                </w:p>
              </w:tc>
            </w:tr>
          </w:tbl>
          <w:p w14:paraId="15133BF9" w14:textId="77777777" w:rsidR="00236AB5" w:rsidRPr="008819AF" w:rsidRDefault="00236AB5" w:rsidP="00236AB5">
            <w:pPr>
              <w:pStyle w:val="Hlavika"/>
              <w:ind w:left="72" w:hanging="1"/>
              <w:rPr>
                <w:rFonts w:ascii="Times New Roman" w:hAnsi="Times New Roman" w:cs="Times New Roman"/>
              </w:rPr>
            </w:pPr>
          </w:p>
          <w:p w14:paraId="15133BFA" w14:textId="77777777" w:rsidR="00236AB5" w:rsidRPr="008819AF" w:rsidRDefault="00236AB5" w:rsidP="00236AB5">
            <w:pPr>
              <w:pStyle w:val="Hlavika"/>
              <w:ind w:left="72" w:hanging="1"/>
              <w:rPr>
                <w:rFonts w:ascii="Times New Roman" w:hAnsi="Times New Roman" w:cs="Times New Roman"/>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3BFB"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BFC" w14:textId="77777777" w:rsidR="00236AB5" w:rsidRPr="008819AF" w:rsidRDefault="00236AB5" w:rsidP="00236AB5">
            <w:pPr>
              <w:ind w:left="215" w:hanging="215"/>
              <w:rPr>
                <w:rFonts w:eastAsia="Arial"/>
              </w:rPr>
            </w:pPr>
          </w:p>
        </w:tc>
      </w:tr>
      <w:tr w:rsidR="00236AB5" w:rsidRPr="008819AF" w14:paraId="15133C6A" w14:textId="77777777" w:rsidTr="003E351D">
        <w:trPr>
          <w:gridAfter w:val="1"/>
          <w:wAfter w:w="62" w:type="dxa"/>
          <w:trHeight w:val="8990"/>
          <w:jc w:val="center"/>
        </w:trPr>
        <w:tc>
          <w:tcPr>
            <w:tcW w:w="483" w:type="dxa"/>
            <w:tcBorders>
              <w:top w:val="single" w:sz="4" w:space="0" w:color="000000"/>
              <w:left w:val="single" w:sz="6" w:space="0" w:color="000000"/>
              <w:bottom w:val="single" w:sz="6" w:space="0" w:color="000000"/>
              <w:right w:val="single" w:sz="6" w:space="0" w:color="000000"/>
            </w:tcBorders>
          </w:tcPr>
          <w:p w14:paraId="15133BFE"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BFF" w14:textId="77777777" w:rsidR="00236AB5" w:rsidRPr="008819AF" w:rsidRDefault="00236AB5" w:rsidP="00236AB5">
            <w:pPr>
              <w:rPr>
                <w:rFonts w:eastAsia="Arial"/>
                <w:lang w:bidi="cs-CZ"/>
              </w:rPr>
            </w:pPr>
            <w:r w:rsidRPr="008819AF">
              <w:rPr>
                <w:rFonts w:eastAsia="Arial"/>
                <w:lang w:bidi="cs-CZ"/>
              </w:rPr>
              <w:t>2. Osobitné ustanovenia pre cementové pece na spoluspaľovanie odpadov</w:t>
            </w:r>
          </w:p>
          <w:p w14:paraId="15133C00" w14:textId="77777777" w:rsidR="00236AB5" w:rsidRPr="008819AF" w:rsidRDefault="00236AB5" w:rsidP="00236AB5">
            <w:pPr>
              <w:ind w:left="215" w:hanging="215"/>
              <w:rPr>
                <w:rFonts w:eastAsia="Arial"/>
              </w:rPr>
            </w:pPr>
          </w:p>
          <w:p w14:paraId="15133C01" w14:textId="77777777" w:rsidR="00236AB5" w:rsidRPr="008819AF" w:rsidRDefault="00236AB5" w:rsidP="00236AB5">
            <w:pPr>
              <w:ind w:left="215" w:hanging="215"/>
              <w:rPr>
                <w:rFonts w:eastAsia="Arial"/>
                <w:lang w:bidi="cs-CZ"/>
              </w:rPr>
            </w:pPr>
            <w:r w:rsidRPr="008819AF">
              <w:rPr>
                <w:rFonts w:eastAsia="Arial"/>
                <w:lang w:bidi="cs-CZ"/>
              </w:rPr>
              <w:t>2.1. Emisné limity stanovené v bodoch 2.2 a 2.3 sa uplatňujú ako denné priemerné hodnoty pre celkové množstvo prachu, HCl, HF, NOx, SO2 a TOC (pre kontinuálne merania), ako priemerné hodnoty počas odoberania vzoriek, ktoré trvá minimálne 30 minút a maximálne 8 hodín pre ťažké kovy, a ako priemerné hodnoty počas odoberania vzoriek, ktoré trvá minimálne 6 hodín a maximálne 8 hodín pre dioxíny a furány.</w:t>
            </w:r>
          </w:p>
          <w:p w14:paraId="15133C02" w14:textId="77777777" w:rsidR="00236AB5" w:rsidRPr="008819AF" w:rsidRDefault="00236AB5" w:rsidP="00236AB5">
            <w:pPr>
              <w:ind w:left="215" w:hanging="1"/>
              <w:rPr>
                <w:rFonts w:eastAsia="Arial"/>
                <w:lang w:bidi="cs-CZ"/>
              </w:rPr>
            </w:pPr>
            <w:r w:rsidRPr="008819AF">
              <w:rPr>
                <w:rFonts w:eastAsia="Arial"/>
                <w:lang w:bidi="cs-CZ"/>
              </w:rPr>
              <w:t>Všetky hodnoty sa vzťahujú na 10 % obsah kyslíka.</w:t>
            </w:r>
          </w:p>
          <w:p w14:paraId="15133C03" w14:textId="77777777" w:rsidR="00236AB5" w:rsidRPr="008819AF" w:rsidRDefault="00236AB5" w:rsidP="00236AB5">
            <w:pPr>
              <w:ind w:left="215" w:hanging="1"/>
              <w:rPr>
                <w:rFonts w:eastAsia="Arial"/>
              </w:rPr>
            </w:pPr>
            <w:r w:rsidRPr="008819AF">
              <w:rPr>
                <w:rFonts w:eastAsia="Arial"/>
                <w:lang w:bidi="cs-CZ"/>
              </w:rPr>
              <w:t>Polhodinové priemerné hodnoty sú potrebné iba na výpočet denných priemerných hodnôt.</w:t>
            </w:r>
          </w:p>
          <w:p w14:paraId="15133C04" w14:textId="77777777" w:rsidR="00236AB5" w:rsidRPr="008819AF" w:rsidRDefault="00236AB5" w:rsidP="00236AB5">
            <w:pPr>
              <w:ind w:left="356" w:hanging="356"/>
              <w:rPr>
                <w:rFonts w:eastAsia="Arial"/>
                <w:lang w:bidi="cs-CZ"/>
              </w:rPr>
            </w:pPr>
            <w:r w:rsidRPr="008819AF">
              <w:rPr>
                <w:rFonts w:eastAsia="Arial"/>
                <w:lang w:bidi="cs-CZ"/>
              </w:rPr>
              <w:t>2.2.  C – Celkové emisné limity (mg/Nm3 s výnimkou dioxínov a furánov) pre tieto znečisťujúce látky</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9"/>
              <w:gridCol w:w="1731"/>
            </w:tblGrid>
            <w:tr w:rsidR="00236AB5" w:rsidRPr="008819AF" w14:paraId="15133C07"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15133C0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Znečisťujúca látka</w:t>
                  </w:r>
                </w:p>
              </w:tc>
              <w:tc>
                <w:tcPr>
                  <w:tcW w:w="1492" w:type="dxa"/>
                  <w:tcBorders>
                    <w:top w:val="single" w:sz="4" w:space="0" w:color="000000"/>
                    <w:left w:val="single" w:sz="4" w:space="0" w:color="000000"/>
                    <w:bottom w:val="single" w:sz="4" w:space="0" w:color="000000"/>
                    <w:right w:val="single" w:sz="4" w:space="0" w:color="000000"/>
                  </w:tcBorders>
                </w:tcPr>
                <w:p w14:paraId="15133C0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w:t>
                  </w:r>
                </w:p>
              </w:tc>
            </w:tr>
            <w:tr w:rsidR="00236AB5" w:rsidRPr="008819AF" w14:paraId="15133C0A"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15133C0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Celkové množstvo prachu</w:t>
                  </w:r>
                </w:p>
              </w:tc>
              <w:tc>
                <w:tcPr>
                  <w:tcW w:w="1492" w:type="dxa"/>
                  <w:tcBorders>
                    <w:top w:val="single" w:sz="4" w:space="0" w:color="000000"/>
                    <w:left w:val="single" w:sz="4" w:space="0" w:color="000000"/>
                    <w:bottom w:val="single" w:sz="4" w:space="0" w:color="000000"/>
                    <w:right w:val="single" w:sz="4" w:space="0" w:color="000000"/>
                  </w:tcBorders>
                </w:tcPr>
                <w:p w14:paraId="15133C0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r>
            <w:tr w:rsidR="00236AB5" w:rsidRPr="008819AF" w14:paraId="15133C0D"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15133C0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HCl</w:t>
                  </w:r>
                </w:p>
              </w:tc>
              <w:tc>
                <w:tcPr>
                  <w:tcW w:w="1492" w:type="dxa"/>
                  <w:tcBorders>
                    <w:top w:val="single" w:sz="4" w:space="0" w:color="000000"/>
                    <w:left w:val="single" w:sz="4" w:space="0" w:color="000000"/>
                    <w:bottom w:val="single" w:sz="4" w:space="0" w:color="000000"/>
                    <w:right w:val="single" w:sz="4" w:space="0" w:color="000000"/>
                  </w:tcBorders>
                </w:tcPr>
                <w:p w14:paraId="15133C0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r>
            <w:tr w:rsidR="00236AB5" w:rsidRPr="008819AF" w14:paraId="15133C10"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15133C0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HF</w:t>
                  </w:r>
                </w:p>
              </w:tc>
              <w:tc>
                <w:tcPr>
                  <w:tcW w:w="1492" w:type="dxa"/>
                  <w:tcBorders>
                    <w:top w:val="single" w:sz="4" w:space="0" w:color="000000"/>
                    <w:left w:val="single" w:sz="4" w:space="0" w:color="000000"/>
                    <w:bottom w:val="single" w:sz="4" w:space="0" w:color="000000"/>
                    <w:right w:val="single" w:sz="4" w:space="0" w:color="000000"/>
                  </w:tcBorders>
                </w:tcPr>
                <w:p w14:paraId="15133C0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w:t>
                  </w:r>
                </w:p>
              </w:tc>
            </w:tr>
            <w:tr w:rsidR="00236AB5" w:rsidRPr="008819AF" w14:paraId="15133C13" w14:textId="77777777" w:rsidTr="00C57FCC">
              <w:trPr>
                <w:trHeight w:val="114"/>
              </w:trPr>
              <w:tc>
                <w:tcPr>
                  <w:tcW w:w="3611" w:type="dxa"/>
                  <w:tcBorders>
                    <w:top w:val="single" w:sz="4" w:space="0" w:color="000000"/>
                    <w:left w:val="single" w:sz="4" w:space="0" w:color="000000"/>
                    <w:bottom w:val="single" w:sz="4" w:space="0" w:color="000000"/>
                    <w:right w:val="single" w:sz="4" w:space="0" w:color="000000"/>
                  </w:tcBorders>
                </w:tcPr>
                <w:p w14:paraId="15133C1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NOx</w:t>
                  </w:r>
                </w:p>
              </w:tc>
              <w:tc>
                <w:tcPr>
                  <w:tcW w:w="1492" w:type="dxa"/>
                  <w:tcBorders>
                    <w:top w:val="single" w:sz="4" w:space="0" w:color="000000"/>
                    <w:left w:val="single" w:sz="4" w:space="0" w:color="000000"/>
                    <w:bottom w:val="single" w:sz="4" w:space="0" w:color="000000"/>
                    <w:right w:val="single" w:sz="4" w:space="0" w:color="000000"/>
                  </w:tcBorders>
                </w:tcPr>
                <w:p w14:paraId="15133C1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500 (1)</w:t>
                  </w:r>
                </w:p>
              </w:tc>
            </w:tr>
            <w:tr w:rsidR="00236AB5" w:rsidRPr="008819AF" w14:paraId="15133C16"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15133C1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Cd + Tl</w:t>
                  </w:r>
                </w:p>
              </w:tc>
              <w:tc>
                <w:tcPr>
                  <w:tcW w:w="1492" w:type="dxa"/>
                  <w:tcBorders>
                    <w:top w:val="single" w:sz="4" w:space="0" w:color="000000"/>
                    <w:left w:val="single" w:sz="4" w:space="0" w:color="000000"/>
                    <w:bottom w:val="single" w:sz="4" w:space="0" w:color="000000"/>
                    <w:right w:val="single" w:sz="4" w:space="0" w:color="000000"/>
                  </w:tcBorders>
                </w:tcPr>
                <w:p w14:paraId="15133C1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0,05</w:t>
                  </w:r>
                </w:p>
              </w:tc>
            </w:tr>
            <w:tr w:rsidR="00236AB5" w:rsidRPr="008819AF" w14:paraId="15133C19"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15133C1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Hg</w:t>
                  </w:r>
                </w:p>
              </w:tc>
              <w:tc>
                <w:tcPr>
                  <w:tcW w:w="1492" w:type="dxa"/>
                  <w:tcBorders>
                    <w:top w:val="single" w:sz="4" w:space="0" w:color="000000"/>
                    <w:left w:val="single" w:sz="4" w:space="0" w:color="000000"/>
                    <w:bottom w:val="single" w:sz="4" w:space="0" w:color="000000"/>
                    <w:right w:val="single" w:sz="4" w:space="0" w:color="000000"/>
                  </w:tcBorders>
                </w:tcPr>
                <w:p w14:paraId="15133C1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0,05</w:t>
                  </w:r>
                </w:p>
              </w:tc>
            </w:tr>
            <w:tr w:rsidR="00236AB5" w:rsidRPr="008819AF" w14:paraId="15133C1C"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15133C1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Sb + As + Pb + Cr + Co + Cu + Mn + Ni + V</w:t>
                  </w:r>
                </w:p>
              </w:tc>
              <w:tc>
                <w:tcPr>
                  <w:tcW w:w="1492" w:type="dxa"/>
                  <w:tcBorders>
                    <w:top w:val="single" w:sz="4" w:space="0" w:color="000000"/>
                    <w:left w:val="single" w:sz="4" w:space="0" w:color="000000"/>
                    <w:bottom w:val="single" w:sz="4" w:space="0" w:color="000000"/>
                    <w:right w:val="single" w:sz="4" w:space="0" w:color="000000"/>
                  </w:tcBorders>
                </w:tcPr>
                <w:p w14:paraId="15133C1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0,5</w:t>
                  </w:r>
                </w:p>
              </w:tc>
            </w:tr>
            <w:tr w:rsidR="00236AB5" w:rsidRPr="008819AF" w14:paraId="15133C1F" w14:textId="77777777" w:rsidTr="00C57FCC">
              <w:trPr>
                <w:trHeight w:val="109"/>
              </w:trPr>
              <w:tc>
                <w:tcPr>
                  <w:tcW w:w="3611" w:type="dxa"/>
                  <w:tcBorders>
                    <w:top w:val="single" w:sz="4" w:space="0" w:color="000000"/>
                    <w:left w:val="single" w:sz="4" w:space="0" w:color="000000"/>
                    <w:bottom w:val="single" w:sz="4" w:space="0" w:color="000000"/>
                    <w:right w:val="single" w:sz="4" w:space="0" w:color="000000"/>
                  </w:tcBorders>
                </w:tcPr>
                <w:p w14:paraId="15133C1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Dioxíny a furány (ng/Nm3)</w:t>
                  </w:r>
                </w:p>
              </w:tc>
              <w:tc>
                <w:tcPr>
                  <w:tcW w:w="1492" w:type="dxa"/>
                  <w:tcBorders>
                    <w:top w:val="single" w:sz="4" w:space="0" w:color="000000"/>
                    <w:left w:val="single" w:sz="4" w:space="0" w:color="000000"/>
                    <w:bottom w:val="single" w:sz="4" w:space="0" w:color="000000"/>
                    <w:right w:val="single" w:sz="4" w:space="0" w:color="000000"/>
                  </w:tcBorders>
                </w:tcPr>
                <w:p w14:paraId="15133C1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0,1</w:t>
                  </w:r>
                </w:p>
              </w:tc>
            </w:tr>
          </w:tbl>
          <w:p w14:paraId="15133C20" w14:textId="77777777" w:rsidR="00236AB5" w:rsidRPr="008819AF" w:rsidRDefault="00236AB5" w:rsidP="00236AB5">
            <w:pPr>
              <w:ind w:left="215" w:hanging="215"/>
              <w:rPr>
                <w:rFonts w:eastAsia="Arial"/>
              </w:rPr>
            </w:pPr>
          </w:p>
          <w:p w14:paraId="15133C21" w14:textId="77777777" w:rsidR="00236AB5" w:rsidRPr="008819AF" w:rsidRDefault="00236AB5" w:rsidP="00236AB5">
            <w:pPr>
              <w:ind w:left="215" w:hanging="215"/>
              <w:rPr>
                <w:rFonts w:eastAsia="Arial"/>
              </w:rPr>
            </w:pPr>
            <w:r w:rsidRPr="008819AF">
              <w:rPr>
                <w:rFonts w:eastAsia="Arial"/>
                <w:lang w:bidi="cs-CZ"/>
              </w:rPr>
              <w:t>(1) Do 1. januára 2016 môže príslušný orgán povoliť výnimky z limitných hodnôt pre NOx pre Lepol pece a dlhé rotačné pece za predpokladu, že v povolení je stanovená celková emisný limit pre NOx maximálne 800 mg/Nm3.</w:t>
            </w:r>
          </w:p>
          <w:p w14:paraId="15133C22" w14:textId="77777777" w:rsidR="00236AB5" w:rsidRPr="008819AF" w:rsidRDefault="00236AB5" w:rsidP="00236AB5">
            <w:pPr>
              <w:ind w:left="215" w:hanging="215"/>
              <w:rPr>
                <w:rFonts w:eastAsia="Arial"/>
              </w:rPr>
            </w:pPr>
            <w:r w:rsidRPr="008819AF">
              <w:rPr>
                <w:rFonts w:eastAsia="Arial"/>
              </w:rPr>
              <w:t>----------------------------------------------------------------------------</w:t>
            </w:r>
          </w:p>
          <w:p w14:paraId="15133C23" w14:textId="77777777" w:rsidR="00236AB5" w:rsidRPr="008819AF" w:rsidRDefault="00236AB5" w:rsidP="00236AB5">
            <w:pPr>
              <w:ind w:left="356" w:hanging="356"/>
              <w:rPr>
                <w:rFonts w:eastAsia="Arial"/>
                <w:lang w:bidi="cs-CZ"/>
              </w:rPr>
            </w:pPr>
            <w:r w:rsidRPr="008819AF">
              <w:rPr>
                <w:rFonts w:eastAsia="Arial"/>
                <w:lang w:bidi="cs-CZ"/>
              </w:rPr>
              <w:t>2.3.  C – Celkové emisné limity (mg/Nm3) pre SO2 a TOC</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4"/>
              <w:gridCol w:w="1209"/>
            </w:tblGrid>
            <w:tr w:rsidR="00236AB5" w:rsidRPr="008819AF" w14:paraId="15133C26" w14:textId="77777777">
              <w:trPr>
                <w:trHeight w:val="90"/>
              </w:trPr>
              <w:tc>
                <w:tcPr>
                  <w:tcW w:w="3894" w:type="dxa"/>
                  <w:tcBorders>
                    <w:top w:val="single" w:sz="4" w:space="0" w:color="000000"/>
                    <w:left w:val="single" w:sz="4" w:space="0" w:color="000000"/>
                    <w:bottom w:val="single" w:sz="4" w:space="0" w:color="000000"/>
                    <w:right w:val="single" w:sz="4" w:space="0" w:color="000000"/>
                  </w:tcBorders>
                </w:tcPr>
                <w:p w14:paraId="15133C2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Znečisťujúca látka</w:t>
                  </w:r>
                </w:p>
              </w:tc>
              <w:tc>
                <w:tcPr>
                  <w:tcW w:w="1209" w:type="dxa"/>
                  <w:tcBorders>
                    <w:top w:val="single" w:sz="4" w:space="0" w:color="000000"/>
                    <w:left w:val="single" w:sz="4" w:space="0" w:color="000000"/>
                    <w:bottom w:val="single" w:sz="4" w:space="0" w:color="000000"/>
                    <w:right w:val="single" w:sz="4" w:space="0" w:color="000000"/>
                  </w:tcBorders>
                </w:tcPr>
                <w:p w14:paraId="15133C2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w:t>
                  </w:r>
                </w:p>
              </w:tc>
            </w:tr>
            <w:tr w:rsidR="00236AB5" w:rsidRPr="008819AF" w14:paraId="15133C29" w14:textId="77777777">
              <w:trPr>
                <w:trHeight w:val="114"/>
              </w:trPr>
              <w:tc>
                <w:tcPr>
                  <w:tcW w:w="3894" w:type="dxa"/>
                  <w:tcBorders>
                    <w:top w:val="single" w:sz="4" w:space="0" w:color="000000"/>
                    <w:left w:val="single" w:sz="4" w:space="0" w:color="000000"/>
                    <w:bottom w:val="single" w:sz="4" w:space="0" w:color="000000"/>
                    <w:right w:val="single" w:sz="4" w:space="0" w:color="000000"/>
                  </w:tcBorders>
                </w:tcPr>
                <w:p w14:paraId="15133C2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SO2</w:t>
                  </w:r>
                </w:p>
              </w:tc>
              <w:tc>
                <w:tcPr>
                  <w:tcW w:w="1209" w:type="dxa"/>
                  <w:tcBorders>
                    <w:top w:val="single" w:sz="4" w:space="0" w:color="000000"/>
                    <w:left w:val="single" w:sz="4" w:space="0" w:color="000000"/>
                    <w:bottom w:val="single" w:sz="4" w:space="0" w:color="000000"/>
                    <w:right w:val="single" w:sz="4" w:space="0" w:color="000000"/>
                  </w:tcBorders>
                </w:tcPr>
                <w:p w14:paraId="15133C2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r>
            <w:tr w:rsidR="00236AB5" w:rsidRPr="008819AF" w14:paraId="15133C2C" w14:textId="77777777">
              <w:trPr>
                <w:trHeight w:val="103"/>
              </w:trPr>
              <w:tc>
                <w:tcPr>
                  <w:tcW w:w="3894" w:type="dxa"/>
                  <w:tcBorders>
                    <w:top w:val="single" w:sz="4" w:space="0" w:color="000000"/>
                    <w:left w:val="single" w:sz="4" w:space="0" w:color="000000"/>
                    <w:bottom w:val="single" w:sz="4" w:space="0" w:color="000000"/>
                    <w:right w:val="single" w:sz="4" w:space="0" w:color="000000"/>
                  </w:tcBorders>
                </w:tcPr>
                <w:p w14:paraId="15133C2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TOC</w:t>
                  </w:r>
                </w:p>
              </w:tc>
              <w:tc>
                <w:tcPr>
                  <w:tcW w:w="1209" w:type="dxa"/>
                  <w:tcBorders>
                    <w:top w:val="single" w:sz="4" w:space="0" w:color="000000"/>
                    <w:left w:val="single" w:sz="4" w:space="0" w:color="000000"/>
                    <w:bottom w:val="single" w:sz="4" w:space="0" w:color="000000"/>
                    <w:right w:val="single" w:sz="4" w:space="0" w:color="000000"/>
                  </w:tcBorders>
                </w:tcPr>
                <w:p w14:paraId="15133C2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r>
          </w:tbl>
          <w:p w14:paraId="15133C2D" w14:textId="77777777" w:rsidR="00236AB5" w:rsidRPr="008819AF" w:rsidRDefault="00236AB5" w:rsidP="00236AB5">
            <w:pPr>
              <w:ind w:left="356" w:hanging="356"/>
              <w:rPr>
                <w:rFonts w:eastAsia="Arial"/>
                <w:lang w:bidi="cs-CZ"/>
              </w:rPr>
            </w:pPr>
          </w:p>
          <w:p w14:paraId="15133C2E" w14:textId="77777777" w:rsidR="00236AB5" w:rsidRPr="008819AF" w:rsidRDefault="00236AB5" w:rsidP="00236AB5">
            <w:pPr>
              <w:rPr>
                <w:rFonts w:eastAsia="Arial"/>
                <w:lang w:bidi="cs-CZ"/>
              </w:rPr>
            </w:pPr>
            <w:r w:rsidRPr="008819AF">
              <w:rPr>
                <w:rFonts w:eastAsia="Arial"/>
                <w:lang w:bidi="cs-CZ"/>
              </w:rPr>
              <w:t>Príslušný orgán môže povoliť výnimky pre emisné limity stanovené v tomto bode v prípadoch, keď TOC a SO2 nevznikajú spoluspaľovaním odpadov.</w:t>
            </w:r>
          </w:p>
          <w:p w14:paraId="15133C2F" w14:textId="77777777" w:rsidR="00236AB5" w:rsidRPr="008819AF" w:rsidRDefault="00236AB5" w:rsidP="00236AB5">
            <w:pPr>
              <w:ind w:left="215" w:hanging="215"/>
              <w:rPr>
                <w:rFonts w:eastAsia="Arial"/>
                <w:lang w:bidi="cs-CZ"/>
              </w:rPr>
            </w:pPr>
            <w:r w:rsidRPr="008819AF">
              <w:rPr>
                <w:rFonts w:eastAsia="Arial"/>
                <w:lang w:bidi="cs-CZ"/>
              </w:rPr>
              <w:t>2.4. C – Celkové emisné limity pre CO</w:t>
            </w:r>
          </w:p>
          <w:p w14:paraId="15133C30" w14:textId="77777777" w:rsidR="00236AB5" w:rsidRPr="008819AF" w:rsidRDefault="00236AB5" w:rsidP="00236AB5">
            <w:pPr>
              <w:ind w:left="215" w:hanging="1"/>
              <w:rPr>
                <w:rFonts w:eastAsia="Arial"/>
              </w:rPr>
            </w:pPr>
            <w:r w:rsidRPr="008819AF">
              <w:rPr>
                <w:rFonts w:eastAsia="Arial"/>
                <w:lang w:bidi="cs-CZ"/>
              </w:rPr>
              <w:t>Príslušný orgán môže stanoviť emisné limity pre CO.</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C31"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C32"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C33" w14:textId="77777777" w:rsidR="00236AB5" w:rsidRPr="008819AF" w:rsidRDefault="00236AB5" w:rsidP="00236AB5">
            <w:pPr>
              <w:jc w:val="center"/>
            </w:pPr>
            <w:r w:rsidRPr="008819AF">
              <w:t>Pr.5</w:t>
            </w:r>
          </w:p>
          <w:p w14:paraId="15133C34" w14:textId="77777777" w:rsidR="00236AB5" w:rsidRPr="008819AF" w:rsidRDefault="00236AB5" w:rsidP="00236AB5">
            <w:pPr>
              <w:jc w:val="center"/>
            </w:pPr>
            <w:r w:rsidRPr="008819AF">
              <w:t>Časť IV.</w:t>
            </w:r>
          </w:p>
          <w:p w14:paraId="15133C35" w14:textId="77777777" w:rsidR="00236AB5" w:rsidRPr="008819AF" w:rsidRDefault="00236AB5"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15133C36"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 xml:space="preserve">2. Emisné limity pre spoluspaľovanie odpadov v cementárskej peci </w:t>
            </w:r>
          </w:p>
          <w:p w14:paraId="15133C37" w14:textId="77777777" w:rsidR="00236AB5" w:rsidRPr="008819AF" w:rsidRDefault="00236AB5" w:rsidP="00236AB5">
            <w:pPr>
              <w:pStyle w:val="Hlavika"/>
              <w:ind w:left="72" w:hanging="1"/>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741"/>
              <w:gridCol w:w="3369"/>
            </w:tblGrid>
            <w:tr w:rsidR="00236AB5" w:rsidRPr="008819AF" w14:paraId="15133C3B" w14:textId="77777777" w:rsidTr="00C57FCC">
              <w:trPr>
                <w:cantSplit/>
                <w:trHeight w:val="340"/>
                <w:jc w:val="center"/>
              </w:trPr>
              <w:tc>
                <w:tcPr>
                  <w:tcW w:w="1741" w:type="dxa"/>
                  <w:vMerge w:val="restart"/>
                  <w:vAlign w:val="center"/>
                </w:tcPr>
                <w:p w14:paraId="15133C38" w14:textId="77777777" w:rsidR="00236AB5" w:rsidRPr="008819AF" w:rsidRDefault="00236AB5" w:rsidP="00236AB5">
                  <w:pPr>
                    <w:pStyle w:val="Zkladntext20"/>
                    <w:spacing w:before="0"/>
                    <w:rPr>
                      <w:b/>
                      <w:sz w:val="18"/>
                      <w:szCs w:val="18"/>
                    </w:rPr>
                  </w:pPr>
                  <w:r w:rsidRPr="008819AF">
                    <w:rPr>
                      <w:b/>
                      <w:sz w:val="18"/>
                      <w:szCs w:val="18"/>
                    </w:rPr>
                    <w:t>Podmienky platnosti EL</w:t>
                  </w:r>
                </w:p>
              </w:tc>
              <w:tc>
                <w:tcPr>
                  <w:tcW w:w="3369" w:type="dxa"/>
                  <w:vAlign w:val="center"/>
                </w:tcPr>
                <w:p w14:paraId="15133C39" w14:textId="77777777" w:rsidR="00236AB5" w:rsidRPr="008819AF" w:rsidRDefault="00236AB5" w:rsidP="00236AB5">
                  <w:pPr>
                    <w:pStyle w:val="Zkladntext20"/>
                    <w:spacing w:before="0"/>
                    <w:rPr>
                      <w:sz w:val="18"/>
                      <w:szCs w:val="18"/>
                    </w:rPr>
                  </w:pPr>
                  <w:r w:rsidRPr="008819AF">
                    <w:rPr>
                      <w:sz w:val="18"/>
                      <w:szCs w:val="18"/>
                    </w:rPr>
                    <w:t xml:space="preserve">Štandardné stavové podmienky, suchý plyn, </w:t>
                  </w:r>
                </w:p>
                <w:p w14:paraId="15133C3A" w14:textId="77777777" w:rsidR="00236AB5" w:rsidRPr="008819AF" w:rsidRDefault="00236AB5" w:rsidP="00236AB5">
                  <w:pPr>
                    <w:pStyle w:val="Zkladntext20"/>
                    <w:spacing w:before="0"/>
                    <w:rPr>
                      <w:b/>
                      <w:sz w:val="18"/>
                      <w:szCs w:val="18"/>
                    </w:rPr>
                  </w:pPr>
                  <w:r w:rsidRPr="008819AF">
                    <w:rPr>
                      <w:sz w:val="18"/>
                      <w:szCs w:val="18"/>
                    </w:rPr>
                    <w:t>O</w:t>
                  </w:r>
                  <w:r w:rsidRPr="008819AF">
                    <w:rPr>
                      <w:sz w:val="18"/>
                      <w:szCs w:val="18"/>
                      <w:vertAlign w:val="subscript"/>
                    </w:rPr>
                    <w:t>2ref</w:t>
                  </w:r>
                  <w:r w:rsidRPr="008819AF">
                    <w:rPr>
                      <w:sz w:val="18"/>
                      <w:szCs w:val="18"/>
                    </w:rPr>
                    <w:t>: 10 %  objemu</w:t>
                  </w:r>
                </w:p>
              </w:tc>
            </w:tr>
            <w:tr w:rsidR="00236AB5" w:rsidRPr="008819AF" w14:paraId="15133C42" w14:textId="77777777" w:rsidTr="00C57FCC">
              <w:trPr>
                <w:cantSplit/>
                <w:trHeight w:val="340"/>
                <w:jc w:val="center"/>
              </w:trPr>
              <w:tc>
                <w:tcPr>
                  <w:tcW w:w="1741" w:type="dxa"/>
                  <w:vMerge/>
                  <w:vAlign w:val="center"/>
                </w:tcPr>
                <w:p w14:paraId="15133C3C" w14:textId="77777777" w:rsidR="00236AB5" w:rsidRPr="008819AF" w:rsidRDefault="00236AB5" w:rsidP="00236AB5">
                  <w:pPr>
                    <w:pStyle w:val="Zkladntext20"/>
                    <w:spacing w:before="0"/>
                    <w:rPr>
                      <w:b/>
                      <w:sz w:val="18"/>
                      <w:szCs w:val="18"/>
                    </w:rPr>
                  </w:pPr>
                </w:p>
              </w:tc>
              <w:tc>
                <w:tcPr>
                  <w:tcW w:w="3369" w:type="dxa"/>
                  <w:vAlign w:val="center"/>
                </w:tcPr>
                <w:p w14:paraId="15133C3D" w14:textId="77777777" w:rsidR="00236AB5" w:rsidRPr="008819AF" w:rsidRDefault="00236AB5" w:rsidP="00236AB5">
                  <w:pPr>
                    <w:pStyle w:val="Zkladntext20"/>
                    <w:spacing w:before="0"/>
                    <w:rPr>
                      <w:sz w:val="18"/>
                      <w:szCs w:val="18"/>
                    </w:rPr>
                  </w:pPr>
                  <w:r w:rsidRPr="008819AF">
                    <w:rPr>
                      <w:sz w:val="18"/>
                      <w:szCs w:val="18"/>
                    </w:rPr>
                    <w:t xml:space="preserve">Emisné limity platia </w:t>
                  </w:r>
                </w:p>
                <w:p w14:paraId="15133C3E" w14:textId="77777777" w:rsidR="00236AB5" w:rsidRPr="008819AF" w:rsidRDefault="00236AB5" w:rsidP="00236AB5">
                  <w:pPr>
                    <w:pStyle w:val="Zkladntext20"/>
                    <w:numPr>
                      <w:ilvl w:val="0"/>
                      <w:numId w:val="95"/>
                    </w:numPr>
                    <w:spacing w:before="0" w:after="0"/>
                    <w:ind w:left="66" w:hanging="141"/>
                    <w:rPr>
                      <w:sz w:val="18"/>
                      <w:szCs w:val="18"/>
                    </w:rPr>
                  </w:pPr>
                  <w:r w:rsidRPr="008819AF">
                    <w:rPr>
                      <w:sz w:val="18"/>
                      <w:szCs w:val="18"/>
                    </w:rPr>
                    <w:t>pre TZL, SO</w:t>
                  </w:r>
                  <w:r w:rsidRPr="008819AF">
                    <w:rPr>
                      <w:sz w:val="18"/>
                      <w:szCs w:val="18"/>
                      <w:vertAlign w:val="subscript"/>
                    </w:rPr>
                    <w:t>2</w:t>
                  </w:r>
                  <w:r w:rsidRPr="008819AF">
                    <w:rPr>
                      <w:sz w:val="18"/>
                      <w:szCs w:val="18"/>
                    </w:rPr>
                    <w:t>, NO</w:t>
                  </w:r>
                  <w:r w:rsidRPr="008819AF">
                    <w:rPr>
                      <w:sz w:val="18"/>
                      <w:szCs w:val="18"/>
                      <w:vertAlign w:val="subscript"/>
                    </w:rPr>
                    <w:t>x</w:t>
                  </w:r>
                  <w:r w:rsidRPr="008819AF">
                    <w:rPr>
                      <w:sz w:val="18"/>
                      <w:szCs w:val="18"/>
                    </w:rPr>
                    <w:t>, HCl, HF a TOC (pre kontinuálne monitorovanie) ako denné priemerné hodnoty,</w:t>
                  </w:r>
                </w:p>
                <w:p w14:paraId="15133C3F" w14:textId="77777777" w:rsidR="00236AB5" w:rsidRPr="008819AF" w:rsidRDefault="00236AB5" w:rsidP="00236AB5">
                  <w:pPr>
                    <w:pStyle w:val="Zkladntext20"/>
                    <w:keepNext w:val="0"/>
                    <w:numPr>
                      <w:ilvl w:val="0"/>
                      <w:numId w:val="95"/>
                    </w:numPr>
                    <w:spacing w:before="0" w:after="0"/>
                    <w:ind w:left="66" w:hanging="141"/>
                    <w:rPr>
                      <w:sz w:val="18"/>
                      <w:szCs w:val="18"/>
                    </w:rPr>
                  </w:pPr>
                  <w:r w:rsidRPr="008819AF">
                    <w:rPr>
                      <w:sz w:val="18"/>
                      <w:szCs w:val="18"/>
                    </w:rPr>
                    <w:t>pre ťažké kovy ako priemerné hodnoty za čas odberu vzorky v trvaní najmenej 30 min a najviac 8 h,</w:t>
                  </w:r>
                </w:p>
                <w:p w14:paraId="15133C40" w14:textId="77777777" w:rsidR="00236AB5" w:rsidRPr="008819AF" w:rsidRDefault="00236AB5" w:rsidP="00236AB5">
                  <w:pPr>
                    <w:pStyle w:val="Zkladntext20"/>
                    <w:numPr>
                      <w:ilvl w:val="0"/>
                      <w:numId w:val="95"/>
                    </w:numPr>
                    <w:spacing w:before="0" w:after="0"/>
                    <w:ind w:left="66" w:hanging="141"/>
                    <w:rPr>
                      <w:sz w:val="18"/>
                      <w:szCs w:val="18"/>
                    </w:rPr>
                  </w:pPr>
                  <w:r w:rsidRPr="008819AF">
                    <w:rPr>
                      <w:sz w:val="18"/>
                      <w:szCs w:val="18"/>
                    </w:rPr>
                    <w:t>pre PCDD + PCDF ako priemerné hodnoty za čas odberu vzorky v trvaní najmenej 6 h a najviac 8 h.</w:t>
                  </w:r>
                </w:p>
                <w:p w14:paraId="15133C41" w14:textId="77777777" w:rsidR="00236AB5" w:rsidRPr="008819AF" w:rsidRDefault="00236AB5" w:rsidP="00236AB5">
                  <w:pPr>
                    <w:jc w:val="both"/>
                    <w:rPr>
                      <w:sz w:val="18"/>
                      <w:szCs w:val="18"/>
                    </w:rPr>
                  </w:pPr>
                  <w:r w:rsidRPr="008819AF">
                    <w:rPr>
                      <w:sz w:val="18"/>
                      <w:szCs w:val="18"/>
                    </w:rPr>
                    <w:t>Priemerné polhodinové hodnoty koncentrácie sú potrebné len na výpočet dennej priemernej hodnoty.</w:t>
                  </w:r>
                </w:p>
              </w:tc>
            </w:tr>
            <w:tr w:rsidR="00236AB5" w:rsidRPr="008819AF" w14:paraId="15133C45" w14:textId="77777777" w:rsidTr="00C57FCC">
              <w:trPr>
                <w:cantSplit/>
                <w:trHeight w:val="340"/>
                <w:jc w:val="center"/>
              </w:trPr>
              <w:tc>
                <w:tcPr>
                  <w:tcW w:w="1741" w:type="dxa"/>
                  <w:vAlign w:val="center"/>
                </w:tcPr>
                <w:p w14:paraId="15133C43" w14:textId="77777777" w:rsidR="00236AB5" w:rsidRPr="008819AF" w:rsidRDefault="00236AB5" w:rsidP="00236AB5">
                  <w:pPr>
                    <w:pStyle w:val="Zkladntext20"/>
                    <w:spacing w:before="0"/>
                    <w:rPr>
                      <w:b/>
                      <w:sz w:val="18"/>
                      <w:szCs w:val="18"/>
                    </w:rPr>
                  </w:pPr>
                  <w:r w:rsidRPr="008819AF">
                    <w:rPr>
                      <w:b/>
                      <w:sz w:val="18"/>
                      <w:szCs w:val="18"/>
                    </w:rPr>
                    <w:t>Znečisťujúca látka</w:t>
                  </w:r>
                </w:p>
              </w:tc>
              <w:tc>
                <w:tcPr>
                  <w:tcW w:w="3369" w:type="dxa"/>
                  <w:vAlign w:val="center"/>
                </w:tcPr>
                <w:p w14:paraId="15133C44" w14:textId="77777777" w:rsidR="00236AB5" w:rsidRPr="008819AF" w:rsidRDefault="00236AB5" w:rsidP="00236AB5">
                  <w:pPr>
                    <w:pStyle w:val="Zkladntext20"/>
                    <w:spacing w:before="0"/>
                    <w:jc w:val="center"/>
                    <w:rPr>
                      <w:b/>
                      <w:sz w:val="18"/>
                      <w:szCs w:val="18"/>
                    </w:rPr>
                  </w:pPr>
                  <w:r w:rsidRPr="008819AF">
                    <w:rPr>
                      <w:b/>
                      <w:sz w:val="18"/>
                      <w:szCs w:val="18"/>
                    </w:rPr>
                    <w:t>C -  celkové emisné limity [mg/m</w:t>
                  </w:r>
                  <w:r w:rsidRPr="008819AF">
                    <w:rPr>
                      <w:b/>
                      <w:sz w:val="18"/>
                      <w:szCs w:val="18"/>
                      <w:vertAlign w:val="superscript"/>
                    </w:rPr>
                    <w:t>3</w:t>
                  </w:r>
                  <w:r w:rsidRPr="008819AF">
                    <w:rPr>
                      <w:b/>
                      <w:sz w:val="18"/>
                      <w:szCs w:val="18"/>
                    </w:rPr>
                    <w:t>]</w:t>
                  </w:r>
                </w:p>
              </w:tc>
            </w:tr>
            <w:tr w:rsidR="00236AB5" w:rsidRPr="008819AF" w14:paraId="15133C48" w14:textId="77777777" w:rsidTr="00C57FCC">
              <w:trPr>
                <w:cantSplit/>
                <w:trHeight w:val="340"/>
                <w:jc w:val="center"/>
              </w:trPr>
              <w:tc>
                <w:tcPr>
                  <w:tcW w:w="1741" w:type="dxa"/>
                  <w:vAlign w:val="center"/>
                </w:tcPr>
                <w:p w14:paraId="15133C46" w14:textId="77777777" w:rsidR="00236AB5" w:rsidRPr="008819AF" w:rsidRDefault="00236AB5" w:rsidP="00236AB5">
                  <w:pPr>
                    <w:pStyle w:val="Zkladntext20"/>
                    <w:spacing w:before="0"/>
                    <w:rPr>
                      <w:sz w:val="18"/>
                      <w:szCs w:val="18"/>
                    </w:rPr>
                  </w:pPr>
                  <w:r w:rsidRPr="008819AF">
                    <w:rPr>
                      <w:sz w:val="18"/>
                      <w:szCs w:val="18"/>
                    </w:rPr>
                    <w:t>TZL</w:t>
                  </w:r>
                </w:p>
              </w:tc>
              <w:tc>
                <w:tcPr>
                  <w:tcW w:w="3369" w:type="dxa"/>
                  <w:vAlign w:val="center"/>
                </w:tcPr>
                <w:p w14:paraId="15133C47" w14:textId="77777777" w:rsidR="00236AB5" w:rsidRPr="008819AF" w:rsidRDefault="00236AB5" w:rsidP="00236AB5">
                  <w:pPr>
                    <w:pStyle w:val="Zkladntext20"/>
                    <w:spacing w:before="0"/>
                    <w:jc w:val="center"/>
                    <w:rPr>
                      <w:sz w:val="18"/>
                      <w:szCs w:val="18"/>
                    </w:rPr>
                  </w:pPr>
                  <w:r w:rsidRPr="008819AF">
                    <w:rPr>
                      <w:sz w:val="18"/>
                      <w:szCs w:val="18"/>
                    </w:rPr>
                    <w:t>30</w:t>
                  </w:r>
                </w:p>
              </w:tc>
            </w:tr>
            <w:tr w:rsidR="00236AB5" w:rsidRPr="008819AF" w14:paraId="15133C4B" w14:textId="77777777" w:rsidTr="00C57FCC">
              <w:trPr>
                <w:cantSplit/>
                <w:trHeight w:val="340"/>
                <w:jc w:val="center"/>
              </w:trPr>
              <w:tc>
                <w:tcPr>
                  <w:tcW w:w="1741" w:type="dxa"/>
                  <w:vAlign w:val="center"/>
                </w:tcPr>
                <w:p w14:paraId="15133C49" w14:textId="77777777" w:rsidR="00236AB5" w:rsidRPr="008819AF" w:rsidRDefault="00236AB5" w:rsidP="00236AB5">
                  <w:pPr>
                    <w:pStyle w:val="Zkladntext20"/>
                    <w:spacing w:before="0"/>
                    <w:rPr>
                      <w:sz w:val="18"/>
                      <w:szCs w:val="18"/>
                      <w:vertAlign w:val="subscript"/>
                    </w:rPr>
                  </w:pPr>
                  <w:r w:rsidRPr="008819AF">
                    <w:rPr>
                      <w:sz w:val="18"/>
                      <w:szCs w:val="18"/>
                    </w:rPr>
                    <w:t>SO</w:t>
                  </w:r>
                  <w:r w:rsidRPr="008819AF">
                    <w:rPr>
                      <w:sz w:val="18"/>
                      <w:szCs w:val="18"/>
                      <w:vertAlign w:val="subscript"/>
                    </w:rPr>
                    <w:t>2</w:t>
                  </w:r>
                </w:p>
              </w:tc>
              <w:tc>
                <w:tcPr>
                  <w:tcW w:w="3369" w:type="dxa"/>
                  <w:vAlign w:val="center"/>
                </w:tcPr>
                <w:p w14:paraId="15133C4A" w14:textId="77777777" w:rsidR="00236AB5" w:rsidRPr="008819AF" w:rsidRDefault="00236AB5" w:rsidP="00236AB5">
                  <w:pPr>
                    <w:pStyle w:val="Zkladntext20"/>
                    <w:spacing w:before="0"/>
                    <w:jc w:val="center"/>
                    <w:rPr>
                      <w:sz w:val="18"/>
                      <w:szCs w:val="18"/>
                    </w:rPr>
                  </w:pPr>
                  <w:r w:rsidRPr="008819AF">
                    <w:rPr>
                      <w:sz w:val="18"/>
                      <w:szCs w:val="18"/>
                    </w:rPr>
                    <w:t>50</w:t>
                  </w:r>
                  <w:r w:rsidRPr="008819AF">
                    <w:rPr>
                      <w:sz w:val="18"/>
                      <w:szCs w:val="18"/>
                      <w:vertAlign w:val="superscript"/>
                    </w:rPr>
                    <w:t>1</w:t>
                  </w:r>
                  <w:r w:rsidRPr="008819AF">
                    <w:rPr>
                      <w:sz w:val="18"/>
                      <w:szCs w:val="18"/>
                    </w:rPr>
                    <w:t>)</w:t>
                  </w:r>
                </w:p>
              </w:tc>
            </w:tr>
            <w:tr w:rsidR="00236AB5" w:rsidRPr="008819AF" w14:paraId="15133C4E" w14:textId="77777777" w:rsidTr="00C57FCC">
              <w:trPr>
                <w:cantSplit/>
                <w:trHeight w:val="340"/>
                <w:jc w:val="center"/>
              </w:trPr>
              <w:tc>
                <w:tcPr>
                  <w:tcW w:w="1741" w:type="dxa"/>
                  <w:vAlign w:val="center"/>
                </w:tcPr>
                <w:p w14:paraId="15133C4C" w14:textId="77777777" w:rsidR="00236AB5" w:rsidRPr="008819AF" w:rsidRDefault="00236AB5" w:rsidP="00236AB5">
                  <w:pPr>
                    <w:pStyle w:val="Zkladntext20"/>
                    <w:spacing w:before="0"/>
                    <w:rPr>
                      <w:sz w:val="18"/>
                      <w:szCs w:val="18"/>
                    </w:rPr>
                  </w:pPr>
                  <w:r w:rsidRPr="008819AF">
                    <w:rPr>
                      <w:sz w:val="18"/>
                      <w:szCs w:val="18"/>
                    </w:rPr>
                    <w:t>NO</w:t>
                  </w:r>
                  <w:r w:rsidRPr="008819AF">
                    <w:rPr>
                      <w:sz w:val="18"/>
                      <w:szCs w:val="18"/>
                      <w:vertAlign w:val="subscript"/>
                    </w:rPr>
                    <w:t>X</w:t>
                  </w:r>
                </w:p>
              </w:tc>
              <w:tc>
                <w:tcPr>
                  <w:tcW w:w="3369" w:type="dxa"/>
                  <w:vAlign w:val="center"/>
                </w:tcPr>
                <w:p w14:paraId="15133C4D" w14:textId="77777777" w:rsidR="00236AB5" w:rsidRPr="008819AF" w:rsidRDefault="00236AB5" w:rsidP="00236AB5">
                  <w:pPr>
                    <w:pStyle w:val="Zkladntext20"/>
                    <w:spacing w:before="0"/>
                    <w:jc w:val="center"/>
                    <w:rPr>
                      <w:sz w:val="18"/>
                      <w:szCs w:val="18"/>
                      <w:vertAlign w:val="superscript"/>
                    </w:rPr>
                  </w:pPr>
                  <w:r w:rsidRPr="008819AF">
                    <w:rPr>
                      <w:sz w:val="18"/>
                      <w:szCs w:val="18"/>
                    </w:rPr>
                    <w:t xml:space="preserve">500 </w:t>
                  </w:r>
                </w:p>
              </w:tc>
            </w:tr>
            <w:tr w:rsidR="00236AB5" w:rsidRPr="008819AF" w14:paraId="15133C51" w14:textId="77777777" w:rsidTr="00C57FCC">
              <w:trPr>
                <w:cantSplit/>
                <w:trHeight w:val="340"/>
                <w:jc w:val="center"/>
              </w:trPr>
              <w:tc>
                <w:tcPr>
                  <w:tcW w:w="1741" w:type="dxa"/>
                  <w:vAlign w:val="center"/>
                </w:tcPr>
                <w:p w14:paraId="15133C4F" w14:textId="77777777" w:rsidR="00236AB5" w:rsidRPr="008819AF" w:rsidRDefault="00236AB5" w:rsidP="00236AB5">
                  <w:pPr>
                    <w:pStyle w:val="Zkladntext20"/>
                    <w:spacing w:before="0"/>
                    <w:rPr>
                      <w:sz w:val="18"/>
                      <w:szCs w:val="18"/>
                    </w:rPr>
                  </w:pPr>
                  <w:r w:rsidRPr="008819AF">
                    <w:rPr>
                      <w:sz w:val="18"/>
                      <w:szCs w:val="18"/>
                    </w:rPr>
                    <w:t>CO</w:t>
                  </w:r>
                </w:p>
              </w:tc>
              <w:tc>
                <w:tcPr>
                  <w:tcW w:w="3369" w:type="dxa"/>
                  <w:vAlign w:val="center"/>
                </w:tcPr>
                <w:p w14:paraId="15133C50" w14:textId="77777777" w:rsidR="00236AB5" w:rsidRPr="008819AF" w:rsidRDefault="00236AB5" w:rsidP="00236AB5">
                  <w:pPr>
                    <w:pStyle w:val="Zkladntext20"/>
                    <w:spacing w:before="0"/>
                    <w:jc w:val="center"/>
                    <w:rPr>
                      <w:sz w:val="18"/>
                      <w:szCs w:val="18"/>
                    </w:rPr>
                  </w:pPr>
                  <w:r w:rsidRPr="008819AF">
                    <w:rPr>
                      <w:sz w:val="18"/>
                      <w:szCs w:val="18"/>
                    </w:rPr>
                    <w:t>Správny orgán môže  určiť EL pre CO individuálne.</w:t>
                  </w:r>
                </w:p>
              </w:tc>
            </w:tr>
            <w:tr w:rsidR="00236AB5" w:rsidRPr="008819AF" w14:paraId="15133C54" w14:textId="77777777" w:rsidTr="00C57FCC">
              <w:trPr>
                <w:cantSplit/>
                <w:trHeight w:val="340"/>
                <w:jc w:val="center"/>
              </w:trPr>
              <w:tc>
                <w:tcPr>
                  <w:tcW w:w="1741" w:type="dxa"/>
                  <w:vAlign w:val="center"/>
                </w:tcPr>
                <w:p w14:paraId="15133C52" w14:textId="77777777" w:rsidR="00236AB5" w:rsidRPr="008819AF" w:rsidRDefault="00236AB5" w:rsidP="00236AB5">
                  <w:pPr>
                    <w:pStyle w:val="Zkladntext20"/>
                    <w:spacing w:before="0"/>
                    <w:rPr>
                      <w:sz w:val="18"/>
                      <w:szCs w:val="18"/>
                    </w:rPr>
                  </w:pPr>
                  <w:r w:rsidRPr="008819AF">
                    <w:rPr>
                      <w:sz w:val="18"/>
                      <w:szCs w:val="18"/>
                    </w:rPr>
                    <w:t xml:space="preserve">TOC </w:t>
                  </w:r>
                </w:p>
              </w:tc>
              <w:tc>
                <w:tcPr>
                  <w:tcW w:w="3369" w:type="dxa"/>
                  <w:vAlign w:val="center"/>
                </w:tcPr>
                <w:p w14:paraId="15133C53" w14:textId="77777777" w:rsidR="00236AB5" w:rsidRPr="008819AF" w:rsidRDefault="00236AB5" w:rsidP="00236AB5">
                  <w:pPr>
                    <w:pStyle w:val="Zkladntext20"/>
                    <w:spacing w:before="0"/>
                    <w:jc w:val="center"/>
                    <w:rPr>
                      <w:sz w:val="18"/>
                      <w:szCs w:val="18"/>
                    </w:rPr>
                  </w:pPr>
                  <w:r w:rsidRPr="008819AF">
                    <w:rPr>
                      <w:sz w:val="18"/>
                      <w:szCs w:val="18"/>
                    </w:rPr>
                    <w:t>10</w:t>
                  </w:r>
                  <w:r w:rsidRPr="008819AF">
                    <w:rPr>
                      <w:sz w:val="18"/>
                      <w:szCs w:val="18"/>
                      <w:vertAlign w:val="superscript"/>
                    </w:rPr>
                    <w:t>1</w:t>
                  </w:r>
                  <w:r w:rsidRPr="008819AF">
                    <w:rPr>
                      <w:sz w:val="18"/>
                      <w:szCs w:val="18"/>
                    </w:rPr>
                    <w:t>)</w:t>
                  </w:r>
                </w:p>
              </w:tc>
            </w:tr>
            <w:tr w:rsidR="00236AB5" w:rsidRPr="008819AF" w14:paraId="15133C57" w14:textId="77777777" w:rsidTr="00C57FCC">
              <w:trPr>
                <w:cantSplit/>
                <w:trHeight w:val="340"/>
                <w:jc w:val="center"/>
              </w:trPr>
              <w:tc>
                <w:tcPr>
                  <w:tcW w:w="1741" w:type="dxa"/>
                  <w:vAlign w:val="center"/>
                </w:tcPr>
                <w:p w14:paraId="15133C55" w14:textId="77777777" w:rsidR="00236AB5" w:rsidRPr="008819AF" w:rsidRDefault="00236AB5" w:rsidP="00236AB5">
                  <w:pPr>
                    <w:pStyle w:val="Zkladntext20"/>
                    <w:spacing w:before="0"/>
                    <w:rPr>
                      <w:sz w:val="18"/>
                      <w:szCs w:val="18"/>
                    </w:rPr>
                  </w:pPr>
                  <w:r w:rsidRPr="008819AF">
                    <w:rPr>
                      <w:sz w:val="18"/>
                      <w:szCs w:val="18"/>
                    </w:rPr>
                    <w:t>HF</w:t>
                  </w:r>
                </w:p>
              </w:tc>
              <w:tc>
                <w:tcPr>
                  <w:tcW w:w="3369" w:type="dxa"/>
                  <w:vAlign w:val="center"/>
                </w:tcPr>
                <w:p w14:paraId="15133C56" w14:textId="77777777" w:rsidR="00236AB5" w:rsidRPr="008819AF" w:rsidRDefault="00236AB5" w:rsidP="00236AB5">
                  <w:pPr>
                    <w:pStyle w:val="Zkladntext20"/>
                    <w:spacing w:before="0"/>
                    <w:jc w:val="center"/>
                    <w:rPr>
                      <w:sz w:val="18"/>
                      <w:szCs w:val="18"/>
                    </w:rPr>
                  </w:pPr>
                  <w:r w:rsidRPr="008819AF">
                    <w:rPr>
                      <w:sz w:val="18"/>
                      <w:szCs w:val="18"/>
                    </w:rPr>
                    <w:t xml:space="preserve"> 1</w:t>
                  </w:r>
                </w:p>
              </w:tc>
            </w:tr>
            <w:tr w:rsidR="00236AB5" w:rsidRPr="008819AF" w14:paraId="15133C5A" w14:textId="77777777" w:rsidTr="00C57FCC">
              <w:trPr>
                <w:cantSplit/>
                <w:trHeight w:val="340"/>
                <w:jc w:val="center"/>
              </w:trPr>
              <w:tc>
                <w:tcPr>
                  <w:tcW w:w="1741" w:type="dxa"/>
                  <w:vAlign w:val="center"/>
                </w:tcPr>
                <w:p w14:paraId="15133C58" w14:textId="77777777" w:rsidR="00236AB5" w:rsidRPr="008819AF" w:rsidRDefault="00236AB5" w:rsidP="00236AB5">
                  <w:pPr>
                    <w:pStyle w:val="Zkladntext20"/>
                    <w:spacing w:before="0"/>
                    <w:rPr>
                      <w:sz w:val="18"/>
                      <w:szCs w:val="18"/>
                    </w:rPr>
                  </w:pPr>
                  <w:r w:rsidRPr="008819AF">
                    <w:rPr>
                      <w:sz w:val="18"/>
                      <w:szCs w:val="18"/>
                    </w:rPr>
                    <w:t>HCl</w:t>
                  </w:r>
                </w:p>
              </w:tc>
              <w:tc>
                <w:tcPr>
                  <w:tcW w:w="3369" w:type="dxa"/>
                  <w:vAlign w:val="center"/>
                </w:tcPr>
                <w:p w14:paraId="15133C59" w14:textId="77777777" w:rsidR="00236AB5" w:rsidRPr="008819AF" w:rsidRDefault="00236AB5" w:rsidP="00236AB5">
                  <w:pPr>
                    <w:pStyle w:val="Zkladntext20"/>
                    <w:spacing w:before="0"/>
                    <w:jc w:val="center"/>
                    <w:rPr>
                      <w:sz w:val="18"/>
                      <w:szCs w:val="18"/>
                    </w:rPr>
                  </w:pPr>
                  <w:r w:rsidRPr="008819AF">
                    <w:rPr>
                      <w:sz w:val="18"/>
                      <w:szCs w:val="18"/>
                    </w:rPr>
                    <w:t>10</w:t>
                  </w:r>
                </w:p>
              </w:tc>
            </w:tr>
            <w:tr w:rsidR="00236AB5" w:rsidRPr="008819AF" w14:paraId="15133C5D" w14:textId="77777777" w:rsidTr="00C57FCC">
              <w:trPr>
                <w:cantSplit/>
                <w:trHeight w:val="340"/>
                <w:jc w:val="center"/>
              </w:trPr>
              <w:tc>
                <w:tcPr>
                  <w:tcW w:w="1741" w:type="dxa"/>
                  <w:vAlign w:val="center"/>
                </w:tcPr>
                <w:p w14:paraId="15133C5B" w14:textId="77777777" w:rsidR="00236AB5" w:rsidRPr="008819AF" w:rsidRDefault="00236AB5" w:rsidP="00236AB5">
                  <w:pPr>
                    <w:pStyle w:val="Zkladntext20"/>
                    <w:spacing w:before="0"/>
                    <w:outlineLvl w:val="0"/>
                    <w:rPr>
                      <w:sz w:val="18"/>
                      <w:szCs w:val="18"/>
                    </w:rPr>
                  </w:pPr>
                  <w:r w:rsidRPr="008819AF">
                    <w:rPr>
                      <w:sz w:val="18"/>
                      <w:szCs w:val="18"/>
                    </w:rPr>
                    <w:t>Cd + Tl</w:t>
                  </w:r>
                  <w:r w:rsidRPr="008819AF">
                    <w:rPr>
                      <w:sz w:val="18"/>
                      <w:szCs w:val="18"/>
                      <w:vertAlign w:val="superscript"/>
                    </w:rPr>
                    <w:t>3</w:t>
                  </w:r>
                  <w:r w:rsidRPr="008819AF">
                    <w:rPr>
                      <w:sz w:val="18"/>
                      <w:szCs w:val="18"/>
                    </w:rPr>
                    <w:t>)</w:t>
                  </w:r>
                </w:p>
              </w:tc>
              <w:tc>
                <w:tcPr>
                  <w:tcW w:w="3369" w:type="dxa"/>
                  <w:vAlign w:val="center"/>
                </w:tcPr>
                <w:p w14:paraId="15133C5C" w14:textId="77777777" w:rsidR="00236AB5" w:rsidRPr="008819AF" w:rsidRDefault="00236AB5" w:rsidP="00236AB5">
                  <w:pPr>
                    <w:pStyle w:val="Zkladntext20"/>
                    <w:spacing w:before="0"/>
                    <w:jc w:val="center"/>
                    <w:rPr>
                      <w:sz w:val="18"/>
                      <w:szCs w:val="18"/>
                    </w:rPr>
                  </w:pPr>
                  <w:r w:rsidRPr="008819AF">
                    <w:rPr>
                      <w:sz w:val="18"/>
                      <w:szCs w:val="18"/>
                    </w:rPr>
                    <w:t>0,05</w:t>
                  </w:r>
                </w:p>
              </w:tc>
            </w:tr>
            <w:tr w:rsidR="00236AB5" w:rsidRPr="008819AF" w14:paraId="15133C60" w14:textId="77777777" w:rsidTr="00C57FCC">
              <w:trPr>
                <w:cantSplit/>
                <w:trHeight w:val="340"/>
                <w:jc w:val="center"/>
              </w:trPr>
              <w:tc>
                <w:tcPr>
                  <w:tcW w:w="1741" w:type="dxa"/>
                  <w:vAlign w:val="center"/>
                </w:tcPr>
                <w:p w14:paraId="15133C5E" w14:textId="77777777" w:rsidR="00236AB5" w:rsidRPr="008819AF" w:rsidRDefault="00236AB5" w:rsidP="00236AB5">
                  <w:pPr>
                    <w:pStyle w:val="Zkladntext20"/>
                    <w:spacing w:before="0"/>
                    <w:rPr>
                      <w:sz w:val="18"/>
                      <w:szCs w:val="18"/>
                    </w:rPr>
                  </w:pPr>
                  <w:r w:rsidRPr="008819AF">
                    <w:rPr>
                      <w:sz w:val="18"/>
                      <w:szCs w:val="18"/>
                    </w:rPr>
                    <w:t>Hg</w:t>
                  </w:r>
                  <w:r w:rsidRPr="008819AF">
                    <w:rPr>
                      <w:sz w:val="18"/>
                      <w:szCs w:val="18"/>
                      <w:vertAlign w:val="superscript"/>
                    </w:rPr>
                    <w:t>3</w:t>
                  </w:r>
                  <w:r w:rsidRPr="008819AF">
                    <w:rPr>
                      <w:sz w:val="18"/>
                      <w:szCs w:val="18"/>
                    </w:rPr>
                    <w:t>)</w:t>
                  </w:r>
                </w:p>
              </w:tc>
              <w:tc>
                <w:tcPr>
                  <w:tcW w:w="3369" w:type="dxa"/>
                  <w:vAlign w:val="center"/>
                </w:tcPr>
                <w:p w14:paraId="15133C5F" w14:textId="77777777" w:rsidR="00236AB5" w:rsidRPr="008819AF" w:rsidRDefault="00236AB5" w:rsidP="00236AB5">
                  <w:pPr>
                    <w:pStyle w:val="Zkladntext20"/>
                    <w:spacing w:before="0"/>
                    <w:jc w:val="center"/>
                    <w:rPr>
                      <w:sz w:val="18"/>
                      <w:szCs w:val="18"/>
                    </w:rPr>
                  </w:pPr>
                  <w:r w:rsidRPr="008819AF">
                    <w:rPr>
                      <w:sz w:val="18"/>
                      <w:szCs w:val="18"/>
                    </w:rPr>
                    <w:t>0,05</w:t>
                  </w:r>
                </w:p>
              </w:tc>
            </w:tr>
            <w:tr w:rsidR="00236AB5" w:rsidRPr="008819AF" w14:paraId="15133C63" w14:textId="77777777" w:rsidTr="00C57FCC">
              <w:trPr>
                <w:cantSplit/>
                <w:trHeight w:val="340"/>
                <w:jc w:val="center"/>
              </w:trPr>
              <w:tc>
                <w:tcPr>
                  <w:tcW w:w="1741" w:type="dxa"/>
                  <w:vAlign w:val="center"/>
                </w:tcPr>
                <w:p w14:paraId="15133C61" w14:textId="77777777" w:rsidR="00236AB5" w:rsidRPr="008819AF" w:rsidRDefault="00236AB5" w:rsidP="00236AB5">
                  <w:pPr>
                    <w:pStyle w:val="Zkladntext20"/>
                    <w:spacing w:before="0"/>
                    <w:rPr>
                      <w:sz w:val="18"/>
                      <w:szCs w:val="18"/>
                    </w:rPr>
                  </w:pPr>
                  <w:r w:rsidRPr="008819AF">
                    <w:rPr>
                      <w:sz w:val="18"/>
                      <w:szCs w:val="18"/>
                    </w:rPr>
                    <w:t>Sb + As + Pb + Cr + Co + Cu + Mn + Ni+ V </w:t>
                  </w:r>
                </w:p>
              </w:tc>
              <w:tc>
                <w:tcPr>
                  <w:tcW w:w="3369" w:type="dxa"/>
                  <w:vAlign w:val="center"/>
                </w:tcPr>
                <w:p w14:paraId="15133C62" w14:textId="77777777" w:rsidR="00236AB5" w:rsidRPr="008819AF" w:rsidRDefault="00236AB5" w:rsidP="00236AB5">
                  <w:pPr>
                    <w:pStyle w:val="Zkladntext20"/>
                    <w:spacing w:before="0"/>
                    <w:jc w:val="center"/>
                    <w:rPr>
                      <w:sz w:val="18"/>
                      <w:szCs w:val="18"/>
                    </w:rPr>
                  </w:pPr>
                  <w:r w:rsidRPr="008819AF">
                    <w:rPr>
                      <w:sz w:val="18"/>
                      <w:szCs w:val="18"/>
                    </w:rPr>
                    <w:t>0,5</w:t>
                  </w:r>
                </w:p>
              </w:tc>
            </w:tr>
            <w:tr w:rsidR="00236AB5" w:rsidRPr="008819AF" w14:paraId="15133C66" w14:textId="77777777" w:rsidTr="00C57FCC">
              <w:trPr>
                <w:cantSplit/>
                <w:trHeight w:val="340"/>
                <w:jc w:val="center"/>
              </w:trPr>
              <w:tc>
                <w:tcPr>
                  <w:tcW w:w="1741" w:type="dxa"/>
                  <w:vAlign w:val="center"/>
                </w:tcPr>
                <w:p w14:paraId="15133C64" w14:textId="77777777" w:rsidR="00236AB5" w:rsidRPr="008819AF" w:rsidRDefault="00236AB5" w:rsidP="00236AB5">
                  <w:pPr>
                    <w:pStyle w:val="Zkladntext20"/>
                    <w:spacing w:before="0"/>
                    <w:rPr>
                      <w:sz w:val="18"/>
                      <w:szCs w:val="18"/>
                    </w:rPr>
                  </w:pPr>
                  <w:r w:rsidRPr="008819AF">
                    <w:rPr>
                      <w:sz w:val="18"/>
                      <w:szCs w:val="18"/>
                    </w:rPr>
                    <w:t>PCDD + PCDF</w:t>
                  </w:r>
                </w:p>
              </w:tc>
              <w:tc>
                <w:tcPr>
                  <w:tcW w:w="3369" w:type="dxa"/>
                  <w:vAlign w:val="center"/>
                </w:tcPr>
                <w:p w14:paraId="15133C65" w14:textId="77777777" w:rsidR="00236AB5" w:rsidRPr="008819AF" w:rsidRDefault="00236AB5" w:rsidP="00236AB5">
                  <w:pPr>
                    <w:pStyle w:val="Zkladntext20"/>
                    <w:spacing w:before="0"/>
                    <w:jc w:val="center"/>
                    <w:rPr>
                      <w:sz w:val="18"/>
                      <w:szCs w:val="18"/>
                    </w:rPr>
                  </w:pPr>
                  <w:r w:rsidRPr="008819AF">
                    <w:rPr>
                      <w:sz w:val="18"/>
                      <w:szCs w:val="18"/>
                    </w:rPr>
                    <w:t xml:space="preserve">          0,1 ng TEQ/m</w:t>
                  </w:r>
                  <w:r w:rsidRPr="008819AF">
                    <w:rPr>
                      <w:sz w:val="18"/>
                      <w:szCs w:val="18"/>
                      <w:vertAlign w:val="superscript"/>
                    </w:rPr>
                    <w:t>3</w:t>
                  </w:r>
                </w:p>
              </w:tc>
            </w:tr>
          </w:tbl>
          <w:p w14:paraId="15133C67" w14:textId="77777777" w:rsidR="00236AB5" w:rsidRPr="008819AF" w:rsidRDefault="00236AB5" w:rsidP="00236AB5">
            <w:pPr>
              <w:pStyle w:val="Zkladntext20"/>
              <w:spacing w:after="0"/>
              <w:ind w:left="284" w:hanging="284"/>
              <w:rPr>
                <w:lang w:bidi="cs-CZ"/>
              </w:rPr>
            </w:pPr>
            <w:r w:rsidRPr="008819AF">
              <w:rPr>
                <w:sz w:val="20"/>
                <w:szCs w:val="20"/>
                <w:vertAlign w:val="superscript"/>
              </w:rPr>
              <w:t>1</w:t>
            </w:r>
            <w:r w:rsidRPr="008819AF">
              <w:rPr>
                <w:sz w:val="20"/>
                <w:szCs w:val="20"/>
              </w:rPr>
              <w:t>) Ak celkové  množstvo emisií SO</w:t>
            </w:r>
            <w:r w:rsidRPr="008819AF">
              <w:rPr>
                <w:sz w:val="20"/>
                <w:szCs w:val="20"/>
                <w:vertAlign w:val="subscript"/>
              </w:rPr>
              <w:t>2</w:t>
            </w:r>
            <w:r w:rsidRPr="008819AF">
              <w:rPr>
                <w:sz w:val="20"/>
                <w:szCs w:val="20"/>
              </w:rPr>
              <w:t xml:space="preserve"> alebo TOC nepochádza zo spaľovania odpadov, správny orgán môže určiť miernejší emisný limit individuálne. </w:t>
            </w:r>
          </w:p>
        </w:tc>
        <w:tc>
          <w:tcPr>
            <w:tcW w:w="863" w:type="dxa"/>
            <w:gridSpan w:val="3"/>
            <w:tcBorders>
              <w:top w:val="single" w:sz="4" w:space="0" w:color="000000"/>
              <w:left w:val="single" w:sz="6" w:space="0" w:color="000000"/>
              <w:bottom w:val="single" w:sz="6" w:space="0" w:color="000000"/>
              <w:right w:val="single" w:sz="6" w:space="0" w:color="000000"/>
            </w:tcBorders>
          </w:tcPr>
          <w:p w14:paraId="15133C68"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C69" w14:textId="77777777" w:rsidR="00236AB5" w:rsidRPr="008819AF" w:rsidRDefault="00236AB5" w:rsidP="00236AB5">
            <w:pPr>
              <w:ind w:left="215" w:hanging="215"/>
              <w:rPr>
                <w:rFonts w:eastAsia="Arial"/>
              </w:rPr>
            </w:pPr>
          </w:p>
        </w:tc>
      </w:tr>
      <w:tr w:rsidR="00236AB5" w:rsidRPr="008819AF" w14:paraId="15133E94" w14:textId="77777777" w:rsidTr="003E351D">
        <w:trPr>
          <w:gridAfter w:val="1"/>
          <w:wAfter w:w="62" w:type="dxa"/>
          <w:trHeight w:val="2120"/>
          <w:jc w:val="center"/>
        </w:trPr>
        <w:tc>
          <w:tcPr>
            <w:tcW w:w="483" w:type="dxa"/>
            <w:tcBorders>
              <w:top w:val="single" w:sz="4" w:space="0" w:color="000000"/>
              <w:left w:val="single" w:sz="6" w:space="0" w:color="000000"/>
              <w:bottom w:val="single" w:sz="6" w:space="0" w:color="000000"/>
              <w:right w:val="single" w:sz="6" w:space="0" w:color="000000"/>
            </w:tcBorders>
          </w:tcPr>
          <w:p w14:paraId="15133C6B"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C6C" w14:textId="77777777" w:rsidR="00236AB5" w:rsidRPr="008819AF" w:rsidRDefault="00236AB5" w:rsidP="00236AB5">
            <w:pPr>
              <w:ind w:left="215" w:hanging="215"/>
              <w:rPr>
                <w:rFonts w:eastAsia="Arial"/>
                <w:lang w:bidi="cs-CZ"/>
              </w:rPr>
            </w:pPr>
            <w:r w:rsidRPr="008819AF">
              <w:rPr>
                <w:rFonts w:eastAsia="Arial"/>
                <w:lang w:bidi="cs-CZ"/>
              </w:rPr>
              <w:t>3. Osobitné ustanovenia pre spaľovacie zariadenia, ktoré spoluspaľujú odpady</w:t>
            </w:r>
          </w:p>
          <w:p w14:paraId="15133C6D" w14:textId="77777777" w:rsidR="00236AB5" w:rsidRPr="008819AF" w:rsidRDefault="00236AB5" w:rsidP="00236AB5">
            <w:pPr>
              <w:ind w:left="215" w:hanging="215"/>
              <w:rPr>
                <w:rFonts w:eastAsia="Arial"/>
                <w:lang w:bidi="cs-CZ"/>
              </w:rPr>
            </w:pPr>
            <w:r w:rsidRPr="008819AF">
              <w:rPr>
                <w:rFonts w:eastAsia="Arial"/>
                <w:lang w:bidi="cs-CZ"/>
              </w:rPr>
              <w:t>3.1.  Cproces vyjadrené ako denné priemerné hodnoty (mg/Nm3) platné do dátumu stanoveného v článku 82 ods. 5</w:t>
            </w:r>
          </w:p>
          <w:p w14:paraId="15133C6E" w14:textId="77777777" w:rsidR="00236AB5" w:rsidRPr="008819AF" w:rsidRDefault="00236AB5" w:rsidP="00236AB5">
            <w:pPr>
              <w:ind w:left="215" w:hanging="215"/>
              <w:rPr>
                <w:rFonts w:eastAsia="Arial"/>
                <w:lang w:bidi="cs-CZ"/>
              </w:rPr>
            </w:pPr>
          </w:p>
          <w:p w14:paraId="15133C6F" w14:textId="77777777" w:rsidR="00236AB5" w:rsidRPr="008819AF" w:rsidRDefault="00236AB5" w:rsidP="00236AB5">
            <w:pPr>
              <w:ind w:left="215" w:hanging="1"/>
              <w:rPr>
                <w:rFonts w:eastAsia="Arial"/>
              </w:rPr>
            </w:pPr>
            <w:r w:rsidRPr="008819AF">
              <w:rPr>
                <w:rFonts w:eastAsia="Arial"/>
                <w:lang w:bidi="cs-CZ"/>
              </w:rPr>
              <w:t>Na určenie celkového menovitého tepelného príkonu spaľovacích zariadení sa uplatňujú agregačné pravidlá vymedzené v článku 29. Polhodinové priemerné hodnoty sú potrebné iba na výpočet denných priemerných hodnôt.</w:t>
            </w:r>
          </w:p>
          <w:p w14:paraId="15133C70" w14:textId="77777777" w:rsidR="00236AB5" w:rsidRPr="008819AF" w:rsidRDefault="00236AB5" w:rsidP="00236AB5">
            <w:pPr>
              <w:ind w:left="215" w:hanging="215"/>
              <w:rPr>
                <w:rFonts w:eastAsia="Arial"/>
              </w:rPr>
            </w:pPr>
          </w:p>
          <w:p w14:paraId="15133C71" w14:textId="77777777" w:rsidR="00236AB5" w:rsidRPr="008819AF" w:rsidRDefault="00236AB5" w:rsidP="00236AB5">
            <w:pPr>
              <w:ind w:left="215" w:hanging="1"/>
              <w:rPr>
                <w:rFonts w:eastAsia="Arial"/>
              </w:rPr>
            </w:pPr>
            <w:r w:rsidRPr="008819AF">
              <w:rPr>
                <w:rFonts w:eastAsia="Arial"/>
                <w:lang w:bidi="cs-CZ"/>
              </w:rPr>
              <w:t>Cproces pre tuhé palivá s výnimkou biomasy (obsah O2  6 %):</w:t>
            </w:r>
          </w:p>
          <w:p w14:paraId="15133C72" w14:textId="77777777" w:rsidR="00236AB5" w:rsidRPr="008819AF" w:rsidRDefault="00236AB5" w:rsidP="00236AB5">
            <w:pPr>
              <w:ind w:left="215" w:hanging="215"/>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220"/>
              <w:gridCol w:w="1221"/>
              <w:gridCol w:w="1349"/>
              <w:gridCol w:w="1093"/>
            </w:tblGrid>
            <w:tr w:rsidR="00236AB5" w:rsidRPr="008819AF" w14:paraId="15133C78" w14:textId="77777777" w:rsidTr="00102892">
              <w:trPr>
                <w:trHeight w:val="90"/>
              </w:trPr>
              <w:tc>
                <w:tcPr>
                  <w:tcW w:w="1159" w:type="dxa"/>
                  <w:tcBorders>
                    <w:top w:val="single" w:sz="4" w:space="0" w:color="000000"/>
                    <w:left w:val="single" w:sz="4" w:space="0" w:color="000000"/>
                    <w:bottom w:val="single" w:sz="4" w:space="0" w:color="000000"/>
                    <w:right w:val="single" w:sz="4" w:space="0" w:color="000000"/>
                  </w:tcBorders>
                </w:tcPr>
                <w:p w14:paraId="15133C73" w14:textId="77777777" w:rsidR="00236AB5" w:rsidRPr="008819AF" w:rsidRDefault="00236AB5" w:rsidP="00236AB5">
                  <w:pPr>
                    <w:pStyle w:val="Default"/>
                    <w:ind w:right="-101"/>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Znečisťujúce látky</w:t>
                  </w:r>
                </w:p>
              </w:tc>
              <w:tc>
                <w:tcPr>
                  <w:tcW w:w="1159" w:type="dxa"/>
                  <w:tcBorders>
                    <w:top w:val="single" w:sz="4" w:space="0" w:color="000000"/>
                    <w:left w:val="single" w:sz="4" w:space="0" w:color="000000"/>
                    <w:bottom w:val="single" w:sz="4" w:space="0" w:color="000000"/>
                    <w:right w:val="single" w:sz="4" w:space="0" w:color="000000"/>
                  </w:tcBorders>
                </w:tcPr>
                <w:p w14:paraId="15133C7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&lt; 50 MWth</w:t>
                  </w:r>
                </w:p>
              </w:tc>
              <w:tc>
                <w:tcPr>
                  <w:tcW w:w="1160" w:type="dxa"/>
                  <w:tcBorders>
                    <w:top w:val="single" w:sz="4" w:space="0" w:color="000000"/>
                    <w:left w:val="single" w:sz="4" w:space="0" w:color="000000"/>
                    <w:bottom w:val="single" w:sz="4" w:space="0" w:color="000000"/>
                    <w:right w:val="single" w:sz="4" w:space="0" w:color="000000"/>
                  </w:tcBorders>
                </w:tcPr>
                <w:p w14:paraId="15133C7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50-100 MWth</w:t>
                  </w:r>
                </w:p>
              </w:tc>
              <w:tc>
                <w:tcPr>
                  <w:tcW w:w="1282" w:type="dxa"/>
                  <w:tcBorders>
                    <w:top w:val="single" w:sz="4" w:space="0" w:color="000000"/>
                    <w:left w:val="single" w:sz="4" w:space="0" w:color="000000"/>
                    <w:bottom w:val="single" w:sz="4" w:space="0" w:color="000000"/>
                    <w:right w:val="single" w:sz="4" w:space="0" w:color="000000"/>
                  </w:tcBorders>
                </w:tcPr>
                <w:p w14:paraId="15133C7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až 300 MWth</w:t>
                  </w:r>
                </w:p>
              </w:tc>
              <w:tc>
                <w:tcPr>
                  <w:tcW w:w="1038" w:type="dxa"/>
                  <w:tcBorders>
                    <w:top w:val="single" w:sz="4" w:space="0" w:color="000000"/>
                    <w:left w:val="single" w:sz="4" w:space="0" w:color="000000"/>
                    <w:bottom w:val="single" w:sz="4" w:space="0" w:color="000000"/>
                    <w:right w:val="single" w:sz="4" w:space="0" w:color="000000"/>
                  </w:tcBorders>
                </w:tcPr>
                <w:p w14:paraId="15133C7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 MWth</w:t>
                  </w:r>
                </w:p>
              </w:tc>
            </w:tr>
            <w:tr w:rsidR="00236AB5" w:rsidRPr="008819AF" w14:paraId="15133C7E" w14:textId="77777777" w:rsidTr="00102892">
              <w:trPr>
                <w:trHeight w:val="114"/>
              </w:trPr>
              <w:tc>
                <w:tcPr>
                  <w:tcW w:w="1159" w:type="dxa"/>
                  <w:tcBorders>
                    <w:top w:val="single" w:sz="4" w:space="0" w:color="000000"/>
                    <w:left w:val="single" w:sz="4" w:space="0" w:color="000000"/>
                    <w:bottom w:val="single" w:sz="4" w:space="0" w:color="000000"/>
                    <w:right w:val="single" w:sz="4" w:space="0" w:color="000000"/>
                  </w:tcBorders>
                </w:tcPr>
                <w:p w14:paraId="15133C7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SO2</w:t>
                  </w:r>
                </w:p>
              </w:tc>
              <w:tc>
                <w:tcPr>
                  <w:tcW w:w="1159" w:type="dxa"/>
                  <w:tcBorders>
                    <w:top w:val="single" w:sz="4" w:space="0" w:color="000000"/>
                    <w:left w:val="single" w:sz="4" w:space="0" w:color="000000"/>
                    <w:bottom w:val="single" w:sz="4" w:space="0" w:color="000000"/>
                    <w:right w:val="single" w:sz="4" w:space="0" w:color="000000"/>
                  </w:tcBorders>
                </w:tcPr>
                <w:p w14:paraId="15133C7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160" w:type="dxa"/>
                  <w:tcBorders>
                    <w:top w:val="single" w:sz="4" w:space="0" w:color="000000"/>
                    <w:left w:val="single" w:sz="4" w:space="0" w:color="000000"/>
                    <w:bottom w:val="single" w:sz="4" w:space="0" w:color="000000"/>
                    <w:right w:val="single" w:sz="4" w:space="0" w:color="000000"/>
                  </w:tcBorders>
                </w:tcPr>
                <w:p w14:paraId="15133C7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850</w:t>
                  </w:r>
                </w:p>
              </w:tc>
              <w:tc>
                <w:tcPr>
                  <w:tcW w:w="1282" w:type="dxa"/>
                  <w:tcBorders>
                    <w:top w:val="single" w:sz="4" w:space="0" w:color="000000"/>
                    <w:left w:val="single" w:sz="4" w:space="0" w:color="000000"/>
                    <w:bottom w:val="single" w:sz="4" w:space="0" w:color="000000"/>
                    <w:right w:val="single" w:sz="4" w:space="0" w:color="000000"/>
                  </w:tcBorders>
                </w:tcPr>
                <w:p w14:paraId="15133C7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38" w:type="dxa"/>
                  <w:tcBorders>
                    <w:top w:val="single" w:sz="4" w:space="0" w:color="000000"/>
                    <w:left w:val="single" w:sz="4" w:space="0" w:color="000000"/>
                    <w:bottom w:val="single" w:sz="4" w:space="0" w:color="000000"/>
                    <w:right w:val="single" w:sz="4" w:space="0" w:color="000000"/>
                  </w:tcBorders>
                </w:tcPr>
                <w:p w14:paraId="15133C7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C84" w14:textId="77777777" w:rsidTr="00102892">
              <w:trPr>
                <w:trHeight w:val="114"/>
              </w:trPr>
              <w:tc>
                <w:tcPr>
                  <w:tcW w:w="1159" w:type="dxa"/>
                  <w:tcBorders>
                    <w:top w:val="single" w:sz="4" w:space="0" w:color="000000"/>
                    <w:left w:val="single" w:sz="4" w:space="0" w:color="000000"/>
                    <w:bottom w:val="single" w:sz="4" w:space="0" w:color="000000"/>
                    <w:right w:val="single" w:sz="4" w:space="0" w:color="000000"/>
                  </w:tcBorders>
                </w:tcPr>
                <w:p w14:paraId="15133C7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NOx</w:t>
                  </w:r>
                </w:p>
              </w:tc>
              <w:tc>
                <w:tcPr>
                  <w:tcW w:w="1159" w:type="dxa"/>
                  <w:tcBorders>
                    <w:top w:val="single" w:sz="4" w:space="0" w:color="000000"/>
                    <w:left w:val="single" w:sz="4" w:space="0" w:color="000000"/>
                    <w:bottom w:val="single" w:sz="4" w:space="0" w:color="000000"/>
                    <w:right w:val="single" w:sz="4" w:space="0" w:color="000000"/>
                  </w:tcBorders>
                </w:tcPr>
                <w:p w14:paraId="15133C8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160" w:type="dxa"/>
                  <w:tcBorders>
                    <w:top w:val="single" w:sz="4" w:space="0" w:color="000000"/>
                    <w:left w:val="single" w:sz="4" w:space="0" w:color="000000"/>
                    <w:bottom w:val="single" w:sz="4" w:space="0" w:color="000000"/>
                    <w:right w:val="single" w:sz="4" w:space="0" w:color="000000"/>
                  </w:tcBorders>
                </w:tcPr>
                <w:p w14:paraId="15133C8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400</w:t>
                  </w:r>
                </w:p>
              </w:tc>
              <w:tc>
                <w:tcPr>
                  <w:tcW w:w="1282" w:type="dxa"/>
                  <w:tcBorders>
                    <w:top w:val="single" w:sz="4" w:space="0" w:color="000000"/>
                    <w:left w:val="single" w:sz="4" w:space="0" w:color="000000"/>
                    <w:bottom w:val="single" w:sz="4" w:space="0" w:color="000000"/>
                    <w:right w:val="single" w:sz="4" w:space="0" w:color="000000"/>
                  </w:tcBorders>
                </w:tcPr>
                <w:p w14:paraId="15133C8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38" w:type="dxa"/>
                  <w:tcBorders>
                    <w:top w:val="single" w:sz="4" w:space="0" w:color="000000"/>
                    <w:left w:val="single" w:sz="4" w:space="0" w:color="000000"/>
                    <w:bottom w:val="single" w:sz="4" w:space="0" w:color="000000"/>
                    <w:right w:val="single" w:sz="4" w:space="0" w:color="000000"/>
                  </w:tcBorders>
                </w:tcPr>
                <w:p w14:paraId="15133C8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C8A" w14:textId="77777777" w:rsidTr="00102892">
              <w:trPr>
                <w:trHeight w:val="103"/>
              </w:trPr>
              <w:tc>
                <w:tcPr>
                  <w:tcW w:w="1159" w:type="dxa"/>
                  <w:tcBorders>
                    <w:top w:val="single" w:sz="4" w:space="0" w:color="000000"/>
                    <w:left w:val="single" w:sz="4" w:space="0" w:color="000000"/>
                    <w:bottom w:val="single" w:sz="4" w:space="0" w:color="000000"/>
                    <w:right w:val="single" w:sz="4" w:space="0" w:color="000000"/>
                  </w:tcBorders>
                </w:tcPr>
                <w:p w14:paraId="15133C8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Prach</w:t>
                  </w:r>
                </w:p>
              </w:tc>
              <w:tc>
                <w:tcPr>
                  <w:tcW w:w="1159" w:type="dxa"/>
                  <w:tcBorders>
                    <w:top w:val="single" w:sz="4" w:space="0" w:color="000000"/>
                    <w:left w:val="single" w:sz="4" w:space="0" w:color="000000"/>
                    <w:bottom w:val="single" w:sz="4" w:space="0" w:color="000000"/>
                    <w:right w:val="single" w:sz="4" w:space="0" w:color="000000"/>
                  </w:tcBorders>
                </w:tcPr>
                <w:p w14:paraId="15133C8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c>
                <w:tcPr>
                  <w:tcW w:w="1160" w:type="dxa"/>
                  <w:tcBorders>
                    <w:top w:val="single" w:sz="4" w:space="0" w:color="000000"/>
                    <w:left w:val="single" w:sz="4" w:space="0" w:color="000000"/>
                    <w:bottom w:val="single" w:sz="4" w:space="0" w:color="000000"/>
                    <w:right w:val="single" w:sz="4" w:space="0" w:color="000000"/>
                  </w:tcBorders>
                </w:tcPr>
                <w:p w14:paraId="15133C8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c>
                <w:tcPr>
                  <w:tcW w:w="1282" w:type="dxa"/>
                  <w:tcBorders>
                    <w:top w:val="single" w:sz="4" w:space="0" w:color="000000"/>
                    <w:left w:val="single" w:sz="4" w:space="0" w:color="000000"/>
                    <w:bottom w:val="single" w:sz="4" w:space="0" w:color="000000"/>
                    <w:right w:val="single" w:sz="4" w:space="0" w:color="000000"/>
                  </w:tcBorders>
                </w:tcPr>
                <w:p w14:paraId="15133C8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c>
                <w:tcPr>
                  <w:tcW w:w="1038" w:type="dxa"/>
                  <w:tcBorders>
                    <w:top w:val="single" w:sz="4" w:space="0" w:color="000000"/>
                    <w:left w:val="single" w:sz="4" w:space="0" w:color="000000"/>
                    <w:bottom w:val="single" w:sz="4" w:space="0" w:color="000000"/>
                    <w:right w:val="single" w:sz="4" w:space="0" w:color="000000"/>
                  </w:tcBorders>
                </w:tcPr>
                <w:p w14:paraId="15133C8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r>
          </w:tbl>
          <w:p w14:paraId="15133C8B" w14:textId="77777777" w:rsidR="00236AB5" w:rsidRPr="008819AF" w:rsidRDefault="00236AB5" w:rsidP="00236AB5">
            <w:pPr>
              <w:ind w:left="215" w:hanging="215"/>
              <w:rPr>
                <w:rFonts w:eastAsia="Arial"/>
              </w:rPr>
            </w:pPr>
          </w:p>
          <w:p w14:paraId="15133C8C" w14:textId="77777777" w:rsidR="00236AB5" w:rsidRPr="008819AF" w:rsidRDefault="00236AB5" w:rsidP="00236AB5">
            <w:pPr>
              <w:ind w:left="215" w:hanging="1"/>
              <w:rPr>
                <w:rFonts w:eastAsia="Arial"/>
              </w:rPr>
            </w:pPr>
            <w:r w:rsidRPr="008819AF">
              <w:rPr>
                <w:rFonts w:eastAsia="Arial"/>
                <w:lang w:bidi="cs-CZ"/>
              </w:rPr>
              <w:t>Cproces pre biomasu (obsah O2 6 %):</w:t>
            </w:r>
          </w:p>
          <w:p w14:paraId="15133C8D" w14:textId="77777777" w:rsidR="00236AB5" w:rsidRPr="008819AF" w:rsidRDefault="00236AB5" w:rsidP="00236AB5">
            <w:pPr>
              <w:ind w:left="215" w:hanging="215"/>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220"/>
              <w:gridCol w:w="1221"/>
              <w:gridCol w:w="1221"/>
              <w:gridCol w:w="1221"/>
            </w:tblGrid>
            <w:tr w:rsidR="00236AB5" w:rsidRPr="008819AF" w14:paraId="15133C93" w14:textId="77777777" w:rsidTr="00102892">
              <w:trPr>
                <w:trHeight w:val="90"/>
              </w:trPr>
              <w:tc>
                <w:tcPr>
                  <w:tcW w:w="1020" w:type="dxa"/>
                  <w:tcBorders>
                    <w:top w:val="single" w:sz="4" w:space="0" w:color="000000"/>
                    <w:left w:val="single" w:sz="4" w:space="0" w:color="000000"/>
                    <w:bottom w:val="single" w:sz="4" w:space="0" w:color="000000"/>
                    <w:right w:val="single" w:sz="4" w:space="0" w:color="000000"/>
                  </w:tcBorders>
                </w:tcPr>
                <w:p w14:paraId="15133C8E" w14:textId="77777777" w:rsidR="00236AB5" w:rsidRPr="008819AF" w:rsidRDefault="00236AB5" w:rsidP="00236AB5">
                  <w:pPr>
                    <w:pStyle w:val="Default"/>
                    <w:ind w:right="-101"/>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Znečisťujúce látky</w:t>
                  </w:r>
                </w:p>
              </w:tc>
              <w:tc>
                <w:tcPr>
                  <w:tcW w:w="1020" w:type="dxa"/>
                  <w:tcBorders>
                    <w:top w:val="single" w:sz="4" w:space="0" w:color="000000"/>
                    <w:left w:val="single" w:sz="4" w:space="0" w:color="000000"/>
                    <w:bottom w:val="single" w:sz="4" w:space="0" w:color="000000"/>
                    <w:right w:val="single" w:sz="4" w:space="0" w:color="000000"/>
                  </w:tcBorders>
                </w:tcPr>
                <w:p w14:paraId="15133C8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&lt; 50 MWth</w:t>
                  </w:r>
                </w:p>
              </w:tc>
              <w:tc>
                <w:tcPr>
                  <w:tcW w:w="1021" w:type="dxa"/>
                  <w:tcBorders>
                    <w:top w:val="single" w:sz="4" w:space="0" w:color="000000"/>
                    <w:left w:val="single" w:sz="4" w:space="0" w:color="000000"/>
                    <w:bottom w:val="single" w:sz="4" w:space="0" w:color="000000"/>
                    <w:right w:val="single" w:sz="4" w:space="0" w:color="000000"/>
                  </w:tcBorders>
                </w:tcPr>
                <w:p w14:paraId="15133C9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až 100 MWth</w:t>
                  </w:r>
                </w:p>
              </w:tc>
              <w:tc>
                <w:tcPr>
                  <w:tcW w:w="1021" w:type="dxa"/>
                  <w:tcBorders>
                    <w:top w:val="single" w:sz="4" w:space="0" w:color="000000"/>
                    <w:left w:val="single" w:sz="4" w:space="0" w:color="000000"/>
                    <w:bottom w:val="single" w:sz="4" w:space="0" w:color="000000"/>
                    <w:right w:val="single" w:sz="4" w:space="0" w:color="000000"/>
                  </w:tcBorders>
                </w:tcPr>
                <w:p w14:paraId="15133C9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až 300 MWth</w:t>
                  </w:r>
                </w:p>
              </w:tc>
              <w:tc>
                <w:tcPr>
                  <w:tcW w:w="1021" w:type="dxa"/>
                  <w:tcBorders>
                    <w:top w:val="single" w:sz="4" w:space="0" w:color="000000"/>
                    <w:left w:val="single" w:sz="4" w:space="0" w:color="000000"/>
                    <w:bottom w:val="single" w:sz="4" w:space="0" w:color="000000"/>
                    <w:right w:val="single" w:sz="4" w:space="0" w:color="000000"/>
                  </w:tcBorders>
                </w:tcPr>
                <w:p w14:paraId="15133C9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 MWth</w:t>
                  </w:r>
                </w:p>
              </w:tc>
            </w:tr>
            <w:tr w:rsidR="00236AB5" w:rsidRPr="008819AF" w14:paraId="15133C99" w14:textId="77777777" w:rsidTr="00102892">
              <w:trPr>
                <w:trHeight w:val="114"/>
              </w:trPr>
              <w:tc>
                <w:tcPr>
                  <w:tcW w:w="1020" w:type="dxa"/>
                  <w:tcBorders>
                    <w:top w:val="single" w:sz="4" w:space="0" w:color="000000"/>
                    <w:left w:val="single" w:sz="4" w:space="0" w:color="000000"/>
                    <w:bottom w:val="single" w:sz="4" w:space="0" w:color="000000"/>
                    <w:right w:val="single" w:sz="4" w:space="0" w:color="000000"/>
                  </w:tcBorders>
                </w:tcPr>
                <w:p w14:paraId="15133C9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SO2</w:t>
                  </w:r>
                </w:p>
              </w:tc>
              <w:tc>
                <w:tcPr>
                  <w:tcW w:w="1020" w:type="dxa"/>
                  <w:tcBorders>
                    <w:top w:val="single" w:sz="4" w:space="0" w:color="000000"/>
                    <w:left w:val="single" w:sz="4" w:space="0" w:color="000000"/>
                    <w:bottom w:val="single" w:sz="4" w:space="0" w:color="000000"/>
                    <w:right w:val="single" w:sz="4" w:space="0" w:color="000000"/>
                  </w:tcBorders>
                </w:tcPr>
                <w:p w14:paraId="15133C9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15133C9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15133C9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15133C9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C9F" w14:textId="77777777" w:rsidTr="00102892">
              <w:trPr>
                <w:trHeight w:val="114"/>
              </w:trPr>
              <w:tc>
                <w:tcPr>
                  <w:tcW w:w="1020" w:type="dxa"/>
                  <w:tcBorders>
                    <w:top w:val="single" w:sz="4" w:space="0" w:color="000000"/>
                    <w:left w:val="single" w:sz="4" w:space="0" w:color="000000"/>
                    <w:bottom w:val="single" w:sz="4" w:space="0" w:color="000000"/>
                    <w:right w:val="single" w:sz="4" w:space="0" w:color="000000"/>
                  </w:tcBorders>
                </w:tcPr>
                <w:p w14:paraId="15133C9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NOx</w:t>
                  </w:r>
                </w:p>
              </w:tc>
              <w:tc>
                <w:tcPr>
                  <w:tcW w:w="1020" w:type="dxa"/>
                  <w:tcBorders>
                    <w:top w:val="single" w:sz="4" w:space="0" w:color="000000"/>
                    <w:left w:val="single" w:sz="4" w:space="0" w:color="000000"/>
                    <w:bottom w:val="single" w:sz="4" w:space="0" w:color="000000"/>
                    <w:right w:val="single" w:sz="4" w:space="0" w:color="000000"/>
                  </w:tcBorders>
                </w:tcPr>
                <w:p w14:paraId="15133C9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15133C9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350</w:t>
                  </w:r>
                </w:p>
              </w:tc>
              <w:tc>
                <w:tcPr>
                  <w:tcW w:w="1021" w:type="dxa"/>
                  <w:tcBorders>
                    <w:top w:val="single" w:sz="4" w:space="0" w:color="000000"/>
                    <w:left w:val="single" w:sz="4" w:space="0" w:color="000000"/>
                    <w:bottom w:val="single" w:sz="4" w:space="0" w:color="000000"/>
                    <w:right w:val="single" w:sz="4" w:space="0" w:color="000000"/>
                  </w:tcBorders>
                </w:tcPr>
                <w:p w14:paraId="15133C9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tc>
              <w:tc>
                <w:tcPr>
                  <w:tcW w:w="1021" w:type="dxa"/>
                  <w:tcBorders>
                    <w:top w:val="single" w:sz="4" w:space="0" w:color="000000"/>
                    <w:left w:val="single" w:sz="4" w:space="0" w:color="000000"/>
                    <w:bottom w:val="single" w:sz="4" w:space="0" w:color="000000"/>
                    <w:right w:val="single" w:sz="4" w:space="0" w:color="000000"/>
                  </w:tcBorders>
                </w:tcPr>
                <w:p w14:paraId="15133C9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CA5" w14:textId="77777777" w:rsidTr="00102892">
              <w:trPr>
                <w:trHeight w:val="103"/>
              </w:trPr>
              <w:tc>
                <w:tcPr>
                  <w:tcW w:w="1020" w:type="dxa"/>
                  <w:tcBorders>
                    <w:top w:val="single" w:sz="4" w:space="0" w:color="000000"/>
                    <w:left w:val="single" w:sz="4" w:space="0" w:color="000000"/>
                    <w:bottom w:val="single" w:sz="4" w:space="0" w:color="000000"/>
                    <w:right w:val="single" w:sz="4" w:space="0" w:color="000000"/>
                  </w:tcBorders>
                </w:tcPr>
                <w:p w14:paraId="15133CA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Prach</w:t>
                  </w:r>
                </w:p>
              </w:tc>
              <w:tc>
                <w:tcPr>
                  <w:tcW w:w="1020" w:type="dxa"/>
                  <w:tcBorders>
                    <w:top w:val="single" w:sz="4" w:space="0" w:color="000000"/>
                    <w:left w:val="single" w:sz="4" w:space="0" w:color="000000"/>
                    <w:bottom w:val="single" w:sz="4" w:space="0" w:color="000000"/>
                    <w:right w:val="single" w:sz="4" w:space="0" w:color="000000"/>
                  </w:tcBorders>
                </w:tcPr>
                <w:p w14:paraId="15133CA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15133CA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15133CA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c>
                <w:tcPr>
                  <w:tcW w:w="1021" w:type="dxa"/>
                  <w:tcBorders>
                    <w:top w:val="single" w:sz="4" w:space="0" w:color="000000"/>
                    <w:left w:val="single" w:sz="4" w:space="0" w:color="000000"/>
                    <w:bottom w:val="single" w:sz="4" w:space="0" w:color="000000"/>
                    <w:right w:val="single" w:sz="4" w:space="0" w:color="000000"/>
                  </w:tcBorders>
                </w:tcPr>
                <w:p w14:paraId="15133CA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r>
          </w:tbl>
          <w:p w14:paraId="15133CA6" w14:textId="77777777" w:rsidR="00236AB5" w:rsidRPr="008819AF" w:rsidRDefault="00236AB5" w:rsidP="00236AB5">
            <w:pPr>
              <w:ind w:left="215" w:hanging="215"/>
              <w:rPr>
                <w:rFonts w:eastAsia="Arial"/>
              </w:rPr>
            </w:pPr>
          </w:p>
          <w:p w14:paraId="15133CA7" w14:textId="77777777" w:rsidR="00236AB5" w:rsidRPr="008819AF" w:rsidRDefault="00236AB5" w:rsidP="00236AB5">
            <w:pPr>
              <w:ind w:left="215" w:hanging="215"/>
              <w:rPr>
                <w:rFonts w:eastAsia="Arial"/>
              </w:rPr>
            </w:pPr>
            <w:r w:rsidRPr="008819AF">
              <w:rPr>
                <w:rFonts w:eastAsia="Arial"/>
                <w:lang w:bidi="cs-CZ"/>
              </w:rPr>
              <w:t>Cproces pre kvapalné palivá (obsah O2 3 %):</w:t>
            </w:r>
          </w:p>
          <w:p w14:paraId="15133CA8" w14:textId="77777777" w:rsidR="00236AB5" w:rsidRPr="008819AF" w:rsidRDefault="00236AB5" w:rsidP="00236AB5">
            <w:pPr>
              <w:ind w:left="215" w:hanging="215"/>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725"/>
              <w:gridCol w:w="1018"/>
              <w:gridCol w:w="2223"/>
              <w:gridCol w:w="918"/>
            </w:tblGrid>
            <w:tr w:rsidR="00236AB5" w:rsidRPr="008819AF" w14:paraId="15133CAE" w14:textId="77777777" w:rsidTr="00102892">
              <w:trPr>
                <w:trHeight w:val="132"/>
              </w:trPr>
              <w:tc>
                <w:tcPr>
                  <w:tcW w:w="1219" w:type="dxa"/>
                  <w:tcBorders>
                    <w:top w:val="single" w:sz="4" w:space="0" w:color="000000"/>
                    <w:left w:val="single" w:sz="4" w:space="0" w:color="000000"/>
                    <w:bottom w:val="single" w:sz="4" w:space="0" w:color="000000"/>
                    <w:right w:val="single" w:sz="4" w:space="0" w:color="000000"/>
                  </w:tcBorders>
                </w:tcPr>
                <w:p w14:paraId="15133CA9" w14:textId="77777777" w:rsidR="00236AB5" w:rsidRPr="008819AF" w:rsidRDefault="00236AB5" w:rsidP="00236AB5">
                  <w:pPr>
                    <w:pStyle w:val="Default"/>
                    <w:ind w:right="-101"/>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Znečisťujúce látky</w:t>
                  </w:r>
                </w:p>
              </w:tc>
              <w:tc>
                <w:tcPr>
                  <w:tcW w:w="725" w:type="dxa"/>
                  <w:tcBorders>
                    <w:top w:val="single" w:sz="4" w:space="0" w:color="000000"/>
                    <w:left w:val="single" w:sz="4" w:space="0" w:color="000000"/>
                    <w:bottom w:val="single" w:sz="4" w:space="0" w:color="000000"/>
                    <w:right w:val="single" w:sz="4" w:space="0" w:color="000000"/>
                  </w:tcBorders>
                </w:tcPr>
                <w:p w14:paraId="15133CA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&lt; 50 MWth</w:t>
                  </w:r>
                </w:p>
              </w:tc>
              <w:tc>
                <w:tcPr>
                  <w:tcW w:w="1018" w:type="dxa"/>
                  <w:tcBorders>
                    <w:top w:val="single" w:sz="4" w:space="0" w:color="000000"/>
                    <w:left w:val="single" w:sz="4" w:space="0" w:color="000000"/>
                    <w:bottom w:val="single" w:sz="4" w:space="0" w:color="000000"/>
                    <w:right w:val="single" w:sz="4" w:space="0" w:color="000000"/>
                  </w:tcBorders>
                </w:tcPr>
                <w:p w14:paraId="15133CA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až 100 MWth</w:t>
                  </w:r>
                </w:p>
              </w:tc>
              <w:tc>
                <w:tcPr>
                  <w:tcW w:w="2223" w:type="dxa"/>
                  <w:tcBorders>
                    <w:top w:val="single" w:sz="4" w:space="0" w:color="000000"/>
                    <w:left w:val="single" w:sz="4" w:space="0" w:color="000000"/>
                    <w:bottom w:val="single" w:sz="4" w:space="0" w:color="000000"/>
                    <w:right w:val="single" w:sz="4" w:space="0" w:color="000000"/>
                  </w:tcBorders>
                </w:tcPr>
                <w:p w14:paraId="15133CA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až 300 MWth</w:t>
                  </w:r>
                </w:p>
              </w:tc>
              <w:tc>
                <w:tcPr>
                  <w:tcW w:w="918" w:type="dxa"/>
                  <w:tcBorders>
                    <w:top w:val="single" w:sz="4" w:space="0" w:color="000000"/>
                    <w:left w:val="single" w:sz="4" w:space="0" w:color="000000"/>
                    <w:bottom w:val="single" w:sz="4" w:space="0" w:color="000000"/>
                    <w:right w:val="single" w:sz="4" w:space="0" w:color="000000"/>
                  </w:tcBorders>
                </w:tcPr>
                <w:p w14:paraId="15133CA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 MWth</w:t>
                  </w:r>
                </w:p>
              </w:tc>
            </w:tr>
            <w:tr w:rsidR="00236AB5" w:rsidRPr="008819AF" w14:paraId="15133CB4" w14:textId="77777777" w:rsidTr="00102892">
              <w:trPr>
                <w:trHeight w:val="358"/>
              </w:trPr>
              <w:tc>
                <w:tcPr>
                  <w:tcW w:w="1219" w:type="dxa"/>
                  <w:tcBorders>
                    <w:top w:val="single" w:sz="4" w:space="0" w:color="000000"/>
                    <w:left w:val="single" w:sz="4" w:space="0" w:color="000000"/>
                    <w:bottom w:val="single" w:sz="4" w:space="0" w:color="000000"/>
                    <w:right w:val="single" w:sz="4" w:space="0" w:color="000000"/>
                  </w:tcBorders>
                </w:tcPr>
                <w:p w14:paraId="15133CA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SO2</w:t>
                  </w:r>
                </w:p>
              </w:tc>
              <w:tc>
                <w:tcPr>
                  <w:tcW w:w="725" w:type="dxa"/>
                  <w:tcBorders>
                    <w:top w:val="single" w:sz="4" w:space="0" w:color="000000"/>
                    <w:left w:val="single" w:sz="4" w:space="0" w:color="000000"/>
                    <w:bottom w:val="single" w:sz="4" w:space="0" w:color="000000"/>
                    <w:right w:val="single" w:sz="4" w:space="0" w:color="000000"/>
                  </w:tcBorders>
                </w:tcPr>
                <w:p w14:paraId="15133CB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018" w:type="dxa"/>
                  <w:tcBorders>
                    <w:top w:val="single" w:sz="4" w:space="0" w:color="000000"/>
                    <w:left w:val="single" w:sz="4" w:space="0" w:color="000000"/>
                    <w:bottom w:val="single" w:sz="4" w:space="0" w:color="000000"/>
                    <w:right w:val="single" w:sz="4" w:space="0" w:color="000000"/>
                  </w:tcBorders>
                </w:tcPr>
                <w:p w14:paraId="15133CB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850</w:t>
                  </w:r>
                </w:p>
              </w:tc>
              <w:tc>
                <w:tcPr>
                  <w:tcW w:w="2223" w:type="dxa"/>
                  <w:tcBorders>
                    <w:top w:val="single" w:sz="4" w:space="0" w:color="000000"/>
                    <w:left w:val="single" w:sz="4" w:space="0" w:color="000000"/>
                    <w:bottom w:val="single" w:sz="4" w:space="0" w:color="000000"/>
                    <w:right w:val="single" w:sz="4" w:space="0" w:color="000000"/>
                  </w:tcBorders>
                </w:tcPr>
                <w:p w14:paraId="15133CB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400 až 200 (lineárny pokles pri raste výkonu od 100 do 300 MWth)</w:t>
                  </w:r>
                </w:p>
              </w:tc>
              <w:tc>
                <w:tcPr>
                  <w:tcW w:w="918" w:type="dxa"/>
                  <w:tcBorders>
                    <w:top w:val="single" w:sz="4" w:space="0" w:color="000000"/>
                    <w:left w:val="single" w:sz="4" w:space="0" w:color="000000"/>
                    <w:bottom w:val="single" w:sz="4" w:space="0" w:color="000000"/>
                    <w:right w:val="single" w:sz="4" w:space="0" w:color="000000"/>
                  </w:tcBorders>
                </w:tcPr>
                <w:p w14:paraId="15133CB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CBA" w14:textId="77777777" w:rsidTr="00102892">
              <w:trPr>
                <w:trHeight w:val="114"/>
              </w:trPr>
              <w:tc>
                <w:tcPr>
                  <w:tcW w:w="1219" w:type="dxa"/>
                  <w:tcBorders>
                    <w:top w:val="single" w:sz="4" w:space="0" w:color="000000"/>
                    <w:left w:val="single" w:sz="4" w:space="0" w:color="000000"/>
                    <w:bottom w:val="single" w:sz="4" w:space="0" w:color="000000"/>
                    <w:right w:val="single" w:sz="4" w:space="0" w:color="000000"/>
                  </w:tcBorders>
                </w:tcPr>
                <w:p w14:paraId="15133CB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NOx</w:t>
                  </w:r>
                </w:p>
              </w:tc>
              <w:tc>
                <w:tcPr>
                  <w:tcW w:w="725" w:type="dxa"/>
                  <w:tcBorders>
                    <w:top w:val="single" w:sz="4" w:space="0" w:color="000000"/>
                    <w:left w:val="single" w:sz="4" w:space="0" w:color="000000"/>
                    <w:bottom w:val="single" w:sz="4" w:space="0" w:color="000000"/>
                    <w:right w:val="single" w:sz="4" w:space="0" w:color="000000"/>
                  </w:tcBorders>
                </w:tcPr>
                <w:p w14:paraId="15133CB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018" w:type="dxa"/>
                  <w:tcBorders>
                    <w:top w:val="single" w:sz="4" w:space="0" w:color="000000"/>
                    <w:left w:val="single" w:sz="4" w:space="0" w:color="000000"/>
                    <w:bottom w:val="single" w:sz="4" w:space="0" w:color="000000"/>
                    <w:right w:val="single" w:sz="4" w:space="0" w:color="000000"/>
                  </w:tcBorders>
                </w:tcPr>
                <w:p w14:paraId="15133CB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400</w:t>
                  </w:r>
                </w:p>
              </w:tc>
              <w:tc>
                <w:tcPr>
                  <w:tcW w:w="2223" w:type="dxa"/>
                  <w:tcBorders>
                    <w:top w:val="single" w:sz="4" w:space="0" w:color="000000"/>
                    <w:left w:val="single" w:sz="4" w:space="0" w:color="000000"/>
                    <w:bottom w:val="single" w:sz="4" w:space="0" w:color="000000"/>
                    <w:right w:val="single" w:sz="4" w:space="0" w:color="000000"/>
                  </w:tcBorders>
                </w:tcPr>
                <w:p w14:paraId="15133CB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918" w:type="dxa"/>
                  <w:tcBorders>
                    <w:top w:val="single" w:sz="4" w:space="0" w:color="000000"/>
                    <w:left w:val="single" w:sz="4" w:space="0" w:color="000000"/>
                    <w:bottom w:val="single" w:sz="4" w:space="0" w:color="000000"/>
                    <w:right w:val="single" w:sz="4" w:space="0" w:color="000000"/>
                  </w:tcBorders>
                </w:tcPr>
                <w:p w14:paraId="15133CB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CC0" w14:textId="77777777" w:rsidTr="00102892">
              <w:trPr>
                <w:trHeight w:val="103"/>
              </w:trPr>
              <w:tc>
                <w:tcPr>
                  <w:tcW w:w="1219" w:type="dxa"/>
                  <w:tcBorders>
                    <w:top w:val="single" w:sz="4" w:space="0" w:color="000000"/>
                    <w:left w:val="single" w:sz="4" w:space="0" w:color="000000"/>
                    <w:bottom w:val="single" w:sz="4" w:space="0" w:color="000000"/>
                    <w:right w:val="single" w:sz="4" w:space="0" w:color="000000"/>
                  </w:tcBorders>
                </w:tcPr>
                <w:p w14:paraId="15133CB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Prach</w:t>
                  </w:r>
                </w:p>
              </w:tc>
              <w:tc>
                <w:tcPr>
                  <w:tcW w:w="725" w:type="dxa"/>
                  <w:tcBorders>
                    <w:top w:val="single" w:sz="4" w:space="0" w:color="000000"/>
                    <w:left w:val="single" w:sz="4" w:space="0" w:color="000000"/>
                    <w:bottom w:val="single" w:sz="4" w:space="0" w:color="000000"/>
                    <w:right w:val="single" w:sz="4" w:space="0" w:color="000000"/>
                  </w:tcBorders>
                </w:tcPr>
                <w:p w14:paraId="15133CB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c>
                <w:tcPr>
                  <w:tcW w:w="1018" w:type="dxa"/>
                  <w:tcBorders>
                    <w:top w:val="single" w:sz="4" w:space="0" w:color="000000"/>
                    <w:left w:val="single" w:sz="4" w:space="0" w:color="000000"/>
                    <w:bottom w:val="single" w:sz="4" w:space="0" w:color="000000"/>
                    <w:right w:val="single" w:sz="4" w:space="0" w:color="000000"/>
                  </w:tcBorders>
                </w:tcPr>
                <w:p w14:paraId="15133CB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c>
                <w:tcPr>
                  <w:tcW w:w="2223" w:type="dxa"/>
                  <w:tcBorders>
                    <w:top w:val="single" w:sz="4" w:space="0" w:color="000000"/>
                    <w:left w:val="single" w:sz="4" w:space="0" w:color="000000"/>
                    <w:bottom w:val="single" w:sz="4" w:space="0" w:color="000000"/>
                    <w:right w:val="single" w:sz="4" w:space="0" w:color="000000"/>
                  </w:tcBorders>
                </w:tcPr>
                <w:p w14:paraId="15133CB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c>
                <w:tcPr>
                  <w:tcW w:w="918" w:type="dxa"/>
                  <w:tcBorders>
                    <w:top w:val="single" w:sz="4" w:space="0" w:color="000000"/>
                    <w:left w:val="single" w:sz="4" w:space="0" w:color="000000"/>
                    <w:bottom w:val="single" w:sz="4" w:space="0" w:color="000000"/>
                    <w:right w:val="single" w:sz="4" w:space="0" w:color="000000"/>
                  </w:tcBorders>
                </w:tcPr>
                <w:p w14:paraId="15133CB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r>
          </w:tbl>
          <w:p w14:paraId="15133CC1" w14:textId="77777777" w:rsidR="00236AB5" w:rsidRPr="008819AF" w:rsidRDefault="00236AB5" w:rsidP="00236AB5">
            <w:pPr>
              <w:ind w:left="215" w:hanging="215"/>
              <w:rPr>
                <w:rFonts w:eastAsia="Arial"/>
              </w:rPr>
            </w:pPr>
          </w:p>
          <w:p w14:paraId="15133CC2" w14:textId="77777777" w:rsidR="00236AB5" w:rsidRPr="008819AF" w:rsidRDefault="00236AB5" w:rsidP="00236AB5">
            <w:pPr>
              <w:ind w:left="215" w:hanging="215"/>
              <w:rPr>
                <w:rFonts w:eastAsia="Arial"/>
                <w:lang w:bidi="cs-CZ"/>
              </w:rPr>
            </w:pPr>
            <w:r w:rsidRPr="008819AF">
              <w:rPr>
                <w:rFonts w:eastAsia="Arial"/>
                <w:lang w:bidi="cs-CZ"/>
              </w:rPr>
              <w:t>3.2. Cproces vyjadrené ako denné priemerné hodnoty (mg/Nm3) platné od dátumu stanoveného v článku 82 ods. 6</w:t>
            </w:r>
          </w:p>
          <w:p w14:paraId="15133CC3" w14:textId="77777777" w:rsidR="00236AB5" w:rsidRPr="008819AF" w:rsidRDefault="00236AB5" w:rsidP="00236AB5">
            <w:pPr>
              <w:ind w:left="215" w:hanging="215"/>
              <w:rPr>
                <w:rFonts w:eastAsia="Arial"/>
                <w:lang w:bidi="cs-CZ"/>
              </w:rPr>
            </w:pPr>
          </w:p>
          <w:p w14:paraId="15133CC4" w14:textId="77777777" w:rsidR="00236AB5" w:rsidRPr="008819AF" w:rsidRDefault="00236AB5" w:rsidP="00236AB5">
            <w:pPr>
              <w:ind w:left="215" w:hanging="1"/>
              <w:rPr>
                <w:rFonts w:eastAsia="Arial"/>
                <w:lang w:bidi="cs-CZ"/>
              </w:rPr>
            </w:pPr>
            <w:r w:rsidRPr="008819AF">
              <w:rPr>
                <w:rFonts w:eastAsia="Arial"/>
                <w:lang w:bidi="cs-CZ"/>
              </w:rPr>
              <w:lastRenderedPageBreak/>
              <w:t>Na určenie celkového menovitého tepelného príkonu spaľovacích zariadení sa uplatňujú agregačné pravidlá vymedzené v článku 29. Polhodinové priemerné hodnoty sú potrebné iba na výpočet denných priemerných hodnôt.</w:t>
            </w:r>
          </w:p>
          <w:p w14:paraId="15133CC5" w14:textId="77777777" w:rsidR="00236AB5" w:rsidRPr="008819AF" w:rsidRDefault="00236AB5" w:rsidP="00236AB5">
            <w:pPr>
              <w:ind w:left="215" w:hanging="1"/>
              <w:rPr>
                <w:rFonts w:eastAsia="Arial"/>
              </w:rPr>
            </w:pPr>
          </w:p>
          <w:p w14:paraId="15133CC6" w14:textId="77777777" w:rsidR="00236AB5" w:rsidRPr="008819AF" w:rsidRDefault="00236AB5" w:rsidP="00236AB5">
            <w:pPr>
              <w:ind w:left="356" w:hanging="356"/>
              <w:rPr>
                <w:rFonts w:eastAsia="Arial"/>
                <w:lang w:bidi="cs-CZ"/>
              </w:rPr>
            </w:pPr>
            <w:r w:rsidRPr="008819AF">
              <w:rPr>
                <w:rFonts w:eastAsia="Arial"/>
                <w:lang w:bidi="cs-CZ"/>
              </w:rPr>
              <w:t>3.2.1. Cproces pre spaľovacie zariadenia uvedené v článku 30 ods. 2 s výnimkou plynových turbín a plynových motorov</w:t>
            </w:r>
          </w:p>
          <w:p w14:paraId="15133CC7" w14:textId="77777777" w:rsidR="00236AB5" w:rsidRPr="008819AF" w:rsidRDefault="00236AB5" w:rsidP="00236AB5">
            <w:pPr>
              <w:ind w:left="356"/>
              <w:rPr>
                <w:rFonts w:eastAsia="Arial"/>
                <w:lang w:bidi="cs-CZ"/>
              </w:rPr>
            </w:pPr>
          </w:p>
          <w:p w14:paraId="15133CC8" w14:textId="77777777" w:rsidR="00236AB5" w:rsidRPr="008819AF" w:rsidRDefault="00236AB5" w:rsidP="00236AB5">
            <w:pPr>
              <w:ind w:left="356"/>
              <w:rPr>
                <w:rFonts w:eastAsia="Arial"/>
                <w:lang w:bidi="cs-CZ"/>
              </w:rPr>
            </w:pPr>
            <w:r w:rsidRPr="008819AF">
              <w:rPr>
                <w:rFonts w:eastAsia="Arial"/>
                <w:lang w:bidi="cs-CZ"/>
              </w:rPr>
              <w:t>Cproces pre tuhé palivá s výnimkou biomasy (obsah O2 6 %):</w:t>
            </w:r>
          </w:p>
          <w:p w14:paraId="15133CC9" w14:textId="77777777" w:rsidR="00236AB5" w:rsidRPr="008819AF" w:rsidRDefault="00236AB5" w:rsidP="00236AB5">
            <w:pPr>
              <w:ind w:left="356"/>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5"/>
              <w:gridCol w:w="1654"/>
              <w:gridCol w:w="1559"/>
              <w:gridCol w:w="776"/>
            </w:tblGrid>
            <w:tr w:rsidR="00236AB5" w:rsidRPr="008819AF" w14:paraId="15133CCF" w14:textId="77777777" w:rsidTr="00A279CC">
              <w:trPr>
                <w:trHeight w:val="90"/>
              </w:trPr>
              <w:tc>
                <w:tcPr>
                  <w:tcW w:w="1219" w:type="dxa"/>
                  <w:tcBorders>
                    <w:top w:val="single" w:sz="4" w:space="0" w:color="000000"/>
                    <w:left w:val="single" w:sz="4" w:space="0" w:color="000000"/>
                    <w:bottom w:val="single" w:sz="4" w:space="0" w:color="000000"/>
                    <w:right w:val="single" w:sz="4" w:space="0" w:color="000000"/>
                  </w:tcBorders>
                </w:tcPr>
                <w:p w14:paraId="15133CCA" w14:textId="77777777" w:rsidR="00236AB5" w:rsidRPr="008819AF" w:rsidRDefault="00236AB5" w:rsidP="00236AB5">
                  <w:pPr>
                    <w:pStyle w:val="Default"/>
                    <w:ind w:right="-101"/>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Znečisťujúca látka</w:t>
                  </w:r>
                </w:p>
              </w:tc>
              <w:tc>
                <w:tcPr>
                  <w:tcW w:w="895" w:type="dxa"/>
                  <w:tcBorders>
                    <w:top w:val="single" w:sz="4" w:space="0" w:color="000000"/>
                    <w:left w:val="single" w:sz="4" w:space="0" w:color="000000"/>
                    <w:bottom w:val="single" w:sz="4" w:space="0" w:color="000000"/>
                    <w:right w:val="single" w:sz="4" w:space="0" w:color="000000"/>
                  </w:tcBorders>
                </w:tcPr>
                <w:p w14:paraId="15133CC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&lt; 50 MWth</w:t>
                  </w:r>
                </w:p>
              </w:tc>
              <w:tc>
                <w:tcPr>
                  <w:tcW w:w="1654" w:type="dxa"/>
                  <w:tcBorders>
                    <w:top w:val="single" w:sz="4" w:space="0" w:color="000000"/>
                    <w:left w:val="single" w:sz="4" w:space="0" w:color="000000"/>
                    <w:bottom w:val="single" w:sz="4" w:space="0" w:color="000000"/>
                    <w:right w:val="single" w:sz="4" w:space="0" w:color="000000"/>
                  </w:tcBorders>
                </w:tcPr>
                <w:p w14:paraId="15133CC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50-100 MWth</w:t>
                  </w:r>
                </w:p>
              </w:tc>
              <w:tc>
                <w:tcPr>
                  <w:tcW w:w="1559" w:type="dxa"/>
                  <w:tcBorders>
                    <w:top w:val="single" w:sz="4" w:space="0" w:color="000000"/>
                    <w:left w:val="single" w:sz="4" w:space="0" w:color="000000"/>
                    <w:bottom w:val="single" w:sz="4" w:space="0" w:color="000000"/>
                    <w:right w:val="single" w:sz="4" w:space="0" w:color="000000"/>
                  </w:tcBorders>
                </w:tcPr>
                <w:p w14:paraId="15133CC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až 300 MWth</w:t>
                  </w:r>
                </w:p>
              </w:tc>
              <w:tc>
                <w:tcPr>
                  <w:tcW w:w="776" w:type="dxa"/>
                  <w:tcBorders>
                    <w:top w:val="single" w:sz="4" w:space="0" w:color="000000"/>
                    <w:left w:val="single" w:sz="4" w:space="0" w:color="000000"/>
                    <w:bottom w:val="single" w:sz="4" w:space="0" w:color="000000"/>
                    <w:right w:val="single" w:sz="4" w:space="0" w:color="000000"/>
                  </w:tcBorders>
                </w:tcPr>
                <w:p w14:paraId="15133CC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 MWth</w:t>
                  </w:r>
                </w:p>
              </w:tc>
            </w:tr>
            <w:tr w:rsidR="00236AB5" w:rsidRPr="008819AF" w14:paraId="15133CD6" w14:textId="77777777" w:rsidTr="00A279CC">
              <w:trPr>
                <w:trHeight w:val="114"/>
              </w:trPr>
              <w:tc>
                <w:tcPr>
                  <w:tcW w:w="1219" w:type="dxa"/>
                  <w:tcBorders>
                    <w:top w:val="single" w:sz="4" w:space="0" w:color="000000"/>
                    <w:left w:val="single" w:sz="4" w:space="0" w:color="000000"/>
                    <w:bottom w:val="single" w:sz="4" w:space="0" w:color="000000"/>
                    <w:right w:val="single" w:sz="4" w:space="0" w:color="000000"/>
                  </w:tcBorders>
                </w:tcPr>
                <w:p w14:paraId="15133CD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SO2</w:t>
                  </w:r>
                </w:p>
              </w:tc>
              <w:tc>
                <w:tcPr>
                  <w:tcW w:w="895" w:type="dxa"/>
                  <w:tcBorders>
                    <w:top w:val="single" w:sz="4" w:space="0" w:color="000000"/>
                    <w:left w:val="single" w:sz="4" w:space="0" w:color="000000"/>
                    <w:bottom w:val="single" w:sz="4" w:space="0" w:color="000000"/>
                    <w:right w:val="single" w:sz="4" w:space="0" w:color="000000"/>
                  </w:tcBorders>
                </w:tcPr>
                <w:p w14:paraId="15133CD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654" w:type="dxa"/>
                  <w:tcBorders>
                    <w:top w:val="single" w:sz="4" w:space="0" w:color="000000"/>
                    <w:left w:val="single" w:sz="4" w:space="0" w:color="000000"/>
                    <w:bottom w:val="single" w:sz="4" w:space="0" w:color="000000"/>
                    <w:right w:val="single" w:sz="4" w:space="0" w:color="000000"/>
                  </w:tcBorders>
                </w:tcPr>
                <w:p w14:paraId="15133CD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400 </w:t>
                  </w:r>
                </w:p>
                <w:p w14:paraId="15133CD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pre rašelinu: 300</w:t>
                  </w:r>
                </w:p>
              </w:tc>
              <w:tc>
                <w:tcPr>
                  <w:tcW w:w="1559" w:type="dxa"/>
                  <w:tcBorders>
                    <w:top w:val="single" w:sz="4" w:space="0" w:color="000000"/>
                    <w:left w:val="single" w:sz="4" w:space="0" w:color="000000"/>
                    <w:bottom w:val="single" w:sz="4" w:space="0" w:color="000000"/>
                    <w:right w:val="single" w:sz="4" w:space="0" w:color="000000"/>
                  </w:tcBorders>
                </w:tcPr>
                <w:p w14:paraId="15133CD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776" w:type="dxa"/>
                  <w:tcBorders>
                    <w:top w:val="single" w:sz="4" w:space="0" w:color="000000"/>
                    <w:left w:val="single" w:sz="4" w:space="0" w:color="000000"/>
                    <w:bottom w:val="single" w:sz="4" w:space="0" w:color="000000"/>
                    <w:right w:val="single" w:sz="4" w:space="0" w:color="000000"/>
                  </w:tcBorders>
                </w:tcPr>
                <w:p w14:paraId="15133CD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CDD" w14:textId="77777777" w:rsidTr="00A279CC">
              <w:trPr>
                <w:trHeight w:val="262"/>
              </w:trPr>
              <w:tc>
                <w:tcPr>
                  <w:tcW w:w="1219" w:type="dxa"/>
                  <w:tcBorders>
                    <w:top w:val="single" w:sz="4" w:space="0" w:color="000000"/>
                    <w:left w:val="single" w:sz="4" w:space="0" w:color="000000"/>
                    <w:bottom w:val="single" w:sz="4" w:space="0" w:color="000000"/>
                    <w:right w:val="single" w:sz="4" w:space="0" w:color="000000"/>
                  </w:tcBorders>
                </w:tcPr>
                <w:p w14:paraId="15133CD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NOx</w:t>
                  </w:r>
                </w:p>
              </w:tc>
              <w:tc>
                <w:tcPr>
                  <w:tcW w:w="895" w:type="dxa"/>
                  <w:tcBorders>
                    <w:top w:val="single" w:sz="4" w:space="0" w:color="000000"/>
                    <w:left w:val="single" w:sz="4" w:space="0" w:color="000000"/>
                    <w:bottom w:val="single" w:sz="4" w:space="0" w:color="000000"/>
                    <w:right w:val="single" w:sz="4" w:space="0" w:color="000000"/>
                  </w:tcBorders>
                </w:tcPr>
                <w:p w14:paraId="15133CD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654" w:type="dxa"/>
                  <w:tcBorders>
                    <w:top w:val="single" w:sz="4" w:space="0" w:color="000000"/>
                    <w:left w:val="single" w:sz="4" w:space="0" w:color="000000"/>
                    <w:bottom w:val="single" w:sz="4" w:space="0" w:color="000000"/>
                    <w:right w:val="single" w:sz="4" w:space="0" w:color="000000"/>
                  </w:tcBorders>
                </w:tcPr>
                <w:p w14:paraId="15133CD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p w14:paraId="15133CDA" w14:textId="77777777" w:rsidR="00236AB5" w:rsidRPr="008819AF" w:rsidRDefault="00236AB5" w:rsidP="00236AB5">
                  <w:pPr>
                    <w:pStyle w:val="Default"/>
                    <w:ind w:right="-35"/>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pre práškové hnedé uhlie: 400</w:t>
                  </w:r>
                </w:p>
              </w:tc>
              <w:tc>
                <w:tcPr>
                  <w:tcW w:w="1559" w:type="dxa"/>
                  <w:tcBorders>
                    <w:top w:val="single" w:sz="4" w:space="0" w:color="000000"/>
                    <w:left w:val="single" w:sz="4" w:space="0" w:color="000000"/>
                    <w:bottom w:val="single" w:sz="4" w:space="0" w:color="000000"/>
                    <w:right w:val="single" w:sz="4" w:space="0" w:color="000000"/>
                  </w:tcBorders>
                </w:tcPr>
                <w:p w14:paraId="15133CD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776" w:type="dxa"/>
                  <w:tcBorders>
                    <w:top w:val="single" w:sz="4" w:space="0" w:color="000000"/>
                    <w:left w:val="single" w:sz="4" w:space="0" w:color="000000"/>
                    <w:bottom w:val="single" w:sz="4" w:space="0" w:color="000000"/>
                    <w:right w:val="single" w:sz="4" w:space="0" w:color="000000"/>
                  </w:tcBorders>
                </w:tcPr>
                <w:p w14:paraId="15133CD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CE4" w14:textId="77777777" w:rsidTr="00A279CC">
              <w:trPr>
                <w:trHeight w:val="326"/>
              </w:trPr>
              <w:tc>
                <w:tcPr>
                  <w:tcW w:w="1219" w:type="dxa"/>
                  <w:tcBorders>
                    <w:top w:val="single" w:sz="4" w:space="0" w:color="000000"/>
                    <w:left w:val="single" w:sz="4" w:space="0" w:color="000000"/>
                    <w:bottom w:val="single" w:sz="4" w:space="0" w:color="000000"/>
                    <w:right w:val="single" w:sz="4" w:space="0" w:color="000000"/>
                  </w:tcBorders>
                </w:tcPr>
                <w:p w14:paraId="15133CD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Prach</w:t>
                  </w:r>
                </w:p>
              </w:tc>
              <w:tc>
                <w:tcPr>
                  <w:tcW w:w="895" w:type="dxa"/>
                  <w:tcBorders>
                    <w:top w:val="single" w:sz="4" w:space="0" w:color="000000"/>
                    <w:left w:val="single" w:sz="4" w:space="0" w:color="000000"/>
                    <w:bottom w:val="single" w:sz="4" w:space="0" w:color="000000"/>
                    <w:right w:val="single" w:sz="4" w:space="0" w:color="000000"/>
                  </w:tcBorders>
                </w:tcPr>
                <w:p w14:paraId="15133CD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c>
                <w:tcPr>
                  <w:tcW w:w="1654" w:type="dxa"/>
                  <w:tcBorders>
                    <w:top w:val="single" w:sz="4" w:space="0" w:color="000000"/>
                    <w:left w:val="single" w:sz="4" w:space="0" w:color="000000"/>
                    <w:bottom w:val="single" w:sz="4" w:space="0" w:color="000000"/>
                    <w:right w:val="single" w:sz="4" w:space="0" w:color="000000"/>
                  </w:tcBorders>
                </w:tcPr>
                <w:p w14:paraId="15133CE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c>
                <w:tcPr>
                  <w:tcW w:w="1559" w:type="dxa"/>
                  <w:tcBorders>
                    <w:top w:val="single" w:sz="4" w:space="0" w:color="000000"/>
                    <w:left w:val="single" w:sz="4" w:space="0" w:color="000000"/>
                    <w:bottom w:val="single" w:sz="4" w:space="0" w:color="000000"/>
                    <w:right w:val="single" w:sz="4" w:space="0" w:color="000000"/>
                  </w:tcBorders>
                </w:tcPr>
                <w:p w14:paraId="15133CE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w:t>
                  </w:r>
                </w:p>
                <w:p w14:paraId="15133CE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pre rašelinu: 20</w:t>
                  </w:r>
                </w:p>
              </w:tc>
              <w:tc>
                <w:tcPr>
                  <w:tcW w:w="776" w:type="dxa"/>
                  <w:tcBorders>
                    <w:top w:val="single" w:sz="4" w:space="0" w:color="000000"/>
                    <w:left w:val="single" w:sz="4" w:space="0" w:color="000000"/>
                    <w:bottom w:val="single" w:sz="4" w:space="0" w:color="000000"/>
                    <w:right w:val="single" w:sz="4" w:space="0" w:color="000000"/>
                  </w:tcBorders>
                </w:tcPr>
                <w:p w14:paraId="15133CE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r>
          </w:tbl>
          <w:p w14:paraId="15133CE5" w14:textId="77777777" w:rsidR="00236AB5" w:rsidRPr="008819AF" w:rsidRDefault="00236AB5" w:rsidP="00236AB5">
            <w:pPr>
              <w:ind w:left="215" w:hanging="215"/>
              <w:rPr>
                <w:rFonts w:eastAsia="Arial"/>
                <w:lang w:bidi="cs-CZ"/>
              </w:rPr>
            </w:pPr>
          </w:p>
          <w:p w14:paraId="15133CE6" w14:textId="77777777" w:rsidR="00236AB5" w:rsidRPr="008819AF" w:rsidRDefault="00236AB5" w:rsidP="00236AB5">
            <w:pPr>
              <w:ind w:left="215" w:firstLine="141"/>
              <w:rPr>
                <w:rFonts w:eastAsia="Arial"/>
                <w:lang w:bidi="cs-CZ"/>
              </w:rPr>
            </w:pPr>
            <w:r w:rsidRPr="008819AF">
              <w:rPr>
                <w:rFonts w:eastAsia="Arial"/>
                <w:lang w:bidi="cs-CZ"/>
              </w:rPr>
              <w:t>Cproces pre biomasu (obsah O2 6 %):</w:t>
            </w:r>
          </w:p>
          <w:p w14:paraId="15133CE7" w14:textId="77777777" w:rsidR="00236AB5" w:rsidRPr="008819AF" w:rsidRDefault="00236AB5" w:rsidP="00236AB5">
            <w:pPr>
              <w:ind w:left="215" w:hanging="215"/>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220"/>
              <w:gridCol w:w="1221"/>
              <w:gridCol w:w="1221"/>
              <w:gridCol w:w="1221"/>
            </w:tblGrid>
            <w:tr w:rsidR="00236AB5" w:rsidRPr="008819AF" w14:paraId="15133CED" w14:textId="77777777" w:rsidTr="00A279CC">
              <w:trPr>
                <w:trHeight w:val="90"/>
              </w:trPr>
              <w:tc>
                <w:tcPr>
                  <w:tcW w:w="1020" w:type="dxa"/>
                  <w:tcBorders>
                    <w:top w:val="single" w:sz="4" w:space="0" w:color="000000"/>
                    <w:left w:val="single" w:sz="4" w:space="0" w:color="000000"/>
                    <w:bottom w:val="single" w:sz="4" w:space="0" w:color="000000"/>
                    <w:right w:val="single" w:sz="4" w:space="0" w:color="000000"/>
                  </w:tcBorders>
                </w:tcPr>
                <w:p w14:paraId="15133CE8" w14:textId="77777777" w:rsidR="00236AB5" w:rsidRPr="008819AF" w:rsidRDefault="00236AB5" w:rsidP="00236AB5">
                  <w:pPr>
                    <w:pStyle w:val="Default"/>
                    <w:ind w:right="-101"/>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Znečisťujúca látka</w:t>
                  </w:r>
                </w:p>
              </w:tc>
              <w:tc>
                <w:tcPr>
                  <w:tcW w:w="1020" w:type="dxa"/>
                  <w:tcBorders>
                    <w:top w:val="single" w:sz="4" w:space="0" w:color="000000"/>
                    <w:left w:val="single" w:sz="4" w:space="0" w:color="000000"/>
                    <w:bottom w:val="single" w:sz="4" w:space="0" w:color="000000"/>
                    <w:right w:val="single" w:sz="4" w:space="0" w:color="000000"/>
                  </w:tcBorders>
                </w:tcPr>
                <w:p w14:paraId="15133CE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&lt; 50 MWth</w:t>
                  </w:r>
                </w:p>
              </w:tc>
              <w:tc>
                <w:tcPr>
                  <w:tcW w:w="1021" w:type="dxa"/>
                  <w:tcBorders>
                    <w:top w:val="single" w:sz="4" w:space="0" w:color="000000"/>
                    <w:left w:val="single" w:sz="4" w:space="0" w:color="000000"/>
                    <w:bottom w:val="single" w:sz="4" w:space="0" w:color="000000"/>
                    <w:right w:val="single" w:sz="4" w:space="0" w:color="000000"/>
                  </w:tcBorders>
                </w:tcPr>
                <w:p w14:paraId="15133CE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až 100 MWth</w:t>
                  </w:r>
                </w:p>
              </w:tc>
              <w:tc>
                <w:tcPr>
                  <w:tcW w:w="1021" w:type="dxa"/>
                  <w:tcBorders>
                    <w:top w:val="single" w:sz="4" w:space="0" w:color="000000"/>
                    <w:left w:val="single" w:sz="4" w:space="0" w:color="000000"/>
                    <w:bottom w:val="single" w:sz="4" w:space="0" w:color="000000"/>
                    <w:right w:val="single" w:sz="4" w:space="0" w:color="000000"/>
                  </w:tcBorders>
                </w:tcPr>
                <w:p w14:paraId="15133CE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až 300 MWth</w:t>
                  </w:r>
                </w:p>
              </w:tc>
              <w:tc>
                <w:tcPr>
                  <w:tcW w:w="1021" w:type="dxa"/>
                  <w:tcBorders>
                    <w:top w:val="single" w:sz="4" w:space="0" w:color="000000"/>
                    <w:left w:val="single" w:sz="4" w:space="0" w:color="000000"/>
                    <w:bottom w:val="single" w:sz="4" w:space="0" w:color="000000"/>
                    <w:right w:val="single" w:sz="4" w:space="0" w:color="000000"/>
                  </w:tcBorders>
                </w:tcPr>
                <w:p w14:paraId="15133CE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 MWth</w:t>
                  </w:r>
                </w:p>
              </w:tc>
            </w:tr>
            <w:tr w:rsidR="00236AB5" w:rsidRPr="008819AF" w14:paraId="15133CF3"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15133CE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SO2</w:t>
                  </w:r>
                </w:p>
              </w:tc>
              <w:tc>
                <w:tcPr>
                  <w:tcW w:w="1020" w:type="dxa"/>
                  <w:tcBorders>
                    <w:top w:val="single" w:sz="4" w:space="0" w:color="000000"/>
                    <w:left w:val="single" w:sz="4" w:space="0" w:color="000000"/>
                    <w:bottom w:val="single" w:sz="4" w:space="0" w:color="000000"/>
                    <w:right w:val="single" w:sz="4" w:space="0" w:color="000000"/>
                  </w:tcBorders>
                </w:tcPr>
                <w:p w14:paraId="15133CE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15133CF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15133CF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15133CF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CF9"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15133CF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NOx</w:t>
                  </w:r>
                </w:p>
              </w:tc>
              <w:tc>
                <w:tcPr>
                  <w:tcW w:w="1020" w:type="dxa"/>
                  <w:tcBorders>
                    <w:top w:val="single" w:sz="4" w:space="0" w:color="000000"/>
                    <w:left w:val="single" w:sz="4" w:space="0" w:color="000000"/>
                    <w:bottom w:val="single" w:sz="4" w:space="0" w:color="000000"/>
                    <w:right w:val="single" w:sz="4" w:space="0" w:color="000000"/>
                  </w:tcBorders>
                </w:tcPr>
                <w:p w14:paraId="15133CF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15133CF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tc>
              <w:tc>
                <w:tcPr>
                  <w:tcW w:w="1021" w:type="dxa"/>
                  <w:tcBorders>
                    <w:top w:val="single" w:sz="4" w:space="0" w:color="000000"/>
                    <w:left w:val="single" w:sz="4" w:space="0" w:color="000000"/>
                    <w:bottom w:val="single" w:sz="4" w:space="0" w:color="000000"/>
                    <w:right w:val="single" w:sz="4" w:space="0" w:color="000000"/>
                  </w:tcBorders>
                </w:tcPr>
                <w:p w14:paraId="15133CF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250</w:t>
                  </w:r>
                </w:p>
              </w:tc>
              <w:tc>
                <w:tcPr>
                  <w:tcW w:w="1021" w:type="dxa"/>
                  <w:tcBorders>
                    <w:top w:val="single" w:sz="4" w:space="0" w:color="000000"/>
                    <w:left w:val="single" w:sz="4" w:space="0" w:color="000000"/>
                    <w:bottom w:val="single" w:sz="4" w:space="0" w:color="000000"/>
                    <w:right w:val="single" w:sz="4" w:space="0" w:color="000000"/>
                  </w:tcBorders>
                </w:tcPr>
                <w:p w14:paraId="15133CF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CFF" w14:textId="77777777" w:rsidTr="00A279CC">
              <w:trPr>
                <w:trHeight w:val="103"/>
              </w:trPr>
              <w:tc>
                <w:tcPr>
                  <w:tcW w:w="1020" w:type="dxa"/>
                  <w:tcBorders>
                    <w:top w:val="single" w:sz="4" w:space="0" w:color="000000"/>
                    <w:left w:val="single" w:sz="4" w:space="0" w:color="000000"/>
                    <w:bottom w:val="single" w:sz="4" w:space="0" w:color="000000"/>
                    <w:right w:val="single" w:sz="4" w:space="0" w:color="000000"/>
                  </w:tcBorders>
                </w:tcPr>
                <w:p w14:paraId="15133CF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Prach</w:t>
                  </w:r>
                </w:p>
              </w:tc>
              <w:tc>
                <w:tcPr>
                  <w:tcW w:w="1020" w:type="dxa"/>
                  <w:tcBorders>
                    <w:top w:val="single" w:sz="4" w:space="0" w:color="000000"/>
                    <w:left w:val="single" w:sz="4" w:space="0" w:color="000000"/>
                    <w:bottom w:val="single" w:sz="4" w:space="0" w:color="000000"/>
                    <w:right w:val="single" w:sz="4" w:space="0" w:color="000000"/>
                  </w:tcBorders>
                </w:tcPr>
                <w:p w14:paraId="15133CF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15133CF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c>
                <w:tcPr>
                  <w:tcW w:w="1021" w:type="dxa"/>
                  <w:tcBorders>
                    <w:top w:val="single" w:sz="4" w:space="0" w:color="000000"/>
                    <w:left w:val="single" w:sz="4" w:space="0" w:color="000000"/>
                    <w:bottom w:val="single" w:sz="4" w:space="0" w:color="000000"/>
                    <w:right w:val="single" w:sz="4" w:space="0" w:color="000000"/>
                  </w:tcBorders>
                </w:tcPr>
                <w:p w14:paraId="15133CF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021" w:type="dxa"/>
                  <w:tcBorders>
                    <w:top w:val="single" w:sz="4" w:space="0" w:color="000000"/>
                    <w:left w:val="single" w:sz="4" w:space="0" w:color="000000"/>
                    <w:bottom w:val="single" w:sz="4" w:space="0" w:color="000000"/>
                    <w:right w:val="single" w:sz="4" w:space="0" w:color="000000"/>
                  </w:tcBorders>
                </w:tcPr>
                <w:p w14:paraId="15133CF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r>
          </w:tbl>
          <w:p w14:paraId="15133D00" w14:textId="77777777" w:rsidR="00236AB5" w:rsidRPr="008819AF" w:rsidRDefault="00236AB5" w:rsidP="00236AB5">
            <w:pPr>
              <w:ind w:left="215" w:hanging="215"/>
              <w:rPr>
                <w:rFonts w:eastAsia="Arial"/>
                <w:lang w:bidi="cs-CZ"/>
              </w:rPr>
            </w:pPr>
          </w:p>
          <w:p w14:paraId="15133D01" w14:textId="77777777" w:rsidR="00236AB5" w:rsidRPr="008819AF" w:rsidRDefault="00236AB5" w:rsidP="00236AB5">
            <w:pPr>
              <w:ind w:left="215" w:firstLine="141"/>
              <w:rPr>
                <w:rFonts w:eastAsia="Arial"/>
                <w:lang w:bidi="cs-CZ"/>
              </w:rPr>
            </w:pPr>
            <w:r w:rsidRPr="008819AF">
              <w:rPr>
                <w:rFonts w:eastAsia="Arial"/>
                <w:lang w:bidi="cs-CZ"/>
              </w:rPr>
              <w:t>Cproces pre kvapalné palivá (obsah O2 3 %):</w:t>
            </w:r>
          </w:p>
          <w:p w14:paraId="15133D02" w14:textId="77777777" w:rsidR="00236AB5" w:rsidRPr="008819AF" w:rsidRDefault="00236AB5" w:rsidP="00236AB5">
            <w:pPr>
              <w:ind w:left="215" w:hanging="215"/>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220"/>
              <w:gridCol w:w="1221"/>
              <w:gridCol w:w="1221"/>
              <w:gridCol w:w="1221"/>
            </w:tblGrid>
            <w:tr w:rsidR="00236AB5" w:rsidRPr="008819AF" w14:paraId="15133D08" w14:textId="77777777" w:rsidTr="00A279CC">
              <w:trPr>
                <w:trHeight w:val="90"/>
              </w:trPr>
              <w:tc>
                <w:tcPr>
                  <w:tcW w:w="1020" w:type="dxa"/>
                  <w:tcBorders>
                    <w:top w:val="single" w:sz="4" w:space="0" w:color="000000"/>
                    <w:left w:val="single" w:sz="4" w:space="0" w:color="000000"/>
                    <w:bottom w:val="single" w:sz="4" w:space="0" w:color="000000"/>
                    <w:right w:val="single" w:sz="4" w:space="0" w:color="000000"/>
                  </w:tcBorders>
                </w:tcPr>
                <w:p w14:paraId="15133D03" w14:textId="77777777" w:rsidR="00236AB5" w:rsidRPr="008819AF" w:rsidRDefault="00236AB5" w:rsidP="00236AB5">
                  <w:pPr>
                    <w:pStyle w:val="Default"/>
                    <w:ind w:right="-101"/>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Znečisťujúca látka</w:t>
                  </w:r>
                </w:p>
              </w:tc>
              <w:tc>
                <w:tcPr>
                  <w:tcW w:w="1020" w:type="dxa"/>
                  <w:tcBorders>
                    <w:top w:val="single" w:sz="4" w:space="0" w:color="000000"/>
                    <w:left w:val="single" w:sz="4" w:space="0" w:color="000000"/>
                    <w:bottom w:val="single" w:sz="4" w:space="0" w:color="000000"/>
                    <w:right w:val="single" w:sz="4" w:space="0" w:color="000000"/>
                  </w:tcBorders>
                </w:tcPr>
                <w:p w14:paraId="15133D0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&lt; 50 MWth</w:t>
                  </w:r>
                </w:p>
              </w:tc>
              <w:tc>
                <w:tcPr>
                  <w:tcW w:w="1021" w:type="dxa"/>
                  <w:tcBorders>
                    <w:top w:val="single" w:sz="4" w:space="0" w:color="000000"/>
                    <w:left w:val="single" w:sz="4" w:space="0" w:color="000000"/>
                    <w:bottom w:val="single" w:sz="4" w:space="0" w:color="000000"/>
                    <w:right w:val="single" w:sz="4" w:space="0" w:color="000000"/>
                  </w:tcBorders>
                </w:tcPr>
                <w:p w14:paraId="15133D0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až 100 MWth</w:t>
                  </w:r>
                </w:p>
              </w:tc>
              <w:tc>
                <w:tcPr>
                  <w:tcW w:w="1021" w:type="dxa"/>
                  <w:tcBorders>
                    <w:top w:val="single" w:sz="4" w:space="0" w:color="000000"/>
                    <w:left w:val="single" w:sz="4" w:space="0" w:color="000000"/>
                    <w:bottom w:val="single" w:sz="4" w:space="0" w:color="000000"/>
                    <w:right w:val="single" w:sz="4" w:space="0" w:color="000000"/>
                  </w:tcBorders>
                </w:tcPr>
                <w:p w14:paraId="15133D0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až 300 MWth</w:t>
                  </w:r>
                </w:p>
              </w:tc>
              <w:tc>
                <w:tcPr>
                  <w:tcW w:w="1021" w:type="dxa"/>
                  <w:tcBorders>
                    <w:top w:val="single" w:sz="4" w:space="0" w:color="000000"/>
                    <w:left w:val="single" w:sz="4" w:space="0" w:color="000000"/>
                    <w:bottom w:val="single" w:sz="4" w:space="0" w:color="000000"/>
                    <w:right w:val="single" w:sz="4" w:space="0" w:color="000000"/>
                  </w:tcBorders>
                </w:tcPr>
                <w:p w14:paraId="15133D0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 MWth</w:t>
                  </w:r>
                </w:p>
              </w:tc>
            </w:tr>
            <w:tr w:rsidR="00236AB5" w:rsidRPr="008819AF" w14:paraId="15133D0E"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15133D0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SO2</w:t>
                  </w:r>
                </w:p>
              </w:tc>
              <w:tc>
                <w:tcPr>
                  <w:tcW w:w="1020" w:type="dxa"/>
                  <w:tcBorders>
                    <w:top w:val="single" w:sz="4" w:space="0" w:color="000000"/>
                    <w:left w:val="single" w:sz="4" w:space="0" w:color="000000"/>
                    <w:bottom w:val="single" w:sz="4" w:space="0" w:color="000000"/>
                    <w:right w:val="single" w:sz="4" w:space="0" w:color="000000"/>
                  </w:tcBorders>
                </w:tcPr>
                <w:p w14:paraId="15133D0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15133D0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350</w:t>
                  </w:r>
                </w:p>
              </w:tc>
              <w:tc>
                <w:tcPr>
                  <w:tcW w:w="1021" w:type="dxa"/>
                  <w:tcBorders>
                    <w:top w:val="single" w:sz="4" w:space="0" w:color="000000"/>
                    <w:left w:val="single" w:sz="4" w:space="0" w:color="000000"/>
                    <w:bottom w:val="single" w:sz="4" w:space="0" w:color="000000"/>
                    <w:right w:val="single" w:sz="4" w:space="0" w:color="000000"/>
                  </w:tcBorders>
                </w:tcPr>
                <w:p w14:paraId="15133D0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250</w:t>
                  </w:r>
                </w:p>
              </w:tc>
              <w:tc>
                <w:tcPr>
                  <w:tcW w:w="1021" w:type="dxa"/>
                  <w:tcBorders>
                    <w:top w:val="single" w:sz="4" w:space="0" w:color="000000"/>
                    <w:left w:val="single" w:sz="4" w:space="0" w:color="000000"/>
                    <w:bottom w:val="single" w:sz="4" w:space="0" w:color="000000"/>
                    <w:right w:val="single" w:sz="4" w:space="0" w:color="000000"/>
                  </w:tcBorders>
                </w:tcPr>
                <w:p w14:paraId="15133D0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r>
            <w:tr w:rsidR="00236AB5" w:rsidRPr="008819AF" w14:paraId="15133D14"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15133D0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NOx</w:t>
                  </w:r>
                </w:p>
              </w:tc>
              <w:tc>
                <w:tcPr>
                  <w:tcW w:w="1020" w:type="dxa"/>
                  <w:tcBorders>
                    <w:top w:val="single" w:sz="4" w:space="0" w:color="000000"/>
                    <w:left w:val="single" w:sz="4" w:space="0" w:color="000000"/>
                    <w:bottom w:val="single" w:sz="4" w:space="0" w:color="000000"/>
                    <w:right w:val="single" w:sz="4" w:space="0" w:color="000000"/>
                  </w:tcBorders>
                </w:tcPr>
                <w:p w14:paraId="15133D1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15133D1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400</w:t>
                  </w:r>
                </w:p>
              </w:tc>
              <w:tc>
                <w:tcPr>
                  <w:tcW w:w="1021" w:type="dxa"/>
                  <w:tcBorders>
                    <w:top w:val="single" w:sz="4" w:space="0" w:color="000000"/>
                    <w:left w:val="single" w:sz="4" w:space="0" w:color="000000"/>
                    <w:bottom w:val="single" w:sz="4" w:space="0" w:color="000000"/>
                    <w:right w:val="single" w:sz="4" w:space="0" w:color="000000"/>
                  </w:tcBorders>
                </w:tcPr>
                <w:p w14:paraId="15133D1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15133D1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tc>
            </w:tr>
            <w:tr w:rsidR="00236AB5" w:rsidRPr="008819AF" w14:paraId="15133D1A" w14:textId="77777777" w:rsidTr="00A279CC">
              <w:trPr>
                <w:trHeight w:val="103"/>
              </w:trPr>
              <w:tc>
                <w:tcPr>
                  <w:tcW w:w="1020" w:type="dxa"/>
                  <w:tcBorders>
                    <w:top w:val="single" w:sz="4" w:space="0" w:color="000000"/>
                    <w:left w:val="single" w:sz="4" w:space="0" w:color="000000"/>
                    <w:bottom w:val="single" w:sz="4" w:space="0" w:color="000000"/>
                    <w:right w:val="single" w:sz="4" w:space="0" w:color="000000"/>
                  </w:tcBorders>
                </w:tcPr>
                <w:p w14:paraId="15133D1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Prach</w:t>
                  </w:r>
                </w:p>
              </w:tc>
              <w:tc>
                <w:tcPr>
                  <w:tcW w:w="1020" w:type="dxa"/>
                  <w:tcBorders>
                    <w:top w:val="single" w:sz="4" w:space="0" w:color="000000"/>
                    <w:left w:val="single" w:sz="4" w:space="0" w:color="000000"/>
                    <w:bottom w:val="single" w:sz="4" w:space="0" w:color="000000"/>
                    <w:right w:val="single" w:sz="4" w:space="0" w:color="000000"/>
                  </w:tcBorders>
                </w:tcPr>
                <w:p w14:paraId="15133D1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15133D1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c>
                <w:tcPr>
                  <w:tcW w:w="1021" w:type="dxa"/>
                  <w:tcBorders>
                    <w:top w:val="single" w:sz="4" w:space="0" w:color="000000"/>
                    <w:left w:val="single" w:sz="4" w:space="0" w:color="000000"/>
                    <w:bottom w:val="single" w:sz="4" w:space="0" w:color="000000"/>
                    <w:right w:val="single" w:sz="4" w:space="0" w:color="000000"/>
                  </w:tcBorders>
                </w:tcPr>
                <w:p w14:paraId="15133D1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w:t>
                  </w:r>
                </w:p>
              </w:tc>
              <w:tc>
                <w:tcPr>
                  <w:tcW w:w="1021" w:type="dxa"/>
                  <w:tcBorders>
                    <w:top w:val="single" w:sz="4" w:space="0" w:color="000000"/>
                    <w:left w:val="single" w:sz="4" w:space="0" w:color="000000"/>
                    <w:bottom w:val="single" w:sz="4" w:space="0" w:color="000000"/>
                    <w:right w:val="single" w:sz="4" w:space="0" w:color="000000"/>
                  </w:tcBorders>
                </w:tcPr>
                <w:p w14:paraId="15133D1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r>
          </w:tbl>
          <w:p w14:paraId="15133D1B" w14:textId="77777777" w:rsidR="00236AB5" w:rsidRPr="008819AF" w:rsidRDefault="00236AB5" w:rsidP="00236AB5">
            <w:pPr>
              <w:ind w:left="215" w:hanging="215"/>
              <w:rPr>
                <w:rFonts w:eastAsia="Arial"/>
                <w:lang w:bidi="cs-CZ"/>
              </w:rPr>
            </w:pPr>
          </w:p>
          <w:p w14:paraId="15133D1C" w14:textId="77777777" w:rsidR="00236AB5" w:rsidRPr="008819AF" w:rsidRDefault="00236AB5" w:rsidP="00236AB5">
            <w:pPr>
              <w:ind w:left="356" w:hanging="356"/>
              <w:rPr>
                <w:rFonts w:eastAsia="Arial"/>
                <w:lang w:bidi="cs-CZ"/>
              </w:rPr>
            </w:pPr>
            <w:r w:rsidRPr="008819AF">
              <w:rPr>
                <w:rFonts w:eastAsia="Arial"/>
                <w:lang w:bidi="cs-CZ"/>
              </w:rPr>
              <w:t>3.2.2. Cproces pre spaľovacie zariadenia uvedené v článku 30 ods. 3 s výnimkou plynových turbín a plynových motorov</w:t>
            </w:r>
          </w:p>
          <w:p w14:paraId="15133D1D" w14:textId="77777777" w:rsidR="00236AB5" w:rsidRPr="008819AF" w:rsidRDefault="00236AB5" w:rsidP="00236AB5">
            <w:pPr>
              <w:ind w:left="215" w:hanging="215"/>
              <w:rPr>
                <w:rFonts w:eastAsia="Arial"/>
                <w:lang w:bidi="cs-CZ"/>
              </w:rPr>
            </w:pPr>
          </w:p>
          <w:p w14:paraId="15133D1E" w14:textId="77777777" w:rsidR="00236AB5" w:rsidRPr="008819AF" w:rsidRDefault="00236AB5" w:rsidP="00236AB5">
            <w:pPr>
              <w:ind w:left="215" w:hanging="215"/>
              <w:rPr>
                <w:rFonts w:eastAsia="Arial"/>
                <w:lang w:bidi="cs-CZ"/>
              </w:rPr>
            </w:pPr>
            <w:r w:rsidRPr="008819AF">
              <w:rPr>
                <w:rFonts w:eastAsia="Arial"/>
                <w:lang w:bidi="cs-CZ"/>
              </w:rPr>
              <w:t>Cproces pre tuhé palivá s výnimkou biomasy (obsah O2 6 %):</w:t>
            </w:r>
          </w:p>
          <w:p w14:paraId="15133D1F" w14:textId="77777777" w:rsidR="00236AB5" w:rsidRPr="008819AF" w:rsidRDefault="00236AB5" w:rsidP="00236AB5">
            <w:pPr>
              <w:ind w:left="215" w:hanging="215"/>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5"/>
              <w:gridCol w:w="1018"/>
              <w:gridCol w:w="1186"/>
              <w:gridCol w:w="1784"/>
            </w:tblGrid>
            <w:tr w:rsidR="00236AB5" w:rsidRPr="008819AF" w14:paraId="15133D25" w14:textId="77777777" w:rsidTr="00A279CC">
              <w:trPr>
                <w:trHeight w:val="132"/>
              </w:trPr>
              <w:tc>
                <w:tcPr>
                  <w:tcW w:w="1020" w:type="dxa"/>
                  <w:tcBorders>
                    <w:top w:val="single" w:sz="4" w:space="0" w:color="000000"/>
                    <w:left w:val="single" w:sz="4" w:space="0" w:color="000000"/>
                    <w:bottom w:val="single" w:sz="4" w:space="0" w:color="000000"/>
                    <w:right w:val="single" w:sz="4" w:space="0" w:color="000000"/>
                  </w:tcBorders>
                </w:tcPr>
                <w:p w14:paraId="15133D20" w14:textId="77777777" w:rsidR="00236AB5" w:rsidRPr="008819AF" w:rsidRDefault="00236AB5" w:rsidP="00236AB5">
                  <w:pPr>
                    <w:pStyle w:val="Default"/>
                    <w:ind w:right="-101"/>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Znečisťujúca látka</w:t>
                  </w:r>
                </w:p>
              </w:tc>
              <w:tc>
                <w:tcPr>
                  <w:tcW w:w="748" w:type="dxa"/>
                  <w:tcBorders>
                    <w:top w:val="single" w:sz="4" w:space="0" w:color="000000"/>
                    <w:left w:val="single" w:sz="4" w:space="0" w:color="000000"/>
                    <w:bottom w:val="single" w:sz="4" w:space="0" w:color="000000"/>
                    <w:right w:val="single" w:sz="4" w:space="0" w:color="000000"/>
                  </w:tcBorders>
                </w:tcPr>
                <w:p w14:paraId="15133D2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&lt; 50 MWth</w:t>
                  </w:r>
                </w:p>
              </w:tc>
              <w:tc>
                <w:tcPr>
                  <w:tcW w:w="851" w:type="dxa"/>
                  <w:tcBorders>
                    <w:top w:val="single" w:sz="4" w:space="0" w:color="000000"/>
                    <w:left w:val="single" w:sz="4" w:space="0" w:color="000000"/>
                    <w:bottom w:val="single" w:sz="4" w:space="0" w:color="000000"/>
                    <w:right w:val="single" w:sz="4" w:space="0" w:color="000000"/>
                  </w:tcBorders>
                </w:tcPr>
                <w:p w14:paraId="15133D2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50-100 MWth</w:t>
                  </w:r>
                </w:p>
              </w:tc>
              <w:tc>
                <w:tcPr>
                  <w:tcW w:w="992" w:type="dxa"/>
                  <w:tcBorders>
                    <w:top w:val="single" w:sz="4" w:space="0" w:color="000000"/>
                    <w:left w:val="single" w:sz="4" w:space="0" w:color="000000"/>
                    <w:bottom w:val="single" w:sz="4" w:space="0" w:color="000000"/>
                    <w:right w:val="single" w:sz="4" w:space="0" w:color="000000"/>
                  </w:tcBorders>
                </w:tcPr>
                <w:p w14:paraId="15133D2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až 300 MWth</w:t>
                  </w:r>
                </w:p>
              </w:tc>
              <w:tc>
                <w:tcPr>
                  <w:tcW w:w="1492" w:type="dxa"/>
                  <w:tcBorders>
                    <w:top w:val="single" w:sz="4" w:space="0" w:color="000000"/>
                    <w:left w:val="single" w:sz="4" w:space="0" w:color="000000"/>
                    <w:bottom w:val="single" w:sz="4" w:space="0" w:color="000000"/>
                    <w:right w:val="single" w:sz="4" w:space="0" w:color="000000"/>
                  </w:tcBorders>
                </w:tcPr>
                <w:p w14:paraId="15133D2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 MWth</w:t>
                  </w:r>
                </w:p>
              </w:tc>
            </w:tr>
            <w:tr w:rsidR="00236AB5" w:rsidRPr="008819AF" w14:paraId="15133D2E" w14:textId="77777777" w:rsidTr="00A279CC">
              <w:trPr>
                <w:trHeight w:val="646"/>
              </w:trPr>
              <w:tc>
                <w:tcPr>
                  <w:tcW w:w="1020" w:type="dxa"/>
                  <w:tcBorders>
                    <w:top w:val="single" w:sz="4" w:space="0" w:color="000000"/>
                    <w:left w:val="single" w:sz="4" w:space="0" w:color="000000"/>
                    <w:bottom w:val="single" w:sz="4" w:space="0" w:color="000000"/>
                    <w:right w:val="single" w:sz="4" w:space="0" w:color="000000"/>
                  </w:tcBorders>
                </w:tcPr>
                <w:p w14:paraId="15133D2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SO2</w:t>
                  </w:r>
                </w:p>
              </w:tc>
              <w:tc>
                <w:tcPr>
                  <w:tcW w:w="748" w:type="dxa"/>
                  <w:tcBorders>
                    <w:top w:val="single" w:sz="4" w:space="0" w:color="000000"/>
                    <w:left w:val="single" w:sz="4" w:space="0" w:color="000000"/>
                    <w:bottom w:val="single" w:sz="4" w:space="0" w:color="000000"/>
                    <w:right w:val="single" w:sz="4" w:space="0" w:color="000000"/>
                  </w:tcBorders>
                </w:tcPr>
                <w:p w14:paraId="15133D2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15133D2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400</w:t>
                  </w:r>
                </w:p>
                <w:p w14:paraId="15133D2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pre rašelinu: 300</w:t>
                  </w:r>
                </w:p>
              </w:tc>
              <w:tc>
                <w:tcPr>
                  <w:tcW w:w="992" w:type="dxa"/>
                  <w:tcBorders>
                    <w:top w:val="single" w:sz="4" w:space="0" w:color="000000"/>
                    <w:left w:val="single" w:sz="4" w:space="0" w:color="000000"/>
                    <w:bottom w:val="single" w:sz="4" w:space="0" w:color="000000"/>
                    <w:right w:val="single" w:sz="4" w:space="0" w:color="000000"/>
                  </w:tcBorders>
                </w:tcPr>
                <w:p w14:paraId="15133D2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p w14:paraId="15133D2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pre rašelinu: 300 okrem prípadov spaľovania vo fluidnej vrstve: 250</w:t>
                  </w:r>
                </w:p>
              </w:tc>
              <w:tc>
                <w:tcPr>
                  <w:tcW w:w="1492" w:type="dxa"/>
                  <w:tcBorders>
                    <w:top w:val="single" w:sz="4" w:space="0" w:color="000000"/>
                    <w:left w:val="single" w:sz="4" w:space="0" w:color="000000"/>
                    <w:bottom w:val="single" w:sz="4" w:space="0" w:color="000000"/>
                    <w:right w:val="single" w:sz="4" w:space="0" w:color="000000"/>
                  </w:tcBorders>
                </w:tcPr>
                <w:p w14:paraId="15133D2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p w14:paraId="15133D2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pre cirkulačné alebo pretlakové spaľovanie vo fluidnej vrstve alebo v prípade spaľovania rašeliny pre všetky druhy spaľovania vo fluidnej vrstve: 200</w:t>
                  </w:r>
                </w:p>
              </w:tc>
            </w:tr>
            <w:tr w:rsidR="00236AB5" w:rsidRPr="008819AF" w14:paraId="15133D36" w14:textId="77777777" w:rsidTr="00A279CC">
              <w:trPr>
                <w:trHeight w:val="358"/>
              </w:trPr>
              <w:tc>
                <w:tcPr>
                  <w:tcW w:w="1020" w:type="dxa"/>
                  <w:tcBorders>
                    <w:top w:val="single" w:sz="4" w:space="0" w:color="000000"/>
                    <w:left w:val="single" w:sz="4" w:space="0" w:color="000000"/>
                    <w:bottom w:val="single" w:sz="4" w:space="0" w:color="000000"/>
                    <w:right w:val="single" w:sz="4" w:space="0" w:color="000000"/>
                  </w:tcBorders>
                </w:tcPr>
                <w:p w14:paraId="15133D2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NOx</w:t>
                  </w:r>
                </w:p>
              </w:tc>
              <w:tc>
                <w:tcPr>
                  <w:tcW w:w="748" w:type="dxa"/>
                  <w:tcBorders>
                    <w:top w:val="single" w:sz="4" w:space="0" w:color="000000"/>
                    <w:left w:val="single" w:sz="4" w:space="0" w:color="000000"/>
                    <w:bottom w:val="single" w:sz="4" w:space="0" w:color="000000"/>
                    <w:right w:val="single" w:sz="4" w:space="0" w:color="000000"/>
                  </w:tcBorders>
                </w:tcPr>
                <w:p w14:paraId="15133D3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15133D3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p w14:paraId="15133D3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pre rašelinu: 250</w:t>
                  </w:r>
                </w:p>
              </w:tc>
              <w:tc>
                <w:tcPr>
                  <w:tcW w:w="992" w:type="dxa"/>
                  <w:tcBorders>
                    <w:top w:val="single" w:sz="4" w:space="0" w:color="000000"/>
                    <w:left w:val="single" w:sz="4" w:space="0" w:color="000000"/>
                    <w:bottom w:val="single" w:sz="4" w:space="0" w:color="000000"/>
                    <w:right w:val="single" w:sz="4" w:space="0" w:color="000000"/>
                  </w:tcBorders>
                </w:tcPr>
                <w:p w14:paraId="15133D3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492" w:type="dxa"/>
                  <w:tcBorders>
                    <w:top w:val="single" w:sz="4" w:space="0" w:color="000000"/>
                    <w:left w:val="single" w:sz="4" w:space="0" w:color="000000"/>
                    <w:bottom w:val="single" w:sz="4" w:space="0" w:color="000000"/>
                    <w:right w:val="single" w:sz="4" w:space="0" w:color="000000"/>
                  </w:tcBorders>
                </w:tcPr>
                <w:p w14:paraId="15133D3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p w14:paraId="15133D3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pre spaľovanie práškového hnedého uhlia: 200</w:t>
                  </w:r>
                </w:p>
              </w:tc>
            </w:tr>
            <w:tr w:rsidR="00236AB5" w:rsidRPr="008819AF" w14:paraId="15133D3D" w14:textId="77777777" w:rsidTr="00A279CC">
              <w:trPr>
                <w:trHeight w:val="262"/>
              </w:trPr>
              <w:tc>
                <w:tcPr>
                  <w:tcW w:w="1020" w:type="dxa"/>
                  <w:tcBorders>
                    <w:top w:val="single" w:sz="4" w:space="0" w:color="000000"/>
                    <w:left w:val="single" w:sz="4" w:space="0" w:color="000000"/>
                    <w:bottom w:val="single" w:sz="4" w:space="0" w:color="000000"/>
                    <w:right w:val="single" w:sz="4" w:space="0" w:color="000000"/>
                  </w:tcBorders>
                </w:tcPr>
                <w:p w14:paraId="15133D3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Prach</w:t>
                  </w:r>
                </w:p>
              </w:tc>
              <w:tc>
                <w:tcPr>
                  <w:tcW w:w="748" w:type="dxa"/>
                  <w:tcBorders>
                    <w:top w:val="single" w:sz="4" w:space="0" w:color="000000"/>
                    <w:left w:val="single" w:sz="4" w:space="0" w:color="000000"/>
                    <w:bottom w:val="single" w:sz="4" w:space="0" w:color="000000"/>
                    <w:right w:val="single" w:sz="4" w:space="0" w:color="000000"/>
                  </w:tcBorders>
                </w:tcPr>
                <w:p w14:paraId="15133D3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c>
                <w:tcPr>
                  <w:tcW w:w="851" w:type="dxa"/>
                  <w:tcBorders>
                    <w:top w:val="single" w:sz="4" w:space="0" w:color="000000"/>
                    <w:left w:val="single" w:sz="4" w:space="0" w:color="000000"/>
                    <w:bottom w:val="single" w:sz="4" w:space="0" w:color="000000"/>
                    <w:right w:val="single" w:sz="4" w:space="0" w:color="000000"/>
                  </w:tcBorders>
                </w:tcPr>
                <w:p w14:paraId="15133D3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14:paraId="15133D3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492" w:type="dxa"/>
                  <w:tcBorders>
                    <w:top w:val="single" w:sz="4" w:space="0" w:color="000000"/>
                    <w:left w:val="single" w:sz="4" w:space="0" w:color="000000"/>
                    <w:bottom w:val="single" w:sz="4" w:space="0" w:color="000000"/>
                    <w:right w:val="single" w:sz="4" w:space="0" w:color="000000"/>
                  </w:tcBorders>
                </w:tcPr>
                <w:p w14:paraId="15133D3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p w14:paraId="15133D3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pre rašelinu: 20</w:t>
                  </w:r>
                </w:p>
              </w:tc>
            </w:tr>
          </w:tbl>
          <w:p w14:paraId="15133D3E" w14:textId="77777777" w:rsidR="00236AB5" w:rsidRPr="008819AF" w:rsidRDefault="00236AB5" w:rsidP="00236AB5">
            <w:pPr>
              <w:ind w:left="215" w:hanging="215"/>
              <w:rPr>
                <w:rFonts w:eastAsia="Arial"/>
                <w:lang w:bidi="cs-CZ"/>
              </w:rPr>
            </w:pPr>
          </w:p>
          <w:p w14:paraId="15133D3F" w14:textId="77777777" w:rsidR="00236AB5" w:rsidRPr="008819AF" w:rsidRDefault="00236AB5" w:rsidP="00236AB5">
            <w:pPr>
              <w:ind w:left="215" w:firstLine="141"/>
              <w:rPr>
                <w:rFonts w:eastAsia="Arial"/>
                <w:lang w:bidi="cs-CZ"/>
              </w:rPr>
            </w:pPr>
            <w:r w:rsidRPr="008819AF">
              <w:rPr>
                <w:rFonts w:eastAsia="Arial"/>
                <w:lang w:bidi="cs-CZ"/>
              </w:rPr>
              <w:t>Cproces pre biomasu (obsah O2 6 %):</w:t>
            </w:r>
          </w:p>
          <w:p w14:paraId="15133D40" w14:textId="77777777" w:rsidR="00236AB5" w:rsidRPr="008819AF" w:rsidRDefault="00236AB5" w:rsidP="00236AB5">
            <w:pPr>
              <w:ind w:left="215" w:firstLine="141"/>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220"/>
              <w:gridCol w:w="1221"/>
              <w:gridCol w:w="1221"/>
              <w:gridCol w:w="1221"/>
            </w:tblGrid>
            <w:tr w:rsidR="00236AB5" w:rsidRPr="008819AF" w14:paraId="15133D46" w14:textId="77777777" w:rsidTr="00A279CC">
              <w:trPr>
                <w:trHeight w:val="90"/>
              </w:trPr>
              <w:tc>
                <w:tcPr>
                  <w:tcW w:w="1020" w:type="dxa"/>
                  <w:tcBorders>
                    <w:top w:val="single" w:sz="4" w:space="0" w:color="000000"/>
                    <w:left w:val="single" w:sz="4" w:space="0" w:color="000000"/>
                    <w:bottom w:val="single" w:sz="4" w:space="0" w:color="000000"/>
                    <w:right w:val="single" w:sz="4" w:space="0" w:color="000000"/>
                  </w:tcBorders>
                </w:tcPr>
                <w:p w14:paraId="15133D41" w14:textId="77777777" w:rsidR="00236AB5" w:rsidRPr="008819AF" w:rsidRDefault="00236AB5" w:rsidP="00236AB5">
                  <w:pPr>
                    <w:pStyle w:val="Default"/>
                    <w:ind w:right="-101"/>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Znečisťujúca látka</w:t>
                  </w:r>
                </w:p>
              </w:tc>
              <w:tc>
                <w:tcPr>
                  <w:tcW w:w="1020" w:type="dxa"/>
                  <w:tcBorders>
                    <w:top w:val="single" w:sz="4" w:space="0" w:color="000000"/>
                    <w:left w:val="single" w:sz="4" w:space="0" w:color="000000"/>
                    <w:bottom w:val="single" w:sz="4" w:space="0" w:color="000000"/>
                    <w:right w:val="single" w:sz="4" w:space="0" w:color="000000"/>
                  </w:tcBorders>
                </w:tcPr>
                <w:p w14:paraId="15133D4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&lt; 50 MWth</w:t>
                  </w:r>
                </w:p>
              </w:tc>
              <w:tc>
                <w:tcPr>
                  <w:tcW w:w="1021" w:type="dxa"/>
                  <w:tcBorders>
                    <w:top w:val="single" w:sz="4" w:space="0" w:color="000000"/>
                    <w:left w:val="single" w:sz="4" w:space="0" w:color="000000"/>
                    <w:bottom w:val="single" w:sz="4" w:space="0" w:color="000000"/>
                    <w:right w:val="single" w:sz="4" w:space="0" w:color="000000"/>
                  </w:tcBorders>
                </w:tcPr>
                <w:p w14:paraId="15133D4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až 100 MWth</w:t>
                  </w:r>
                </w:p>
              </w:tc>
              <w:tc>
                <w:tcPr>
                  <w:tcW w:w="1021" w:type="dxa"/>
                  <w:tcBorders>
                    <w:top w:val="single" w:sz="4" w:space="0" w:color="000000"/>
                    <w:left w:val="single" w:sz="4" w:space="0" w:color="000000"/>
                    <w:bottom w:val="single" w:sz="4" w:space="0" w:color="000000"/>
                    <w:right w:val="single" w:sz="4" w:space="0" w:color="000000"/>
                  </w:tcBorders>
                </w:tcPr>
                <w:p w14:paraId="15133D4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až 300 MWth</w:t>
                  </w:r>
                </w:p>
              </w:tc>
              <w:tc>
                <w:tcPr>
                  <w:tcW w:w="1021" w:type="dxa"/>
                  <w:tcBorders>
                    <w:top w:val="single" w:sz="4" w:space="0" w:color="000000"/>
                    <w:left w:val="single" w:sz="4" w:space="0" w:color="000000"/>
                    <w:bottom w:val="single" w:sz="4" w:space="0" w:color="000000"/>
                    <w:right w:val="single" w:sz="4" w:space="0" w:color="000000"/>
                  </w:tcBorders>
                </w:tcPr>
                <w:p w14:paraId="15133D4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 MWth</w:t>
                  </w:r>
                </w:p>
              </w:tc>
            </w:tr>
            <w:tr w:rsidR="00236AB5" w:rsidRPr="008819AF" w14:paraId="15133D4C"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15133D4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SO2</w:t>
                  </w:r>
                </w:p>
              </w:tc>
              <w:tc>
                <w:tcPr>
                  <w:tcW w:w="1020" w:type="dxa"/>
                  <w:tcBorders>
                    <w:top w:val="single" w:sz="4" w:space="0" w:color="000000"/>
                    <w:left w:val="single" w:sz="4" w:space="0" w:color="000000"/>
                    <w:bottom w:val="single" w:sz="4" w:space="0" w:color="000000"/>
                    <w:right w:val="single" w:sz="4" w:space="0" w:color="000000"/>
                  </w:tcBorders>
                </w:tcPr>
                <w:p w14:paraId="15133D4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15133D4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15133D4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15133D4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tc>
            </w:tr>
            <w:tr w:rsidR="00236AB5" w:rsidRPr="008819AF" w14:paraId="15133D52"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15133D4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NOx</w:t>
                  </w:r>
                </w:p>
              </w:tc>
              <w:tc>
                <w:tcPr>
                  <w:tcW w:w="1020" w:type="dxa"/>
                  <w:tcBorders>
                    <w:top w:val="single" w:sz="4" w:space="0" w:color="000000"/>
                    <w:left w:val="single" w:sz="4" w:space="0" w:color="000000"/>
                    <w:bottom w:val="single" w:sz="4" w:space="0" w:color="000000"/>
                    <w:right w:val="single" w:sz="4" w:space="0" w:color="000000"/>
                  </w:tcBorders>
                </w:tcPr>
                <w:p w14:paraId="15133D4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15133D4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250</w:t>
                  </w:r>
                </w:p>
              </w:tc>
              <w:tc>
                <w:tcPr>
                  <w:tcW w:w="1021" w:type="dxa"/>
                  <w:tcBorders>
                    <w:top w:val="single" w:sz="4" w:space="0" w:color="000000"/>
                    <w:left w:val="single" w:sz="4" w:space="0" w:color="000000"/>
                    <w:bottom w:val="single" w:sz="4" w:space="0" w:color="000000"/>
                    <w:right w:val="single" w:sz="4" w:space="0" w:color="000000"/>
                  </w:tcBorders>
                </w:tcPr>
                <w:p w14:paraId="15133D5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15133D5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tc>
            </w:tr>
            <w:tr w:rsidR="00236AB5" w:rsidRPr="008819AF" w14:paraId="15133D58" w14:textId="77777777" w:rsidTr="00A279CC">
              <w:trPr>
                <w:trHeight w:val="103"/>
              </w:trPr>
              <w:tc>
                <w:tcPr>
                  <w:tcW w:w="1020" w:type="dxa"/>
                  <w:tcBorders>
                    <w:top w:val="single" w:sz="4" w:space="0" w:color="000000"/>
                    <w:left w:val="single" w:sz="4" w:space="0" w:color="000000"/>
                    <w:bottom w:val="single" w:sz="4" w:space="0" w:color="000000"/>
                    <w:right w:val="single" w:sz="4" w:space="0" w:color="000000"/>
                  </w:tcBorders>
                </w:tcPr>
                <w:p w14:paraId="15133D5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Prach</w:t>
                  </w:r>
                </w:p>
              </w:tc>
              <w:tc>
                <w:tcPr>
                  <w:tcW w:w="1020" w:type="dxa"/>
                  <w:tcBorders>
                    <w:top w:val="single" w:sz="4" w:space="0" w:color="000000"/>
                    <w:left w:val="single" w:sz="4" w:space="0" w:color="000000"/>
                    <w:bottom w:val="single" w:sz="4" w:space="0" w:color="000000"/>
                    <w:right w:val="single" w:sz="4" w:space="0" w:color="000000"/>
                  </w:tcBorders>
                </w:tcPr>
                <w:p w14:paraId="15133D5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15133D5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021" w:type="dxa"/>
                  <w:tcBorders>
                    <w:top w:val="single" w:sz="4" w:space="0" w:color="000000"/>
                    <w:left w:val="single" w:sz="4" w:space="0" w:color="000000"/>
                    <w:bottom w:val="single" w:sz="4" w:space="0" w:color="000000"/>
                    <w:right w:val="single" w:sz="4" w:space="0" w:color="000000"/>
                  </w:tcBorders>
                </w:tcPr>
                <w:p w14:paraId="15133D5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021" w:type="dxa"/>
                  <w:tcBorders>
                    <w:top w:val="single" w:sz="4" w:space="0" w:color="000000"/>
                    <w:left w:val="single" w:sz="4" w:space="0" w:color="000000"/>
                    <w:bottom w:val="single" w:sz="4" w:space="0" w:color="000000"/>
                    <w:right w:val="single" w:sz="4" w:space="0" w:color="000000"/>
                  </w:tcBorders>
                </w:tcPr>
                <w:p w14:paraId="15133D5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r>
          </w:tbl>
          <w:p w14:paraId="15133D59" w14:textId="77777777" w:rsidR="00236AB5" w:rsidRPr="008819AF" w:rsidRDefault="00236AB5" w:rsidP="00236AB5">
            <w:pPr>
              <w:ind w:left="215" w:firstLine="141"/>
              <w:rPr>
                <w:rFonts w:eastAsia="Arial"/>
                <w:lang w:bidi="cs-CZ"/>
              </w:rPr>
            </w:pPr>
          </w:p>
          <w:p w14:paraId="15133D5A" w14:textId="77777777" w:rsidR="00236AB5" w:rsidRPr="008819AF" w:rsidRDefault="00236AB5" w:rsidP="00236AB5">
            <w:pPr>
              <w:ind w:left="215" w:firstLine="141"/>
              <w:rPr>
                <w:rFonts w:eastAsia="Arial"/>
                <w:lang w:bidi="cs-CZ"/>
              </w:rPr>
            </w:pPr>
            <w:r w:rsidRPr="008819AF">
              <w:rPr>
                <w:rFonts w:eastAsia="Arial"/>
                <w:lang w:bidi="cs-CZ"/>
              </w:rPr>
              <w:t>Cproces pre kvapalné palivá (obsah O2 3 %):</w:t>
            </w:r>
          </w:p>
          <w:p w14:paraId="15133D5B" w14:textId="77777777" w:rsidR="00236AB5" w:rsidRPr="008819AF" w:rsidRDefault="00236AB5" w:rsidP="00236AB5">
            <w:pPr>
              <w:ind w:left="215" w:hanging="215"/>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220"/>
              <w:gridCol w:w="1221"/>
              <w:gridCol w:w="1221"/>
              <w:gridCol w:w="1221"/>
            </w:tblGrid>
            <w:tr w:rsidR="00236AB5" w:rsidRPr="008819AF" w14:paraId="15133D61" w14:textId="77777777" w:rsidTr="00A279CC">
              <w:trPr>
                <w:trHeight w:val="90"/>
              </w:trPr>
              <w:tc>
                <w:tcPr>
                  <w:tcW w:w="1220" w:type="dxa"/>
                  <w:tcBorders>
                    <w:top w:val="single" w:sz="4" w:space="0" w:color="000000"/>
                    <w:left w:val="single" w:sz="4" w:space="0" w:color="000000"/>
                    <w:bottom w:val="single" w:sz="4" w:space="0" w:color="000000"/>
                    <w:right w:val="single" w:sz="4" w:space="0" w:color="000000"/>
                  </w:tcBorders>
                </w:tcPr>
                <w:p w14:paraId="15133D5C" w14:textId="77777777" w:rsidR="00236AB5" w:rsidRPr="008819AF" w:rsidRDefault="00236AB5" w:rsidP="00236AB5">
                  <w:pPr>
                    <w:pStyle w:val="Default"/>
                    <w:ind w:right="-101"/>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Znečisťujúca látka</w:t>
                  </w:r>
                </w:p>
              </w:tc>
              <w:tc>
                <w:tcPr>
                  <w:tcW w:w="1220" w:type="dxa"/>
                  <w:tcBorders>
                    <w:top w:val="single" w:sz="4" w:space="0" w:color="000000"/>
                    <w:left w:val="single" w:sz="4" w:space="0" w:color="000000"/>
                    <w:bottom w:val="single" w:sz="4" w:space="0" w:color="000000"/>
                    <w:right w:val="single" w:sz="4" w:space="0" w:color="000000"/>
                  </w:tcBorders>
                </w:tcPr>
                <w:p w14:paraId="15133D5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&lt; 50 MWth</w:t>
                  </w:r>
                </w:p>
              </w:tc>
              <w:tc>
                <w:tcPr>
                  <w:tcW w:w="1221" w:type="dxa"/>
                  <w:tcBorders>
                    <w:top w:val="single" w:sz="4" w:space="0" w:color="000000"/>
                    <w:left w:val="single" w:sz="4" w:space="0" w:color="000000"/>
                    <w:bottom w:val="single" w:sz="4" w:space="0" w:color="000000"/>
                    <w:right w:val="single" w:sz="4" w:space="0" w:color="000000"/>
                  </w:tcBorders>
                </w:tcPr>
                <w:p w14:paraId="15133D5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až 100 MWth</w:t>
                  </w:r>
                </w:p>
              </w:tc>
              <w:tc>
                <w:tcPr>
                  <w:tcW w:w="1221" w:type="dxa"/>
                  <w:tcBorders>
                    <w:top w:val="single" w:sz="4" w:space="0" w:color="000000"/>
                    <w:left w:val="single" w:sz="4" w:space="0" w:color="000000"/>
                    <w:bottom w:val="single" w:sz="4" w:space="0" w:color="000000"/>
                    <w:right w:val="single" w:sz="4" w:space="0" w:color="000000"/>
                  </w:tcBorders>
                </w:tcPr>
                <w:p w14:paraId="15133D5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až 300 MWth</w:t>
                  </w:r>
                </w:p>
              </w:tc>
              <w:tc>
                <w:tcPr>
                  <w:tcW w:w="1221" w:type="dxa"/>
                  <w:tcBorders>
                    <w:top w:val="single" w:sz="4" w:space="0" w:color="000000"/>
                    <w:left w:val="single" w:sz="4" w:space="0" w:color="000000"/>
                    <w:bottom w:val="single" w:sz="4" w:space="0" w:color="000000"/>
                    <w:right w:val="single" w:sz="4" w:space="0" w:color="000000"/>
                  </w:tcBorders>
                </w:tcPr>
                <w:p w14:paraId="15133D6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300 MWth</w:t>
                  </w:r>
                </w:p>
              </w:tc>
            </w:tr>
            <w:tr w:rsidR="00236AB5" w:rsidRPr="008819AF" w14:paraId="15133D67" w14:textId="77777777" w:rsidTr="00A279CC">
              <w:trPr>
                <w:trHeight w:val="114"/>
              </w:trPr>
              <w:tc>
                <w:tcPr>
                  <w:tcW w:w="1220" w:type="dxa"/>
                  <w:tcBorders>
                    <w:top w:val="single" w:sz="4" w:space="0" w:color="000000"/>
                    <w:left w:val="single" w:sz="4" w:space="0" w:color="000000"/>
                    <w:bottom w:val="single" w:sz="4" w:space="0" w:color="000000"/>
                    <w:right w:val="single" w:sz="4" w:space="0" w:color="000000"/>
                  </w:tcBorders>
                </w:tcPr>
                <w:p w14:paraId="15133D6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SO2</w:t>
                  </w:r>
                </w:p>
              </w:tc>
              <w:tc>
                <w:tcPr>
                  <w:tcW w:w="1220" w:type="dxa"/>
                  <w:tcBorders>
                    <w:top w:val="single" w:sz="4" w:space="0" w:color="000000"/>
                    <w:left w:val="single" w:sz="4" w:space="0" w:color="000000"/>
                    <w:bottom w:val="single" w:sz="4" w:space="0" w:color="000000"/>
                    <w:right w:val="single" w:sz="4" w:space="0" w:color="000000"/>
                  </w:tcBorders>
                </w:tcPr>
                <w:p w14:paraId="15133D6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221" w:type="dxa"/>
                  <w:tcBorders>
                    <w:top w:val="single" w:sz="4" w:space="0" w:color="000000"/>
                    <w:left w:val="single" w:sz="4" w:space="0" w:color="000000"/>
                    <w:bottom w:val="single" w:sz="4" w:space="0" w:color="000000"/>
                    <w:right w:val="single" w:sz="4" w:space="0" w:color="000000"/>
                  </w:tcBorders>
                </w:tcPr>
                <w:p w14:paraId="15133D6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350</w:t>
                  </w:r>
                </w:p>
              </w:tc>
              <w:tc>
                <w:tcPr>
                  <w:tcW w:w="1221" w:type="dxa"/>
                  <w:tcBorders>
                    <w:top w:val="single" w:sz="4" w:space="0" w:color="000000"/>
                    <w:left w:val="single" w:sz="4" w:space="0" w:color="000000"/>
                    <w:bottom w:val="single" w:sz="4" w:space="0" w:color="000000"/>
                    <w:right w:val="single" w:sz="4" w:space="0" w:color="000000"/>
                  </w:tcBorders>
                </w:tcPr>
                <w:p w14:paraId="15133D6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200</w:t>
                  </w:r>
                </w:p>
              </w:tc>
              <w:tc>
                <w:tcPr>
                  <w:tcW w:w="1221" w:type="dxa"/>
                  <w:tcBorders>
                    <w:top w:val="single" w:sz="4" w:space="0" w:color="000000"/>
                    <w:left w:val="single" w:sz="4" w:space="0" w:color="000000"/>
                    <w:bottom w:val="single" w:sz="4" w:space="0" w:color="000000"/>
                    <w:right w:val="single" w:sz="4" w:space="0" w:color="000000"/>
                  </w:tcBorders>
                </w:tcPr>
                <w:p w14:paraId="15133D6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tc>
            </w:tr>
            <w:tr w:rsidR="00236AB5" w:rsidRPr="008819AF" w14:paraId="15133D6D" w14:textId="77777777" w:rsidTr="00A279CC">
              <w:trPr>
                <w:trHeight w:val="114"/>
              </w:trPr>
              <w:tc>
                <w:tcPr>
                  <w:tcW w:w="1220" w:type="dxa"/>
                  <w:tcBorders>
                    <w:top w:val="single" w:sz="4" w:space="0" w:color="000000"/>
                    <w:left w:val="single" w:sz="4" w:space="0" w:color="000000"/>
                    <w:bottom w:val="single" w:sz="4" w:space="0" w:color="000000"/>
                    <w:right w:val="single" w:sz="4" w:space="0" w:color="000000"/>
                  </w:tcBorders>
                </w:tcPr>
                <w:p w14:paraId="15133D6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NOx</w:t>
                  </w:r>
                </w:p>
              </w:tc>
              <w:tc>
                <w:tcPr>
                  <w:tcW w:w="1220" w:type="dxa"/>
                  <w:tcBorders>
                    <w:top w:val="single" w:sz="4" w:space="0" w:color="000000"/>
                    <w:left w:val="single" w:sz="4" w:space="0" w:color="000000"/>
                    <w:bottom w:val="single" w:sz="4" w:space="0" w:color="000000"/>
                    <w:right w:val="single" w:sz="4" w:space="0" w:color="000000"/>
                  </w:tcBorders>
                </w:tcPr>
                <w:p w14:paraId="15133D6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w:t>
                  </w:r>
                </w:p>
              </w:tc>
              <w:tc>
                <w:tcPr>
                  <w:tcW w:w="1221" w:type="dxa"/>
                  <w:tcBorders>
                    <w:top w:val="single" w:sz="4" w:space="0" w:color="000000"/>
                    <w:left w:val="single" w:sz="4" w:space="0" w:color="000000"/>
                    <w:bottom w:val="single" w:sz="4" w:space="0" w:color="000000"/>
                    <w:right w:val="single" w:sz="4" w:space="0" w:color="000000"/>
                  </w:tcBorders>
                </w:tcPr>
                <w:p w14:paraId="15133D6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300</w:t>
                  </w:r>
                </w:p>
              </w:tc>
              <w:tc>
                <w:tcPr>
                  <w:tcW w:w="1221" w:type="dxa"/>
                  <w:tcBorders>
                    <w:top w:val="single" w:sz="4" w:space="0" w:color="000000"/>
                    <w:left w:val="single" w:sz="4" w:space="0" w:color="000000"/>
                    <w:bottom w:val="single" w:sz="4" w:space="0" w:color="000000"/>
                    <w:right w:val="single" w:sz="4" w:space="0" w:color="000000"/>
                  </w:tcBorders>
                </w:tcPr>
                <w:p w14:paraId="15133D6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tc>
              <w:tc>
                <w:tcPr>
                  <w:tcW w:w="1221" w:type="dxa"/>
                  <w:tcBorders>
                    <w:top w:val="single" w:sz="4" w:space="0" w:color="000000"/>
                    <w:left w:val="single" w:sz="4" w:space="0" w:color="000000"/>
                    <w:bottom w:val="single" w:sz="4" w:space="0" w:color="000000"/>
                    <w:right w:val="single" w:sz="4" w:space="0" w:color="000000"/>
                  </w:tcBorders>
                </w:tcPr>
                <w:p w14:paraId="15133D6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tc>
            </w:tr>
            <w:tr w:rsidR="00236AB5" w:rsidRPr="008819AF" w14:paraId="15133D73" w14:textId="77777777" w:rsidTr="00A279CC">
              <w:trPr>
                <w:trHeight w:val="103"/>
              </w:trPr>
              <w:tc>
                <w:tcPr>
                  <w:tcW w:w="1220" w:type="dxa"/>
                  <w:tcBorders>
                    <w:top w:val="single" w:sz="4" w:space="0" w:color="000000"/>
                    <w:left w:val="single" w:sz="4" w:space="0" w:color="000000"/>
                    <w:bottom w:val="single" w:sz="4" w:space="0" w:color="000000"/>
                    <w:right w:val="single" w:sz="4" w:space="0" w:color="000000"/>
                  </w:tcBorders>
                </w:tcPr>
                <w:p w14:paraId="15133D6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Prach</w:t>
                  </w:r>
                </w:p>
              </w:tc>
              <w:tc>
                <w:tcPr>
                  <w:tcW w:w="1220" w:type="dxa"/>
                  <w:tcBorders>
                    <w:top w:val="single" w:sz="4" w:space="0" w:color="000000"/>
                    <w:left w:val="single" w:sz="4" w:space="0" w:color="000000"/>
                    <w:bottom w:val="single" w:sz="4" w:space="0" w:color="000000"/>
                    <w:right w:val="single" w:sz="4" w:space="0" w:color="000000"/>
                  </w:tcBorders>
                </w:tcPr>
                <w:p w14:paraId="15133D6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w:t>
                  </w:r>
                </w:p>
              </w:tc>
              <w:tc>
                <w:tcPr>
                  <w:tcW w:w="1221" w:type="dxa"/>
                  <w:tcBorders>
                    <w:top w:val="single" w:sz="4" w:space="0" w:color="000000"/>
                    <w:left w:val="single" w:sz="4" w:space="0" w:color="000000"/>
                    <w:bottom w:val="single" w:sz="4" w:space="0" w:color="000000"/>
                    <w:right w:val="single" w:sz="4" w:space="0" w:color="000000"/>
                  </w:tcBorders>
                </w:tcPr>
                <w:p w14:paraId="15133D7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221" w:type="dxa"/>
                  <w:tcBorders>
                    <w:top w:val="single" w:sz="4" w:space="0" w:color="000000"/>
                    <w:left w:val="single" w:sz="4" w:space="0" w:color="000000"/>
                    <w:bottom w:val="single" w:sz="4" w:space="0" w:color="000000"/>
                    <w:right w:val="single" w:sz="4" w:space="0" w:color="000000"/>
                  </w:tcBorders>
                </w:tcPr>
                <w:p w14:paraId="15133D7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221" w:type="dxa"/>
                  <w:tcBorders>
                    <w:top w:val="single" w:sz="4" w:space="0" w:color="000000"/>
                    <w:left w:val="single" w:sz="4" w:space="0" w:color="000000"/>
                    <w:bottom w:val="single" w:sz="4" w:space="0" w:color="000000"/>
                    <w:right w:val="single" w:sz="4" w:space="0" w:color="000000"/>
                  </w:tcBorders>
                </w:tcPr>
                <w:p w14:paraId="15133D7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r>
          </w:tbl>
          <w:p w14:paraId="15133D74" w14:textId="77777777" w:rsidR="00236AB5" w:rsidRPr="008819AF" w:rsidRDefault="00236AB5" w:rsidP="00236AB5">
            <w:pPr>
              <w:ind w:left="215" w:hanging="215"/>
              <w:rPr>
                <w:rFonts w:eastAsia="Arial"/>
                <w:lang w:bidi="cs-CZ"/>
              </w:rPr>
            </w:pPr>
          </w:p>
          <w:p w14:paraId="15133D75" w14:textId="77777777" w:rsidR="00236AB5" w:rsidRPr="008819AF" w:rsidRDefault="00236AB5" w:rsidP="00236AB5">
            <w:pPr>
              <w:ind w:left="356" w:hanging="356"/>
              <w:rPr>
                <w:rFonts w:eastAsia="Arial"/>
                <w:lang w:bidi="cs-CZ"/>
              </w:rPr>
            </w:pPr>
            <w:r w:rsidRPr="008819AF">
              <w:rPr>
                <w:rFonts w:eastAsia="Arial"/>
                <w:lang w:bidi="cs-CZ"/>
              </w:rPr>
              <w:t>3.3.  C – Celková emisný limit pre ťažké kovy (mg/Nm3) vyjadrená ako priemerná hodnota počas odoberania vzoriek, ktoré trvá minimálne 30 minút a maximálne 8 hodín (obsah O2 6 % pre tuhé palivá a 3 % pre kvapalné palivá)</w:t>
            </w:r>
          </w:p>
          <w:p w14:paraId="15133D76" w14:textId="77777777" w:rsidR="00236AB5" w:rsidRPr="008819AF" w:rsidRDefault="00236AB5" w:rsidP="00236AB5">
            <w:pPr>
              <w:ind w:left="215" w:hanging="215"/>
              <w:rPr>
                <w:rFonts w:eastAsia="Arial"/>
                <w:lang w:bidi="cs-CZ"/>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1"/>
            </w:tblGrid>
            <w:tr w:rsidR="00236AB5" w:rsidRPr="008819AF" w14:paraId="15133D79" w14:textId="77777777">
              <w:trPr>
                <w:trHeight w:val="90"/>
              </w:trPr>
              <w:tc>
                <w:tcPr>
                  <w:tcW w:w="2552" w:type="dxa"/>
                  <w:tcBorders>
                    <w:top w:val="single" w:sz="4" w:space="0" w:color="000000"/>
                    <w:left w:val="single" w:sz="4" w:space="0" w:color="000000"/>
                    <w:bottom w:val="single" w:sz="4" w:space="0" w:color="000000"/>
                    <w:right w:val="single" w:sz="4" w:space="0" w:color="000000"/>
                  </w:tcBorders>
                </w:tcPr>
                <w:p w14:paraId="15133D7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Znečisťujúce látky</w:t>
                  </w:r>
                </w:p>
              </w:tc>
              <w:tc>
                <w:tcPr>
                  <w:tcW w:w="2551" w:type="dxa"/>
                  <w:tcBorders>
                    <w:top w:val="single" w:sz="4" w:space="0" w:color="000000"/>
                    <w:left w:val="single" w:sz="4" w:space="0" w:color="000000"/>
                    <w:bottom w:val="single" w:sz="4" w:space="0" w:color="000000"/>
                    <w:right w:val="single" w:sz="4" w:space="0" w:color="000000"/>
                  </w:tcBorders>
                </w:tcPr>
                <w:p w14:paraId="15133D7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w:t>
                  </w:r>
                </w:p>
              </w:tc>
            </w:tr>
            <w:tr w:rsidR="00236AB5" w:rsidRPr="008819AF" w14:paraId="15133D7C" w14:textId="77777777">
              <w:trPr>
                <w:trHeight w:val="103"/>
              </w:trPr>
              <w:tc>
                <w:tcPr>
                  <w:tcW w:w="2552" w:type="dxa"/>
                  <w:tcBorders>
                    <w:top w:val="single" w:sz="4" w:space="0" w:color="000000"/>
                    <w:left w:val="single" w:sz="4" w:space="0" w:color="000000"/>
                    <w:bottom w:val="single" w:sz="4" w:space="0" w:color="000000"/>
                    <w:right w:val="single" w:sz="4" w:space="0" w:color="000000"/>
                  </w:tcBorders>
                </w:tcPr>
                <w:p w14:paraId="15133D7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Cd + Tl</w:t>
                  </w:r>
                </w:p>
              </w:tc>
              <w:tc>
                <w:tcPr>
                  <w:tcW w:w="2551" w:type="dxa"/>
                  <w:tcBorders>
                    <w:top w:val="single" w:sz="4" w:space="0" w:color="000000"/>
                    <w:left w:val="single" w:sz="4" w:space="0" w:color="000000"/>
                    <w:bottom w:val="single" w:sz="4" w:space="0" w:color="000000"/>
                    <w:right w:val="single" w:sz="4" w:space="0" w:color="000000"/>
                  </w:tcBorders>
                </w:tcPr>
                <w:p w14:paraId="15133D7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0,05</w:t>
                  </w:r>
                </w:p>
              </w:tc>
            </w:tr>
            <w:tr w:rsidR="00236AB5" w:rsidRPr="008819AF" w14:paraId="15133D7F" w14:textId="77777777">
              <w:trPr>
                <w:trHeight w:val="103"/>
              </w:trPr>
              <w:tc>
                <w:tcPr>
                  <w:tcW w:w="2552" w:type="dxa"/>
                  <w:tcBorders>
                    <w:top w:val="single" w:sz="4" w:space="0" w:color="000000"/>
                    <w:left w:val="single" w:sz="4" w:space="0" w:color="000000"/>
                    <w:bottom w:val="single" w:sz="4" w:space="0" w:color="000000"/>
                    <w:right w:val="single" w:sz="4" w:space="0" w:color="000000"/>
                  </w:tcBorders>
                </w:tcPr>
                <w:p w14:paraId="15133D7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Hg</w:t>
                  </w:r>
                </w:p>
              </w:tc>
              <w:tc>
                <w:tcPr>
                  <w:tcW w:w="2551" w:type="dxa"/>
                  <w:tcBorders>
                    <w:top w:val="single" w:sz="4" w:space="0" w:color="000000"/>
                    <w:left w:val="single" w:sz="4" w:space="0" w:color="000000"/>
                    <w:bottom w:val="single" w:sz="4" w:space="0" w:color="000000"/>
                    <w:right w:val="single" w:sz="4" w:space="0" w:color="000000"/>
                  </w:tcBorders>
                </w:tcPr>
                <w:p w14:paraId="15133D7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0,05</w:t>
                  </w:r>
                </w:p>
              </w:tc>
            </w:tr>
            <w:tr w:rsidR="00236AB5" w:rsidRPr="008819AF" w14:paraId="15133D82" w14:textId="77777777">
              <w:trPr>
                <w:trHeight w:val="103"/>
              </w:trPr>
              <w:tc>
                <w:tcPr>
                  <w:tcW w:w="2552" w:type="dxa"/>
                  <w:tcBorders>
                    <w:top w:val="single" w:sz="4" w:space="0" w:color="000000"/>
                    <w:left w:val="single" w:sz="4" w:space="0" w:color="000000"/>
                    <w:bottom w:val="single" w:sz="4" w:space="0" w:color="000000"/>
                    <w:right w:val="single" w:sz="4" w:space="0" w:color="000000"/>
                  </w:tcBorders>
                </w:tcPr>
                <w:p w14:paraId="15133D8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Sb + As + Pb + Cr + Co + Cu + Mn + Ni + V</w:t>
                  </w:r>
                </w:p>
              </w:tc>
              <w:tc>
                <w:tcPr>
                  <w:tcW w:w="2551" w:type="dxa"/>
                  <w:tcBorders>
                    <w:top w:val="single" w:sz="4" w:space="0" w:color="000000"/>
                    <w:left w:val="single" w:sz="4" w:space="0" w:color="000000"/>
                    <w:bottom w:val="single" w:sz="4" w:space="0" w:color="000000"/>
                    <w:right w:val="single" w:sz="4" w:space="0" w:color="000000"/>
                  </w:tcBorders>
                </w:tcPr>
                <w:p w14:paraId="15133D8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0,5</w:t>
                  </w:r>
                </w:p>
              </w:tc>
            </w:tr>
          </w:tbl>
          <w:p w14:paraId="15133D83" w14:textId="77777777" w:rsidR="00236AB5" w:rsidRPr="008819AF" w:rsidRDefault="00236AB5" w:rsidP="00236AB5">
            <w:pPr>
              <w:ind w:left="356" w:hanging="356"/>
              <w:rPr>
                <w:rFonts w:eastAsia="Arial"/>
                <w:lang w:bidi="cs-CZ"/>
              </w:rPr>
            </w:pPr>
            <w:r w:rsidRPr="008819AF">
              <w:rPr>
                <w:rFonts w:eastAsia="Arial"/>
                <w:lang w:bidi="cs-CZ"/>
              </w:rPr>
              <w:t>3.4. C – Celková emisný limit (ng/Nm3) pre dioxíny a furány vyjadrená ako priemerná hodnota meraná počas odoberania vzoriek, ktoré trvá minimálne 6 hodín a maximálne 8 hodín (obsah O2 6 % pre tuhé palivá a 3 % pre kvapalné palivá)</w:t>
            </w:r>
          </w:p>
          <w:tbl>
            <w:tblPr>
              <w:tblW w:w="382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627"/>
            </w:tblGrid>
            <w:tr w:rsidR="00236AB5" w:rsidRPr="008819AF" w14:paraId="15133D86" w14:textId="77777777">
              <w:trPr>
                <w:trHeight w:val="90"/>
              </w:trPr>
              <w:tc>
                <w:tcPr>
                  <w:tcW w:w="2200" w:type="dxa"/>
                  <w:tcBorders>
                    <w:top w:val="single" w:sz="4" w:space="0" w:color="000000"/>
                    <w:left w:val="single" w:sz="4" w:space="0" w:color="000000"/>
                    <w:bottom w:val="single" w:sz="4" w:space="0" w:color="000000"/>
                    <w:right w:val="single" w:sz="4" w:space="0" w:color="000000"/>
                  </w:tcBorders>
                </w:tcPr>
                <w:p w14:paraId="15133D8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Znečisťujúca látka</w:t>
                  </w:r>
                </w:p>
              </w:tc>
              <w:tc>
                <w:tcPr>
                  <w:tcW w:w="1627" w:type="dxa"/>
                  <w:tcBorders>
                    <w:top w:val="single" w:sz="4" w:space="0" w:color="000000"/>
                    <w:left w:val="single" w:sz="4" w:space="0" w:color="000000"/>
                    <w:bottom w:val="single" w:sz="4" w:space="0" w:color="000000"/>
                    <w:right w:val="single" w:sz="4" w:space="0" w:color="000000"/>
                  </w:tcBorders>
                </w:tcPr>
                <w:p w14:paraId="15133D8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w:t>
                  </w:r>
                </w:p>
              </w:tc>
            </w:tr>
            <w:tr w:rsidR="00236AB5" w:rsidRPr="008819AF" w14:paraId="15133D89" w14:textId="77777777">
              <w:trPr>
                <w:trHeight w:val="103"/>
              </w:trPr>
              <w:tc>
                <w:tcPr>
                  <w:tcW w:w="2200" w:type="dxa"/>
                  <w:tcBorders>
                    <w:top w:val="single" w:sz="4" w:space="0" w:color="000000"/>
                    <w:left w:val="single" w:sz="4" w:space="0" w:color="000000"/>
                    <w:bottom w:val="single" w:sz="4" w:space="0" w:color="000000"/>
                    <w:right w:val="single" w:sz="4" w:space="0" w:color="000000"/>
                  </w:tcBorders>
                </w:tcPr>
                <w:p w14:paraId="15133D8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Dioxíny a furány</w:t>
                  </w:r>
                </w:p>
              </w:tc>
              <w:tc>
                <w:tcPr>
                  <w:tcW w:w="1627" w:type="dxa"/>
                  <w:tcBorders>
                    <w:top w:val="single" w:sz="4" w:space="0" w:color="000000"/>
                    <w:left w:val="single" w:sz="4" w:space="0" w:color="000000"/>
                    <w:bottom w:val="single" w:sz="4" w:space="0" w:color="000000"/>
                    <w:right w:val="single" w:sz="4" w:space="0" w:color="000000"/>
                  </w:tcBorders>
                </w:tcPr>
                <w:p w14:paraId="15133D8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0,1</w:t>
                  </w:r>
                </w:p>
              </w:tc>
            </w:tr>
          </w:tbl>
          <w:p w14:paraId="15133D8A" w14:textId="77777777" w:rsidR="00236AB5" w:rsidRPr="008819AF" w:rsidRDefault="00236AB5" w:rsidP="00236AB5">
            <w:pPr>
              <w:rPr>
                <w:rFonts w:eastAsia="Arial"/>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D8B"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D8C"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D8D" w14:textId="77777777" w:rsidR="00236AB5" w:rsidRPr="008819AF" w:rsidRDefault="00236AB5" w:rsidP="00236AB5">
            <w:pPr>
              <w:jc w:val="center"/>
            </w:pPr>
            <w:r w:rsidRPr="008819AF">
              <w:t>Pr.5</w:t>
            </w:r>
          </w:p>
          <w:p w14:paraId="15133D8E" w14:textId="77777777" w:rsidR="00236AB5" w:rsidRPr="008819AF" w:rsidRDefault="00236AB5" w:rsidP="00236AB5">
            <w:pPr>
              <w:jc w:val="center"/>
            </w:pPr>
            <w:r w:rsidRPr="008819AF">
              <w:t>Časť IV.</w:t>
            </w:r>
          </w:p>
          <w:p w14:paraId="15133D8F" w14:textId="77777777" w:rsidR="00236AB5" w:rsidRPr="008819AF" w:rsidRDefault="00236AB5"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15133D90" w14:textId="77777777" w:rsidR="00236AB5" w:rsidRPr="008819AF" w:rsidRDefault="00236AB5" w:rsidP="00236AB5">
            <w:pPr>
              <w:pStyle w:val="Textpoznmkypodiarou"/>
              <w:ind w:left="0" w:firstLine="0"/>
              <w:rPr>
                <w:rFonts w:ascii="Times New Roman" w:hAnsi="Times New Roman" w:cs="Times New Roman"/>
                <w:sz w:val="20"/>
                <w:szCs w:val="20"/>
              </w:rPr>
            </w:pPr>
            <w:r w:rsidRPr="008819AF">
              <w:rPr>
                <w:rFonts w:ascii="Times New Roman" w:hAnsi="Times New Roman" w:cs="Times New Roman"/>
                <w:sz w:val="20"/>
                <w:szCs w:val="20"/>
              </w:rPr>
              <w:t xml:space="preserve">3. Emisné limity a podmienky prevádzkovania na spoluspaľovanie odpadov v spaľovacom zariadení </w:t>
            </w:r>
          </w:p>
          <w:p w14:paraId="15133D91" w14:textId="77777777" w:rsidR="00236AB5" w:rsidRPr="008819AF" w:rsidRDefault="00236AB5" w:rsidP="00236AB5">
            <w:pPr>
              <w:keepNext/>
              <w:spacing w:before="120"/>
              <w:jc w:val="both"/>
            </w:pPr>
            <w:r w:rsidRPr="008819AF">
              <w:t xml:space="preserve">3.2 Emisné limity  </w:t>
            </w:r>
          </w:p>
          <w:p w14:paraId="15133D92" w14:textId="77777777" w:rsidR="00236AB5" w:rsidRPr="008819AF" w:rsidRDefault="00236AB5" w:rsidP="00236AB5">
            <w:pPr>
              <w:ind w:firstLine="24"/>
              <w:jc w:val="both"/>
            </w:pPr>
            <w:r w:rsidRPr="008819AF">
              <w:t xml:space="preserve">Na určenie celkového MTP spaľovacieho zariadenia platia agregačné pravidlá pre spaľovacie zariadenia uvedené v prílohe č. 4 prvej časti. Emisné limity pre </w:t>
            </w:r>
          </w:p>
          <w:p w14:paraId="15133D93" w14:textId="77777777" w:rsidR="00236AB5" w:rsidRPr="008819AF" w:rsidRDefault="00236AB5" w:rsidP="00236AB5">
            <w:pPr>
              <w:pStyle w:val="Odsekzoznamu1"/>
              <w:numPr>
                <w:ilvl w:val="0"/>
                <w:numId w:val="96"/>
              </w:numPr>
              <w:ind w:left="165" w:hanging="141"/>
              <w:jc w:val="both"/>
              <w:rPr>
                <w:sz w:val="20"/>
                <w:szCs w:val="20"/>
              </w:rPr>
            </w:pPr>
            <w:r w:rsidRPr="008819AF">
              <w:rPr>
                <w:sz w:val="20"/>
                <w:szCs w:val="20"/>
              </w:rPr>
              <w:t>TZL, SO</w:t>
            </w:r>
            <w:r w:rsidRPr="008819AF">
              <w:rPr>
                <w:sz w:val="20"/>
                <w:szCs w:val="20"/>
                <w:vertAlign w:val="subscript"/>
              </w:rPr>
              <w:t>2</w:t>
            </w:r>
            <w:r w:rsidRPr="008819AF">
              <w:rPr>
                <w:sz w:val="20"/>
                <w:szCs w:val="20"/>
              </w:rPr>
              <w:t xml:space="preserve"> a NO</w:t>
            </w:r>
            <w:r w:rsidRPr="008819AF">
              <w:rPr>
                <w:sz w:val="20"/>
                <w:szCs w:val="20"/>
                <w:vertAlign w:val="subscript"/>
              </w:rPr>
              <w:t>x</w:t>
            </w:r>
            <w:r w:rsidRPr="008819AF">
              <w:rPr>
                <w:sz w:val="20"/>
                <w:szCs w:val="20"/>
              </w:rPr>
              <w:t xml:space="preserve"> sa určia podľa vzťahu v bode 1 tejto časti; hodnoty C</w:t>
            </w:r>
            <w:r w:rsidRPr="008819AF">
              <w:rPr>
                <w:sz w:val="20"/>
                <w:szCs w:val="20"/>
                <w:vertAlign w:val="subscript"/>
              </w:rPr>
              <w:t>proces</w:t>
            </w:r>
            <w:r w:rsidRPr="008819AF">
              <w:rPr>
                <w:sz w:val="20"/>
                <w:szCs w:val="20"/>
              </w:rPr>
              <w:t xml:space="preserve"> na výpočet emisného limitu pre tieto znečisťujúce látky sú uvedené v bodoch 3.2.1 až 3.2.3 podľa spaľovaného paliva,</w:t>
            </w:r>
          </w:p>
          <w:p w14:paraId="15133D94" w14:textId="77777777" w:rsidR="00236AB5" w:rsidRPr="008819AF" w:rsidRDefault="00236AB5" w:rsidP="00236AB5">
            <w:pPr>
              <w:pStyle w:val="Odsekzoznamu1"/>
              <w:numPr>
                <w:ilvl w:val="0"/>
                <w:numId w:val="96"/>
              </w:numPr>
              <w:ind w:left="165" w:hanging="141"/>
              <w:jc w:val="both"/>
              <w:rPr>
                <w:sz w:val="20"/>
                <w:szCs w:val="20"/>
              </w:rPr>
            </w:pPr>
            <w:r w:rsidRPr="008819AF">
              <w:rPr>
                <w:sz w:val="20"/>
                <w:szCs w:val="20"/>
              </w:rPr>
              <w:t>ťažké kovy a PCDD + PCDF sú ustanovené v bode 3.2.4.</w:t>
            </w:r>
          </w:p>
          <w:p w14:paraId="15133D95" w14:textId="77777777" w:rsidR="00236AB5" w:rsidRPr="008819AF" w:rsidRDefault="00236AB5" w:rsidP="00236AB5">
            <w:pPr>
              <w:pStyle w:val="Hlavika"/>
              <w:ind w:left="72" w:hanging="1"/>
              <w:rPr>
                <w:rFonts w:ascii="Times New Roman" w:hAnsi="Times New Roman" w:cs="Times New Roman"/>
              </w:rPr>
            </w:pPr>
          </w:p>
          <w:p w14:paraId="15133D96" w14:textId="77777777" w:rsidR="00236AB5" w:rsidRPr="008819AF" w:rsidRDefault="00236AB5" w:rsidP="00236AB5">
            <w:pPr>
              <w:spacing w:after="120"/>
              <w:ind w:left="720" w:hanging="720"/>
              <w:jc w:val="both"/>
            </w:pPr>
            <w:r w:rsidRPr="008819AF">
              <w:t>3.2.1 Tuhé palivá s výnimkou biomasy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9"/>
              <w:gridCol w:w="709"/>
              <w:gridCol w:w="964"/>
              <w:gridCol w:w="1281"/>
              <w:gridCol w:w="1417"/>
            </w:tblGrid>
            <w:tr w:rsidR="00236AB5" w:rsidRPr="008819AF" w14:paraId="15133D9A" w14:textId="77777777" w:rsidTr="00A94ADD">
              <w:trPr>
                <w:trHeight w:val="340"/>
                <w:jc w:val="center"/>
              </w:trPr>
              <w:tc>
                <w:tcPr>
                  <w:tcW w:w="1448" w:type="dxa"/>
                  <w:gridSpan w:val="2"/>
                  <w:vMerge w:val="restart"/>
                  <w:vAlign w:val="center"/>
                </w:tcPr>
                <w:p w14:paraId="15133D97" w14:textId="77777777" w:rsidR="00236AB5" w:rsidRPr="008819AF" w:rsidRDefault="00236AB5" w:rsidP="00236AB5">
                  <w:pPr>
                    <w:rPr>
                      <w:b/>
                      <w:sz w:val="18"/>
                      <w:szCs w:val="18"/>
                    </w:rPr>
                  </w:pPr>
                  <w:r w:rsidRPr="008819AF">
                    <w:rPr>
                      <w:b/>
                      <w:sz w:val="18"/>
                      <w:szCs w:val="18"/>
                    </w:rPr>
                    <w:t>Podmienky platnosti EL</w:t>
                  </w:r>
                </w:p>
              </w:tc>
              <w:tc>
                <w:tcPr>
                  <w:tcW w:w="3662" w:type="dxa"/>
                  <w:gridSpan w:val="3"/>
                  <w:vAlign w:val="center"/>
                </w:tcPr>
                <w:p w14:paraId="15133D98" w14:textId="77777777" w:rsidR="00236AB5" w:rsidRPr="008819AF" w:rsidRDefault="00236AB5" w:rsidP="00236AB5">
                  <w:pPr>
                    <w:rPr>
                      <w:sz w:val="18"/>
                      <w:szCs w:val="18"/>
                    </w:rPr>
                  </w:pPr>
                  <w:r w:rsidRPr="008819AF">
                    <w:rPr>
                      <w:sz w:val="18"/>
                      <w:szCs w:val="18"/>
                    </w:rPr>
                    <w:t xml:space="preserve">Štandardné stavové podmienky, suchý plyn, </w:t>
                  </w:r>
                </w:p>
                <w:p w14:paraId="15133D99" w14:textId="77777777" w:rsidR="00236AB5" w:rsidRPr="008819AF" w:rsidRDefault="00236AB5" w:rsidP="00236AB5">
                  <w:pPr>
                    <w:rPr>
                      <w:sz w:val="18"/>
                      <w:szCs w:val="18"/>
                    </w:rPr>
                  </w:pPr>
                  <w:r w:rsidRPr="008819AF">
                    <w:rPr>
                      <w:sz w:val="18"/>
                      <w:szCs w:val="18"/>
                    </w:rPr>
                    <w:t>O</w:t>
                  </w:r>
                  <w:r w:rsidRPr="008819AF">
                    <w:rPr>
                      <w:sz w:val="18"/>
                      <w:szCs w:val="18"/>
                      <w:vertAlign w:val="subscript"/>
                    </w:rPr>
                    <w:t>2ref</w:t>
                  </w:r>
                  <w:r w:rsidRPr="008819AF">
                    <w:rPr>
                      <w:sz w:val="18"/>
                      <w:szCs w:val="18"/>
                    </w:rPr>
                    <w:t>:  6 % objemu</w:t>
                  </w:r>
                </w:p>
              </w:tc>
            </w:tr>
            <w:tr w:rsidR="00236AB5" w:rsidRPr="008819AF" w14:paraId="15133D9E" w14:textId="77777777" w:rsidTr="00A94ADD">
              <w:trPr>
                <w:trHeight w:val="340"/>
                <w:jc w:val="center"/>
              </w:trPr>
              <w:tc>
                <w:tcPr>
                  <w:tcW w:w="1448" w:type="dxa"/>
                  <w:gridSpan w:val="2"/>
                  <w:vMerge/>
                  <w:vAlign w:val="center"/>
                </w:tcPr>
                <w:p w14:paraId="15133D9B" w14:textId="77777777" w:rsidR="00236AB5" w:rsidRPr="008819AF" w:rsidRDefault="00236AB5" w:rsidP="00236AB5">
                  <w:pPr>
                    <w:rPr>
                      <w:b/>
                      <w:sz w:val="18"/>
                      <w:szCs w:val="18"/>
                    </w:rPr>
                  </w:pPr>
                </w:p>
              </w:tc>
              <w:tc>
                <w:tcPr>
                  <w:tcW w:w="3662" w:type="dxa"/>
                  <w:gridSpan w:val="3"/>
                  <w:vAlign w:val="center"/>
                </w:tcPr>
                <w:p w14:paraId="15133D9C" w14:textId="77777777" w:rsidR="00236AB5" w:rsidRPr="008819AF" w:rsidRDefault="00236AB5" w:rsidP="00236AB5">
                  <w:pPr>
                    <w:pStyle w:val="Zkladntext20"/>
                    <w:spacing w:before="0" w:after="0"/>
                    <w:rPr>
                      <w:sz w:val="18"/>
                      <w:szCs w:val="18"/>
                    </w:rPr>
                  </w:pPr>
                  <w:r w:rsidRPr="008819AF">
                    <w:rPr>
                      <w:sz w:val="18"/>
                      <w:szCs w:val="18"/>
                    </w:rPr>
                    <w:t>C</w:t>
                  </w:r>
                  <w:r w:rsidRPr="008819AF">
                    <w:rPr>
                      <w:b/>
                      <w:sz w:val="18"/>
                      <w:szCs w:val="18"/>
                      <w:vertAlign w:val="subscript"/>
                    </w:rPr>
                    <w:t>proces</w:t>
                  </w:r>
                  <w:r w:rsidRPr="008819AF">
                    <w:rPr>
                      <w:sz w:val="18"/>
                      <w:szCs w:val="18"/>
                    </w:rPr>
                    <w:t xml:space="preserve"> sú vyjadrené ako denné priemerné hodnoty.</w:t>
                  </w:r>
                </w:p>
                <w:p w14:paraId="15133D9D" w14:textId="77777777" w:rsidR="00236AB5" w:rsidRPr="008819AF" w:rsidRDefault="00236AB5" w:rsidP="00236AB5">
                  <w:pPr>
                    <w:pStyle w:val="Zkladntext20"/>
                    <w:spacing w:before="0" w:after="0"/>
                    <w:rPr>
                      <w:sz w:val="18"/>
                      <w:szCs w:val="18"/>
                    </w:rPr>
                  </w:pPr>
                  <w:r w:rsidRPr="008819AF">
                    <w:rPr>
                      <w:sz w:val="18"/>
                      <w:szCs w:val="18"/>
                    </w:rPr>
                    <w:t>Priemerné polhodinové hodnoty koncentrácie sú potrebné len na výpočet dennej priemernej hodnoty.</w:t>
                  </w:r>
                </w:p>
              </w:tc>
            </w:tr>
            <w:tr w:rsidR="00236AB5" w:rsidRPr="008819AF" w14:paraId="15133DA1" w14:textId="77777777" w:rsidTr="00A94ADD">
              <w:trPr>
                <w:trHeight w:val="340"/>
                <w:jc w:val="center"/>
              </w:trPr>
              <w:tc>
                <w:tcPr>
                  <w:tcW w:w="1448" w:type="dxa"/>
                  <w:gridSpan w:val="2"/>
                  <w:vMerge/>
                  <w:vAlign w:val="center"/>
                </w:tcPr>
                <w:p w14:paraId="15133D9F" w14:textId="77777777" w:rsidR="00236AB5" w:rsidRPr="008819AF" w:rsidRDefault="00236AB5" w:rsidP="00236AB5">
                  <w:pPr>
                    <w:rPr>
                      <w:b/>
                      <w:sz w:val="18"/>
                      <w:szCs w:val="18"/>
                    </w:rPr>
                  </w:pPr>
                </w:p>
              </w:tc>
              <w:tc>
                <w:tcPr>
                  <w:tcW w:w="3662" w:type="dxa"/>
                  <w:gridSpan w:val="3"/>
                  <w:vAlign w:val="center"/>
                </w:tcPr>
                <w:p w14:paraId="15133DA0" w14:textId="77777777" w:rsidR="00236AB5" w:rsidRPr="008819AF" w:rsidRDefault="00236AB5" w:rsidP="00236AB5">
                  <w:pPr>
                    <w:jc w:val="both"/>
                    <w:rPr>
                      <w:sz w:val="18"/>
                      <w:szCs w:val="18"/>
                    </w:rPr>
                  </w:pPr>
                  <w:r w:rsidRPr="008819AF">
                    <w:rPr>
                      <w:sz w:val="18"/>
                      <w:szCs w:val="18"/>
                    </w:rPr>
                    <w:t>Zariadenia na spoluspaľovanie odpadov, ktoré spaľujú domáce tuhé palivo a nie sú schopné plniť emisný limit pre SO</w:t>
                  </w:r>
                  <w:r w:rsidRPr="008819AF">
                    <w:rPr>
                      <w:sz w:val="18"/>
                      <w:szCs w:val="18"/>
                      <w:vertAlign w:val="subscript"/>
                    </w:rPr>
                    <w:t>2,</w:t>
                  </w:r>
                  <w:r w:rsidRPr="008819AF">
                    <w:rPr>
                      <w:sz w:val="18"/>
                      <w:szCs w:val="18"/>
                    </w:rPr>
                    <w:t xml:space="preserve"> môžu uplatňovať stupeň odsírenia podľa prílohy č. 4 tretej časti bodu 2 a štvrtej časti bodu 1. V takom prípade C</w:t>
                  </w:r>
                  <w:r w:rsidRPr="008819AF">
                    <w:rPr>
                      <w:sz w:val="18"/>
                      <w:szCs w:val="18"/>
                      <w:vertAlign w:val="subscript"/>
                    </w:rPr>
                    <w:t>odpad</w:t>
                  </w:r>
                  <w:r w:rsidRPr="008819AF">
                    <w:rPr>
                      <w:sz w:val="18"/>
                      <w:szCs w:val="18"/>
                    </w:rPr>
                    <w:t>= 0 mg/m</w:t>
                  </w:r>
                  <w:r w:rsidRPr="008819AF">
                    <w:rPr>
                      <w:sz w:val="18"/>
                      <w:szCs w:val="18"/>
                      <w:vertAlign w:val="superscript"/>
                    </w:rPr>
                    <w:t>3</w:t>
                  </w:r>
                  <w:r w:rsidRPr="008819AF">
                    <w:rPr>
                      <w:sz w:val="18"/>
                      <w:szCs w:val="18"/>
                    </w:rPr>
                    <w:t>.</w:t>
                  </w:r>
                </w:p>
              </w:tc>
            </w:tr>
            <w:tr w:rsidR="00236AB5" w:rsidRPr="008819AF" w14:paraId="15133DA4" w14:textId="77777777" w:rsidTr="00A94ADD">
              <w:trPr>
                <w:trHeight w:val="340"/>
                <w:jc w:val="center"/>
              </w:trPr>
              <w:tc>
                <w:tcPr>
                  <w:tcW w:w="1448" w:type="dxa"/>
                  <w:gridSpan w:val="2"/>
                  <w:vAlign w:val="center"/>
                </w:tcPr>
                <w:p w14:paraId="15133DA2" w14:textId="77777777" w:rsidR="00236AB5" w:rsidRPr="008819AF" w:rsidRDefault="00236AB5" w:rsidP="00236AB5">
                  <w:pPr>
                    <w:ind w:right="-111"/>
                    <w:rPr>
                      <w:b/>
                      <w:sz w:val="18"/>
                      <w:szCs w:val="18"/>
                    </w:rPr>
                  </w:pPr>
                  <w:r w:rsidRPr="008819AF">
                    <w:rPr>
                      <w:b/>
                      <w:sz w:val="18"/>
                      <w:szCs w:val="18"/>
                    </w:rPr>
                    <w:t>MTP  [MW]</w:t>
                  </w:r>
                </w:p>
              </w:tc>
              <w:tc>
                <w:tcPr>
                  <w:tcW w:w="3662" w:type="dxa"/>
                  <w:gridSpan w:val="3"/>
                  <w:vAlign w:val="center"/>
                </w:tcPr>
                <w:p w14:paraId="15133DA3" w14:textId="77777777" w:rsidR="00236AB5" w:rsidRPr="008819AF" w:rsidRDefault="00236AB5" w:rsidP="00236AB5">
                  <w:pPr>
                    <w:jc w:val="center"/>
                    <w:rPr>
                      <w:sz w:val="18"/>
                      <w:szCs w:val="18"/>
                    </w:rPr>
                  </w:pPr>
                  <w:r w:rsidRPr="008819AF">
                    <w:rPr>
                      <w:b/>
                      <w:sz w:val="18"/>
                      <w:szCs w:val="18"/>
                    </w:rPr>
                    <w:t xml:space="preserve">C </w:t>
                  </w:r>
                  <w:r w:rsidRPr="008819AF">
                    <w:rPr>
                      <w:b/>
                      <w:sz w:val="18"/>
                      <w:szCs w:val="18"/>
                      <w:vertAlign w:val="subscript"/>
                    </w:rPr>
                    <w:t>proces</w:t>
                  </w:r>
                  <w:r w:rsidRPr="008819AF">
                    <w:rPr>
                      <w:b/>
                      <w:sz w:val="18"/>
                      <w:szCs w:val="18"/>
                    </w:rPr>
                    <w:sym w:font="Symbol" w:char="F05B"/>
                  </w:r>
                  <w:r w:rsidRPr="008819AF">
                    <w:rPr>
                      <w:b/>
                      <w:sz w:val="18"/>
                      <w:szCs w:val="18"/>
                    </w:rPr>
                    <w:t>mg/m</w:t>
                  </w:r>
                  <w:r w:rsidRPr="008819AF">
                    <w:rPr>
                      <w:b/>
                      <w:sz w:val="18"/>
                      <w:szCs w:val="18"/>
                      <w:vertAlign w:val="superscript"/>
                    </w:rPr>
                    <w:t>3</w:t>
                  </w:r>
                  <w:r w:rsidRPr="008819AF">
                    <w:rPr>
                      <w:b/>
                      <w:sz w:val="18"/>
                      <w:szCs w:val="18"/>
                    </w:rPr>
                    <w:sym w:font="Symbol" w:char="F05D"/>
                  </w:r>
                </w:p>
              </w:tc>
            </w:tr>
            <w:tr w:rsidR="00236AB5" w:rsidRPr="008819AF" w14:paraId="15133DAA" w14:textId="77777777" w:rsidTr="00A94ADD">
              <w:trPr>
                <w:trHeight w:val="340"/>
                <w:jc w:val="center"/>
              </w:trPr>
              <w:tc>
                <w:tcPr>
                  <w:tcW w:w="739" w:type="dxa"/>
                  <w:vAlign w:val="center"/>
                </w:tcPr>
                <w:p w14:paraId="15133DA5" w14:textId="77777777" w:rsidR="00236AB5" w:rsidRPr="008819AF" w:rsidRDefault="00236AB5" w:rsidP="00236AB5">
                  <w:pPr>
                    <w:jc w:val="center"/>
                    <w:rPr>
                      <w:sz w:val="18"/>
                      <w:szCs w:val="18"/>
                    </w:rPr>
                  </w:pPr>
                  <w:r w:rsidRPr="008819AF">
                    <w:rPr>
                      <w:sz w:val="18"/>
                      <w:szCs w:val="18"/>
                    </w:rPr>
                    <w:t>Od</w:t>
                  </w:r>
                </w:p>
              </w:tc>
              <w:tc>
                <w:tcPr>
                  <w:tcW w:w="709" w:type="dxa"/>
                  <w:vAlign w:val="center"/>
                </w:tcPr>
                <w:p w14:paraId="15133DA6" w14:textId="77777777" w:rsidR="00236AB5" w:rsidRPr="008819AF" w:rsidRDefault="00236AB5" w:rsidP="00236AB5">
                  <w:pPr>
                    <w:jc w:val="center"/>
                    <w:rPr>
                      <w:sz w:val="18"/>
                      <w:szCs w:val="18"/>
                    </w:rPr>
                  </w:pPr>
                  <w:r w:rsidRPr="008819AF">
                    <w:rPr>
                      <w:sz w:val="18"/>
                      <w:szCs w:val="18"/>
                    </w:rPr>
                    <w:t>do</w:t>
                  </w:r>
                </w:p>
              </w:tc>
              <w:tc>
                <w:tcPr>
                  <w:tcW w:w="964" w:type="dxa"/>
                  <w:vAlign w:val="center"/>
                </w:tcPr>
                <w:p w14:paraId="15133DA7" w14:textId="77777777" w:rsidR="00236AB5" w:rsidRPr="008819AF" w:rsidRDefault="00236AB5" w:rsidP="00236AB5">
                  <w:pPr>
                    <w:jc w:val="center"/>
                    <w:rPr>
                      <w:b/>
                      <w:sz w:val="18"/>
                      <w:szCs w:val="18"/>
                    </w:rPr>
                  </w:pPr>
                  <w:r w:rsidRPr="008819AF">
                    <w:rPr>
                      <w:b/>
                      <w:sz w:val="18"/>
                      <w:szCs w:val="18"/>
                    </w:rPr>
                    <w:t>TZL</w:t>
                  </w:r>
                </w:p>
              </w:tc>
              <w:tc>
                <w:tcPr>
                  <w:tcW w:w="1281" w:type="dxa"/>
                  <w:vAlign w:val="center"/>
                </w:tcPr>
                <w:p w14:paraId="15133DA8" w14:textId="77777777" w:rsidR="00236AB5" w:rsidRPr="008819AF" w:rsidRDefault="00236AB5" w:rsidP="00236AB5">
                  <w:pPr>
                    <w:ind w:hanging="108"/>
                    <w:jc w:val="center"/>
                    <w:rPr>
                      <w:b/>
                      <w:sz w:val="18"/>
                      <w:szCs w:val="18"/>
                    </w:rPr>
                  </w:pPr>
                  <w:r w:rsidRPr="008819AF">
                    <w:rPr>
                      <w:b/>
                      <w:sz w:val="18"/>
                      <w:szCs w:val="18"/>
                    </w:rPr>
                    <w:t>SO</w:t>
                  </w:r>
                  <w:r w:rsidRPr="008819AF">
                    <w:rPr>
                      <w:b/>
                      <w:sz w:val="18"/>
                      <w:szCs w:val="18"/>
                      <w:vertAlign w:val="subscript"/>
                    </w:rPr>
                    <w:t>2</w:t>
                  </w:r>
                </w:p>
              </w:tc>
              <w:tc>
                <w:tcPr>
                  <w:tcW w:w="1417" w:type="dxa"/>
                  <w:vAlign w:val="center"/>
                </w:tcPr>
                <w:p w14:paraId="15133DA9" w14:textId="77777777" w:rsidR="00236AB5" w:rsidRPr="008819AF" w:rsidRDefault="00236AB5" w:rsidP="00236AB5">
                  <w:pPr>
                    <w:jc w:val="center"/>
                    <w:rPr>
                      <w:b/>
                      <w:sz w:val="18"/>
                      <w:szCs w:val="18"/>
                    </w:rPr>
                  </w:pPr>
                  <w:r w:rsidRPr="008819AF">
                    <w:rPr>
                      <w:b/>
                      <w:sz w:val="18"/>
                      <w:szCs w:val="18"/>
                    </w:rPr>
                    <w:t>NOx</w:t>
                  </w:r>
                </w:p>
              </w:tc>
            </w:tr>
            <w:tr w:rsidR="00236AB5" w:rsidRPr="008819AF" w14:paraId="15133DAC" w14:textId="77777777" w:rsidTr="00EC3B03">
              <w:trPr>
                <w:trHeight w:val="340"/>
                <w:jc w:val="center"/>
              </w:trPr>
              <w:tc>
                <w:tcPr>
                  <w:tcW w:w="5110" w:type="dxa"/>
                  <w:gridSpan w:val="5"/>
                  <w:vAlign w:val="center"/>
                </w:tcPr>
                <w:p w14:paraId="15133DAB" w14:textId="77777777" w:rsidR="00236AB5" w:rsidRPr="008819AF" w:rsidRDefault="00236AB5" w:rsidP="00236AB5">
                  <w:pPr>
                    <w:ind w:left="34"/>
                    <w:jc w:val="center"/>
                    <w:rPr>
                      <w:b/>
                      <w:sz w:val="18"/>
                      <w:szCs w:val="18"/>
                    </w:rPr>
                  </w:pPr>
                  <w:r w:rsidRPr="008819AF">
                    <w:rPr>
                      <w:b/>
                      <w:sz w:val="18"/>
                      <w:szCs w:val="18"/>
                    </w:rPr>
                    <w:t>C</w:t>
                  </w:r>
                  <w:r w:rsidRPr="008819AF">
                    <w:rPr>
                      <w:b/>
                      <w:sz w:val="18"/>
                      <w:szCs w:val="18"/>
                      <w:vertAlign w:val="subscript"/>
                    </w:rPr>
                    <w:t xml:space="preserve">proces </w:t>
                  </w:r>
                  <w:r w:rsidRPr="008819AF">
                    <w:rPr>
                      <w:b/>
                      <w:sz w:val="18"/>
                      <w:szCs w:val="18"/>
                    </w:rPr>
                    <w:t>pre veľké spaľovacie zariadenia</w:t>
                  </w:r>
                </w:p>
              </w:tc>
            </w:tr>
            <w:tr w:rsidR="00236AB5" w:rsidRPr="008819AF" w14:paraId="15133DAF" w14:textId="77777777" w:rsidTr="00A94ADD">
              <w:trPr>
                <w:trHeight w:val="340"/>
                <w:jc w:val="center"/>
              </w:trPr>
              <w:tc>
                <w:tcPr>
                  <w:tcW w:w="739" w:type="dxa"/>
                  <w:vAlign w:val="center"/>
                </w:tcPr>
                <w:p w14:paraId="15133DAD" w14:textId="77777777" w:rsidR="00236AB5" w:rsidRPr="008819AF" w:rsidRDefault="00236AB5" w:rsidP="00236AB5">
                  <w:pPr>
                    <w:jc w:val="center"/>
                    <w:rPr>
                      <w:b/>
                      <w:sz w:val="18"/>
                      <w:szCs w:val="18"/>
                    </w:rPr>
                  </w:pPr>
                  <w:r w:rsidRPr="008819AF">
                    <w:rPr>
                      <w:b/>
                      <w:sz w:val="18"/>
                      <w:szCs w:val="18"/>
                    </w:rPr>
                    <w:t>A.2</w:t>
                  </w:r>
                </w:p>
              </w:tc>
              <w:tc>
                <w:tcPr>
                  <w:tcW w:w="4371" w:type="dxa"/>
                  <w:gridSpan w:val="4"/>
                  <w:vAlign w:val="center"/>
                </w:tcPr>
                <w:p w14:paraId="15133DAE" w14:textId="77777777" w:rsidR="00236AB5" w:rsidRPr="008819AF" w:rsidRDefault="00236AB5" w:rsidP="00236AB5">
                  <w:pPr>
                    <w:ind w:left="34"/>
                    <w:rPr>
                      <w:b/>
                      <w:sz w:val="18"/>
                      <w:szCs w:val="18"/>
                    </w:rPr>
                  </w:pPr>
                  <w:r w:rsidRPr="008819AF">
                    <w:rPr>
                      <w:b/>
                      <w:sz w:val="18"/>
                      <w:szCs w:val="18"/>
                    </w:rPr>
                    <w:t>C</w:t>
                  </w:r>
                  <w:r w:rsidRPr="008819AF">
                    <w:rPr>
                      <w:b/>
                      <w:sz w:val="18"/>
                      <w:szCs w:val="18"/>
                      <w:vertAlign w:val="subscript"/>
                    </w:rPr>
                    <w:t>proces</w:t>
                  </w:r>
                  <w:r w:rsidRPr="008819AF">
                    <w:rPr>
                      <w:b/>
                      <w:sz w:val="18"/>
                      <w:szCs w:val="18"/>
                    </w:rPr>
                    <w:t xml:space="preserve">  pre veľké spaľovacie zariadenia začlenené ako jestvujúce zariadenia</w:t>
                  </w:r>
                  <w:r w:rsidRPr="008819AF">
                    <w:rPr>
                      <w:b/>
                      <w:sz w:val="18"/>
                      <w:szCs w:val="18"/>
                      <w:vertAlign w:val="superscript"/>
                    </w:rPr>
                    <w:t>1</w:t>
                  </w:r>
                  <w:r w:rsidRPr="008819AF">
                    <w:rPr>
                      <w:b/>
                      <w:sz w:val="18"/>
                      <w:szCs w:val="18"/>
                    </w:rPr>
                    <w:t>)</w:t>
                  </w:r>
                </w:p>
              </w:tc>
            </w:tr>
            <w:tr w:rsidR="00236AB5" w:rsidRPr="008819AF" w14:paraId="15133DB5" w14:textId="77777777" w:rsidTr="00A94ADD">
              <w:trPr>
                <w:trHeight w:val="340"/>
                <w:jc w:val="center"/>
              </w:trPr>
              <w:tc>
                <w:tcPr>
                  <w:tcW w:w="739" w:type="dxa"/>
                  <w:vAlign w:val="center"/>
                </w:tcPr>
                <w:p w14:paraId="15133DB0" w14:textId="77777777" w:rsidR="00236AB5" w:rsidRPr="008819AF" w:rsidRDefault="00236AB5" w:rsidP="00236AB5">
                  <w:pPr>
                    <w:ind w:right="-29"/>
                    <w:jc w:val="center"/>
                    <w:rPr>
                      <w:sz w:val="18"/>
                      <w:szCs w:val="18"/>
                    </w:rPr>
                  </w:pPr>
                  <w:r w:rsidRPr="008819AF">
                    <w:rPr>
                      <w:sz w:val="18"/>
                      <w:szCs w:val="18"/>
                    </w:rPr>
                    <w:t>≥ 50</w:t>
                  </w:r>
                </w:p>
              </w:tc>
              <w:tc>
                <w:tcPr>
                  <w:tcW w:w="709" w:type="dxa"/>
                  <w:vAlign w:val="center"/>
                </w:tcPr>
                <w:p w14:paraId="15133DB1" w14:textId="77777777" w:rsidR="00236AB5" w:rsidRPr="008819AF" w:rsidRDefault="00236AB5" w:rsidP="00236AB5">
                  <w:pPr>
                    <w:ind w:left="-39" w:right="-78"/>
                    <w:jc w:val="center"/>
                    <w:rPr>
                      <w:sz w:val="18"/>
                      <w:szCs w:val="18"/>
                    </w:rPr>
                  </w:pPr>
                  <w:r w:rsidRPr="008819AF">
                    <w:rPr>
                      <w:sz w:val="18"/>
                      <w:szCs w:val="18"/>
                    </w:rPr>
                    <w:sym w:font="Symbol" w:char="F0A3"/>
                  </w:r>
                  <w:r w:rsidRPr="008819AF">
                    <w:rPr>
                      <w:sz w:val="18"/>
                      <w:szCs w:val="18"/>
                    </w:rPr>
                    <w:t xml:space="preserve"> 100</w:t>
                  </w:r>
                </w:p>
              </w:tc>
              <w:tc>
                <w:tcPr>
                  <w:tcW w:w="964" w:type="dxa"/>
                  <w:vAlign w:val="center"/>
                </w:tcPr>
                <w:p w14:paraId="15133DB2" w14:textId="77777777" w:rsidR="00236AB5" w:rsidRPr="008819AF" w:rsidRDefault="00236AB5" w:rsidP="00236AB5">
                  <w:pPr>
                    <w:jc w:val="center"/>
                    <w:rPr>
                      <w:sz w:val="18"/>
                      <w:szCs w:val="18"/>
                    </w:rPr>
                  </w:pPr>
                  <w:r w:rsidRPr="008819AF">
                    <w:rPr>
                      <w:sz w:val="18"/>
                      <w:szCs w:val="18"/>
                    </w:rPr>
                    <w:t>30</w:t>
                  </w:r>
                </w:p>
              </w:tc>
              <w:tc>
                <w:tcPr>
                  <w:tcW w:w="1281" w:type="dxa"/>
                  <w:vAlign w:val="center"/>
                </w:tcPr>
                <w:p w14:paraId="15133DB3" w14:textId="77777777" w:rsidR="00236AB5" w:rsidRPr="008819AF" w:rsidRDefault="00236AB5" w:rsidP="00236AB5">
                  <w:pPr>
                    <w:jc w:val="center"/>
                    <w:rPr>
                      <w:sz w:val="18"/>
                      <w:szCs w:val="18"/>
                    </w:rPr>
                  </w:pPr>
                  <w:r w:rsidRPr="008819AF">
                    <w:rPr>
                      <w:sz w:val="18"/>
                      <w:szCs w:val="18"/>
                    </w:rPr>
                    <w:t>400, 300</w:t>
                  </w:r>
                  <w:r w:rsidRPr="008819AF">
                    <w:rPr>
                      <w:sz w:val="18"/>
                      <w:szCs w:val="18"/>
                      <w:vertAlign w:val="superscript"/>
                    </w:rPr>
                    <w:t>2</w:t>
                  </w:r>
                  <w:r w:rsidRPr="008819AF">
                    <w:rPr>
                      <w:sz w:val="18"/>
                      <w:szCs w:val="18"/>
                    </w:rPr>
                    <w:t>)</w:t>
                  </w:r>
                </w:p>
              </w:tc>
              <w:tc>
                <w:tcPr>
                  <w:tcW w:w="1417" w:type="dxa"/>
                  <w:vAlign w:val="center"/>
                </w:tcPr>
                <w:p w14:paraId="15133DB4" w14:textId="77777777" w:rsidR="00236AB5" w:rsidRPr="008819AF" w:rsidRDefault="00236AB5" w:rsidP="00236AB5">
                  <w:pPr>
                    <w:jc w:val="center"/>
                    <w:rPr>
                      <w:sz w:val="18"/>
                      <w:szCs w:val="18"/>
                    </w:rPr>
                  </w:pPr>
                  <w:r w:rsidRPr="008819AF">
                    <w:rPr>
                      <w:sz w:val="18"/>
                      <w:szCs w:val="18"/>
                    </w:rPr>
                    <w:t>300,400</w:t>
                  </w:r>
                  <w:r w:rsidRPr="008819AF">
                    <w:rPr>
                      <w:sz w:val="18"/>
                      <w:szCs w:val="18"/>
                      <w:vertAlign w:val="superscript"/>
                    </w:rPr>
                    <w:t>2</w:t>
                  </w:r>
                  <w:r w:rsidRPr="008819AF">
                    <w:rPr>
                      <w:sz w:val="18"/>
                      <w:szCs w:val="18"/>
                    </w:rPr>
                    <w:t xml:space="preserve">) </w:t>
                  </w:r>
                </w:p>
              </w:tc>
            </w:tr>
            <w:tr w:rsidR="00236AB5" w:rsidRPr="008819AF" w14:paraId="15133DBB" w14:textId="77777777" w:rsidTr="00A94ADD">
              <w:trPr>
                <w:trHeight w:val="340"/>
                <w:jc w:val="center"/>
              </w:trPr>
              <w:tc>
                <w:tcPr>
                  <w:tcW w:w="739" w:type="dxa"/>
                  <w:vAlign w:val="center"/>
                </w:tcPr>
                <w:p w14:paraId="15133DB6" w14:textId="77777777" w:rsidR="00236AB5" w:rsidRPr="008819AF" w:rsidRDefault="00236AB5" w:rsidP="00236AB5">
                  <w:pPr>
                    <w:ind w:right="-29"/>
                    <w:jc w:val="center"/>
                    <w:rPr>
                      <w:sz w:val="18"/>
                      <w:szCs w:val="18"/>
                    </w:rPr>
                  </w:pPr>
                  <w:r w:rsidRPr="008819AF">
                    <w:rPr>
                      <w:sz w:val="18"/>
                      <w:szCs w:val="18"/>
                    </w:rPr>
                    <w:t>&gt; 100</w:t>
                  </w:r>
                </w:p>
              </w:tc>
              <w:tc>
                <w:tcPr>
                  <w:tcW w:w="709" w:type="dxa"/>
                  <w:vAlign w:val="center"/>
                </w:tcPr>
                <w:p w14:paraId="15133DB7" w14:textId="77777777" w:rsidR="00236AB5" w:rsidRPr="008819AF" w:rsidRDefault="00236AB5" w:rsidP="00236AB5">
                  <w:pPr>
                    <w:ind w:left="-39" w:right="-78"/>
                    <w:jc w:val="center"/>
                    <w:rPr>
                      <w:sz w:val="18"/>
                      <w:szCs w:val="18"/>
                    </w:rPr>
                  </w:pPr>
                  <w:r w:rsidRPr="008819AF">
                    <w:rPr>
                      <w:sz w:val="18"/>
                      <w:szCs w:val="18"/>
                    </w:rPr>
                    <w:sym w:font="Symbol" w:char="F0A3"/>
                  </w:r>
                  <w:r w:rsidRPr="008819AF">
                    <w:rPr>
                      <w:sz w:val="18"/>
                      <w:szCs w:val="18"/>
                    </w:rPr>
                    <w:t xml:space="preserve"> 300</w:t>
                  </w:r>
                </w:p>
              </w:tc>
              <w:tc>
                <w:tcPr>
                  <w:tcW w:w="964" w:type="dxa"/>
                  <w:vAlign w:val="center"/>
                </w:tcPr>
                <w:p w14:paraId="15133DB8" w14:textId="77777777" w:rsidR="00236AB5" w:rsidRPr="008819AF" w:rsidRDefault="00236AB5" w:rsidP="00236AB5">
                  <w:pPr>
                    <w:jc w:val="center"/>
                    <w:rPr>
                      <w:sz w:val="18"/>
                      <w:szCs w:val="18"/>
                    </w:rPr>
                  </w:pPr>
                  <w:r w:rsidRPr="008819AF">
                    <w:rPr>
                      <w:sz w:val="18"/>
                      <w:szCs w:val="18"/>
                    </w:rPr>
                    <w:t>25, 20</w:t>
                  </w:r>
                  <w:r w:rsidRPr="008819AF">
                    <w:rPr>
                      <w:sz w:val="18"/>
                      <w:szCs w:val="18"/>
                      <w:vertAlign w:val="superscript"/>
                    </w:rPr>
                    <w:t>2</w:t>
                  </w:r>
                  <w:r w:rsidRPr="008819AF">
                    <w:rPr>
                      <w:sz w:val="18"/>
                      <w:szCs w:val="18"/>
                    </w:rPr>
                    <w:t>)</w:t>
                  </w:r>
                </w:p>
              </w:tc>
              <w:tc>
                <w:tcPr>
                  <w:tcW w:w="1281" w:type="dxa"/>
                  <w:vAlign w:val="center"/>
                </w:tcPr>
                <w:p w14:paraId="15133DB9" w14:textId="77777777" w:rsidR="00236AB5" w:rsidRPr="008819AF" w:rsidRDefault="00236AB5" w:rsidP="00236AB5">
                  <w:pPr>
                    <w:jc w:val="center"/>
                    <w:rPr>
                      <w:sz w:val="18"/>
                      <w:szCs w:val="18"/>
                      <w:vertAlign w:val="superscript"/>
                    </w:rPr>
                  </w:pPr>
                  <w:r w:rsidRPr="008819AF">
                    <w:rPr>
                      <w:sz w:val="18"/>
                      <w:szCs w:val="18"/>
                    </w:rPr>
                    <w:t xml:space="preserve">200  </w:t>
                  </w:r>
                </w:p>
              </w:tc>
              <w:tc>
                <w:tcPr>
                  <w:tcW w:w="1417" w:type="dxa"/>
                  <w:vAlign w:val="center"/>
                </w:tcPr>
                <w:p w14:paraId="15133DBA" w14:textId="77777777" w:rsidR="00236AB5" w:rsidRPr="008819AF" w:rsidRDefault="00236AB5" w:rsidP="00236AB5">
                  <w:pPr>
                    <w:jc w:val="center"/>
                    <w:rPr>
                      <w:sz w:val="18"/>
                      <w:szCs w:val="18"/>
                    </w:rPr>
                  </w:pPr>
                  <w:r w:rsidRPr="008819AF">
                    <w:rPr>
                      <w:sz w:val="18"/>
                      <w:szCs w:val="18"/>
                    </w:rPr>
                    <w:t xml:space="preserve">200 </w:t>
                  </w:r>
                </w:p>
              </w:tc>
            </w:tr>
            <w:tr w:rsidR="00236AB5" w:rsidRPr="008819AF" w14:paraId="15133DC1" w14:textId="77777777" w:rsidTr="00A94ADD">
              <w:trPr>
                <w:trHeight w:val="340"/>
                <w:jc w:val="center"/>
              </w:trPr>
              <w:tc>
                <w:tcPr>
                  <w:tcW w:w="739" w:type="dxa"/>
                  <w:vAlign w:val="center"/>
                </w:tcPr>
                <w:p w14:paraId="15133DBC" w14:textId="77777777" w:rsidR="00236AB5" w:rsidRPr="008819AF" w:rsidRDefault="00236AB5" w:rsidP="00236AB5">
                  <w:pPr>
                    <w:ind w:right="-29"/>
                    <w:jc w:val="center"/>
                    <w:rPr>
                      <w:sz w:val="18"/>
                      <w:szCs w:val="18"/>
                    </w:rPr>
                  </w:pPr>
                  <w:r w:rsidRPr="008819AF">
                    <w:rPr>
                      <w:sz w:val="18"/>
                      <w:szCs w:val="18"/>
                    </w:rPr>
                    <w:t>&gt; 300</w:t>
                  </w:r>
                </w:p>
              </w:tc>
              <w:tc>
                <w:tcPr>
                  <w:tcW w:w="709" w:type="dxa"/>
                  <w:vAlign w:val="center"/>
                </w:tcPr>
                <w:p w14:paraId="15133DBD" w14:textId="77777777" w:rsidR="00236AB5" w:rsidRPr="008819AF" w:rsidRDefault="00236AB5" w:rsidP="00236AB5">
                  <w:pPr>
                    <w:jc w:val="center"/>
                    <w:rPr>
                      <w:sz w:val="18"/>
                      <w:szCs w:val="18"/>
                    </w:rPr>
                  </w:pPr>
                  <w:r w:rsidRPr="008819AF">
                    <w:rPr>
                      <w:sz w:val="18"/>
                      <w:szCs w:val="18"/>
                    </w:rPr>
                    <w:t>-</w:t>
                  </w:r>
                </w:p>
              </w:tc>
              <w:tc>
                <w:tcPr>
                  <w:tcW w:w="964" w:type="dxa"/>
                  <w:vAlign w:val="center"/>
                </w:tcPr>
                <w:p w14:paraId="15133DBE" w14:textId="77777777" w:rsidR="00236AB5" w:rsidRPr="008819AF" w:rsidRDefault="00236AB5" w:rsidP="00236AB5">
                  <w:pPr>
                    <w:jc w:val="center"/>
                    <w:rPr>
                      <w:sz w:val="18"/>
                      <w:szCs w:val="18"/>
                    </w:rPr>
                  </w:pPr>
                  <w:r w:rsidRPr="008819AF">
                    <w:rPr>
                      <w:sz w:val="18"/>
                      <w:szCs w:val="18"/>
                    </w:rPr>
                    <w:t>20</w:t>
                  </w:r>
                </w:p>
              </w:tc>
              <w:tc>
                <w:tcPr>
                  <w:tcW w:w="1281" w:type="dxa"/>
                  <w:vAlign w:val="center"/>
                </w:tcPr>
                <w:p w14:paraId="15133DBF" w14:textId="77777777" w:rsidR="00236AB5" w:rsidRPr="008819AF" w:rsidRDefault="00236AB5" w:rsidP="00236AB5">
                  <w:pPr>
                    <w:jc w:val="center"/>
                    <w:rPr>
                      <w:sz w:val="18"/>
                      <w:szCs w:val="18"/>
                    </w:rPr>
                  </w:pPr>
                  <w:r w:rsidRPr="008819AF">
                    <w:rPr>
                      <w:sz w:val="18"/>
                      <w:szCs w:val="18"/>
                    </w:rPr>
                    <w:t xml:space="preserve">200 </w:t>
                  </w:r>
                </w:p>
              </w:tc>
              <w:tc>
                <w:tcPr>
                  <w:tcW w:w="1417" w:type="dxa"/>
                  <w:vAlign w:val="center"/>
                </w:tcPr>
                <w:p w14:paraId="15133DC0" w14:textId="77777777" w:rsidR="00236AB5" w:rsidRPr="008819AF" w:rsidRDefault="00236AB5" w:rsidP="00236AB5">
                  <w:pPr>
                    <w:jc w:val="center"/>
                    <w:rPr>
                      <w:sz w:val="18"/>
                      <w:szCs w:val="18"/>
                    </w:rPr>
                  </w:pPr>
                  <w:r w:rsidRPr="008819AF">
                    <w:rPr>
                      <w:sz w:val="18"/>
                      <w:szCs w:val="18"/>
                    </w:rPr>
                    <w:t>200</w:t>
                  </w:r>
                </w:p>
              </w:tc>
            </w:tr>
            <w:tr w:rsidR="00236AB5" w:rsidRPr="008819AF" w14:paraId="15133DC4" w14:textId="77777777" w:rsidTr="00A94ADD">
              <w:trPr>
                <w:trHeight w:val="340"/>
                <w:jc w:val="center"/>
              </w:trPr>
              <w:tc>
                <w:tcPr>
                  <w:tcW w:w="739" w:type="dxa"/>
                  <w:vAlign w:val="center"/>
                </w:tcPr>
                <w:p w14:paraId="15133DC2" w14:textId="77777777" w:rsidR="00236AB5" w:rsidRPr="008819AF" w:rsidRDefault="00236AB5" w:rsidP="00236AB5">
                  <w:pPr>
                    <w:ind w:left="120"/>
                    <w:jc w:val="center"/>
                    <w:rPr>
                      <w:b/>
                      <w:sz w:val="18"/>
                      <w:szCs w:val="18"/>
                    </w:rPr>
                  </w:pPr>
                  <w:r w:rsidRPr="008819AF">
                    <w:rPr>
                      <w:b/>
                      <w:sz w:val="18"/>
                      <w:szCs w:val="18"/>
                    </w:rPr>
                    <w:t>B.</w:t>
                  </w:r>
                </w:p>
              </w:tc>
              <w:tc>
                <w:tcPr>
                  <w:tcW w:w="4371" w:type="dxa"/>
                  <w:gridSpan w:val="4"/>
                  <w:vAlign w:val="center"/>
                </w:tcPr>
                <w:p w14:paraId="15133DC3" w14:textId="77777777" w:rsidR="00236AB5" w:rsidRPr="008819AF" w:rsidRDefault="00236AB5" w:rsidP="00236AB5">
                  <w:pPr>
                    <w:tabs>
                      <w:tab w:val="left" w:pos="175"/>
                    </w:tabs>
                    <w:rPr>
                      <w:b/>
                      <w:sz w:val="18"/>
                      <w:szCs w:val="18"/>
                    </w:rPr>
                  </w:pPr>
                  <w:r w:rsidRPr="008819AF">
                    <w:rPr>
                      <w:b/>
                      <w:sz w:val="18"/>
                      <w:szCs w:val="18"/>
                    </w:rPr>
                    <w:t>C</w:t>
                  </w:r>
                  <w:r w:rsidRPr="008819AF">
                    <w:rPr>
                      <w:b/>
                      <w:sz w:val="18"/>
                      <w:szCs w:val="18"/>
                      <w:vertAlign w:val="subscript"/>
                    </w:rPr>
                    <w:t>proces</w:t>
                  </w:r>
                  <w:r w:rsidRPr="008819AF">
                    <w:rPr>
                      <w:b/>
                      <w:sz w:val="18"/>
                      <w:szCs w:val="18"/>
                    </w:rPr>
                    <w:t xml:space="preserve">  pre veľké spaľovacie zariadenia začlenené ako nové zariadenia</w:t>
                  </w:r>
                  <w:r w:rsidRPr="008819AF">
                    <w:rPr>
                      <w:b/>
                      <w:sz w:val="18"/>
                      <w:szCs w:val="18"/>
                      <w:vertAlign w:val="superscript"/>
                    </w:rPr>
                    <w:t>1</w:t>
                  </w:r>
                  <w:r w:rsidRPr="008819AF">
                    <w:rPr>
                      <w:b/>
                      <w:sz w:val="18"/>
                      <w:szCs w:val="18"/>
                    </w:rPr>
                    <w:t>)</w:t>
                  </w:r>
                </w:p>
              </w:tc>
            </w:tr>
            <w:tr w:rsidR="00236AB5" w:rsidRPr="008819AF" w14:paraId="15133DCA" w14:textId="77777777" w:rsidTr="00A94ADD">
              <w:trPr>
                <w:trHeight w:val="340"/>
                <w:jc w:val="center"/>
              </w:trPr>
              <w:tc>
                <w:tcPr>
                  <w:tcW w:w="739" w:type="dxa"/>
                  <w:vAlign w:val="center"/>
                </w:tcPr>
                <w:p w14:paraId="15133DC5" w14:textId="77777777" w:rsidR="00236AB5" w:rsidRPr="008819AF" w:rsidRDefault="00236AB5" w:rsidP="00236AB5">
                  <w:pPr>
                    <w:jc w:val="center"/>
                    <w:rPr>
                      <w:sz w:val="18"/>
                      <w:szCs w:val="18"/>
                    </w:rPr>
                  </w:pPr>
                  <w:r w:rsidRPr="008819AF">
                    <w:rPr>
                      <w:sz w:val="18"/>
                      <w:szCs w:val="18"/>
                    </w:rPr>
                    <w:t>≥ 50</w:t>
                  </w:r>
                </w:p>
              </w:tc>
              <w:tc>
                <w:tcPr>
                  <w:tcW w:w="709" w:type="dxa"/>
                  <w:vAlign w:val="center"/>
                </w:tcPr>
                <w:p w14:paraId="15133DC6" w14:textId="77777777" w:rsidR="00236AB5" w:rsidRPr="008819AF" w:rsidRDefault="00236AB5" w:rsidP="00236AB5">
                  <w:pPr>
                    <w:ind w:left="-39" w:right="-78"/>
                    <w:jc w:val="center"/>
                    <w:rPr>
                      <w:sz w:val="18"/>
                      <w:szCs w:val="18"/>
                    </w:rPr>
                  </w:pPr>
                  <w:r w:rsidRPr="008819AF">
                    <w:rPr>
                      <w:sz w:val="18"/>
                      <w:szCs w:val="18"/>
                    </w:rPr>
                    <w:sym w:font="Symbol" w:char="F0A3"/>
                  </w:r>
                  <w:r w:rsidRPr="008819AF">
                    <w:rPr>
                      <w:sz w:val="18"/>
                      <w:szCs w:val="18"/>
                    </w:rPr>
                    <w:t xml:space="preserve"> 100</w:t>
                  </w:r>
                </w:p>
              </w:tc>
              <w:tc>
                <w:tcPr>
                  <w:tcW w:w="964" w:type="dxa"/>
                  <w:vAlign w:val="center"/>
                </w:tcPr>
                <w:p w14:paraId="15133DC7" w14:textId="77777777" w:rsidR="00236AB5" w:rsidRPr="008819AF" w:rsidRDefault="00236AB5" w:rsidP="00236AB5">
                  <w:pPr>
                    <w:jc w:val="center"/>
                    <w:rPr>
                      <w:sz w:val="18"/>
                      <w:szCs w:val="18"/>
                    </w:rPr>
                  </w:pPr>
                  <w:r w:rsidRPr="008819AF">
                    <w:rPr>
                      <w:sz w:val="18"/>
                      <w:szCs w:val="18"/>
                    </w:rPr>
                    <w:t>20</w:t>
                  </w:r>
                </w:p>
              </w:tc>
              <w:tc>
                <w:tcPr>
                  <w:tcW w:w="1281" w:type="dxa"/>
                  <w:vAlign w:val="center"/>
                </w:tcPr>
                <w:p w14:paraId="15133DC8" w14:textId="77777777" w:rsidR="00236AB5" w:rsidRPr="008819AF" w:rsidRDefault="00236AB5" w:rsidP="00236AB5">
                  <w:pPr>
                    <w:jc w:val="center"/>
                    <w:rPr>
                      <w:sz w:val="18"/>
                      <w:szCs w:val="18"/>
                    </w:rPr>
                  </w:pPr>
                  <w:r w:rsidRPr="008819AF">
                    <w:rPr>
                      <w:sz w:val="18"/>
                      <w:szCs w:val="18"/>
                    </w:rPr>
                    <w:t>400, 300</w:t>
                  </w:r>
                  <w:r w:rsidRPr="008819AF">
                    <w:rPr>
                      <w:sz w:val="18"/>
                      <w:szCs w:val="18"/>
                      <w:vertAlign w:val="superscript"/>
                    </w:rPr>
                    <w:t>2</w:t>
                  </w:r>
                  <w:r w:rsidRPr="008819AF">
                    <w:rPr>
                      <w:sz w:val="18"/>
                      <w:szCs w:val="18"/>
                    </w:rPr>
                    <w:t>)</w:t>
                  </w:r>
                </w:p>
              </w:tc>
              <w:tc>
                <w:tcPr>
                  <w:tcW w:w="1417" w:type="dxa"/>
                  <w:vAlign w:val="center"/>
                </w:tcPr>
                <w:p w14:paraId="15133DC9" w14:textId="77777777" w:rsidR="00236AB5" w:rsidRPr="008819AF" w:rsidRDefault="00236AB5" w:rsidP="00236AB5">
                  <w:pPr>
                    <w:jc w:val="center"/>
                    <w:rPr>
                      <w:sz w:val="18"/>
                      <w:szCs w:val="18"/>
                    </w:rPr>
                  </w:pPr>
                  <w:r w:rsidRPr="008819AF">
                    <w:rPr>
                      <w:sz w:val="18"/>
                      <w:szCs w:val="18"/>
                    </w:rPr>
                    <w:t>300, 250</w:t>
                  </w:r>
                  <w:r w:rsidRPr="008819AF">
                    <w:rPr>
                      <w:sz w:val="18"/>
                      <w:szCs w:val="18"/>
                      <w:vertAlign w:val="superscript"/>
                    </w:rPr>
                    <w:t>2</w:t>
                  </w:r>
                  <w:r w:rsidRPr="008819AF">
                    <w:rPr>
                      <w:sz w:val="18"/>
                      <w:szCs w:val="18"/>
                    </w:rPr>
                    <w:t>)</w:t>
                  </w:r>
                </w:p>
              </w:tc>
            </w:tr>
            <w:tr w:rsidR="00236AB5" w:rsidRPr="008819AF" w14:paraId="15133DD0" w14:textId="77777777" w:rsidTr="00A94ADD">
              <w:trPr>
                <w:trHeight w:val="340"/>
                <w:jc w:val="center"/>
              </w:trPr>
              <w:tc>
                <w:tcPr>
                  <w:tcW w:w="739" w:type="dxa"/>
                  <w:vAlign w:val="center"/>
                </w:tcPr>
                <w:p w14:paraId="15133DCB" w14:textId="77777777" w:rsidR="00236AB5" w:rsidRPr="008819AF" w:rsidRDefault="00236AB5" w:rsidP="00236AB5">
                  <w:pPr>
                    <w:jc w:val="center"/>
                    <w:rPr>
                      <w:sz w:val="18"/>
                      <w:szCs w:val="18"/>
                    </w:rPr>
                  </w:pPr>
                  <w:r w:rsidRPr="008819AF">
                    <w:rPr>
                      <w:sz w:val="18"/>
                      <w:szCs w:val="18"/>
                    </w:rPr>
                    <w:lastRenderedPageBreak/>
                    <w:t>&gt; 100</w:t>
                  </w:r>
                </w:p>
              </w:tc>
              <w:tc>
                <w:tcPr>
                  <w:tcW w:w="709" w:type="dxa"/>
                  <w:vAlign w:val="center"/>
                </w:tcPr>
                <w:p w14:paraId="15133DCC" w14:textId="77777777" w:rsidR="00236AB5" w:rsidRPr="008819AF" w:rsidRDefault="00236AB5" w:rsidP="00236AB5">
                  <w:pPr>
                    <w:jc w:val="center"/>
                    <w:rPr>
                      <w:sz w:val="18"/>
                      <w:szCs w:val="18"/>
                    </w:rPr>
                  </w:pPr>
                  <w:r w:rsidRPr="008819AF">
                    <w:rPr>
                      <w:sz w:val="18"/>
                      <w:szCs w:val="18"/>
                    </w:rPr>
                    <w:sym w:font="Symbol" w:char="F0A3"/>
                  </w:r>
                  <w:r w:rsidRPr="008819AF">
                    <w:rPr>
                      <w:sz w:val="18"/>
                      <w:szCs w:val="18"/>
                    </w:rPr>
                    <w:t xml:space="preserve"> 300</w:t>
                  </w:r>
                </w:p>
              </w:tc>
              <w:tc>
                <w:tcPr>
                  <w:tcW w:w="964" w:type="dxa"/>
                  <w:vAlign w:val="center"/>
                </w:tcPr>
                <w:p w14:paraId="15133DCD" w14:textId="77777777" w:rsidR="00236AB5" w:rsidRPr="008819AF" w:rsidRDefault="00236AB5" w:rsidP="00236AB5">
                  <w:pPr>
                    <w:jc w:val="center"/>
                    <w:rPr>
                      <w:sz w:val="18"/>
                      <w:szCs w:val="18"/>
                    </w:rPr>
                  </w:pPr>
                  <w:r w:rsidRPr="008819AF">
                    <w:rPr>
                      <w:sz w:val="18"/>
                      <w:szCs w:val="18"/>
                    </w:rPr>
                    <w:t>20</w:t>
                  </w:r>
                </w:p>
              </w:tc>
              <w:tc>
                <w:tcPr>
                  <w:tcW w:w="1281" w:type="dxa"/>
                  <w:vAlign w:val="center"/>
                </w:tcPr>
                <w:p w14:paraId="15133DCE" w14:textId="77777777" w:rsidR="00236AB5" w:rsidRPr="008819AF" w:rsidRDefault="00236AB5" w:rsidP="00236AB5">
                  <w:pPr>
                    <w:jc w:val="center"/>
                    <w:rPr>
                      <w:sz w:val="18"/>
                      <w:szCs w:val="18"/>
                    </w:rPr>
                  </w:pPr>
                  <w:r w:rsidRPr="008819AF">
                    <w:rPr>
                      <w:sz w:val="18"/>
                      <w:szCs w:val="18"/>
                    </w:rPr>
                    <w:t>200,  250</w:t>
                  </w:r>
                  <w:r w:rsidRPr="008819AF">
                    <w:rPr>
                      <w:sz w:val="18"/>
                      <w:szCs w:val="18"/>
                      <w:vertAlign w:val="superscript"/>
                    </w:rPr>
                    <w:t>3</w:t>
                  </w:r>
                  <w:r w:rsidRPr="008819AF">
                    <w:rPr>
                      <w:sz w:val="18"/>
                      <w:szCs w:val="18"/>
                    </w:rPr>
                    <w:t>)</w:t>
                  </w:r>
                </w:p>
              </w:tc>
              <w:tc>
                <w:tcPr>
                  <w:tcW w:w="1417" w:type="dxa"/>
                  <w:vAlign w:val="center"/>
                </w:tcPr>
                <w:p w14:paraId="15133DCF" w14:textId="77777777" w:rsidR="00236AB5" w:rsidRPr="008819AF" w:rsidRDefault="00236AB5" w:rsidP="00236AB5">
                  <w:pPr>
                    <w:jc w:val="center"/>
                    <w:rPr>
                      <w:sz w:val="18"/>
                      <w:szCs w:val="18"/>
                    </w:rPr>
                  </w:pPr>
                  <w:r w:rsidRPr="008819AF">
                    <w:rPr>
                      <w:sz w:val="18"/>
                      <w:szCs w:val="18"/>
                    </w:rPr>
                    <w:t xml:space="preserve">200 </w:t>
                  </w:r>
                </w:p>
              </w:tc>
            </w:tr>
            <w:tr w:rsidR="00236AB5" w:rsidRPr="008819AF" w14:paraId="15133DD6" w14:textId="77777777" w:rsidTr="00A94ADD">
              <w:trPr>
                <w:trHeight w:val="340"/>
                <w:jc w:val="center"/>
              </w:trPr>
              <w:tc>
                <w:tcPr>
                  <w:tcW w:w="739" w:type="dxa"/>
                  <w:vAlign w:val="center"/>
                </w:tcPr>
                <w:p w14:paraId="15133DD1" w14:textId="77777777" w:rsidR="00236AB5" w:rsidRPr="008819AF" w:rsidRDefault="00236AB5" w:rsidP="00236AB5">
                  <w:pPr>
                    <w:jc w:val="center"/>
                    <w:rPr>
                      <w:sz w:val="18"/>
                      <w:szCs w:val="18"/>
                    </w:rPr>
                  </w:pPr>
                  <w:r w:rsidRPr="008819AF">
                    <w:rPr>
                      <w:sz w:val="18"/>
                      <w:szCs w:val="18"/>
                    </w:rPr>
                    <w:t>&gt; 300</w:t>
                  </w:r>
                </w:p>
              </w:tc>
              <w:tc>
                <w:tcPr>
                  <w:tcW w:w="709" w:type="dxa"/>
                  <w:vAlign w:val="center"/>
                </w:tcPr>
                <w:p w14:paraId="15133DD2" w14:textId="77777777" w:rsidR="00236AB5" w:rsidRPr="008819AF" w:rsidRDefault="00236AB5" w:rsidP="00236AB5">
                  <w:pPr>
                    <w:jc w:val="center"/>
                    <w:rPr>
                      <w:sz w:val="18"/>
                      <w:szCs w:val="18"/>
                    </w:rPr>
                  </w:pPr>
                  <w:r w:rsidRPr="008819AF">
                    <w:rPr>
                      <w:sz w:val="18"/>
                      <w:szCs w:val="18"/>
                    </w:rPr>
                    <w:t>-</w:t>
                  </w:r>
                </w:p>
              </w:tc>
              <w:tc>
                <w:tcPr>
                  <w:tcW w:w="964" w:type="dxa"/>
                  <w:vAlign w:val="center"/>
                </w:tcPr>
                <w:p w14:paraId="15133DD3" w14:textId="77777777" w:rsidR="00236AB5" w:rsidRPr="008819AF" w:rsidRDefault="00236AB5" w:rsidP="00236AB5">
                  <w:pPr>
                    <w:jc w:val="center"/>
                    <w:rPr>
                      <w:sz w:val="18"/>
                      <w:szCs w:val="18"/>
                    </w:rPr>
                  </w:pPr>
                  <w:r w:rsidRPr="008819AF">
                    <w:rPr>
                      <w:sz w:val="18"/>
                      <w:szCs w:val="18"/>
                    </w:rPr>
                    <w:t>10</w:t>
                  </w:r>
                </w:p>
              </w:tc>
              <w:tc>
                <w:tcPr>
                  <w:tcW w:w="1281" w:type="dxa"/>
                  <w:vAlign w:val="center"/>
                </w:tcPr>
                <w:p w14:paraId="15133DD4" w14:textId="77777777" w:rsidR="00236AB5" w:rsidRPr="008819AF" w:rsidRDefault="00236AB5" w:rsidP="00236AB5">
                  <w:pPr>
                    <w:jc w:val="center"/>
                    <w:rPr>
                      <w:sz w:val="18"/>
                      <w:szCs w:val="18"/>
                    </w:rPr>
                  </w:pPr>
                  <w:r w:rsidRPr="008819AF">
                    <w:rPr>
                      <w:sz w:val="18"/>
                      <w:szCs w:val="18"/>
                    </w:rPr>
                    <w:t>150, 200</w:t>
                  </w:r>
                  <w:r w:rsidRPr="008819AF">
                    <w:rPr>
                      <w:sz w:val="18"/>
                      <w:szCs w:val="18"/>
                      <w:vertAlign w:val="superscript"/>
                    </w:rPr>
                    <w:t>4</w:t>
                  </w:r>
                  <w:r w:rsidRPr="008819AF">
                    <w:rPr>
                      <w:sz w:val="18"/>
                      <w:szCs w:val="18"/>
                    </w:rPr>
                    <w:t>)</w:t>
                  </w:r>
                </w:p>
              </w:tc>
              <w:tc>
                <w:tcPr>
                  <w:tcW w:w="1417" w:type="dxa"/>
                  <w:vAlign w:val="center"/>
                </w:tcPr>
                <w:p w14:paraId="15133DD5" w14:textId="77777777" w:rsidR="00236AB5" w:rsidRPr="008819AF" w:rsidRDefault="00236AB5" w:rsidP="00236AB5">
                  <w:pPr>
                    <w:jc w:val="center"/>
                    <w:rPr>
                      <w:sz w:val="18"/>
                      <w:szCs w:val="18"/>
                    </w:rPr>
                  </w:pPr>
                  <w:r w:rsidRPr="008819AF">
                    <w:rPr>
                      <w:sz w:val="18"/>
                      <w:szCs w:val="18"/>
                    </w:rPr>
                    <w:t>150, 200</w:t>
                  </w:r>
                  <w:r w:rsidRPr="008819AF">
                    <w:rPr>
                      <w:sz w:val="18"/>
                      <w:szCs w:val="18"/>
                      <w:vertAlign w:val="superscript"/>
                    </w:rPr>
                    <w:t>5</w:t>
                  </w:r>
                  <w:r w:rsidRPr="008819AF">
                    <w:rPr>
                      <w:sz w:val="18"/>
                      <w:szCs w:val="18"/>
                    </w:rPr>
                    <w:t>)</w:t>
                  </w:r>
                </w:p>
              </w:tc>
            </w:tr>
            <w:tr w:rsidR="00236AB5" w:rsidRPr="008819AF" w14:paraId="15133DD8" w14:textId="77777777" w:rsidTr="00EC3B03">
              <w:trPr>
                <w:trHeight w:val="340"/>
                <w:jc w:val="center"/>
              </w:trPr>
              <w:tc>
                <w:tcPr>
                  <w:tcW w:w="5110" w:type="dxa"/>
                  <w:gridSpan w:val="5"/>
                  <w:vAlign w:val="center"/>
                </w:tcPr>
                <w:p w14:paraId="15133DD7" w14:textId="77777777" w:rsidR="00236AB5" w:rsidRPr="008819AF" w:rsidRDefault="00236AB5" w:rsidP="00236AB5">
                  <w:pPr>
                    <w:jc w:val="center"/>
                    <w:rPr>
                      <w:sz w:val="18"/>
                      <w:szCs w:val="18"/>
                    </w:rPr>
                  </w:pPr>
                  <w:r w:rsidRPr="008819AF">
                    <w:rPr>
                      <w:b/>
                      <w:sz w:val="18"/>
                      <w:szCs w:val="18"/>
                    </w:rPr>
                    <w:t>C</w:t>
                  </w:r>
                  <w:r w:rsidRPr="008819AF">
                    <w:rPr>
                      <w:b/>
                      <w:sz w:val="18"/>
                      <w:szCs w:val="18"/>
                      <w:vertAlign w:val="subscript"/>
                    </w:rPr>
                    <w:t xml:space="preserve">proces </w:t>
                  </w:r>
                  <w:r w:rsidRPr="008819AF">
                    <w:rPr>
                      <w:b/>
                      <w:sz w:val="18"/>
                      <w:szCs w:val="18"/>
                    </w:rPr>
                    <w:t>pre ostatné spaľovacie zariadenia</w:t>
                  </w:r>
                </w:p>
              </w:tc>
            </w:tr>
            <w:tr w:rsidR="00236AB5" w:rsidRPr="008819AF" w14:paraId="15133DDE" w14:textId="77777777" w:rsidTr="00A94ADD">
              <w:trPr>
                <w:trHeight w:val="340"/>
                <w:jc w:val="center"/>
              </w:trPr>
              <w:tc>
                <w:tcPr>
                  <w:tcW w:w="739" w:type="dxa"/>
                  <w:vAlign w:val="center"/>
                </w:tcPr>
                <w:p w14:paraId="15133DD9" w14:textId="77777777" w:rsidR="00236AB5" w:rsidRPr="008819AF" w:rsidRDefault="00236AB5" w:rsidP="00236AB5">
                  <w:pPr>
                    <w:jc w:val="center"/>
                    <w:rPr>
                      <w:sz w:val="18"/>
                      <w:szCs w:val="18"/>
                    </w:rPr>
                  </w:pPr>
                  <w:r w:rsidRPr="008819AF">
                    <w:rPr>
                      <w:sz w:val="18"/>
                      <w:szCs w:val="18"/>
                    </w:rPr>
                    <w:t>&gt; 0</w:t>
                  </w:r>
                </w:p>
              </w:tc>
              <w:tc>
                <w:tcPr>
                  <w:tcW w:w="709" w:type="dxa"/>
                  <w:vAlign w:val="center"/>
                </w:tcPr>
                <w:p w14:paraId="15133DDA" w14:textId="77777777" w:rsidR="00236AB5" w:rsidRPr="008819AF" w:rsidRDefault="00236AB5" w:rsidP="00236AB5">
                  <w:pPr>
                    <w:jc w:val="center"/>
                    <w:rPr>
                      <w:sz w:val="18"/>
                      <w:szCs w:val="18"/>
                    </w:rPr>
                  </w:pPr>
                  <w:r w:rsidRPr="008819AF">
                    <w:rPr>
                      <w:sz w:val="18"/>
                      <w:szCs w:val="18"/>
                    </w:rPr>
                    <w:t>&lt; 50</w:t>
                  </w:r>
                </w:p>
              </w:tc>
              <w:tc>
                <w:tcPr>
                  <w:tcW w:w="964" w:type="dxa"/>
                  <w:vAlign w:val="center"/>
                </w:tcPr>
                <w:p w14:paraId="15133DDB" w14:textId="77777777" w:rsidR="00236AB5" w:rsidRPr="008819AF" w:rsidRDefault="00236AB5" w:rsidP="00236AB5">
                  <w:pPr>
                    <w:jc w:val="center"/>
                    <w:rPr>
                      <w:sz w:val="18"/>
                      <w:szCs w:val="18"/>
                    </w:rPr>
                  </w:pPr>
                  <w:r w:rsidRPr="008819AF">
                    <w:rPr>
                      <w:sz w:val="18"/>
                      <w:szCs w:val="18"/>
                    </w:rPr>
                    <w:t>50</w:t>
                  </w:r>
                </w:p>
              </w:tc>
              <w:tc>
                <w:tcPr>
                  <w:tcW w:w="1281" w:type="dxa"/>
                  <w:vAlign w:val="center"/>
                </w:tcPr>
                <w:p w14:paraId="15133DDC" w14:textId="77777777" w:rsidR="00236AB5" w:rsidRPr="008819AF" w:rsidRDefault="00236AB5" w:rsidP="00236AB5">
                  <w:pPr>
                    <w:jc w:val="center"/>
                    <w:rPr>
                      <w:sz w:val="18"/>
                      <w:szCs w:val="18"/>
                    </w:rPr>
                  </w:pPr>
                  <w:r w:rsidRPr="008819AF">
                    <w:rPr>
                      <w:sz w:val="18"/>
                      <w:szCs w:val="18"/>
                    </w:rPr>
                    <w:t xml:space="preserve">- </w:t>
                  </w:r>
                  <w:r w:rsidRPr="008819AF">
                    <w:rPr>
                      <w:sz w:val="18"/>
                      <w:szCs w:val="18"/>
                      <w:vertAlign w:val="superscript"/>
                    </w:rPr>
                    <w:t>6</w:t>
                  </w:r>
                  <w:r w:rsidRPr="008819AF">
                    <w:rPr>
                      <w:sz w:val="18"/>
                      <w:szCs w:val="18"/>
                    </w:rPr>
                    <w:t>)</w:t>
                  </w:r>
                </w:p>
              </w:tc>
              <w:tc>
                <w:tcPr>
                  <w:tcW w:w="1417" w:type="dxa"/>
                  <w:vAlign w:val="center"/>
                </w:tcPr>
                <w:p w14:paraId="15133DDD" w14:textId="77777777" w:rsidR="00236AB5" w:rsidRPr="008819AF" w:rsidRDefault="00236AB5" w:rsidP="00236AB5">
                  <w:pPr>
                    <w:jc w:val="center"/>
                    <w:rPr>
                      <w:sz w:val="18"/>
                      <w:szCs w:val="18"/>
                    </w:rPr>
                  </w:pPr>
                  <w:r w:rsidRPr="008819AF">
                    <w:rPr>
                      <w:sz w:val="18"/>
                      <w:szCs w:val="18"/>
                    </w:rPr>
                    <w:t xml:space="preserve">- </w:t>
                  </w:r>
                  <w:r w:rsidRPr="008819AF">
                    <w:rPr>
                      <w:sz w:val="18"/>
                      <w:szCs w:val="18"/>
                      <w:vertAlign w:val="superscript"/>
                    </w:rPr>
                    <w:t>6</w:t>
                  </w:r>
                  <w:r w:rsidRPr="008819AF">
                    <w:rPr>
                      <w:sz w:val="18"/>
                      <w:szCs w:val="18"/>
                    </w:rPr>
                    <w:t>)</w:t>
                  </w:r>
                </w:p>
              </w:tc>
            </w:tr>
          </w:tbl>
          <w:p w14:paraId="15133DDF" w14:textId="77777777" w:rsidR="00236AB5" w:rsidRPr="008819AF" w:rsidRDefault="00236AB5" w:rsidP="00236AB5">
            <w:pPr>
              <w:pStyle w:val="Zkladntext20"/>
              <w:spacing w:after="0"/>
              <w:ind w:left="284" w:hanging="284"/>
              <w:rPr>
                <w:sz w:val="20"/>
                <w:szCs w:val="20"/>
              </w:rPr>
            </w:pPr>
            <w:r w:rsidRPr="008819AF">
              <w:rPr>
                <w:sz w:val="20"/>
                <w:szCs w:val="20"/>
                <w:vertAlign w:val="superscript"/>
              </w:rPr>
              <w:t>1</w:t>
            </w:r>
            <w:r w:rsidRPr="008819AF">
              <w:rPr>
                <w:sz w:val="20"/>
                <w:szCs w:val="20"/>
              </w:rPr>
              <w:t>) Podľa členenia spaľovacích zariadení podľa prílohy č. 4 tretej časti bodu 1.</w:t>
            </w:r>
          </w:p>
          <w:p w14:paraId="15133DE0" w14:textId="77777777" w:rsidR="00236AB5" w:rsidRPr="008819AF" w:rsidRDefault="00236AB5" w:rsidP="00236AB5">
            <w:pPr>
              <w:pStyle w:val="Zkladntext20"/>
              <w:spacing w:before="0" w:after="0"/>
              <w:rPr>
                <w:sz w:val="20"/>
                <w:szCs w:val="20"/>
              </w:rPr>
            </w:pPr>
            <w:r w:rsidRPr="008819AF">
              <w:rPr>
                <w:sz w:val="20"/>
                <w:szCs w:val="20"/>
                <w:vertAlign w:val="superscript"/>
              </w:rPr>
              <w:t>2</w:t>
            </w:r>
            <w:r w:rsidRPr="008819AF">
              <w:rPr>
                <w:sz w:val="20"/>
                <w:szCs w:val="20"/>
              </w:rPr>
              <w:t>) Platí pre rašelinu.</w:t>
            </w:r>
          </w:p>
          <w:p w14:paraId="15133DE1" w14:textId="77777777" w:rsidR="00236AB5" w:rsidRPr="008819AF" w:rsidRDefault="00236AB5" w:rsidP="00236AB5">
            <w:pPr>
              <w:jc w:val="both"/>
            </w:pPr>
            <w:r w:rsidRPr="008819AF">
              <w:rPr>
                <w:vertAlign w:val="superscript"/>
              </w:rPr>
              <w:t>3</w:t>
            </w:r>
            <w:r w:rsidRPr="008819AF">
              <w:t>) Platí pre spaľovanie rašeliny na fluidnom lôžku.</w:t>
            </w:r>
          </w:p>
          <w:p w14:paraId="15133DE2" w14:textId="77777777" w:rsidR="00236AB5" w:rsidRPr="008819AF" w:rsidRDefault="00236AB5" w:rsidP="00236AB5">
            <w:pPr>
              <w:ind w:left="284" w:hanging="284"/>
              <w:jc w:val="both"/>
            </w:pPr>
            <w:r w:rsidRPr="008819AF">
              <w:rPr>
                <w:vertAlign w:val="superscript"/>
              </w:rPr>
              <w:t>4</w:t>
            </w:r>
            <w:r w:rsidRPr="008819AF">
              <w:t xml:space="preserve">) Platí pre zariadenia s cirkulujúcou alebo pretlakovou fluidnou vrstvou alebo v prípade spaľovania rašeliny pre  všetky druhy spaľovania vo fluidnej vrstve. </w:t>
            </w:r>
          </w:p>
          <w:p w14:paraId="15133DE3" w14:textId="77777777" w:rsidR="00236AB5" w:rsidRPr="008819AF" w:rsidRDefault="00236AB5" w:rsidP="00236AB5">
            <w:pPr>
              <w:pStyle w:val="ListParagraph1"/>
              <w:rPr>
                <w:sz w:val="20"/>
                <w:szCs w:val="20"/>
              </w:rPr>
            </w:pPr>
            <w:r w:rsidRPr="008819AF">
              <w:rPr>
                <w:sz w:val="20"/>
                <w:szCs w:val="20"/>
                <w:vertAlign w:val="superscript"/>
              </w:rPr>
              <w:t>5</w:t>
            </w:r>
            <w:r w:rsidRPr="008819AF">
              <w:rPr>
                <w:sz w:val="20"/>
                <w:szCs w:val="20"/>
              </w:rPr>
              <w:t>) Platí pre práškové hnedé uhlie.</w:t>
            </w:r>
          </w:p>
          <w:p w14:paraId="15133DE4" w14:textId="77777777" w:rsidR="00236AB5" w:rsidRPr="008819AF" w:rsidRDefault="00236AB5" w:rsidP="00236AB5">
            <w:pPr>
              <w:pStyle w:val="Zkladntext20"/>
              <w:keepNext w:val="0"/>
              <w:spacing w:before="0" w:after="0"/>
              <w:ind w:left="284" w:hanging="284"/>
              <w:rPr>
                <w:sz w:val="20"/>
                <w:szCs w:val="20"/>
              </w:rPr>
            </w:pPr>
            <w:r w:rsidRPr="008819AF">
              <w:rPr>
                <w:sz w:val="20"/>
                <w:szCs w:val="20"/>
                <w:vertAlign w:val="superscript"/>
              </w:rPr>
              <w:t>6</w:t>
            </w:r>
            <w:r w:rsidRPr="008819AF">
              <w:rPr>
                <w:sz w:val="20"/>
                <w:szCs w:val="20"/>
              </w:rPr>
              <w:t>) Pre SO</w:t>
            </w:r>
            <w:r w:rsidRPr="008819AF">
              <w:rPr>
                <w:sz w:val="20"/>
                <w:szCs w:val="20"/>
                <w:vertAlign w:val="subscript"/>
              </w:rPr>
              <w:t>2</w:t>
            </w:r>
            <w:r w:rsidRPr="008819AF">
              <w:rPr>
                <w:sz w:val="20"/>
                <w:szCs w:val="20"/>
              </w:rPr>
              <w:t xml:space="preserve"> a NO</w:t>
            </w:r>
            <w:r w:rsidRPr="008819AF">
              <w:rPr>
                <w:sz w:val="20"/>
                <w:szCs w:val="20"/>
                <w:vertAlign w:val="subscript"/>
              </w:rPr>
              <w:t>X</w:t>
            </w:r>
            <w:r w:rsidRPr="008819AF">
              <w:rPr>
                <w:sz w:val="20"/>
                <w:szCs w:val="20"/>
              </w:rPr>
              <w:t xml:space="preserve"> platia emisné limity ustanovené v prílohe č. 4 štvrtej časti bode 1 podľa MTP zariadenia.</w:t>
            </w:r>
          </w:p>
          <w:p w14:paraId="15133DE5" w14:textId="77777777" w:rsidR="00236AB5" w:rsidRPr="008819AF" w:rsidRDefault="00236AB5" w:rsidP="00236AB5">
            <w:pPr>
              <w:pStyle w:val="Hlavika"/>
              <w:ind w:left="72" w:hanging="1"/>
              <w:rPr>
                <w:rFonts w:ascii="Times New Roman" w:eastAsia="Times New Roman" w:hAnsi="Times New Roman" w:cs="Times New Roman"/>
                <w:lang w:bidi="en-US"/>
              </w:rPr>
            </w:pPr>
          </w:p>
          <w:p w14:paraId="15133DE6" w14:textId="77777777" w:rsidR="00236AB5" w:rsidRPr="008819AF" w:rsidRDefault="00236AB5" w:rsidP="00236AB5">
            <w:pPr>
              <w:pStyle w:val="ListParagraph1"/>
              <w:spacing w:after="120"/>
              <w:rPr>
                <w:sz w:val="20"/>
                <w:szCs w:val="20"/>
                <w:lang w:bidi="en-US"/>
              </w:rPr>
            </w:pPr>
            <w:r w:rsidRPr="008819AF">
              <w:rPr>
                <w:sz w:val="20"/>
                <w:szCs w:val="20"/>
                <w:lang w:bidi="en-US"/>
              </w:rPr>
              <w:t>3.2.2 Biomasa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9"/>
              <w:gridCol w:w="709"/>
              <w:gridCol w:w="1000"/>
              <w:gridCol w:w="1263"/>
              <w:gridCol w:w="1399"/>
            </w:tblGrid>
            <w:tr w:rsidR="00236AB5" w:rsidRPr="008819AF" w14:paraId="15133DE9" w14:textId="77777777" w:rsidTr="00A94ADD">
              <w:trPr>
                <w:trHeight w:val="278"/>
                <w:jc w:val="center"/>
              </w:trPr>
              <w:tc>
                <w:tcPr>
                  <w:tcW w:w="1448" w:type="dxa"/>
                  <w:gridSpan w:val="2"/>
                  <w:vMerge w:val="restart"/>
                  <w:vAlign w:val="center"/>
                </w:tcPr>
                <w:p w14:paraId="15133DE7" w14:textId="77777777" w:rsidR="00236AB5" w:rsidRPr="008819AF" w:rsidRDefault="00236AB5" w:rsidP="00236AB5">
                  <w:pPr>
                    <w:rPr>
                      <w:b/>
                      <w:sz w:val="18"/>
                      <w:szCs w:val="18"/>
                    </w:rPr>
                  </w:pPr>
                  <w:r w:rsidRPr="008819AF">
                    <w:rPr>
                      <w:b/>
                      <w:sz w:val="18"/>
                      <w:szCs w:val="18"/>
                    </w:rPr>
                    <w:t>Podmienky platnosti EL</w:t>
                  </w:r>
                </w:p>
              </w:tc>
              <w:tc>
                <w:tcPr>
                  <w:tcW w:w="3662" w:type="dxa"/>
                  <w:gridSpan w:val="3"/>
                  <w:vAlign w:val="center"/>
                </w:tcPr>
                <w:p w14:paraId="15133DE8" w14:textId="77777777" w:rsidR="00236AB5" w:rsidRPr="008819AF" w:rsidRDefault="00236AB5" w:rsidP="00236AB5">
                  <w:pPr>
                    <w:rPr>
                      <w:sz w:val="18"/>
                      <w:szCs w:val="18"/>
                    </w:rPr>
                  </w:pPr>
                  <w:r w:rsidRPr="008819AF">
                    <w:rPr>
                      <w:sz w:val="18"/>
                      <w:szCs w:val="18"/>
                    </w:rPr>
                    <w:t>Štandardné stavové podmienky, suchý plyn, O</w:t>
                  </w:r>
                  <w:r w:rsidRPr="008819AF">
                    <w:rPr>
                      <w:sz w:val="18"/>
                      <w:szCs w:val="18"/>
                      <w:vertAlign w:val="subscript"/>
                    </w:rPr>
                    <w:t>2ref</w:t>
                  </w:r>
                  <w:r w:rsidRPr="008819AF">
                    <w:rPr>
                      <w:sz w:val="18"/>
                      <w:szCs w:val="18"/>
                    </w:rPr>
                    <w:t>:  6 % objemu</w:t>
                  </w:r>
                </w:p>
              </w:tc>
            </w:tr>
            <w:tr w:rsidR="00236AB5" w:rsidRPr="008819AF" w14:paraId="15133DED" w14:textId="77777777" w:rsidTr="00A94ADD">
              <w:trPr>
                <w:trHeight w:val="277"/>
                <w:jc w:val="center"/>
              </w:trPr>
              <w:tc>
                <w:tcPr>
                  <w:tcW w:w="1448" w:type="dxa"/>
                  <w:gridSpan w:val="2"/>
                  <w:vMerge/>
                  <w:vAlign w:val="center"/>
                </w:tcPr>
                <w:p w14:paraId="15133DEA" w14:textId="77777777" w:rsidR="00236AB5" w:rsidRPr="008819AF" w:rsidRDefault="00236AB5" w:rsidP="00236AB5">
                  <w:pPr>
                    <w:rPr>
                      <w:b/>
                      <w:sz w:val="18"/>
                      <w:szCs w:val="18"/>
                    </w:rPr>
                  </w:pPr>
                </w:p>
              </w:tc>
              <w:tc>
                <w:tcPr>
                  <w:tcW w:w="3662" w:type="dxa"/>
                  <w:gridSpan w:val="3"/>
                  <w:vAlign w:val="center"/>
                </w:tcPr>
                <w:p w14:paraId="15133DEB" w14:textId="77777777" w:rsidR="00236AB5" w:rsidRPr="008819AF" w:rsidRDefault="00236AB5" w:rsidP="00236AB5">
                  <w:pPr>
                    <w:pStyle w:val="Zkladntext20"/>
                    <w:spacing w:before="0" w:after="0"/>
                    <w:rPr>
                      <w:sz w:val="18"/>
                      <w:szCs w:val="18"/>
                    </w:rPr>
                  </w:pPr>
                  <w:r w:rsidRPr="008819AF">
                    <w:rPr>
                      <w:sz w:val="18"/>
                      <w:szCs w:val="18"/>
                    </w:rPr>
                    <w:t>C</w:t>
                  </w:r>
                  <w:r w:rsidRPr="008819AF">
                    <w:rPr>
                      <w:b/>
                      <w:sz w:val="18"/>
                      <w:szCs w:val="18"/>
                      <w:vertAlign w:val="subscript"/>
                    </w:rPr>
                    <w:t>proces</w:t>
                  </w:r>
                  <w:r w:rsidRPr="008819AF">
                    <w:rPr>
                      <w:sz w:val="18"/>
                      <w:szCs w:val="18"/>
                    </w:rPr>
                    <w:t xml:space="preserve"> sú vyjadrené ako denné priemerné hodnoty.</w:t>
                  </w:r>
                </w:p>
                <w:p w14:paraId="15133DEC" w14:textId="77777777" w:rsidR="00236AB5" w:rsidRPr="008819AF" w:rsidRDefault="00236AB5" w:rsidP="00236AB5">
                  <w:pPr>
                    <w:jc w:val="both"/>
                    <w:rPr>
                      <w:sz w:val="18"/>
                      <w:szCs w:val="18"/>
                    </w:rPr>
                  </w:pPr>
                  <w:r w:rsidRPr="008819AF">
                    <w:rPr>
                      <w:sz w:val="18"/>
                      <w:szCs w:val="18"/>
                    </w:rPr>
                    <w:t>Priemerné polhodinové hodnoty koncentrácie sú potrebné len na výpočet dennej priemernej hodnoty.</w:t>
                  </w:r>
                </w:p>
              </w:tc>
            </w:tr>
            <w:tr w:rsidR="00236AB5" w:rsidRPr="008819AF" w14:paraId="15133DF0" w14:textId="77777777" w:rsidTr="00A94ADD">
              <w:trPr>
                <w:trHeight w:val="299"/>
                <w:jc w:val="center"/>
              </w:trPr>
              <w:tc>
                <w:tcPr>
                  <w:tcW w:w="1448" w:type="dxa"/>
                  <w:gridSpan w:val="2"/>
                  <w:vAlign w:val="center"/>
                </w:tcPr>
                <w:p w14:paraId="15133DEE" w14:textId="77777777" w:rsidR="00236AB5" w:rsidRPr="008819AF" w:rsidRDefault="00236AB5" w:rsidP="00236AB5">
                  <w:pPr>
                    <w:ind w:right="-111"/>
                    <w:rPr>
                      <w:b/>
                      <w:sz w:val="18"/>
                      <w:szCs w:val="18"/>
                    </w:rPr>
                  </w:pPr>
                  <w:r w:rsidRPr="008819AF">
                    <w:rPr>
                      <w:b/>
                      <w:sz w:val="18"/>
                      <w:szCs w:val="18"/>
                    </w:rPr>
                    <w:t xml:space="preserve">MTP    [MW] </w:t>
                  </w:r>
                </w:p>
              </w:tc>
              <w:tc>
                <w:tcPr>
                  <w:tcW w:w="3662" w:type="dxa"/>
                  <w:gridSpan w:val="3"/>
                  <w:vAlign w:val="center"/>
                </w:tcPr>
                <w:p w14:paraId="15133DEF" w14:textId="77777777" w:rsidR="00236AB5" w:rsidRPr="008819AF" w:rsidRDefault="00236AB5" w:rsidP="00236AB5">
                  <w:pPr>
                    <w:jc w:val="center"/>
                    <w:rPr>
                      <w:sz w:val="18"/>
                      <w:szCs w:val="18"/>
                    </w:rPr>
                  </w:pPr>
                  <w:r w:rsidRPr="008819AF">
                    <w:rPr>
                      <w:b/>
                      <w:sz w:val="18"/>
                      <w:szCs w:val="18"/>
                    </w:rPr>
                    <w:t xml:space="preserve">C </w:t>
                  </w:r>
                  <w:r w:rsidRPr="008819AF">
                    <w:rPr>
                      <w:b/>
                      <w:sz w:val="18"/>
                      <w:szCs w:val="18"/>
                      <w:vertAlign w:val="subscript"/>
                    </w:rPr>
                    <w:t>proces</w:t>
                  </w:r>
                  <w:r w:rsidRPr="008819AF">
                    <w:rPr>
                      <w:b/>
                      <w:sz w:val="18"/>
                      <w:szCs w:val="18"/>
                    </w:rPr>
                    <w:sym w:font="Symbol" w:char="F05B"/>
                  </w:r>
                  <w:r w:rsidRPr="008819AF">
                    <w:rPr>
                      <w:b/>
                      <w:sz w:val="18"/>
                      <w:szCs w:val="18"/>
                    </w:rPr>
                    <w:t>mg/m</w:t>
                  </w:r>
                  <w:r w:rsidRPr="008819AF">
                    <w:rPr>
                      <w:b/>
                      <w:sz w:val="18"/>
                      <w:szCs w:val="18"/>
                      <w:vertAlign w:val="superscript"/>
                    </w:rPr>
                    <w:t>3</w:t>
                  </w:r>
                  <w:r w:rsidRPr="008819AF">
                    <w:rPr>
                      <w:b/>
                      <w:sz w:val="18"/>
                      <w:szCs w:val="18"/>
                    </w:rPr>
                    <w:sym w:font="Symbol" w:char="F05D"/>
                  </w:r>
                </w:p>
              </w:tc>
            </w:tr>
            <w:tr w:rsidR="00236AB5" w:rsidRPr="008819AF" w14:paraId="15133DF6" w14:textId="77777777" w:rsidTr="00A94ADD">
              <w:trPr>
                <w:trHeight w:hRule="exact" w:val="284"/>
                <w:jc w:val="center"/>
              </w:trPr>
              <w:tc>
                <w:tcPr>
                  <w:tcW w:w="739" w:type="dxa"/>
                  <w:vAlign w:val="center"/>
                </w:tcPr>
                <w:p w14:paraId="15133DF1" w14:textId="77777777" w:rsidR="00236AB5" w:rsidRPr="008819AF" w:rsidRDefault="00236AB5" w:rsidP="00236AB5">
                  <w:pPr>
                    <w:jc w:val="center"/>
                    <w:rPr>
                      <w:sz w:val="18"/>
                      <w:szCs w:val="18"/>
                    </w:rPr>
                  </w:pPr>
                  <w:r w:rsidRPr="008819AF">
                    <w:rPr>
                      <w:sz w:val="18"/>
                      <w:szCs w:val="18"/>
                    </w:rPr>
                    <w:t>Od</w:t>
                  </w:r>
                </w:p>
              </w:tc>
              <w:tc>
                <w:tcPr>
                  <w:tcW w:w="709" w:type="dxa"/>
                  <w:vAlign w:val="center"/>
                </w:tcPr>
                <w:p w14:paraId="15133DF2" w14:textId="77777777" w:rsidR="00236AB5" w:rsidRPr="008819AF" w:rsidRDefault="00236AB5" w:rsidP="00236AB5">
                  <w:pPr>
                    <w:jc w:val="center"/>
                    <w:rPr>
                      <w:sz w:val="18"/>
                      <w:szCs w:val="18"/>
                    </w:rPr>
                  </w:pPr>
                  <w:r w:rsidRPr="008819AF">
                    <w:rPr>
                      <w:sz w:val="18"/>
                      <w:szCs w:val="18"/>
                    </w:rPr>
                    <w:t>do</w:t>
                  </w:r>
                </w:p>
              </w:tc>
              <w:tc>
                <w:tcPr>
                  <w:tcW w:w="1000" w:type="dxa"/>
                  <w:vAlign w:val="center"/>
                </w:tcPr>
                <w:p w14:paraId="15133DF3" w14:textId="77777777" w:rsidR="00236AB5" w:rsidRPr="008819AF" w:rsidRDefault="00236AB5" w:rsidP="00236AB5">
                  <w:pPr>
                    <w:jc w:val="center"/>
                    <w:rPr>
                      <w:b/>
                      <w:sz w:val="18"/>
                      <w:szCs w:val="18"/>
                    </w:rPr>
                  </w:pPr>
                  <w:r w:rsidRPr="008819AF">
                    <w:rPr>
                      <w:b/>
                      <w:sz w:val="18"/>
                      <w:szCs w:val="18"/>
                    </w:rPr>
                    <w:t>TZL</w:t>
                  </w:r>
                </w:p>
              </w:tc>
              <w:tc>
                <w:tcPr>
                  <w:tcW w:w="1263" w:type="dxa"/>
                  <w:vAlign w:val="center"/>
                </w:tcPr>
                <w:p w14:paraId="15133DF4" w14:textId="77777777" w:rsidR="00236AB5" w:rsidRPr="008819AF" w:rsidRDefault="00236AB5" w:rsidP="00236AB5">
                  <w:pPr>
                    <w:ind w:hanging="108"/>
                    <w:jc w:val="center"/>
                    <w:rPr>
                      <w:b/>
                      <w:sz w:val="18"/>
                      <w:szCs w:val="18"/>
                    </w:rPr>
                  </w:pPr>
                  <w:r w:rsidRPr="008819AF">
                    <w:rPr>
                      <w:b/>
                      <w:sz w:val="18"/>
                      <w:szCs w:val="18"/>
                    </w:rPr>
                    <w:t>SO</w:t>
                  </w:r>
                  <w:r w:rsidRPr="008819AF">
                    <w:rPr>
                      <w:b/>
                      <w:sz w:val="18"/>
                      <w:szCs w:val="18"/>
                      <w:vertAlign w:val="subscript"/>
                    </w:rPr>
                    <w:t>2</w:t>
                  </w:r>
                </w:p>
              </w:tc>
              <w:tc>
                <w:tcPr>
                  <w:tcW w:w="1399" w:type="dxa"/>
                  <w:vAlign w:val="center"/>
                </w:tcPr>
                <w:p w14:paraId="15133DF5" w14:textId="77777777" w:rsidR="00236AB5" w:rsidRPr="008819AF" w:rsidRDefault="00236AB5" w:rsidP="00236AB5">
                  <w:pPr>
                    <w:jc w:val="center"/>
                    <w:rPr>
                      <w:b/>
                      <w:sz w:val="18"/>
                      <w:szCs w:val="18"/>
                    </w:rPr>
                  </w:pPr>
                  <w:r w:rsidRPr="008819AF">
                    <w:rPr>
                      <w:b/>
                      <w:sz w:val="18"/>
                      <w:szCs w:val="18"/>
                    </w:rPr>
                    <w:t>NOx</w:t>
                  </w:r>
                </w:p>
              </w:tc>
            </w:tr>
            <w:tr w:rsidR="00236AB5" w:rsidRPr="008819AF" w14:paraId="15133DF8" w14:textId="77777777" w:rsidTr="00A94ADD">
              <w:trPr>
                <w:trHeight w:val="399"/>
                <w:jc w:val="center"/>
              </w:trPr>
              <w:tc>
                <w:tcPr>
                  <w:tcW w:w="5110" w:type="dxa"/>
                  <w:gridSpan w:val="5"/>
                  <w:vAlign w:val="center"/>
                </w:tcPr>
                <w:p w14:paraId="15133DF7" w14:textId="77777777" w:rsidR="00236AB5" w:rsidRPr="008819AF" w:rsidRDefault="00236AB5" w:rsidP="00236AB5">
                  <w:pPr>
                    <w:ind w:left="35"/>
                    <w:jc w:val="center"/>
                    <w:rPr>
                      <w:b/>
                      <w:sz w:val="18"/>
                      <w:szCs w:val="18"/>
                    </w:rPr>
                  </w:pPr>
                  <w:r w:rsidRPr="008819AF">
                    <w:rPr>
                      <w:b/>
                      <w:sz w:val="18"/>
                      <w:szCs w:val="18"/>
                    </w:rPr>
                    <w:t>C</w:t>
                  </w:r>
                  <w:r w:rsidRPr="008819AF">
                    <w:rPr>
                      <w:b/>
                      <w:sz w:val="18"/>
                      <w:szCs w:val="18"/>
                      <w:vertAlign w:val="subscript"/>
                    </w:rPr>
                    <w:t xml:space="preserve">proces </w:t>
                  </w:r>
                  <w:r w:rsidRPr="008819AF">
                    <w:rPr>
                      <w:b/>
                      <w:sz w:val="18"/>
                      <w:szCs w:val="18"/>
                    </w:rPr>
                    <w:t>pre veľké spaľovacie zariadenia</w:t>
                  </w:r>
                </w:p>
              </w:tc>
            </w:tr>
            <w:tr w:rsidR="00236AB5" w:rsidRPr="008819AF" w14:paraId="15133DFB" w14:textId="77777777" w:rsidTr="00A94ADD">
              <w:trPr>
                <w:trHeight w:val="446"/>
                <w:jc w:val="center"/>
              </w:trPr>
              <w:tc>
                <w:tcPr>
                  <w:tcW w:w="739" w:type="dxa"/>
                  <w:vAlign w:val="center"/>
                </w:tcPr>
                <w:p w14:paraId="15133DF9" w14:textId="77777777" w:rsidR="00236AB5" w:rsidRPr="008819AF" w:rsidRDefault="00236AB5" w:rsidP="00236AB5">
                  <w:pPr>
                    <w:jc w:val="center"/>
                    <w:rPr>
                      <w:b/>
                      <w:sz w:val="18"/>
                      <w:szCs w:val="18"/>
                    </w:rPr>
                  </w:pPr>
                  <w:r w:rsidRPr="008819AF">
                    <w:rPr>
                      <w:b/>
                      <w:sz w:val="18"/>
                      <w:szCs w:val="18"/>
                    </w:rPr>
                    <w:t>A.2</w:t>
                  </w:r>
                </w:p>
              </w:tc>
              <w:tc>
                <w:tcPr>
                  <w:tcW w:w="4371" w:type="dxa"/>
                  <w:gridSpan w:val="4"/>
                  <w:vAlign w:val="center"/>
                </w:tcPr>
                <w:p w14:paraId="15133DFA" w14:textId="77777777" w:rsidR="00236AB5" w:rsidRPr="008819AF" w:rsidRDefault="00236AB5" w:rsidP="00236AB5">
                  <w:pPr>
                    <w:ind w:left="35"/>
                    <w:rPr>
                      <w:b/>
                      <w:sz w:val="18"/>
                      <w:szCs w:val="18"/>
                    </w:rPr>
                  </w:pPr>
                  <w:r w:rsidRPr="008819AF">
                    <w:rPr>
                      <w:b/>
                      <w:sz w:val="18"/>
                      <w:szCs w:val="18"/>
                    </w:rPr>
                    <w:t>C</w:t>
                  </w:r>
                  <w:r w:rsidRPr="008819AF">
                    <w:rPr>
                      <w:b/>
                      <w:sz w:val="18"/>
                      <w:szCs w:val="18"/>
                      <w:vertAlign w:val="subscript"/>
                    </w:rPr>
                    <w:t>proces</w:t>
                  </w:r>
                  <w:r w:rsidRPr="008819AF">
                    <w:rPr>
                      <w:b/>
                      <w:sz w:val="18"/>
                      <w:szCs w:val="18"/>
                    </w:rPr>
                    <w:t xml:space="preserve"> pre veľké spaľovacie zariadenia začlenené ako jestvujúce zariadenia</w:t>
                  </w:r>
                  <w:r w:rsidRPr="008819AF">
                    <w:rPr>
                      <w:b/>
                      <w:sz w:val="18"/>
                      <w:szCs w:val="18"/>
                      <w:vertAlign w:val="superscript"/>
                    </w:rPr>
                    <w:t>1</w:t>
                  </w:r>
                  <w:r w:rsidRPr="008819AF">
                    <w:rPr>
                      <w:b/>
                      <w:sz w:val="18"/>
                      <w:szCs w:val="18"/>
                    </w:rPr>
                    <w:t>)</w:t>
                  </w:r>
                </w:p>
              </w:tc>
            </w:tr>
            <w:tr w:rsidR="00236AB5" w:rsidRPr="008819AF" w14:paraId="15133E01" w14:textId="77777777" w:rsidTr="00A94ADD">
              <w:trPr>
                <w:trHeight w:val="295"/>
                <w:jc w:val="center"/>
              </w:trPr>
              <w:tc>
                <w:tcPr>
                  <w:tcW w:w="739" w:type="dxa"/>
                  <w:vAlign w:val="center"/>
                </w:tcPr>
                <w:p w14:paraId="15133DFC" w14:textId="77777777" w:rsidR="00236AB5" w:rsidRPr="008819AF" w:rsidRDefault="00236AB5" w:rsidP="00236AB5">
                  <w:pPr>
                    <w:jc w:val="center"/>
                    <w:rPr>
                      <w:sz w:val="18"/>
                      <w:szCs w:val="18"/>
                    </w:rPr>
                  </w:pPr>
                  <w:r w:rsidRPr="008819AF">
                    <w:rPr>
                      <w:sz w:val="18"/>
                      <w:szCs w:val="18"/>
                    </w:rPr>
                    <w:t>≥ 50</w:t>
                  </w:r>
                </w:p>
              </w:tc>
              <w:tc>
                <w:tcPr>
                  <w:tcW w:w="709" w:type="dxa"/>
                  <w:vAlign w:val="center"/>
                </w:tcPr>
                <w:p w14:paraId="15133DFD" w14:textId="77777777" w:rsidR="00236AB5" w:rsidRPr="008819AF" w:rsidRDefault="00236AB5" w:rsidP="00236AB5">
                  <w:pPr>
                    <w:jc w:val="center"/>
                    <w:rPr>
                      <w:sz w:val="18"/>
                      <w:szCs w:val="18"/>
                    </w:rPr>
                  </w:pPr>
                  <w:r w:rsidRPr="008819AF">
                    <w:rPr>
                      <w:sz w:val="18"/>
                      <w:szCs w:val="18"/>
                    </w:rPr>
                    <w:sym w:font="Symbol" w:char="F0A3"/>
                  </w:r>
                  <w:r w:rsidRPr="008819AF">
                    <w:rPr>
                      <w:sz w:val="18"/>
                      <w:szCs w:val="18"/>
                    </w:rPr>
                    <w:t xml:space="preserve"> 100</w:t>
                  </w:r>
                </w:p>
              </w:tc>
              <w:tc>
                <w:tcPr>
                  <w:tcW w:w="1000" w:type="dxa"/>
                  <w:vAlign w:val="center"/>
                </w:tcPr>
                <w:p w14:paraId="15133DFE" w14:textId="77777777" w:rsidR="00236AB5" w:rsidRPr="008819AF" w:rsidRDefault="00236AB5" w:rsidP="00236AB5">
                  <w:pPr>
                    <w:jc w:val="center"/>
                    <w:rPr>
                      <w:sz w:val="18"/>
                      <w:szCs w:val="18"/>
                    </w:rPr>
                  </w:pPr>
                  <w:r w:rsidRPr="008819AF">
                    <w:rPr>
                      <w:sz w:val="18"/>
                      <w:szCs w:val="18"/>
                    </w:rPr>
                    <w:t>30</w:t>
                  </w:r>
                </w:p>
              </w:tc>
              <w:tc>
                <w:tcPr>
                  <w:tcW w:w="1263" w:type="dxa"/>
                  <w:vAlign w:val="center"/>
                </w:tcPr>
                <w:p w14:paraId="15133DFF" w14:textId="77777777" w:rsidR="00236AB5" w:rsidRPr="008819AF" w:rsidRDefault="00236AB5" w:rsidP="00236AB5">
                  <w:pPr>
                    <w:jc w:val="center"/>
                    <w:rPr>
                      <w:sz w:val="18"/>
                      <w:szCs w:val="18"/>
                    </w:rPr>
                  </w:pPr>
                  <w:r w:rsidRPr="008819AF">
                    <w:rPr>
                      <w:sz w:val="18"/>
                      <w:szCs w:val="18"/>
                    </w:rPr>
                    <w:t>200</w:t>
                  </w:r>
                </w:p>
              </w:tc>
              <w:tc>
                <w:tcPr>
                  <w:tcW w:w="1399" w:type="dxa"/>
                  <w:vAlign w:val="center"/>
                </w:tcPr>
                <w:p w14:paraId="15133E00" w14:textId="77777777" w:rsidR="00236AB5" w:rsidRPr="008819AF" w:rsidRDefault="00236AB5" w:rsidP="00236AB5">
                  <w:pPr>
                    <w:jc w:val="center"/>
                    <w:rPr>
                      <w:sz w:val="18"/>
                      <w:szCs w:val="18"/>
                    </w:rPr>
                  </w:pPr>
                  <w:r w:rsidRPr="008819AF">
                    <w:rPr>
                      <w:sz w:val="18"/>
                      <w:szCs w:val="18"/>
                    </w:rPr>
                    <w:t>300</w:t>
                  </w:r>
                </w:p>
              </w:tc>
            </w:tr>
            <w:tr w:rsidR="00236AB5" w:rsidRPr="008819AF" w14:paraId="15133E07" w14:textId="77777777" w:rsidTr="00A94ADD">
              <w:trPr>
                <w:trHeight w:val="295"/>
                <w:jc w:val="center"/>
              </w:trPr>
              <w:tc>
                <w:tcPr>
                  <w:tcW w:w="739" w:type="dxa"/>
                  <w:vAlign w:val="center"/>
                </w:tcPr>
                <w:p w14:paraId="15133E02" w14:textId="77777777" w:rsidR="00236AB5" w:rsidRPr="008819AF" w:rsidRDefault="00236AB5" w:rsidP="00236AB5">
                  <w:pPr>
                    <w:jc w:val="center"/>
                    <w:rPr>
                      <w:sz w:val="18"/>
                      <w:szCs w:val="18"/>
                    </w:rPr>
                  </w:pPr>
                  <w:r w:rsidRPr="008819AF">
                    <w:rPr>
                      <w:sz w:val="18"/>
                      <w:szCs w:val="18"/>
                    </w:rPr>
                    <w:t>&gt; 100</w:t>
                  </w:r>
                </w:p>
              </w:tc>
              <w:tc>
                <w:tcPr>
                  <w:tcW w:w="709" w:type="dxa"/>
                  <w:vAlign w:val="center"/>
                </w:tcPr>
                <w:p w14:paraId="15133E03" w14:textId="77777777" w:rsidR="00236AB5" w:rsidRPr="008819AF" w:rsidRDefault="00236AB5" w:rsidP="00236AB5">
                  <w:pPr>
                    <w:jc w:val="center"/>
                    <w:rPr>
                      <w:sz w:val="18"/>
                      <w:szCs w:val="18"/>
                    </w:rPr>
                  </w:pPr>
                  <w:r w:rsidRPr="008819AF">
                    <w:rPr>
                      <w:sz w:val="18"/>
                      <w:szCs w:val="18"/>
                    </w:rPr>
                    <w:sym w:font="Symbol" w:char="F0A3"/>
                  </w:r>
                  <w:r w:rsidRPr="008819AF">
                    <w:rPr>
                      <w:sz w:val="18"/>
                      <w:szCs w:val="18"/>
                    </w:rPr>
                    <w:t xml:space="preserve"> 300</w:t>
                  </w:r>
                </w:p>
              </w:tc>
              <w:tc>
                <w:tcPr>
                  <w:tcW w:w="1000" w:type="dxa"/>
                  <w:vAlign w:val="center"/>
                </w:tcPr>
                <w:p w14:paraId="15133E04" w14:textId="77777777" w:rsidR="00236AB5" w:rsidRPr="008819AF" w:rsidRDefault="00236AB5" w:rsidP="00236AB5">
                  <w:pPr>
                    <w:jc w:val="center"/>
                    <w:rPr>
                      <w:sz w:val="18"/>
                      <w:szCs w:val="18"/>
                    </w:rPr>
                  </w:pPr>
                  <w:r w:rsidRPr="008819AF">
                    <w:rPr>
                      <w:sz w:val="18"/>
                      <w:szCs w:val="18"/>
                    </w:rPr>
                    <w:t>20</w:t>
                  </w:r>
                </w:p>
              </w:tc>
              <w:tc>
                <w:tcPr>
                  <w:tcW w:w="1263" w:type="dxa"/>
                  <w:vAlign w:val="center"/>
                </w:tcPr>
                <w:p w14:paraId="15133E05" w14:textId="77777777" w:rsidR="00236AB5" w:rsidRPr="008819AF" w:rsidRDefault="00236AB5" w:rsidP="00236AB5">
                  <w:pPr>
                    <w:jc w:val="center"/>
                    <w:rPr>
                      <w:sz w:val="18"/>
                      <w:szCs w:val="18"/>
                    </w:rPr>
                  </w:pPr>
                  <w:r w:rsidRPr="008819AF">
                    <w:rPr>
                      <w:sz w:val="18"/>
                      <w:szCs w:val="18"/>
                    </w:rPr>
                    <w:t>200</w:t>
                  </w:r>
                </w:p>
              </w:tc>
              <w:tc>
                <w:tcPr>
                  <w:tcW w:w="1399" w:type="dxa"/>
                  <w:vAlign w:val="center"/>
                </w:tcPr>
                <w:p w14:paraId="15133E06" w14:textId="77777777" w:rsidR="00236AB5" w:rsidRPr="008819AF" w:rsidRDefault="00236AB5" w:rsidP="00236AB5">
                  <w:pPr>
                    <w:jc w:val="center"/>
                    <w:rPr>
                      <w:sz w:val="18"/>
                      <w:szCs w:val="18"/>
                    </w:rPr>
                  </w:pPr>
                  <w:r w:rsidRPr="008819AF">
                    <w:rPr>
                      <w:sz w:val="18"/>
                      <w:szCs w:val="18"/>
                    </w:rPr>
                    <w:t>250</w:t>
                  </w:r>
                </w:p>
              </w:tc>
            </w:tr>
            <w:tr w:rsidR="00236AB5" w:rsidRPr="008819AF" w14:paraId="15133E0D" w14:textId="77777777" w:rsidTr="00A94ADD">
              <w:trPr>
                <w:trHeight w:val="295"/>
                <w:jc w:val="center"/>
              </w:trPr>
              <w:tc>
                <w:tcPr>
                  <w:tcW w:w="739" w:type="dxa"/>
                  <w:vAlign w:val="center"/>
                </w:tcPr>
                <w:p w14:paraId="15133E08" w14:textId="77777777" w:rsidR="00236AB5" w:rsidRPr="008819AF" w:rsidRDefault="00236AB5" w:rsidP="00236AB5">
                  <w:pPr>
                    <w:jc w:val="center"/>
                    <w:rPr>
                      <w:sz w:val="18"/>
                      <w:szCs w:val="18"/>
                    </w:rPr>
                  </w:pPr>
                  <w:r w:rsidRPr="008819AF">
                    <w:rPr>
                      <w:sz w:val="18"/>
                      <w:szCs w:val="18"/>
                    </w:rPr>
                    <w:t>&gt; 300</w:t>
                  </w:r>
                </w:p>
              </w:tc>
              <w:tc>
                <w:tcPr>
                  <w:tcW w:w="709" w:type="dxa"/>
                  <w:vAlign w:val="center"/>
                </w:tcPr>
                <w:p w14:paraId="15133E09" w14:textId="77777777" w:rsidR="00236AB5" w:rsidRPr="008819AF" w:rsidRDefault="00236AB5" w:rsidP="00236AB5">
                  <w:pPr>
                    <w:jc w:val="center"/>
                    <w:rPr>
                      <w:sz w:val="18"/>
                      <w:szCs w:val="18"/>
                    </w:rPr>
                  </w:pPr>
                  <w:r w:rsidRPr="008819AF">
                    <w:rPr>
                      <w:sz w:val="18"/>
                      <w:szCs w:val="18"/>
                    </w:rPr>
                    <w:t>-</w:t>
                  </w:r>
                </w:p>
              </w:tc>
              <w:tc>
                <w:tcPr>
                  <w:tcW w:w="1000" w:type="dxa"/>
                  <w:vAlign w:val="center"/>
                </w:tcPr>
                <w:p w14:paraId="15133E0A" w14:textId="77777777" w:rsidR="00236AB5" w:rsidRPr="008819AF" w:rsidRDefault="00236AB5" w:rsidP="00236AB5">
                  <w:pPr>
                    <w:jc w:val="center"/>
                    <w:rPr>
                      <w:sz w:val="18"/>
                      <w:szCs w:val="18"/>
                    </w:rPr>
                  </w:pPr>
                  <w:r w:rsidRPr="008819AF">
                    <w:rPr>
                      <w:sz w:val="18"/>
                      <w:szCs w:val="18"/>
                    </w:rPr>
                    <w:t>20</w:t>
                  </w:r>
                </w:p>
              </w:tc>
              <w:tc>
                <w:tcPr>
                  <w:tcW w:w="1263" w:type="dxa"/>
                  <w:vAlign w:val="center"/>
                </w:tcPr>
                <w:p w14:paraId="15133E0B" w14:textId="77777777" w:rsidR="00236AB5" w:rsidRPr="008819AF" w:rsidRDefault="00236AB5" w:rsidP="00236AB5">
                  <w:pPr>
                    <w:jc w:val="center"/>
                    <w:rPr>
                      <w:sz w:val="18"/>
                      <w:szCs w:val="18"/>
                    </w:rPr>
                  </w:pPr>
                  <w:r w:rsidRPr="008819AF">
                    <w:rPr>
                      <w:sz w:val="18"/>
                      <w:szCs w:val="18"/>
                    </w:rPr>
                    <w:t>200</w:t>
                  </w:r>
                </w:p>
              </w:tc>
              <w:tc>
                <w:tcPr>
                  <w:tcW w:w="1399" w:type="dxa"/>
                  <w:vAlign w:val="center"/>
                </w:tcPr>
                <w:p w14:paraId="15133E0C" w14:textId="77777777" w:rsidR="00236AB5" w:rsidRPr="008819AF" w:rsidRDefault="00236AB5" w:rsidP="00236AB5">
                  <w:pPr>
                    <w:jc w:val="center"/>
                    <w:rPr>
                      <w:sz w:val="18"/>
                      <w:szCs w:val="18"/>
                    </w:rPr>
                  </w:pPr>
                  <w:r w:rsidRPr="008819AF">
                    <w:rPr>
                      <w:sz w:val="18"/>
                      <w:szCs w:val="18"/>
                    </w:rPr>
                    <w:t>200</w:t>
                  </w:r>
                </w:p>
              </w:tc>
            </w:tr>
            <w:tr w:rsidR="00236AB5" w:rsidRPr="008819AF" w14:paraId="15133E12" w14:textId="77777777" w:rsidTr="00A94ADD">
              <w:trPr>
                <w:trHeight w:hRule="exact" w:val="476"/>
                <w:jc w:val="center"/>
              </w:trPr>
              <w:tc>
                <w:tcPr>
                  <w:tcW w:w="739" w:type="dxa"/>
                  <w:vAlign w:val="center"/>
                </w:tcPr>
                <w:p w14:paraId="15133E0E" w14:textId="77777777" w:rsidR="00236AB5" w:rsidRPr="008819AF" w:rsidRDefault="00236AB5" w:rsidP="00236AB5">
                  <w:pPr>
                    <w:jc w:val="center"/>
                    <w:rPr>
                      <w:b/>
                      <w:sz w:val="18"/>
                      <w:szCs w:val="18"/>
                    </w:rPr>
                  </w:pPr>
                  <w:r w:rsidRPr="008819AF">
                    <w:rPr>
                      <w:b/>
                      <w:sz w:val="18"/>
                      <w:szCs w:val="18"/>
                    </w:rPr>
                    <w:t xml:space="preserve">B. </w:t>
                  </w:r>
                </w:p>
              </w:tc>
              <w:tc>
                <w:tcPr>
                  <w:tcW w:w="4371" w:type="dxa"/>
                  <w:gridSpan w:val="4"/>
                  <w:vAlign w:val="center"/>
                </w:tcPr>
                <w:p w14:paraId="15133E0F" w14:textId="77777777" w:rsidR="00236AB5" w:rsidRPr="008819AF" w:rsidRDefault="00236AB5" w:rsidP="00236AB5">
                  <w:pPr>
                    <w:tabs>
                      <w:tab w:val="left" w:pos="175"/>
                    </w:tabs>
                    <w:rPr>
                      <w:b/>
                      <w:sz w:val="18"/>
                      <w:szCs w:val="18"/>
                    </w:rPr>
                  </w:pPr>
                  <w:r w:rsidRPr="008819AF">
                    <w:rPr>
                      <w:b/>
                      <w:sz w:val="18"/>
                      <w:szCs w:val="18"/>
                    </w:rPr>
                    <w:t>C</w:t>
                  </w:r>
                  <w:r w:rsidRPr="008819AF">
                    <w:rPr>
                      <w:b/>
                      <w:sz w:val="18"/>
                      <w:szCs w:val="18"/>
                      <w:vertAlign w:val="subscript"/>
                    </w:rPr>
                    <w:t>proces</w:t>
                  </w:r>
                  <w:r w:rsidRPr="008819AF">
                    <w:rPr>
                      <w:b/>
                      <w:sz w:val="18"/>
                      <w:szCs w:val="18"/>
                    </w:rPr>
                    <w:t xml:space="preserve">  pre veľké spaľovacie zariadenia začlenené ako nové zariadenia</w:t>
                  </w:r>
                  <w:r w:rsidRPr="008819AF">
                    <w:rPr>
                      <w:b/>
                      <w:sz w:val="18"/>
                      <w:szCs w:val="18"/>
                      <w:vertAlign w:val="superscript"/>
                    </w:rPr>
                    <w:t>1</w:t>
                  </w:r>
                  <w:r w:rsidRPr="008819AF">
                    <w:rPr>
                      <w:b/>
                      <w:sz w:val="18"/>
                      <w:szCs w:val="18"/>
                    </w:rPr>
                    <w:t>)</w:t>
                  </w:r>
                </w:p>
                <w:p w14:paraId="15133E10" w14:textId="77777777" w:rsidR="00236AB5" w:rsidRPr="008819AF" w:rsidRDefault="00236AB5" w:rsidP="00236AB5">
                  <w:pPr>
                    <w:tabs>
                      <w:tab w:val="left" w:pos="175"/>
                    </w:tabs>
                    <w:rPr>
                      <w:b/>
                      <w:sz w:val="18"/>
                      <w:szCs w:val="18"/>
                    </w:rPr>
                  </w:pPr>
                  <w:r w:rsidRPr="008819AF">
                    <w:rPr>
                      <w:b/>
                      <w:sz w:val="18"/>
                      <w:szCs w:val="18"/>
                    </w:rPr>
                    <w:t>veľké spaľovacie zariadenia začlenené ako nové zariadenia</w:t>
                  </w:r>
                  <w:r w:rsidRPr="008819AF">
                    <w:rPr>
                      <w:b/>
                      <w:sz w:val="18"/>
                      <w:szCs w:val="18"/>
                      <w:vertAlign w:val="superscript"/>
                    </w:rPr>
                    <w:t>1</w:t>
                  </w:r>
                  <w:r w:rsidRPr="008819AF">
                    <w:rPr>
                      <w:b/>
                      <w:sz w:val="18"/>
                      <w:szCs w:val="18"/>
                    </w:rPr>
                    <w:t>)</w:t>
                  </w:r>
                </w:p>
                <w:p w14:paraId="15133E11" w14:textId="77777777" w:rsidR="00236AB5" w:rsidRPr="008819AF" w:rsidRDefault="00236AB5" w:rsidP="00236AB5">
                  <w:pPr>
                    <w:rPr>
                      <w:b/>
                      <w:sz w:val="18"/>
                      <w:szCs w:val="18"/>
                    </w:rPr>
                  </w:pPr>
                </w:p>
              </w:tc>
            </w:tr>
            <w:tr w:rsidR="00236AB5" w:rsidRPr="008819AF" w14:paraId="15133E18" w14:textId="77777777" w:rsidTr="00A94ADD">
              <w:trPr>
                <w:trHeight w:val="295"/>
                <w:jc w:val="center"/>
              </w:trPr>
              <w:tc>
                <w:tcPr>
                  <w:tcW w:w="739" w:type="dxa"/>
                  <w:vAlign w:val="center"/>
                </w:tcPr>
                <w:p w14:paraId="15133E13" w14:textId="77777777" w:rsidR="00236AB5" w:rsidRPr="008819AF" w:rsidRDefault="00236AB5" w:rsidP="00236AB5">
                  <w:pPr>
                    <w:jc w:val="center"/>
                    <w:rPr>
                      <w:sz w:val="18"/>
                      <w:szCs w:val="18"/>
                    </w:rPr>
                  </w:pPr>
                  <w:r w:rsidRPr="008819AF">
                    <w:rPr>
                      <w:sz w:val="18"/>
                      <w:szCs w:val="18"/>
                    </w:rPr>
                    <w:t>≥ 50</w:t>
                  </w:r>
                </w:p>
              </w:tc>
              <w:tc>
                <w:tcPr>
                  <w:tcW w:w="709" w:type="dxa"/>
                  <w:vAlign w:val="center"/>
                </w:tcPr>
                <w:p w14:paraId="15133E14" w14:textId="77777777" w:rsidR="00236AB5" w:rsidRPr="008819AF" w:rsidRDefault="00236AB5" w:rsidP="00236AB5">
                  <w:pPr>
                    <w:jc w:val="center"/>
                    <w:rPr>
                      <w:sz w:val="18"/>
                      <w:szCs w:val="18"/>
                    </w:rPr>
                  </w:pPr>
                  <w:r w:rsidRPr="008819AF">
                    <w:rPr>
                      <w:sz w:val="18"/>
                      <w:szCs w:val="18"/>
                    </w:rPr>
                    <w:sym w:font="Symbol" w:char="F0A3"/>
                  </w:r>
                  <w:r w:rsidRPr="008819AF">
                    <w:rPr>
                      <w:sz w:val="18"/>
                      <w:szCs w:val="18"/>
                    </w:rPr>
                    <w:t xml:space="preserve"> 100</w:t>
                  </w:r>
                </w:p>
              </w:tc>
              <w:tc>
                <w:tcPr>
                  <w:tcW w:w="1000" w:type="dxa"/>
                  <w:vAlign w:val="center"/>
                </w:tcPr>
                <w:p w14:paraId="15133E15" w14:textId="77777777" w:rsidR="00236AB5" w:rsidRPr="008819AF" w:rsidRDefault="00236AB5" w:rsidP="00236AB5">
                  <w:pPr>
                    <w:jc w:val="center"/>
                    <w:rPr>
                      <w:sz w:val="18"/>
                      <w:szCs w:val="18"/>
                    </w:rPr>
                  </w:pPr>
                  <w:r w:rsidRPr="008819AF">
                    <w:rPr>
                      <w:sz w:val="18"/>
                      <w:szCs w:val="18"/>
                    </w:rPr>
                    <w:t>20</w:t>
                  </w:r>
                </w:p>
              </w:tc>
              <w:tc>
                <w:tcPr>
                  <w:tcW w:w="1263" w:type="dxa"/>
                  <w:vAlign w:val="center"/>
                </w:tcPr>
                <w:p w14:paraId="15133E16" w14:textId="77777777" w:rsidR="00236AB5" w:rsidRPr="008819AF" w:rsidRDefault="00236AB5" w:rsidP="00236AB5">
                  <w:pPr>
                    <w:jc w:val="center"/>
                    <w:rPr>
                      <w:sz w:val="18"/>
                      <w:szCs w:val="18"/>
                    </w:rPr>
                  </w:pPr>
                  <w:r w:rsidRPr="008819AF">
                    <w:rPr>
                      <w:sz w:val="18"/>
                      <w:szCs w:val="18"/>
                    </w:rPr>
                    <w:t>200</w:t>
                  </w:r>
                </w:p>
              </w:tc>
              <w:tc>
                <w:tcPr>
                  <w:tcW w:w="1399" w:type="dxa"/>
                  <w:vAlign w:val="center"/>
                </w:tcPr>
                <w:p w14:paraId="15133E17" w14:textId="77777777" w:rsidR="00236AB5" w:rsidRPr="008819AF" w:rsidRDefault="00236AB5" w:rsidP="00236AB5">
                  <w:pPr>
                    <w:jc w:val="center"/>
                    <w:rPr>
                      <w:sz w:val="18"/>
                      <w:szCs w:val="18"/>
                    </w:rPr>
                  </w:pPr>
                  <w:r w:rsidRPr="008819AF">
                    <w:rPr>
                      <w:sz w:val="18"/>
                      <w:szCs w:val="18"/>
                    </w:rPr>
                    <w:t>250</w:t>
                  </w:r>
                </w:p>
              </w:tc>
            </w:tr>
            <w:tr w:rsidR="00236AB5" w:rsidRPr="008819AF" w14:paraId="15133E1E" w14:textId="77777777" w:rsidTr="00A94ADD">
              <w:trPr>
                <w:trHeight w:val="295"/>
                <w:jc w:val="center"/>
              </w:trPr>
              <w:tc>
                <w:tcPr>
                  <w:tcW w:w="739" w:type="dxa"/>
                  <w:vAlign w:val="center"/>
                </w:tcPr>
                <w:p w14:paraId="15133E19" w14:textId="77777777" w:rsidR="00236AB5" w:rsidRPr="008819AF" w:rsidRDefault="00236AB5" w:rsidP="00236AB5">
                  <w:pPr>
                    <w:jc w:val="center"/>
                    <w:rPr>
                      <w:sz w:val="18"/>
                      <w:szCs w:val="18"/>
                    </w:rPr>
                  </w:pPr>
                  <w:r w:rsidRPr="008819AF">
                    <w:rPr>
                      <w:sz w:val="18"/>
                      <w:szCs w:val="18"/>
                    </w:rPr>
                    <w:t>&gt; 100</w:t>
                  </w:r>
                </w:p>
              </w:tc>
              <w:tc>
                <w:tcPr>
                  <w:tcW w:w="709" w:type="dxa"/>
                  <w:vAlign w:val="center"/>
                </w:tcPr>
                <w:p w14:paraId="15133E1A" w14:textId="77777777" w:rsidR="00236AB5" w:rsidRPr="008819AF" w:rsidRDefault="00236AB5" w:rsidP="00236AB5">
                  <w:pPr>
                    <w:jc w:val="center"/>
                    <w:rPr>
                      <w:sz w:val="18"/>
                      <w:szCs w:val="18"/>
                    </w:rPr>
                  </w:pPr>
                  <w:r w:rsidRPr="008819AF">
                    <w:rPr>
                      <w:sz w:val="18"/>
                      <w:szCs w:val="18"/>
                    </w:rPr>
                    <w:sym w:font="Symbol" w:char="F0A3"/>
                  </w:r>
                  <w:r w:rsidRPr="008819AF">
                    <w:rPr>
                      <w:sz w:val="18"/>
                      <w:szCs w:val="18"/>
                    </w:rPr>
                    <w:t xml:space="preserve"> 300</w:t>
                  </w:r>
                </w:p>
              </w:tc>
              <w:tc>
                <w:tcPr>
                  <w:tcW w:w="1000" w:type="dxa"/>
                  <w:vAlign w:val="center"/>
                </w:tcPr>
                <w:p w14:paraId="15133E1B" w14:textId="77777777" w:rsidR="00236AB5" w:rsidRPr="008819AF" w:rsidRDefault="00236AB5" w:rsidP="00236AB5">
                  <w:pPr>
                    <w:jc w:val="center"/>
                    <w:rPr>
                      <w:sz w:val="18"/>
                      <w:szCs w:val="18"/>
                    </w:rPr>
                  </w:pPr>
                  <w:r w:rsidRPr="008819AF">
                    <w:rPr>
                      <w:sz w:val="18"/>
                      <w:szCs w:val="18"/>
                    </w:rPr>
                    <w:t>20</w:t>
                  </w:r>
                </w:p>
              </w:tc>
              <w:tc>
                <w:tcPr>
                  <w:tcW w:w="1263" w:type="dxa"/>
                  <w:vAlign w:val="center"/>
                </w:tcPr>
                <w:p w14:paraId="15133E1C" w14:textId="77777777" w:rsidR="00236AB5" w:rsidRPr="008819AF" w:rsidRDefault="00236AB5" w:rsidP="00236AB5">
                  <w:pPr>
                    <w:jc w:val="center"/>
                    <w:rPr>
                      <w:sz w:val="18"/>
                      <w:szCs w:val="18"/>
                    </w:rPr>
                  </w:pPr>
                  <w:r w:rsidRPr="008819AF">
                    <w:rPr>
                      <w:sz w:val="18"/>
                      <w:szCs w:val="18"/>
                    </w:rPr>
                    <w:t>200</w:t>
                  </w:r>
                </w:p>
              </w:tc>
              <w:tc>
                <w:tcPr>
                  <w:tcW w:w="1399" w:type="dxa"/>
                  <w:vAlign w:val="center"/>
                </w:tcPr>
                <w:p w14:paraId="15133E1D" w14:textId="77777777" w:rsidR="00236AB5" w:rsidRPr="008819AF" w:rsidRDefault="00236AB5" w:rsidP="00236AB5">
                  <w:pPr>
                    <w:jc w:val="center"/>
                    <w:rPr>
                      <w:sz w:val="18"/>
                      <w:szCs w:val="18"/>
                    </w:rPr>
                  </w:pPr>
                  <w:r w:rsidRPr="008819AF">
                    <w:rPr>
                      <w:sz w:val="18"/>
                      <w:szCs w:val="18"/>
                    </w:rPr>
                    <w:t>200</w:t>
                  </w:r>
                </w:p>
              </w:tc>
            </w:tr>
            <w:tr w:rsidR="00236AB5" w:rsidRPr="008819AF" w14:paraId="15133E24" w14:textId="77777777" w:rsidTr="00A94ADD">
              <w:trPr>
                <w:trHeight w:val="295"/>
                <w:jc w:val="center"/>
              </w:trPr>
              <w:tc>
                <w:tcPr>
                  <w:tcW w:w="739" w:type="dxa"/>
                  <w:vAlign w:val="center"/>
                </w:tcPr>
                <w:p w14:paraId="15133E1F" w14:textId="77777777" w:rsidR="00236AB5" w:rsidRPr="008819AF" w:rsidRDefault="00236AB5" w:rsidP="00236AB5">
                  <w:pPr>
                    <w:jc w:val="center"/>
                    <w:rPr>
                      <w:sz w:val="18"/>
                      <w:szCs w:val="18"/>
                    </w:rPr>
                  </w:pPr>
                  <w:r w:rsidRPr="008819AF">
                    <w:rPr>
                      <w:sz w:val="18"/>
                      <w:szCs w:val="18"/>
                    </w:rPr>
                    <w:lastRenderedPageBreak/>
                    <w:t>&gt; 300</w:t>
                  </w:r>
                </w:p>
              </w:tc>
              <w:tc>
                <w:tcPr>
                  <w:tcW w:w="709" w:type="dxa"/>
                  <w:vAlign w:val="center"/>
                </w:tcPr>
                <w:p w14:paraId="15133E20" w14:textId="77777777" w:rsidR="00236AB5" w:rsidRPr="008819AF" w:rsidRDefault="00236AB5" w:rsidP="00236AB5">
                  <w:pPr>
                    <w:jc w:val="center"/>
                    <w:rPr>
                      <w:sz w:val="18"/>
                      <w:szCs w:val="18"/>
                    </w:rPr>
                  </w:pPr>
                  <w:r w:rsidRPr="008819AF">
                    <w:rPr>
                      <w:sz w:val="18"/>
                      <w:szCs w:val="18"/>
                    </w:rPr>
                    <w:t>-</w:t>
                  </w:r>
                </w:p>
              </w:tc>
              <w:tc>
                <w:tcPr>
                  <w:tcW w:w="1000" w:type="dxa"/>
                  <w:vAlign w:val="center"/>
                </w:tcPr>
                <w:p w14:paraId="15133E21" w14:textId="77777777" w:rsidR="00236AB5" w:rsidRPr="008819AF" w:rsidRDefault="00236AB5" w:rsidP="00236AB5">
                  <w:pPr>
                    <w:ind w:left="-108" w:right="-108"/>
                    <w:jc w:val="center"/>
                    <w:rPr>
                      <w:sz w:val="18"/>
                      <w:szCs w:val="18"/>
                    </w:rPr>
                  </w:pPr>
                  <w:r w:rsidRPr="008819AF">
                    <w:rPr>
                      <w:sz w:val="18"/>
                      <w:szCs w:val="18"/>
                    </w:rPr>
                    <w:t>20</w:t>
                  </w:r>
                </w:p>
              </w:tc>
              <w:tc>
                <w:tcPr>
                  <w:tcW w:w="1263" w:type="dxa"/>
                  <w:vAlign w:val="center"/>
                </w:tcPr>
                <w:p w14:paraId="15133E22" w14:textId="77777777" w:rsidR="00236AB5" w:rsidRPr="008819AF" w:rsidRDefault="00236AB5" w:rsidP="00236AB5">
                  <w:pPr>
                    <w:jc w:val="center"/>
                    <w:rPr>
                      <w:sz w:val="18"/>
                      <w:szCs w:val="18"/>
                    </w:rPr>
                  </w:pPr>
                  <w:r w:rsidRPr="008819AF">
                    <w:rPr>
                      <w:sz w:val="18"/>
                      <w:szCs w:val="18"/>
                    </w:rPr>
                    <w:t>150</w:t>
                  </w:r>
                </w:p>
              </w:tc>
              <w:tc>
                <w:tcPr>
                  <w:tcW w:w="1399" w:type="dxa"/>
                  <w:vAlign w:val="center"/>
                </w:tcPr>
                <w:p w14:paraId="15133E23" w14:textId="77777777" w:rsidR="00236AB5" w:rsidRPr="008819AF" w:rsidRDefault="00236AB5" w:rsidP="00236AB5">
                  <w:pPr>
                    <w:jc w:val="center"/>
                    <w:rPr>
                      <w:sz w:val="18"/>
                      <w:szCs w:val="18"/>
                    </w:rPr>
                  </w:pPr>
                  <w:r w:rsidRPr="008819AF">
                    <w:rPr>
                      <w:sz w:val="18"/>
                      <w:szCs w:val="18"/>
                    </w:rPr>
                    <w:t>150</w:t>
                  </w:r>
                </w:p>
              </w:tc>
            </w:tr>
            <w:tr w:rsidR="00236AB5" w:rsidRPr="008819AF" w14:paraId="15133E26" w14:textId="77777777" w:rsidTr="00A94ADD">
              <w:trPr>
                <w:trHeight w:val="295"/>
                <w:jc w:val="center"/>
              </w:trPr>
              <w:tc>
                <w:tcPr>
                  <w:tcW w:w="5110" w:type="dxa"/>
                  <w:gridSpan w:val="5"/>
                  <w:vAlign w:val="center"/>
                </w:tcPr>
                <w:p w14:paraId="15133E25" w14:textId="77777777" w:rsidR="00236AB5" w:rsidRPr="008819AF" w:rsidRDefault="00236AB5" w:rsidP="00236AB5">
                  <w:pPr>
                    <w:jc w:val="center"/>
                    <w:rPr>
                      <w:sz w:val="18"/>
                      <w:szCs w:val="18"/>
                    </w:rPr>
                  </w:pPr>
                  <w:r w:rsidRPr="008819AF">
                    <w:rPr>
                      <w:b/>
                      <w:sz w:val="18"/>
                      <w:szCs w:val="18"/>
                    </w:rPr>
                    <w:t>C</w:t>
                  </w:r>
                  <w:r w:rsidRPr="008819AF">
                    <w:rPr>
                      <w:b/>
                      <w:sz w:val="18"/>
                      <w:szCs w:val="18"/>
                      <w:vertAlign w:val="subscript"/>
                    </w:rPr>
                    <w:t xml:space="preserve">proces </w:t>
                  </w:r>
                  <w:r w:rsidRPr="008819AF">
                    <w:rPr>
                      <w:b/>
                      <w:sz w:val="18"/>
                      <w:szCs w:val="18"/>
                    </w:rPr>
                    <w:t>pre ostatné spaľovacie zariadenia</w:t>
                  </w:r>
                </w:p>
              </w:tc>
            </w:tr>
            <w:tr w:rsidR="00236AB5" w:rsidRPr="008819AF" w14:paraId="15133E2C" w14:textId="77777777" w:rsidTr="00A94ADD">
              <w:trPr>
                <w:trHeight w:val="295"/>
                <w:jc w:val="center"/>
              </w:trPr>
              <w:tc>
                <w:tcPr>
                  <w:tcW w:w="739" w:type="dxa"/>
                  <w:vAlign w:val="center"/>
                </w:tcPr>
                <w:p w14:paraId="15133E27" w14:textId="77777777" w:rsidR="00236AB5" w:rsidRPr="008819AF" w:rsidRDefault="00236AB5" w:rsidP="00236AB5">
                  <w:pPr>
                    <w:jc w:val="center"/>
                    <w:rPr>
                      <w:sz w:val="18"/>
                      <w:szCs w:val="18"/>
                    </w:rPr>
                  </w:pPr>
                  <w:r w:rsidRPr="008819AF">
                    <w:rPr>
                      <w:sz w:val="18"/>
                      <w:szCs w:val="18"/>
                    </w:rPr>
                    <w:t>&gt; 0</w:t>
                  </w:r>
                </w:p>
              </w:tc>
              <w:tc>
                <w:tcPr>
                  <w:tcW w:w="709" w:type="dxa"/>
                  <w:vAlign w:val="center"/>
                </w:tcPr>
                <w:p w14:paraId="15133E28" w14:textId="77777777" w:rsidR="00236AB5" w:rsidRPr="008819AF" w:rsidRDefault="00236AB5" w:rsidP="00236AB5">
                  <w:pPr>
                    <w:ind w:left="224"/>
                    <w:rPr>
                      <w:sz w:val="18"/>
                      <w:szCs w:val="18"/>
                    </w:rPr>
                  </w:pPr>
                  <w:r w:rsidRPr="008819AF">
                    <w:rPr>
                      <w:sz w:val="18"/>
                      <w:szCs w:val="18"/>
                    </w:rPr>
                    <w:t>&lt; 50</w:t>
                  </w:r>
                </w:p>
              </w:tc>
              <w:tc>
                <w:tcPr>
                  <w:tcW w:w="1000" w:type="dxa"/>
                  <w:vAlign w:val="center"/>
                </w:tcPr>
                <w:p w14:paraId="15133E29" w14:textId="77777777" w:rsidR="00236AB5" w:rsidRPr="008819AF" w:rsidRDefault="00236AB5" w:rsidP="00236AB5">
                  <w:pPr>
                    <w:jc w:val="center"/>
                    <w:rPr>
                      <w:sz w:val="18"/>
                      <w:szCs w:val="18"/>
                    </w:rPr>
                  </w:pPr>
                  <w:r w:rsidRPr="008819AF">
                    <w:rPr>
                      <w:sz w:val="18"/>
                      <w:szCs w:val="18"/>
                    </w:rPr>
                    <w:t>50</w:t>
                  </w:r>
                </w:p>
              </w:tc>
              <w:tc>
                <w:tcPr>
                  <w:tcW w:w="1263" w:type="dxa"/>
                  <w:vAlign w:val="center"/>
                </w:tcPr>
                <w:p w14:paraId="15133E2A" w14:textId="77777777" w:rsidR="00236AB5" w:rsidRPr="008819AF" w:rsidRDefault="00236AB5" w:rsidP="00236AB5">
                  <w:pPr>
                    <w:jc w:val="center"/>
                    <w:rPr>
                      <w:sz w:val="18"/>
                      <w:szCs w:val="18"/>
                    </w:rPr>
                  </w:pPr>
                  <w:r w:rsidRPr="008819AF">
                    <w:rPr>
                      <w:sz w:val="18"/>
                      <w:szCs w:val="18"/>
                    </w:rPr>
                    <w:t xml:space="preserve">- </w:t>
                  </w:r>
                  <w:r w:rsidRPr="008819AF">
                    <w:rPr>
                      <w:sz w:val="18"/>
                      <w:szCs w:val="18"/>
                      <w:vertAlign w:val="superscript"/>
                    </w:rPr>
                    <w:t>2</w:t>
                  </w:r>
                  <w:r w:rsidRPr="008819AF">
                    <w:rPr>
                      <w:sz w:val="18"/>
                      <w:szCs w:val="18"/>
                    </w:rPr>
                    <w:t>)</w:t>
                  </w:r>
                </w:p>
              </w:tc>
              <w:tc>
                <w:tcPr>
                  <w:tcW w:w="1399" w:type="dxa"/>
                  <w:vAlign w:val="center"/>
                </w:tcPr>
                <w:p w14:paraId="15133E2B" w14:textId="77777777" w:rsidR="00236AB5" w:rsidRPr="008819AF" w:rsidRDefault="00236AB5" w:rsidP="00236AB5">
                  <w:pPr>
                    <w:jc w:val="center"/>
                    <w:rPr>
                      <w:sz w:val="18"/>
                      <w:szCs w:val="18"/>
                    </w:rPr>
                  </w:pPr>
                  <w:r w:rsidRPr="008819AF">
                    <w:rPr>
                      <w:sz w:val="18"/>
                      <w:szCs w:val="18"/>
                    </w:rPr>
                    <w:t xml:space="preserve"> - </w:t>
                  </w:r>
                  <w:r w:rsidRPr="008819AF">
                    <w:rPr>
                      <w:sz w:val="18"/>
                      <w:szCs w:val="18"/>
                      <w:vertAlign w:val="superscript"/>
                    </w:rPr>
                    <w:t>2</w:t>
                  </w:r>
                  <w:r w:rsidRPr="008819AF">
                    <w:rPr>
                      <w:sz w:val="18"/>
                      <w:szCs w:val="18"/>
                    </w:rPr>
                    <w:t>)</w:t>
                  </w:r>
                </w:p>
              </w:tc>
            </w:tr>
          </w:tbl>
          <w:p w14:paraId="15133E2D" w14:textId="77777777" w:rsidR="00236AB5" w:rsidRPr="008819AF" w:rsidRDefault="00236AB5" w:rsidP="00236AB5">
            <w:pPr>
              <w:pStyle w:val="Zkladntext20"/>
              <w:spacing w:after="0"/>
              <w:ind w:left="284" w:hanging="284"/>
              <w:rPr>
                <w:sz w:val="20"/>
                <w:szCs w:val="20"/>
              </w:rPr>
            </w:pPr>
            <w:r w:rsidRPr="008819AF">
              <w:rPr>
                <w:sz w:val="20"/>
                <w:szCs w:val="20"/>
                <w:vertAlign w:val="superscript"/>
              </w:rPr>
              <w:t>1</w:t>
            </w:r>
            <w:r w:rsidRPr="008819AF">
              <w:rPr>
                <w:sz w:val="20"/>
                <w:szCs w:val="20"/>
              </w:rPr>
              <w:t>) Podľa členenia  spaľovacích zariadení podľa prílohy č. 4. tretej časti v bode 1.</w:t>
            </w:r>
          </w:p>
          <w:p w14:paraId="15133E2E" w14:textId="77777777" w:rsidR="00236AB5" w:rsidRPr="008819AF" w:rsidRDefault="00236AB5" w:rsidP="00236AB5">
            <w:pPr>
              <w:pStyle w:val="Zkladntext20"/>
              <w:keepNext w:val="0"/>
              <w:spacing w:before="0" w:after="0"/>
              <w:ind w:left="284" w:hanging="284"/>
              <w:rPr>
                <w:sz w:val="20"/>
                <w:szCs w:val="20"/>
              </w:rPr>
            </w:pPr>
            <w:r w:rsidRPr="008819AF">
              <w:rPr>
                <w:sz w:val="20"/>
                <w:szCs w:val="20"/>
                <w:vertAlign w:val="superscript"/>
              </w:rPr>
              <w:t>2</w:t>
            </w:r>
            <w:r w:rsidRPr="008819AF">
              <w:rPr>
                <w:sz w:val="20"/>
                <w:szCs w:val="20"/>
              </w:rPr>
              <w:t>) Pre SO</w:t>
            </w:r>
            <w:r w:rsidRPr="008819AF">
              <w:rPr>
                <w:sz w:val="20"/>
                <w:szCs w:val="20"/>
                <w:vertAlign w:val="subscript"/>
              </w:rPr>
              <w:t>2</w:t>
            </w:r>
            <w:r w:rsidRPr="008819AF">
              <w:rPr>
                <w:sz w:val="20"/>
                <w:szCs w:val="20"/>
              </w:rPr>
              <w:t xml:space="preserve"> a NO</w:t>
            </w:r>
            <w:r w:rsidRPr="008819AF">
              <w:rPr>
                <w:sz w:val="20"/>
                <w:szCs w:val="20"/>
                <w:vertAlign w:val="subscript"/>
              </w:rPr>
              <w:t>X</w:t>
            </w:r>
            <w:r w:rsidRPr="008819AF">
              <w:rPr>
                <w:sz w:val="20"/>
                <w:szCs w:val="20"/>
              </w:rPr>
              <w:t xml:space="preserve"> platia emisné limity ustanovené v prílohe č. 4  štvrtej časti bode 1 podľa  MTP zariadenia.</w:t>
            </w:r>
          </w:p>
          <w:p w14:paraId="15133E2F" w14:textId="77777777" w:rsidR="00236AB5" w:rsidRPr="008819AF" w:rsidRDefault="00236AB5" w:rsidP="00236AB5">
            <w:pPr>
              <w:pStyle w:val="Hlavika"/>
              <w:ind w:left="72" w:hanging="1"/>
              <w:rPr>
                <w:rFonts w:ascii="Times New Roman" w:eastAsia="Times New Roman" w:hAnsi="Times New Roman" w:cs="Times New Roman"/>
                <w:lang w:bidi="en-US"/>
              </w:rPr>
            </w:pPr>
          </w:p>
          <w:p w14:paraId="15133E30" w14:textId="77777777" w:rsidR="00236AB5" w:rsidRPr="008819AF" w:rsidRDefault="00236AB5" w:rsidP="00236AB5">
            <w:pPr>
              <w:pStyle w:val="ListParagraph1"/>
              <w:spacing w:after="120"/>
              <w:rPr>
                <w:sz w:val="20"/>
                <w:szCs w:val="20"/>
                <w:lang w:bidi="en-US"/>
              </w:rPr>
            </w:pPr>
            <w:r w:rsidRPr="008819AF">
              <w:rPr>
                <w:sz w:val="20"/>
                <w:szCs w:val="20"/>
                <w:lang w:bidi="en-US"/>
              </w:rPr>
              <w:t>3.2.3 Kvapalné palivá s výnimkou plynových turbín, vznetových motorov a zážihových motorov</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9"/>
              <w:gridCol w:w="567"/>
              <w:gridCol w:w="1310"/>
              <w:gridCol w:w="1247"/>
              <w:gridCol w:w="1247"/>
            </w:tblGrid>
            <w:tr w:rsidR="00236AB5" w:rsidRPr="008819AF" w14:paraId="15133E33" w14:textId="77777777" w:rsidTr="008D7960">
              <w:trPr>
                <w:trHeight w:val="285"/>
                <w:jc w:val="center"/>
              </w:trPr>
              <w:tc>
                <w:tcPr>
                  <w:tcW w:w="1306" w:type="dxa"/>
                  <w:gridSpan w:val="2"/>
                  <w:vMerge w:val="restart"/>
                  <w:vAlign w:val="center"/>
                </w:tcPr>
                <w:p w14:paraId="15133E31" w14:textId="77777777" w:rsidR="00236AB5" w:rsidRPr="008819AF" w:rsidRDefault="00236AB5" w:rsidP="00236AB5">
                  <w:pPr>
                    <w:rPr>
                      <w:b/>
                      <w:sz w:val="18"/>
                      <w:szCs w:val="18"/>
                    </w:rPr>
                  </w:pPr>
                  <w:r w:rsidRPr="008819AF">
                    <w:rPr>
                      <w:b/>
                      <w:sz w:val="18"/>
                      <w:szCs w:val="18"/>
                    </w:rPr>
                    <w:t xml:space="preserve">Podmienky platnosti EL  </w:t>
                  </w:r>
                </w:p>
              </w:tc>
              <w:tc>
                <w:tcPr>
                  <w:tcW w:w="3804" w:type="dxa"/>
                  <w:gridSpan w:val="3"/>
                  <w:vAlign w:val="center"/>
                </w:tcPr>
                <w:p w14:paraId="15133E32" w14:textId="77777777" w:rsidR="00236AB5" w:rsidRPr="008819AF" w:rsidRDefault="00236AB5" w:rsidP="00236AB5">
                  <w:pPr>
                    <w:rPr>
                      <w:sz w:val="18"/>
                      <w:szCs w:val="18"/>
                    </w:rPr>
                  </w:pPr>
                  <w:r w:rsidRPr="008819AF">
                    <w:rPr>
                      <w:sz w:val="18"/>
                      <w:szCs w:val="18"/>
                    </w:rPr>
                    <w:t>Štandardné stavové podmienky, suchý plyn, O</w:t>
                  </w:r>
                  <w:r w:rsidRPr="008819AF">
                    <w:rPr>
                      <w:sz w:val="18"/>
                      <w:szCs w:val="18"/>
                      <w:vertAlign w:val="subscript"/>
                    </w:rPr>
                    <w:t>2 ref</w:t>
                  </w:r>
                  <w:r w:rsidRPr="008819AF">
                    <w:rPr>
                      <w:sz w:val="18"/>
                      <w:szCs w:val="18"/>
                    </w:rPr>
                    <w:t>: 3 % objemu</w:t>
                  </w:r>
                </w:p>
              </w:tc>
            </w:tr>
            <w:tr w:rsidR="00236AB5" w:rsidRPr="008819AF" w14:paraId="15133E37" w14:textId="77777777" w:rsidTr="008D7960">
              <w:trPr>
                <w:trHeight w:val="285"/>
                <w:jc w:val="center"/>
              </w:trPr>
              <w:tc>
                <w:tcPr>
                  <w:tcW w:w="1306" w:type="dxa"/>
                  <w:gridSpan w:val="2"/>
                  <w:vMerge/>
                  <w:vAlign w:val="center"/>
                </w:tcPr>
                <w:p w14:paraId="15133E34" w14:textId="77777777" w:rsidR="00236AB5" w:rsidRPr="008819AF" w:rsidRDefault="00236AB5" w:rsidP="00236AB5">
                  <w:pPr>
                    <w:rPr>
                      <w:b/>
                      <w:sz w:val="18"/>
                      <w:szCs w:val="18"/>
                    </w:rPr>
                  </w:pPr>
                </w:p>
              </w:tc>
              <w:tc>
                <w:tcPr>
                  <w:tcW w:w="3804" w:type="dxa"/>
                  <w:gridSpan w:val="3"/>
                  <w:vAlign w:val="center"/>
                </w:tcPr>
                <w:p w14:paraId="15133E35" w14:textId="77777777" w:rsidR="00236AB5" w:rsidRPr="008819AF" w:rsidRDefault="00236AB5" w:rsidP="00236AB5">
                  <w:pPr>
                    <w:pStyle w:val="Zkladntext20"/>
                    <w:spacing w:before="0" w:after="0"/>
                    <w:rPr>
                      <w:sz w:val="18"/>
                      <w:szCs w:val="18"/>
                    </w:rPr>
                  </w:pPr>
                  <w:r w:rsidRPr="008819AF">
                    <w:rPr>
                      <w:sz w:val="18"/>
                      <w:szCs w:val="18"/>
                    </w:rPr>
                    <w:t>C</w:t>
                  </w:r>
                  <w:r w:rsidRPr="008819AF">
                    <w:rPr>
                      <w:b/>
                      <w:sz w:val="18"/>
                      <w:szCs w:val="18"/>
                      <w:vertAlign w:val="subscript"/>
                    </w:rPr>
                    <w:t>proces</w:t>
                  </w:r>
                  <w:r w:rsidRPr="008819AF">
                    <w:rPr>
                      <w:sz w:val="18"/>
                      <w:szCs w:val="18"/>
                    </w:rPr>
                    <w:t xml:space="preserve">  sú  vyjadrené ako denné priemerné hodnoty.</w:t>
                  </w:r>
                </w:p>
                <w:p w14:paraId="15133E36" w14:textId="77777777" w:rsidR="00236AB5" w:rsidRPr="008819AF" w:rsidRDefault="00236AB5" w:rsidP="00236AB5">
                  <w:pPr>
                    <w:rPr>
                      <w:sz w:val="18"/>
                      <w:szCs w:val="18"/>
                    </w:rPr>
                  </w:pPr>
                  <w:r w:rsidRPr="008819AF">
                    <w:rPr>
                      <w:sz w:val="18"/>
                      <w:szCs w:val="18"/>
                    </w:rPr>
                    <w:t>Priemerné polhodinové hodnoty koncentrácie sú potrebné len na výpočet dennej priemernej hodnoty.</w:t>
                  </w:r>
                </w:p>
              </w:tc>
            </w:tr>
            <w:tr w:rsidR="00236AB5" w:rsidRPr="008819AF" w14:paraId="15133E3A" w14:textId="77777777" w:rsidTr="008D7960">
              <w:trPr>
                <w:trHeight w:val="414"/>
                <w:jc w:val="center"/>
              </w:trPr>
              <w:tc>
                <w:tcPr>
                  <w:tcW w:w="1306" w:type="dxa"/>
                  <w:gridSpan w:val="2"/>
                  <w:vAlign w:val="center"/>
                </w:tcPr>
                <w:p w14:paraId="15133E38" w14:textId="77777777" w:rsidR="00236AB5" w:rsidRPr="008819AF" w:rsidRDefault="00236AB5" w:rsidP="00236AB5">
                  <w:pPr>
                    <w:ind w:right="-288"/>
                    <w:rPr>
                      <w:b/>
                      <w:sz w:val="18"/>
                      <w:szCs w:val="18"/>
                    </w:rPr>
                  </w:pPr>
                  <w:r w:rsidRPr="008819AF">
                    <w:rPr>
                      <w:b/>
                      <w:sz w:val="18"/>
                      <w:szCs w:val="18"/>
                    </w:rPr>
                    <w:t>MTP</w:t>
                  </w:r>
                  <w:bookmarkStart w:id="1" w:name="OLE_LINK3"/>
                  <w:bookmarkStart w:id="2" w:name="OLE_LINK4"/>
                  <w:r w:rsidRPr="008819AF">
                    <w:rPr>
                      <w:b/>
                      <w:sz w:val="18"/>
                      <w:szCs w:val="18"/>
                    </w:rPr>
                    <w:t xml:space="preserve">   [MW]</w:t>
                  </w:r>
                  <w:bookmarkEnd w:id="1"/>
                  <w:bookmarkEnd w:id="2"/>
                </w:p>
              </w:tc>
              <w:tc>
                <w:tcPr>
                  <w:tcW w:w="3804" w:type="dxa"/>
                  <w:gridSpan w:val="3"/>
                  <w:vAlign w:val="center"/>
                </w:tcPr>
                <w:p w14:paraId="15133E39" w14:textId="77777777" w:rsidR="00236AB5" w:rsidRPr="008819AF" w:rsidRDefault="00236AB5" w:rsidP="00236AB5">
                  <w:pPr>
                    <w:jc w:val="center"/>
                    <w:rPr>
                      <w:sz w:val="18"/>
                      <w:szCs w:val="18"/>
                    </w:rPr>
                  </w:pPr>
                  <w:r w:rsidRPr="008819AF">
                    <w:rPr>
                      <w:b/>
                      <w:sz w:val="18"/>
                      <w:szCs w:val="18"/>
                    </w:rPr>
                    <w:t xml:space="preserve">C </w:t>
                  </w:r>
                  <w:r w:rsidRPr="008819AF">
                    <w:rPr>
                      <w:b/>
                      <w:sz w:val="18"/>
                      <w:szCs w:val="18"/>
                      <w:vertAlign w:val="subscript"/>
                    </w:rPr>
                    <w:t xml:space="preserve">proces </w:t>
                  </w:r>
                  <w:r w:rsidRPr="008819AF">
                    <w:rPr>
                      <w:b/>
                      <w:sz w:val="18"/>
                      <w:szCs w:val="18"/>
                    </w:rPr>
                    <w:sym w:font="Symbol" w:char="F05B"/>
                  </w:r>
                  <w:r w:rsidRPr="008819AF">
                    <w:rPr>
                      <w:b/>
                      <w:sz w:val="18"/>
                      <w:szCs w:val="18"/>
                    </w:rPr>
                    <w:t>mg/m</w:t>
                  </w:r>
                  <w:r w:rsidRPr="008819AF">
                    <w:rPr>
                      <w:b/>
                      <w:sz w:val="18"/>
                      <w:szCs w:val="18"/>
                      <w:vertAlign w:val="superscript"/>
                    </w:rPr>
                    <w:t>3</w:t>
                  </w:r>
                  <w:r w:rsidRPr="008819AF">
                    <w:rPr>
                      <w:b/>
                      <w:sz w:val="18"/>
                      <w:szCs w:val="18"/>
                    </w:rPr>
                    <w:sym w:font="Symbol" w:char="F05D"/>
                  </w:r>
                </w:p>
              </w:tc>
            </w:tr>
            <w:tr w:rsidR="00236AB5" w:rsidRPr="008819AF" w14:paraId="15133E40" w14:textId="77777777" w:rsidTr="008D7960">
              <w:trPr>
                <w:trHeight w:hRule="exact" w:val="397"/>
                <w:jc w:val="center"/>
              </w:trPr>
              <w:tc>
                <w:tcPr>
                  <w:tcW w:w="739" w:type="dxa"/>
                  <w:vAlign w:val="center"/>
                </w:tcPr>
                <w:p w14:paraId="15133E3B" w14:textId="77777777" w:rsidR="00236AB5" w:rsidRPr="008819AF" w:rsidRDefault="00236AB5" w:rsidP="00236AB5">
                  <w:pPr>
                    <w:jc w:val="center"/>
                    <w:rPr>
                      <w:sz w:val="18"/>
                      <w:szCs w:val="18"/>
                    </w:rPr>
                  </w:pPr>
                  <w:r w:rsidRPr="008819AF">
                    <w:rPr>
                      <w:sz w:val="18"/>
                      <w:szCs w:val="18"/>
                    </w:rPr>
                    <w:t>Od</w:t>
                  </w:r>
                </w:p>
              </w:tc>
              <w:tc>
                <w:tcPr>
                  <w:tcW w:w="567" w:type="dxa"/>
                  <w:vAlign w:val="center"/>
                </w:tcPr>
                <w:p w14:paraId="15133E3C" w14:textId="77777777" w:rsidR="00236AB5" w:rsidRPr="008819AF" w:rsidRDefault="00236AB5" w:rsidP="00236AB5">
                  <w:pPr>
                    <w:jc w:val="center"/>
                    <w:rPr>
                      <w:sz w:val="18"/>
                      <w:szCs w:val="18"/>
                    </w:rPr>
                  </w:pPr>
                  <w:r w:rsidRPr="008819AF">
                    <w:rPr>
                      <w:sz w:val="18"/>
                      <w:szCs w:val="18"/>
                    </w:rPr>
                    <w:t>do</w:t>
                  </w:r>
                </w:p>
              </w:tc>
              <w:tc>
                <w:tcPr>
                  <w:tcW w:w="1310" w:type="dxa"/>
                  <w:vAlign w:val="center"/>
                </w:tcPr>
                <w:p w14:paraId="15133E3D" w14:textId="77777777" w:rsidR="00236AB5" w:rsidRPr="008819AF" w:rsidRDefault="00236AB5" w:rsidP="00236AB5">
                  <w:pPr>
                    <w:ind w:right="-108"/>
                    <w:jc w:val="center"/>
                    <w:rPr>
                      <w:b/>
                      <w:sz w:val="18"/>
                      <w:szCs w:val="18"/>
                    </w:rPr>
                  </w:pPr>
                  <w:r w:rsidRPr="008819AF">
                    <w:rPr>
                      <w:b/>
                      <w:sz w:val="18"/>
                      <w:szCs w:val="18"/>
                    </w:rPr>
                    <w:t>TZL</w:t>
                  </w:r>
                </w:p>
              </w:tc>
              <w:tc>
                <w:tcPr>
                  <w:tcW w:w="1247" w:type="dxa"/>
                  <w:vAlign w:val="center"/>
                </w:tcPr>
                <w:p w14:paraId="15133E3E" w14:textId="77777777" w:rsidR="00236AB5" w:rsidRPr="008819AF" w:rsidRDefault="00236AB5" w:rsidP="00236AB5">
                  <w:pPr>
                    <w:ind w:left="139"/>
                    <w:jc w:val="center"/>
                    <w:rPr>
                      <w:b/>
                      <w:sz w:val="18"/>
                      <w:szCs w:val="18"/>
                    </w:rPr>
                  </w:pPr>
                  <w:r w:rsidRPr="008819AF">
                    <w:rPr>
                      <w:b/>
                      <w:sz w:val="18"/>
                      <w:szCs w:val="18"/>
                    </w:rPr>
                    <w:t>SO</w:t>
                  </w:r>
                  <w:r w:rsidRPr="008819AF">
                    <w:rPr>
                      <w:b/>
                      <w:sz w:val="18"/>
                      <w:szCs w:val="18"/>
                      <w:vertAlign w:val="subscript"/>
                    </w:rPr>
                    <w:t>2</w:t>
                  </w:r>
                </w:p>
              </w:tc>
              <w:tc>
                <w:tcPr>
                  <w:tcW w:w="1247" w:type="dxa"/>
                  <w:vAlign w:val="center"/>
                </w:tcPr>
                <w:p w14:paraId="15133E3F" w14:textId="77777777" w:rsidR="00236AB5" w:rsidRPr="008819AF" w:rsidRDefault="00236AB5" w:rsidP="00236AB5">
                  <w:pPr>
                    <w:ind w:right="-91"/>
                    <w:jc w:val="center"/>
                    <w:rPr>
                      <w:b/>
                      <w:sz w:val="18"/>
                      <w:szCs w:val="18"/>
                    </w:rPr>
                  </w:pPr>
                  <w:r w:rsidRPr="008819AF">
                    <w:rPr>
                      <w:b/>
                      <w:sz w:val="18"/>
                      <w:szCs w:val="18"/>
                    </w:rPr>
                    <w:t>NOx</w:t>
                  </w:r>
                </w:p>
              </w:tc>
            </w:tr>
            <w:tr w:rsidR="00236AB5" w:rsidRPr="008819AF" w14:paraId="15133E42" w14:textId="77777777" w:rsidTr="008D7960">
              <w:trPr>
                <w:trHeight w:hRule="exact" w:val="323"/>
                <w:jc w:val="center"/>
              </w:trPr>
              <w:tc>
                <w:tcPr>
                  <w:tcW w:w="5110" w:type="dxa"/>
                  <w:gridSpan w:val="5"/>
                  <w:vAlign w:val="center"/>
                </w:tcPr>
                <w:p w14:paraId="15133E41" w14:textId="77777777" w:rsidR="00236AB5" w:rsidRPr="008819AF" w:rsidRDefault="00236AB5" w:rsidP="00236AB5">
                  <w:pPr>
                    <w:ind w:left="34"/>
                    <w:jc w:val="center"/>
                    <w:rPr>
                      <w:b/>
                      <w:sz w:val="18"/>
                      <w:szCs w:val="18"/>
                    </w:rPr>
                  </w:pPr>
                  <w:r w:rsidRPr="008819AF">
                    <w:rPr>
                      <w:b/>
                      <w:sz w:val="18"/>
                      <w:szCs w:val="18"/>
                    </w:rPr>
                    <w:t>C</w:t>
                  </w:r>
                  <w:r w:rsidRPr="008819AF">
                    <w:rPr>
                      <w:b/>
                      <w:sz w:val="18"/>
                      <w:szCs w:val="18"/>
                      <w:vertAlign w:val="subscript"/>
                    </w:rPr>
                    <w:t xml:space="preserve">proces </w:t>
                  </w:r>
                  <w:r w:rsidRPr="008819AF">
                    <w:rPr>
                      <w:b/>
                      <w:sz w:val="18"/>
                      <w:szCs w:val="18"/>
                    </w:rPr>
                    <w:t>pre veľké spaľovacie zariadenia</w:t>
                  </w:r>
                </w:p>
              </w:tc>
            </w:tr>
            <w:tr w:rsidR="00236AB5" w:rsidRPr="008819AF" w14:paraId="15133E45" w14:textId="77777777" w:rsidTr="008D7960">
              <w:trPr>
                <w:trHeight w:val="340"/>
                <w:jc w:val="center"/>
              </w:trPr>
              <w:tc>
                <w:tcPr>
                  <w:tcW w:w="739" w:type="dxa"/>
                  <w:vAlign w:val="center"/>
                </w:tcPr>
                <w:p w14:paraId="15133E43" w14:textId="77777777" w:rsidR="00236AB5" w:rsidRPr="008819AF" w:rsidRDefault="00236AB5" w:rsidP="00236AB5">
                  <w:pPr>
                    <w:jc w:val="center"/>
                    <w:rPr>
                      <w:b/>
                      <w:sz w:val="18"/>
                      <w:szCs w:val="18"/>
                    </w:rPr>
                  </w:pPr>
                  <w:r w:rsidRPr="008819AF">
                    <w:rPr>
                      <w:b/>
                      <w:sz w:val="18"/>
                      <w:szCs w:val="18"/>
                    </w:rPr>
                    <w:t>A.2</w:t>
                  </w:r>
                </w:p>
              </w:tc>
              <w:tc>
                <w:tcPr>
                  <w:tcW w:w="4371" w:type="dxa"/>
                  <w:gridSpan w:val="4"/>
                  <w:vAlign w:val="center"/>
                </w:tcPr>
                <w:p w14:paraId="15133E44" w14:textId="77777777" w:rsidR="00236AB5" w:rsidRPr="008819AF" w:rsidRDefault="00236AB5" w:rsidP="00236AB5">
                  <w:pPr>
                    <w:ind w:left="34"/>
                    <w:rPr>
                      <w:b/>
                      <w:sz w:val="18"/>
                      <w:szCs w:val="18"/>
                    </w:rPr>
                  </w:pPr>
                  <w:r w:rsidRPr="008819AF">
                    <w:rPr>
                      <w:b/>
                      <w:sz w:val="18"/>
                      <w:szCs w:val="18"/>
                    </w:rPr>
                    <w:t>C</w:t>
                  </w:r>
                  <w:r w:rsidRPr="008819AF">
                    <w:rPr>
                      <w:b/>
                      <w:sz w:val="18"/>
                      <w:szCs w:val="18"/>
                      <w:vertAlign w:val="subscript"/>
                    </w:rPr>
                    <w:t>proces</w:t>
                  </w:r>
                  <w:r w:rsidRPr="008819AF">
                    <w:rPr>
                      <w:b/>
                      <w:sz w:val="18"/>
                      <w:szCs w:val="18"/>
                    </w:rPr>
                    <w:t xml:space="preserve"> pre veľké spaľovacie zariadenia začlenené ako jestvujúce zariadenia</w:t>
                  </w:r>
                  <w:r w:rsidRPr="008819AF">
                    <w:rPr>
                      <w:b/>
                      <w:sz w:val="18"/>
                      <w:szCs w:val="18"/>
                      <w:vertAlign w:val="superscript"/>
                    </w:rPr>
                    <w:t>1</w:t>
                  </w:r>
                  <w:r w:rsidRPr="008819AF">
                    <w:rPr>
                      <w:b/>
                      <w:sz w:val="18"/>
                      <w:szCs w:val="18"/>
                    </w:rPr>
                    <w:t>)</w:t>
                  </w:r>
                </w:p>
              </w:tc>
            </w:tr>
            <w:tr w:rsidR="00236AB5" w:rsidRPr="008819AF" w14:paraId="15133E4B" w14:textId="77777777" w:rsidTr="008D7960">
              <w:trPr>
                <w:trHeight w:val="340"/>
                <w:jc w:val="center"/>
              </w:trPr>
              <w:tc>
                <w:tcPr>
                  <w:tcW w:w="739" w:type="dxa"/>
                  <w:vAlign w:val="center"/>
                </w:tcPr>
                <w:p w14:paraId="15133E46" w14:textId="77777777" w:rsidR="00236AB5" w:rsidRPr="008819AF" w:rsidRDefault="00236AB5" w:rsidP="00236AB5">
                  <w:pPr>
                    <w:jc w:val="center"/>
                    <w:rPr>
                      <w:sz w:val="18"/>
                      <w:szCs w:val="18"/>
                    </w:rPr>
                  </w:pPr>
                  <w:r w:rsidRPr="008819AF">
                    <w:rPr>
                      <w:sz w:val="18"/>
                      <w:szCs w:val="18"/>
                    </w:rPr>
                    <w:t>&gt; 50</w:t>
                  </w:r>
                </w:p>
              </w:tc>
              <w:tc>
                <w:tcPr>
                  <w:tcW w:w="567" w:type="dxa"/>
                  <w:vAlign w:val="center"/>
                </w:tcPr>
                <w:p w14:paraId="15133E47" w14:textId="77777777" w:rsidR="00236AB5" w:rsidRPr="008819AF" w:rsidRDefault="00236AB5" w:rsidP="00236AB5">
                  <w:pPr>
                    <w:ind w:right="-109" w:hanging="108"/>
                    <w:jc w:val="center"/>
                    <w:rPr>
                      <w:sz w:val="18"/>
                      <w:szCs w:val="18"/>
                    </w:rPr>
                  </w:pPr>
                  <w:r w:rsidRPr="008819AF">
                    <w:rPr>
                      <w:sz w:val="18"/>
                      <w:szCs w:val="18"/>
                    </w:rPr>
                    <w:sym w:font="Symbol" w:char="F0A3"/>
                  </w:r>
                  <w:r w:rsidRPr="008819AF">
                    <w:rPr>
                      <w:sz w:val="18"/>
                      <w:szCs w:val="18"/>
                    </w:rPr>
                    <w:t xml:space="preserve"> 100</w:t>
                  </w:r>
                </w:p>
              </w:tc>
              <w:tc>
                <w:tcPr>
                  <w:tcW w:w="1310" w:type="dxa"/>
                  <w:vAlign w:val="center"/>
                </w:tcPr>
                <w:p w14:paraId="15133E48" w14:textId="77777777" w:rsidR="00236AB5" w:rsidRPr="008819AF" w:rsidRDefault="00236AB5" w:rsidP="00236AB5">
                  <w:pPr>
                    <w:jc w:val="center"/>
                    <w:rPr>
                      <w:sz w:val="18"/>
                      <w:szCs w:val="18"/>
                    </w:rPr>
                  </w:pPr>
                  <w:r w:rsidRPr="008819AF">
                    <w:rPr>
                      <w:sz w:val="18"/>
                      <w:szCs w:val="18"/>
                    </w:rPr>
                    <w:t>30</w:t>
                  </w:r>
                </w:p>
              </w:tc>
              <w:tc>
                <w:tcPr>
                  <w:tcW w:w="1247" w:type="dxa"/>
                  <w:vAlign w:val="center"/>
                </w:tcPr>
                <w:p w14:paraId="15133E49" w14:textId="77777777" w:rsidR="00236AB5" w:rsidRPr="008819AF" w:rsidRDefault="00236AB5" w:rsidP="00236AB5">
                  <w:pPr>
                    <w:jc w:val="center"/>
                    <w:rPr>
                      <w:sz w:val="18"/>
                      <w:szCs w:val="18"/>
                    </w:rPr>
                  </w:pPr>
                  <w:r w:rsidRPr="008819AF">
                    <w:rPr>
                      <w:sz w:val="18"/>
                      <w:szCs w:val="18"/>
                    </w:rPr>
                    <w:t>350</w:t>
                  </w:r>
                </w:p>
              </w:tc>
              <w:tc>
                <w:tcPr>
                  <w:tcW w:w="1247" w:type="dxa"/>
                  <w:vAlign w:val="center"/>
                </w:tcPr>
                <w:p w14:paraId="15133E4A" w14:textId="77777777" w:rsidR="00236AB5" w:rsidRPr="008819AF" w:rsidRDefault="00236AB5" w:rsidP="00236AB5">
                  <w:pPr>
                    <w:jc w:val="center"/>
                    <w:rPr>
                      <w:sz w:val="18"/>
                      <w:szCs w:val="18"/>
                    </w:rPr>
                  </w:pPr>
                  <w:r w:rsidRPr="008819AF">
                    <w:rPr>
                      <w:sz w:val="18"/>
                      <w:szCs w:val="18"/>
                    </w:rPr>
                    <w:t>400</w:t>
                  </w:r>
                </w:p>
              </w:tc>
            </w:tr>
            <w:tr w:rsidR="00236AB5" w:rsidRPr="008819AF" w14:paraId="15133E51" w14:textId="77777777" w:rsidTr="008D7960">
              <w:trPr>
                <w:trHeight w:val="340"/>
                <w:jc w:val="center"/>
              </w:trPr>
              <w:tc>
                <w:tcPr>
                  <w:tcW w:w="739" w:type="dxa"/>
                  <w:vAlign w:val="center"/>
                </w:tcPr>
                <w:p w14:paraId="15133E4C" w14:textId="77777777" w:rsidR="00236AB5" w:rsidRPr="008819AF" w:rsidRDefault="00236AB5" w:rsidP="00236AB5">
                  <w:pPr>
                    <w:jc w:val="center"/>
                    <w:rPr>
                      <w:sz w:val="18"/>
                      <w:szCs w:val="18"/>
                    </w:rPr>
                  </w:pPr>
                  <w:r w:rsidRPr="008819AF">
                    <w:rPr>
                      <w:sz w:val="18"/>
                      <w:szCs w:val="18"/>
                    </w:rPr>
                    <w:t>&gt; 100</w:t>
                  </w:r>
                </w:p>
              </w:tc>
              <w:tc>
                <w:tcPr>
                  <w:tcW w:w="567" w:type="dxa"/>
                  <w:vAlign w:val="center"/>
                </w:tcPr>
                <w:p w14:paraId="15133E4D" w14:textId="77777777" w:rsidR="00236AB5" w:rsidRPr="008819AF" w:rsidRDefault="00236AB5" w:rsidP="00236AB5">
                  <w:pPr>
                    <w:ind w:right="-109" w:hanging="108"/>
                    <w:jc w:val="center"/>
                    <w:rPr>
                      <w:sz w:val="18"/>
                      <w:szCs w:val="18"/>
                    </w:rPr>
                  </w:pPr>
                  <w:r w:rsidRPr="008819AF">
                    <w:rPr>
                      <w:sz w:val="18"/>
                      <w:szCs w:val="18"/>
                    </w:rPr>
                    <w:sym w:font="Symbol" w:char="F0A3"/>
                  </w:r>
                  <w:r w:rsidRPr="008819AF">
                    <w:rPr>
                      <w:sz w:val="18"/>
                      <w:szCs w:val="18"/>
                    </w:rPr>
                    <w:t xml:space="preserve"> 300</w:t>
                  </w:r>
                </w:p>
              </w:tc>
              <w:tc>
                <w:tcPr>
                  <w:tcW w:w="1310" w:type="dxa"/>
                  <w:vAlign w:val="center"/>
                </w:tcPr>
                <w:p w14:paraId="15133E4E" w14:textId="77777777" w:rsidR="00236AB5" w:rsidRPr="008819AF" w:rsidRDefault="00236AB5" w:rsidP="00236AB5">
                  <w:pPr>
                    <w:jc w:val="center"/>
                    <w:rPr>
                      <w:sz w:val="18"/>
                      <w:szCs w:val="18"/>
                    </w:rPr>
                  </w:pPr>
                  <w:r w:rsidRPr="008819AF">
                    <w:rPr>
                      <w:sz w:val="18"/>
                      <w:szCs w:val="18"/>
                    </w:rPr>
                    <w:t>25</w:t>
                  </w:r>
                </w:p>
              </w:tc>
              <w:tc>
                <w:tcPr>
                  <w:tcW w:w="1247" w:type="dxa"/>
                  <w:vAlign w:val="center"/>
                </w:tcPr>
                <w:p w14:paraId="15133E4F" w14:textId="77777777" w:rsidR="00236AB5" w:rsidRPr="008819AF" w:rsidRDefault="00236AB5" w:rsidP="00236AB5">
                  <w:pPr>
                    <w:jc w:val="center"/>
                    <w:rPr>
                      <w:sz w:val="18"/>
                      <w:szCs w:val="18"/>
                    </w:rPr>
                  </w:pPr>
                  <w:r w:rsidRPr="008819AF">
                    <w:rPr>
                      <w:sz w:val="18"/>
                      <w:szCs w:val="18"/>
                    </w:rPr>
                    <w:t>250</w:t>
                  </w:r>
                </w:p>
              </w:tc>
              <w:tc>
                <w:tcPr>
                  <w:tcW w:w="1247" w:type="dxa"/>
                  <w:vAlign w:val="center"/>
                </w:tcPr>
                <w:p w14:paraId="15133E50" w14:textId="77777777" w:rsidR="00236AB5" w:rsidRPr="008819AF" w:rsidRDefault="00236AB5" w:rsidP="00236AB5">
                  <w:pPr>
                    <w:jc w:val="center"/>
                    <w:rPr>
                      <w:sz w:val="18"/>
                      <w:szCs w:val="18"/>
                    </w:rPr>
                  </w:pPr>
                  <w:r w:rsidRPr="008819AF">
                    <w:rPr>
                      <w:sz w:val="18"/>
                      <w:szCs w:val="18"/>
                    </w:rPr>
                    <w:t>200</w:t>
                  </w:r>
                </w:p>
              </w:tc>
            </w:tr>
            <w:tr w:rsidR="00236AB5" w:rsidRPr="008819AF" w14:paraId="15133E57" w14:textId="77777777" w:rsidTr="008D7960">
              <w:trPr>
                <w:trHeight w:val="340"/>
                <w:jc w:val="center"/>
              </w:trPr>
              <w:tc>
                <w:tcPr>
                  <w:tcW w:w="739" w:type="dxa"/>
                  <w:vAlign w:val="center"/>
                </w:tcPr>
                <w:p w14:paraId="15133E52" w14:textId="77777777" w:rsidR="00236AB5" w:rsidRPr="008819AF" w:rsidRDefault="00236AB5" w:rsidP="00236AB5">
                  <w:pPr>
                    <w:jc w:val="center"/>
                    <w:rPr>
                      <w:sz w:val="18"/>
                      <w:szCs w:val="18"/>
                    </w:rPr>
                  </w:pPr>
                  <w:r w:rsidRPr="008819AF">
                    <w:rPr>
                      <w:sz w:val="18"/>
                      <w:szCs w:val="18"/>
                    </w:rPr>
                    <w:t>&gt; 300</w:t>
                  </w:r>
                </w:p>
              </w:tc>
              <w:tc>
                <w:tcPr>
                  <w:tcW w:w="567" w:type="dxa"/>
                  <w:vAlign w:val="center"/>
                </w:tcPr>
                <w:p w14:paraId="15133E53" w14:textId="77777777" w:rsidR="00236AB5" w:rsidRPr="008819AF" w:rsidRDefault="00236AB5" w:rsidP="00236AB5">
                  <w:pPr>
                    <w:jc w:val="center"/>
                    <w:rPr>
                      <w:sz w:val="18"/>
                      <w:szCs w:val="18"/>
                    </w:rPr>
                  </w:pPr>
                  <w:r w:rsidRPr="008819AF">
                    <w:rPr>
                      <w:sz w:val="18"/>
                      <w:szCs w:val="18"/>
                    </w:rPr>
                    <w:t>-</w:t>
                  </w:r>
                </w:p>
              </w:tc>
              <w:tc>
                <w:tcPr>
                  <w:tcW w:w="1310" w:type="dxa"/>
                  <w:vAlign w:val="center"/>
                </w:tcPr>
                <w:p w14:paraId="15133E54" w14:textId="77777777" w:rsidR="00236AB5" w:rsidRPr="008819AF" w:rsidRDefault="00236AB5" w:rsidP="00236AB5">
                  <w:pPr>
                    <w:jc w:val="center"/>
                    <w:rPr>
                      <w:sz w:val="18"/>
                      <w:szCs w:val="18"/>
                    </w:rPr>
                  </w:pPr>
                  <w:r w:rsidRPr="008819AF">
                    <w:rPr>
                      <w:sz w:val="18"/>
                      <w:szCs w:val="18"/>
                    </w:rPr>
                    <w:t>20</w:t>
                  </w:r>
                </w:p>
              </w:tc>
              <w:tc>
                <w:tcPr>
                  <w:tcW w:w="1247" w:type="dxa"/>
                  <w:vAlign w:val="center"/>
                </w:tcPr>
                <w:p w14:paraId="15133E55" w14:textId="77777777" w:rsidR="00236AB5" w:rsidRPr="008819AF" w:rsidRDefault="00236AB5" w:rsidP="00236AB5">
                  <w:pPr>
                    <w:jc w:val="center"/>
                    <w:rPr>
                      <w:sz w:val="18"/>
                      <w:szCs w:val="18"/>
                    </w:rPr>
                  </w:pPr>
                  <w:r w:rsidRPr="008819AF">
                    <w:rPr>
                      <w:sz w:val="18"/>
                      <w:szCs w:val="18"/>
                    </w:rPr>
                    <w:t>200</w:t>
                  </w:r>
                </w:p>
              </w:tc>
              <w:tc>
                <w:tcPr>
                  <w:tcW w:w="1247" w:type="dxa"/>
                  <w:vAlign w:val="center"/>
                </w:tcPr>
                <w:p w14:paraId="15133E56" w14:textId="77777777" w:rsidR="00236AB5" w:rsidRPr="008819AF" w:rsidRDefault="00236AB5" w:rsidP="00236AB5">
                  <w:pPr>
                    <w:jc w:val="center"/>
                    <w:rPr>
                      <w:sz w:val="18"/>
                      <w:szCs w:val="18"/>
                    </w:rPr>
                  </w:pPr>
                  <w:r w:rsidRPr="008819AF">
                    <w:rPr>
                      <w:sz w:val="18"/>
                      <w:szCs w:val="18"/>
                    </w:rPr>
                    <w:t>150</w:t>
                  </w:r>
                </w:p>
              </w:tc>
            </w:tr>
            <w:tr w:rsidR="00236AB5" w:rsidRPr="008819AF" w14:paraId="15133E5A" w14:textId="77777777" w:rsidTr="008D7960">
              <w:trPr>
                <w:trHeight w:val="340"/>
                <w:jc w:val="center"/>
              </w:trPr>
              <w:tc>
                <w:tcPr>
                  <w:tcW w:w="739" w:type="dxa"/>
                  <w:vAlign w:val="center"/>
                </w:tcPr>
                <w:p w14:paraId="15133E58" w14:textId="77777777" w:rsidR="00236AB5" w:rsidRPr="008819AF" w:rsidRDefault="00236AB5" w:rsidP="00236AB5">
                  <w:pPr>
                    <w:jc w:val="center"/>
                    <w:rPr>
                      <w:b/>
                      <w:sz w:val="18"/>
                      <w:szCs w:val="18"/>
                    </w:rPr>
                  </w:pPr>
                  <w:r w:rsidRPr="008819AF">
                    <w:rPr>
                      <w:b/>
                      <w:sz w:val="18"/>
                      <w:szCs w:val="18"/>
                    </w:rPr>
                    <w:t xml:space="preserve">B. </w:t>
                  </w:r>
                </w:p>
              </w:tc>
              <w:tc>
                <w:tcPr>
                  <w:tcW w:w="4371" w:type="dxa"/>
                  <w:gridSpan w:val="4"/>
                  <w:vAlign w:val="center"/>
                </w:tcPr>
                <w:p w14:paraId="15133E59" w14:textId="77777777" w:rsidR="00236AB5" w:rsidRPr="008819AF" w:rsidRDefault="00236AB5" w:rsidP="00236AB5">
                  <w:pPr>
                    <w:tabs>
                      <w:tab w:val="left" w:pos="175"/>
                    </w:tabs>
                    <w:rPr>
                      <w:b/>
                      <w:sz w:val="18"/>
                      <w:szCs w:val="18"/>
                    </w:rPr>
                  </w:pPr>
                  <w:r w:rsidRPr="008819AF">
                    <w:rPr>
                      <w:b/>
                      <w:sz w:val="18"/>
                      <w:szCs w:val="18"/>
                    </w:rPr>
                    <w:t>C</w:t>
                  </w:r>
                  <w:r w:rsidRPr="008819AF">
                    <w:rPr>
                      <w:b/>
                      <w:sz w:val="18"/>
                      <w:szCs w:val="18"/>
                      <w:vertAlign w:val="subscript"/>
                    </w:rPr>
                    <w:t>proces</w:t>
                  </w:r>
                  <w:r w:rsidRPr="008819AF">
                    <w:rPr>
                      <w:b/>
                      <w:sz w:val="18"/>
                      <w:szCs w:val="18"/>
                    </w:rPr>
                    <w:t xml:space="preserve"> pre veľké spaľovacie zariadenia začlenené ako nové zariadenia</w:t>
                  </w:r>
                  <w:r w:rsidRPr="008819AF">
                    <w:rPr>
                      <w:b/>
                      <w:sz w:val="18"/>
                      <w:szCs w:val="18"/>
                      <w:vertAlign w:val="superscript"/>
                    </w:rPr>
                    <w:t>1</w:t>
                  </w:r>
                  <w:r w:rsidRPr="008819AF">
                    <w:rPr>
                      <w:b/>
                      <w:sz w:val="18"/>
                      <w:szCs w:val="18"/>
                    </w:rPr>
                    <w:t>)</w:t>
                  </w:r>
                </w:p>
              </w:tc>
            </w:tr>
            <w:tr w:rsidR="00236AB5" w:rsidRPr="008819AF" w14:paraId="15133E60" w14:textId="77777777" w:rsidTr="008D7960">
              <w:trPr>
                <w:trHeight w:val="340"/>
                <w:jc w:val="center"/>
              </w:trPr>
              <w:tc>
                <w:tcPr>
                  <w:tcW w:w="739" w:type="dxa"/>
                  <w:vAlign w:val="center"/>
                </w:tcPr>
                <w:p w14:paraId="15133E5B" w14:textId="77777777" w:rsidR="00236AB5" w:rsidRPr="008819AF" w:rsidRDefault="00236AB5" w:rsidP="00236AB5">
                  <w:pPr>
                    <w:jc w:val="center"/>
                    <w:rPr>
                      <w:sz w:val="18"/>
                      <w:szCs w:val="18"/>
                    </w:rPr>
                  </w:pPr>
                  <w:r w:rsidRPr="008819AF">
                    <w:rPr>
                      <w:sz w:val="18"/>
                      <w:szCs w:val="18"/>
                    </w:rPr>
                    <w:t>&gt; 50</w:t>
                  </w:r>
                </w:p>
              </w:tc>
              <w:tc>
                <w:tcPr>
                  <w:tcW w:w="567" w:type="dxa"/>
                  <w:vAlign w:val="center"/>
                </w:tcPr>
                <w:p w14:paraId="15133E5C" w14:textId="77777777" w:rsidR="00236AB5" w:rsidRPr="008819AF" w:rsidRDefault="00236AB5" w:rsidP="00236AB5">
                  <w:pPr>
                    <w:ind w:right="-109" w:hanging="108"/>
                    <w:jc w:val="center"/>
                    <w:rPr>
                      <w:sz w:val="18"/>
                      <w:szCs w:val="18"/>
                    </w:rPr>
                  </w:pPr>
                  <w:r w:rsidRPr="008819AF">
                    <w:rPr>
                      <w:sz w:val="18"/>
                      <w:szCs w:val="18"/>
                    </w:rPr>
                    <w:sym w:font="Symbol" w:char="F0A3"/>
                  </w:r>
                  <w:r w:rsidRPr="008819AF">
                    <w:rPr>
                      <w:sz w:val="18"/>
                      <w:szCs w:val="18"/>
                    </w:rPr>
                    <w:t xml:space="preserve"> 100</w:t>
                  </w:r>
                </w:p>
              </w:tc>
              <w:tc>
                <w:tcPr>
                  <w:tcW w:w="1310" w:type="dxa"/>
                  <w:vAlign w:val="center"/>
                </w:tcPr>
                <w:p w14:paraId="15133E5D" w14:textId="77777777" w:rsidR="00236AB5" w:rsidRPr="008819AF" w:rsidRDefault="00236AB5" w:rsidP="00236AB5">
                  <w:pPr>
                    <w:jc w:val="center"/>
                    <w:rPr>
                      <w:sz w:val="18"/>
                      <w:szCs w:val="18"/>
                    </w:rPr>
                  </w:pPr>
                  <w:r w:rsidRPr="008819AF">
                    <w:rPr>
                      <w:sz w:val="18"/>
                      <w:szCs w:val="18"/>
                    </w:rPr>
                    <w:t>20</w:t>
                  </w:r>
                </w:p>
              </w:tc>
              <w:tc>
                <w:tcPr>
                  <w:tcW w:w="1247" w:type="dxa"/>
                  <w:vAlign w:val="center"/>
                </w:tcPr>
                <w:p w14:paraId="15133E5E" w14:textId="77777777" w:rsidR="00236AB5" w:rsidRPr="008819AF" w:rsidRDefault="00236AB5" w:rsidP="00236AB5">
                  <w:pPr>
                    <w:jc w:val="center"/>
                    <w:rPr>
                      <w:sz w:val="18"/>
                      <w:szCs w:val="18"/>
                    </w:rPr>
                  </w:pPr>
                  <w:r w:rsidRPr="008819AF">
                    <w:rPr>
                      <w:sz w:val="18"/>
                      <w:szCs w:val="18"/>
                    </w:rPr>
                    <w:t>350</w:t>
                  </w:r>
                </w:p>
              </w:tc>
              <w:tc>
                <w:tcPr>
                  <w:tcW w:w="1247" w:type="dxa"/>
                  <w:vAlign w:val="center"/>
                </w:tcPr>
                <w:p w14:paraId="15133E5F" w14:textId="77777777" w:rsidR="00236AB5" w:rsidRPr="008819AF" w:rsidRDefault="00236AB5" w:rsidP="00236AB5">
                  <w:pPr>
                    <w:jc w:val="center"/>
                    <w:rPr>
                      <w:sz w:val="18"/>
                      <w:szCs w:val="18"/>
                    </w:rPr>
                  </w:pPr>
                  <w:r w:rsidRPr="008819AF">
                    <w:rPr>
                      <w:sz w:val="18"/>
                      <w:szCs w:val="18"/>
                    </w:rPr>
                    <w:t>300</w:t>
                  </w:r>
                </w:p>
              </w:tc>
            </w:tr>
            <w:tr w:rsidR="00236AB5" w:rsidRPr="008819AF" w14:paraId="15133E66" w14:textId="77777777" w:rsidTr="008D7960">
              <w:trPr>
                <w:trHeight w:val="340"/>
                <w:jc w:val="center"/>
              </w:trPr>
              <w:tc>
                <w:tcPr>
                  <w:tcW w:w="739" w:type="dxa"/>
                  <w:vAlign w:val="center"/>
                </w:tcPr>
                <w:p w14:paraId="15133E61" w14:textId="77777777" w:rsidR="00236AB5" w:rsidRPr="008819AF" w:rsidRDefault="00236AB5" w:rsidP="00236AB5">
                  <w:pPr>
                    <w:jc w:val="center"/>
                    <w:rPr>
                      <w:sz w:val="18"/>
                      <w:szCs w:val="18"/>
                    </w:rPr>
                  </w:pPr>
                  <w:r w:rsidRPr="008819AF">
                    <w:rPr>
                      <w:sz w:val="18"/>
                      <w:szCs w:val="18"/>
                    </w:rPr>
                    <w:t>&gt; 100</w:t>
                  </w:r>
                </w:p>
              </w:tc>
              <w:tc>
                <w:tcPr>
                  <w:tcW w:w="567" w:type="dxa"/>
                  <w:vAlign w:val="center"/>
                </w:tcPr>
                <w:p w14:paraId="15133E62" w14:textId="77777777" w:rsidR="00236AB5" w:rsidRPr="008819AF" w:rsidRDefault="00236AB5" w:rsidP="00236AB5">
                  <w:pPr>
                    <w:ind w:right="-109" w:hanging="108"/>
                    <w:jc w:val="center"/>
                    <w:rPr>
                      <w:sz w:val="18"/>
                      <w:szCs w:val="18"/>
                    </w:rPr>
                  </w:pPr>
                  <w:r w:rsidRPr="008819AF">
                    <w:rPr>
                      <w:sz w:val="18"/>
                      <w:szCs w:val="18"/>
                    </w:rPr>
                    <w:sym w:font="Symbol" w:char="F0A3"/>
                  </w:r>
                  <w:r w:rsidRPr="008819AF">
                    <w:rPr>
                      <w:sz w:val="18"/>
                      <w:szCs w:val="18"/>
                    </w:rPr>
                    <w:t xml:space="preserve"> 300</w:t>
                  </w:r>
                </w:p>
              </w:tc>
              <w:tc>
                <w:tcPr>
                  <w:tcW w:w="1310" w:type="dxa"/>
                  <w:vAlign w:val="center"/>
                </w:tcPr>
                <w:p w14:paraId="15133E63" w14:textId="77777777" w:rsidR="00236AB5" w:rsidRPr="008819AF" w:rsidRDefault="00236AB5" w:rsidP="00236AB5">
                  <w:pPr>
                    <w:jc w:val="center"/>
                    <w:rPr>
                      <w:sz w:val="18"/>
                      <w:szCs w:val="18"/>
                    </w:rPr>
                  </w:pPr>
                  <w:r w:rsidRPr="008819AF">
                    <w:rPr>
                      <w:sz w:val="18"/>
                      <w:szCs w:val="18"/>
                    </w:rPr>
                    <w:t>20</w:t>
                  </w:r>
                </w:p>
              </w:tc>
              <w:tc>
                <w:tcPr>
                  <w:tcW w:w="1247" w:type="dxa"/>
                  <w:vAlign w:val="center"/>
                </w:tcPr>
                <w:p w14:paraId="15133E64" w14:textId="77777777" w:rsidR="00236AB5" w:rsidRPr="008819AF" w:rsidRDefault="00236AB5" w:rsidP="00236AB5">
                  <w:pPr>
                    <w:jc w:val="center"/>
                    <w:rPr>
                      <w:sz w:val="18"/>
                      <w:szCs w:val="18"/>
                    </w:rPr>
                  </w:pPr>
                  <w:r w:rsidRPr="008819AF">
                    <w:rPr>
                      <w:sz w:val="18"/>
                      <w:szCs w:val="18"/>
                    </w:rPr>
                    <w:t>200</w:t>
                  </w:r>
                </w:p>
              </w:tc>
              <w:tc>
                <w:tcPr>
                  <w:tcW w:w="1247" w:type="dxa"/>
                  <w:vAlign w:val="center"/>
                </w:tcPr>
                <w:p w14:paraId="15133E65" w14:textId="77777777" w:rsidR="00236AB5" w:rsidRPr="008819AF" w:rsidRDefault="00236AB5" w:rsidP="00236AB5">
                  <w:pPr>
                    <w:jc w:val="center"/>
                    <w:rPr>
                      <w:sz w:val="18"/>
                      <w:szCs w:val="18"/>
                    </w:rPr>
                  </w:pPr>
                  <w:r w:rsidRPr="008819AF">
                    <w:rPr>
                      <w:sz w:val="18"/>
                      <w:szCs w:val="18"/>
                    </w:rPr>
                    <w:t>150</w:t>
                  </w:r>
                </w:p>
              </w:tc>
            </w:tr>
            <w:tr w:rsidR="00236AB5" w:rsidRPr="008819AF" w14:paraId="15133E6C" w14:textId="77777777" w:rsidTr="008D7960">
              <w:trPr>
                <w:trHeight w:val="340"/>
                <w:jc w:val="center"/>
              </w:trPr>
              <w:tc>
                <w:tcPr>
                  <w:tcW w:w="739" w:type="dxa"/>
                  <w:vAlign w:val="center"/>
                </w:tcPr>
                <w:p w14:paraId="15133E67" w14:textId="77777777" w:rsidR="00236AB5" w:rsidRPr="008819AF" w:rsidRDefault="00236AB5" w:rsidP="00236AB5">
                  <w:pPr>
                    <w:jc w:val="center"/>
                    <w:rPr>
                      <w:sz w:val="18"/>
                      <w:szCs w:val="18"/>
                    </w:rPr>
                  </w:pPr>
                  <w:r w:rsidRPr="008819AF">
                    <w:rPr>
                      <w:sz w:val="18"/>
                      <w:szCs w:val="18"/>
                    </w:rPr>
                    <w:t>&gt; 300</w:t>
                  </w:r>
                </w:p>
              </w:tc>
              <w:tc>
                <w:tcPr>
                  <w:tcW w:w="567" w:type="dxa"/>
                  <w:vAlign w:val="center"/>
                </w:tcPr>
                <w:p w14:paraId="15133E68" w14:textId="77777777" w:rsidR="00236AB5" w:rsidRPr="008819AF" w:rsidRDefault="00236AB5" w:rsidP="00236AB5">
                  <w:pPr>
                    <w:jc w:val="center"/>
                    <w:rPr>
                      <w:sz w:val="18"/>
                      <w:szCs w:val="18"/>
                    </w:rPr>
                  </w:pPr>
                  <w:r w:rsidRPr="008819AF">
                    <w:rPr>
                      <w:sz w:val="18"/>
                      <w:szCs w:val="18"/>
                    </w:rPr>
                    <w:t>-</w:t>
                  </w:r>
                </w:p>
              </w:tc>
              <w:tc>
                <w:tcPr>
                  <w:tcW w:w="1310" w:type="dxa"/>
                  <w:vAlign w:val="center"/>
                </w:tcPr>
                <w:p w14:paraId="15133E69" w14:textId="77777777" w:rsidR="00236AB5" w:rsidRPr="008819AF" w:rsidRDefault="00236AB5" w:rsidP="00236AB5">
                  <w:pPr>
                    <w:jc w:val="center"/>
                    <w:rPr>
                      <w:sz w:val="18"/>
                      <w:szCs w:val="18"/>
                    </w:rPr>
                  </w:pPr>
                  <w:r w:rsidRPr="008819AF">
                    <w:rPr>
                      <w:sz w:val="18"/>
                      <w:szCs w:val="18"/>
                    </w:rPr>
                    <w:t>10</w:t>
                  </w:r>
                </w:p>
              </w:tc>
              <w:tc>
                <w:tcPr>
                  <w:tcW w:w="1247" w:type="dxa"/>
                  <w:vAlign w:val="center"/>
                </w:tcPr>
                <w:p w14:paraId="15133E6A" w14:textId="77777777" w:rsidR="00236AB5" w:rsidRPr="008819AF" w:rsidRDefault="00236AB5" w:rsidP="00236AB5">
                  <w:pPr>
                    <w:jc w:val="center"/>
                    <w:rPr>
                      <w:sz w:val="18"/>
                      <w:szCs w:val="18"/>
                    </w:rPr>
                  </w:pPr>
                  <w:r w:rsidRPr="008819AF">
                    <w:rPr>
                      <w:sz w:val="18"/>
                      <w:szCs w:val="18"/>
                    </w:rPr>
                    <w:t>150</w:t>
                  </w:r>
                </w:p>
              </w:tc>
              <w:tc>
                <w:tcPr>
                  <w:tcW w:w="1247" w:type="dxa"/>
                  <w:vAlign w:val="center"/>
                </w:tcPr>
                <w:p w14:paraId="15133E6B" w14:textId="77777777" w:rsidR="00236AB5" w:rsidRPr="008819AF" w:rsidRDefault="00236AB5" w:rsidP="00236AB5">
                  <w:pPr>
                    <w:jc w:val="center"/>
                    <w:rPr>
                      <w:sz w:val="18"/>
                      <w:szCs w:val="18"/>
                    </w:rPr>
                  </w:pPr>
                  <w:r w:rsidRPr="008819AF">
                    <w:rPr>
                      <w:sz w:val="18"/>
                      <w:szCs w:val="18"/>
                    </w:rPr>
                    <w:t>100</w:t>
                  </w:r>
                </w:p>
              </w:tc>
            </w:tr>
            <w:tr w:rsidR="00236AB5" w:rsidRPr="008819AF" w14:paraId="15133E6E" w14:textId="77777777" w:rsidTr="008D7960">
              <w:trPr>
                <w:trHeight w:val="340"/>
                <w:jc w:val="center"/>
              </w:trPr>
              <w:tc>
                <w:tcPr>
                  <w:tcW w:w="5110" w:type="dxa"/>
                  <w:gridSpan w:val="5"/>
                  <w:vAlign w:val="center"/>
                </w:tcPr>
                <w:p w14:paraId="15133E6D" w14:textId="77777777" w:rsidR="00236AB5" w:rsidRPr="008819AF" w:rsidRDefault="00236AB5" w:rsidP="00236AB5">
                  <w:pPr>
                    <w:jc w:val="center"/>
                    <w:rPr>
                      <w:sz w:val="18"/>
                      <w:szCs w:val="18"/>
                    </w:rPr>
                  </w:pPr>
                  <w:r w:rsidRPr="008819AF">
                    <w:rPr>
                      <w:b/>
                      <w:sz w:val="18"/>
                      <w:szCs w:val="18"/>
                    </w:rPr>
                    <w:t>C</w:t>
                  </w:r>
                  <w:r w:rsidRPr="008819AF">
                    <w:rPr>
                      <w:b/>
                      <w:sz w:val="18"/>
                      <w:szCs w:val="18"/>
                      <w:vertAlign w:val="subscript"/>
                    </w:rPr>
                    <w:t xml:space="preserve">proces </w:t>
                  </w:r>
                  <w:r w:rsidRPr="008819AF">
                    <w:rPr>
                      <w:b/>
                      <w:sz w:val="18"/>
                      <w:szCs w:val="18"/>
                    </w:rPr>
                    <w:t>pre ostatné spaľovacie zariadenia</w:t>
                  </w:r>
                </w:p>
              </w:tc>
            </w:tr>
            <w:tr w:rsidR="00236AB5" w:rsidRPr="008819AF" w14:paraId="15133E74" w14:textId="77777777" w:rsidTr="008D7960">
              <w:trPr>
                <w:trHeight w:val="340"/>
                <w:jc w:val="center"/>
              </w:trPr>
              <w:tc>
                <w:tcPr>
                  <w:tcW w:w="739" w:type="dxa"/>
                  <w:vAlign w:val="center"/>
                </w:tcPr>
                <w:p w14:paraId="15133E6F" w14:textId="77777777" w:rsidR="00236AB5" w:rsidRPr="008819AF" w:rsidRDefault="00236AB5" w:rsidP="00236AB5">
                  <w:pPr>
                    <w:jc w:val="center"/>
                    <w:rPr>
                      <w:sz w:val="18"/>
                      <w:szCs w:val="18"/>
                    </w:rPr>
                  </w:pPr>
                  <w:r w:rsidRPr="008819AF">
                    <w:rPr>
                      <w:sz w:val="18"/>
                      <w:szCs w:val="18"/>
                    </w:rPr>
                    <w:t>&gt; 0</w:t>
                  </w:r>
                </w:p>
              </w:tc>
              <w:tc>
                <w:tcPr>
                  <w:tcW w:w="567" w:type="dxa"/>
                  <w:vAlign w:val="center"/>
                </w:tcPr>
                <w:p w14:paraId="15133E70" w14:textId="77777777" w:rsidR="00236AB5" w:rsidRPr="008819AF" w:rsidRDefault="00236AB5" w:rsidP="00236AB5">
                  <w:pPr>
                    <w:ind w:right="-109" w:hanging="108"/>
                    <w:jc w:val="center"/>
                    <w:rPr>
                      <w:sz w:val="18"/>
                      <w:szCs w:val="18"/>
                    </w:rPr>
                  </w:pPr>
                  <w:r w:rsidRPr="008819AF">
                    <w:rPr>
                      <w:sz w:val="18"/>
                      <w:szCs w:val="18"/>
                    </w:rPr>
                    <w:t>&lt;  50</w:t>
                  </w:r>
                </w:p>
              </w:tc>
              <w:tc>
                <w:tcPr>
                  <w:tcW w:w="1310" w:type="dxa"/>
                  <w:vAlign w:val="center"/>
                </w:tcPr>
                <w:p w14:paraId="15133E71" w14:textId="77777777" w:rsidR="00236AB5" w:rsidRPr="008819AF" w:rsidRDefault="00236AB5" w:rsidP="00236AB5">
                  <w:pPr>
                    <w:jc w:val="center"/>
                    <w:rPr>
                      <w:sz w:val="18"/>
                      <w:szCs w:val="18"/>
                    </w:rPr>
                  </w:pPr>
                  <w:r w:rsidRPr="008819AF">
                    <w:rPr>
                      <w:sz w:val="18"/>
                      <w:szCs w:val="18"/>
                    </w:rPr>
                    <w:t>50</w:t>
                  </w:r>
                </w:p>
              </w:tc>
              <w:tc>
                <w:tcPr>
                  <w:tcW w:w="1247" w:type="dxa"/>
                  <w:vAlign w:val="center"/>
                </w:tcPr>
                <w:p w14:paraId="15133E72" w14:textId="77777777" w:rsidR="00236AB5" w:rsidRPr="008819AF" w:rsidRDefault="00236AB5" w:rsidP="00236AB5">
                  <w:pPr>
                    <w:jc w:val="center"/>
                    <w:rPr>
                      <w:sz w:val="18"/>
                      <w:szCs w:val="18"/>
                    </w:rPr>
                  </w:pPr>
                  <w:r w:rsidRPr="008819AF">
                    <w:rPr>
                      <w:sz w:val="18"/>
                      <w:szCs w:val="18"/>
                    </w:rPr>
                    <w:t xml:space="preserve">- </w:t>
                  </w:r>
                  <w:r w:rsidRPr="008819AF">
                    <w:rPr>
                      <w:sz w:val="18"/>
                      <w:szCs w:val="18"/>
                      <w:vertAlign w:val="superscript"/>
                    </w:rPr>
                    <w:t>2</w:t>
                  </w:r>
                  <w:r w:rsidRPr="008819AF">
                    <w:rPr>
                      <w:sz w:val="18"/>
                      <w:szCs w:val="18"/>
                    </w:rPr>
                    <w:t>)</w:t>
                  </w:r>
                </w:p>
              </w:tc>
              <w:tc>
                <w:tcPr>
                  <w:tcW w:w="1247" w:type="dxa"/>
                  <w:vAlign w:val="center"/>
                </w:tcPr>
                <w:p w14:paraId="15133E73" w14:textId="77777777" w:rsidR="00236AB5" w:rsidRPr="008819AF" w:rsidRDefault="00236AB5" w:rsidP="00236AB5">
                  <w:pPr>
                    <w:jc w:val="center"/>
                    <w:rPr>
                      <w:sz w:val="18"/>
                      <w:szCs w:val="18"/>
                    </w:rPr>
                  </w:pPr>
                  <w:r w:rsidRPr="008819AF">
                    <w:rPr>
                      <w:sz w:val="18"/>
                      <w:szCs w:val="18"/>
                    </w:rPr>
                    <w:t xml:space="preserve">- </w:t>
                  </w:r>
                  <w:r w:rsidRPr="008819AF">
                    <w:rPr>
                      <w:sz w:val="18"/>
                      <w:szCs w:val="18"/>
                      <w:vertAlign w:val="superscript"/>
                    </w:rPr>
                    <w:t>2</w:t>
                  </w:r>
                  <w:r w:rsidRPr="008819AF">
                    <w:rPr>
                      <w:sz w:val="18"/>
                      <w:szCs w:val="18"/>
                    </w:rPr>
                    <w:t>)</w:t>
                  </w:r>
                </w:p>
              </w:tc>
            </w:tr>
          </w:tbl>
          <w:p w14:paraId="15133E75" w14:textId="77777777" w:rsidR="00236AB5" w:rsidRPr="008819AF" w:rsidRDefault="00236AB5" w:rsidP="00236AB5">
            <w:pPr>
              <w:pStyle w:val="Zkladntext20"/>
              <w:spacing w:after="0"/>
              <w:rPr>
                <w:sz w:val="20"/>
                <w:szCs w:val="20"/>
              </w:rPr>
            </w:pPr>
            <w:r w:rsidRPr="008819AF">
              <w:rPr>
                <w:sz w:val="20"/>
                <w:szCs w:val="20"/>
                <w:vertAlign w:val="superscript"/>
              </w:rPr>
              <w:t>1</w:t>
            </w:r>
            <w:r w:rsidRPr="008819AF">
              <w:rPr>
                <w:sz w:val="20"/>
                <w:szCs w:val="20"/>
              </w:rPr>
              <w:t xml:space="preserve">) Podľa členenia spaľovacích zariadení podľa prílohy č. 4 </w:t>
            </w:r>
            <w:r w:rsidRPr="008819AF">
              <w:rPr>
                <w:sz w:val="20"/>
                <w:szCs w:val="20"/>
              </w:rPr>
              <w:lastRenderedPageBreak/>
              <w:t>tretej časti bodu 1.</w:t>
            </w:r>
          </w:p>
          <w:p w14:paraId="15133E76" w14:textId="77777777" w:rsidR="00236AB5" w:rsidRPr="008819AF" w:rsidRDefault="00236AB5" w:rsidP="00236AB5">
            <w:pPr>
              <w:pStyle w:val="ListParagraph1"/>
              <w:rPr>
                <w:sz w:val="20"/>
                <w:szCs w:val="20"/>
              </w:rPr>
            </w:pPr>
            <w:r w:rsidRPr="008819AF">
              <w:rPr>
                <w:sz w:val="20"/>
                <w:szCs w:val="20"/>
                <w:vertAlign w:val="superscript"/>
              </w:rPr>
              <w:t>2</w:t>
            </w:r>
            <w:r w:rsidRPr="008819AF">
              <w:rPr>
                <w:sz w:val="20"/>
                <w:szCs w:val="20"/>
              </w:rPr>
              <w:t>) Pre SO</w:t>
            </w:r>
            <w:r w:rsidRPr="008819AF">
              <w:rPr>
                <w:sz w:val="20"/>
                <w:szCs w:val="20"/>
                <w:vertAlign w:val="subscript"/>
              </w:rPr>
              <w:t>2</w:t>
            </w:r>
            <w:r w:rsidRPr="008819AF">
              <w:rPr>
                <w:sz w:val="20"/>
                <w:szCs w:val="20"/>
              </w:rPr>
              <w:t xml:space="preserve"> a NO</w:t>
            </w:r>
            <w:r w:rsidRPr="008819AF">
              <w:rPr>
                <w:sz w:val="20"/>
                <w:szCs w:val="20"/>
                <w:vertAlign w:val="subscript"/>
              </w:rPr>
              <w:t>X</w:t>
            </w:r>
            <w:r w:rsidRPr="008819AF">
              <w:rPr>
                <w:sz w:val="20"/>
                <w:szCs w:val="20"/>
              </w:rPr>
              <w:t xml:space="preserve"> platí C</w:t>
            </w:r>
            <w:r w:rsidRPr="008819AF">
              <w:rPr>
                <w:sz w:val="20"/>
                <w:szCs w:val="20"/>
                <w:vertAlign w:val="subscript"/>
              </w:rPr>
              <w:t>proces</w:t>
            </w:r>
            <w:r w:rsidRPr="008819AF">
              <w:rPr>
                <w:sz w:val="20"/>
                <w:szCs w:val="20"/>
              </w:rPr>
              <w:t xml:space="preserve"> ustanovené v prílohe č. 4 štvrtej časti bode 2.</w:t>
            </w:r>
          </w:p>
          <w:p w14:paraId="15133E77" w14:textId="77777777" w:rsidR="00236AB5" w:rsidRPr="008819AF" w:rsidRDefault="00236AB5" w:rsidP="00236AB5">
            <w:pPr>
              <w:pStyle w:val="Hlavika"/>
              <w:ind w:left="72" w:hanging="1"/>
              <w:rPr>
                <w:rFonts w:ascii="Times New Roman" w:eastAsia="Times New Roman" w:hAnsi="Times New Roman" w:cs="Times New Roman"/>
                <w:lang w:bidi="en-US"/>
              </w:rPr>
            </w:pPr>
          </w:p>
          <w:p w14:paraId="15133E78" w14:textId="77777777" w:rsidR="00236AB5" w:rsidRPr="008819AF" w:rsidRDefault="00236AB5" w:rsidP="00236AB5">
            <w:pPr>
              <w:pStyle w:val="ListParagraph1"/>
              <w:spacing w:after="120"/>
              <w:rPr>
                <w:sz w:val="20"/>
                <w:szCs w:val="20"/>
              </w:rPr>
            </w:pPr>
            <w:r w:rsidRPr="008819AF">
              <w:rPr>
                <w:sz w:val="20"/>
                <w:szCs w:val="20"/>
              </w:rPr>
              <w:t>3.2.4 Emisné limity pre ťažké kovy a PCDD+PCDF</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73"/>
              <w:gridCol w:w="3237"/>
            </w:tblGrid>
            <w:tr w:rsidR="00236AB5" w:rsidRPr="008819AF" w14:paraId="15133E7C" w14:textId="77777777" w:rsidTr="008D7960">
              <w:trPr>
                <w:cantSplit/>
                <w:trHeight w:val="283"/>
                <w:jc w:val="center"/>
              </w:trPr>
              <w:tc>
                <w:tcPr>
                  <w:tcW w:w="1873" w:type="dxa"/>
                  <w:vMerge w:val="restart"/>
                  <w:vAlign w:val="center"/>
                </w:tcPr>
                <w:p w14:paraId="15133E79" w14:textId="77777777" w:rsidR="00236AB5" w:rsidRPr="008819AF" w:rsidRDefault="00236AB5" w:rsidP="00236AB5">
                  <w:pPr>
                    <w:pStyle w:val="Zkladntext20"/>
                    <w:keepNext w:val="0"/>
                    <w:spacing w:before="0"/>
                    <w:jc w:val="left"/>
                    <w:rPr>
                      <w:b/>
                      <w:sz w:val="18"/>
                      <w:szCs w:val="18"/>
                    </w:rPr>
                  </w:pPr>
                  <w:r w:rsidRPr="008819AF">
                    <w:rPr>
                      <w:b/>
                      <w:sz w:val="18"/>
                      <w:szCs w:val="18"/>
                    </w:rPr>
                    <w:t>Podmienky platnosti EL</w:t>
                  </w:r>
                </w:p>
              </w:tc>
              <w:tc>
                <w:tcPr>
                  <w:tcW w:w="3237" w:type="dxa"/>
                </w:tcPr>
                <w:p w14:paraId="15133E7A" w14:textId="77777777" w:rsidR="00236AB5" w:rsidRPr="008819AF" w:rsidRDefault="00236AB5" w:rsidP="00236AB5">
                  <w:pPr>
                    <w:pStyle w:val="Zkladntext20"/>
                    <w:keepNext w:val="0"/>
                    <w:spacing w:before="0" w:after="0"/>
                    <w:jc w:val="left"/>
                    <w:rPr>
                      <w:sz w:val="18"/>
                      <w:szCs w:val="18"/>
                    </w:rPr>
                  </w:pPr>
                  <w:r w:rsidRPr="008819AF">
                    <w:rPr>
                      <w:sz w:val="18"/>
                      <w:szCs w:val="18"/>
                    </w:rPr>
                    <w:t>Štandardné stavové podmienky, suchý plyn,</w:t>
                  </w:r>
                </w:p>
                <w:p w14:paraId="15133E7B" w14:textId="77777777" w:rsidR="00236AB5" w:rsidRPr="008819AF" w:rsidRDefault="00236AB5" w:rsidP="00236AB5">
                  <w:pPr>
                    <w:pStyle w:val="Zkladntext20"/>
                    <w:keepNext w:val="0"/>
                    <w:spacing w:before="0" w:after="0"/>
                    <w:ind w:left="-5" w:firstLine="5"/>
                    <w:rPr>
                      <w:sz w:val="18"/>
                      <w:szCs w:val="18"/>
                    </w:rPr>
                  </w:pPr>
                  <w:r w:rsidRPr="008819AF">
                    <w:rPr>
                      <w:sz w:val="18"/>
                      <w:szCs w:val="18"/>
                    </w:rPr>
                    <w:t>tuhé palivá: O</w:t>
                  </w:r>
                  <w:r w:rsidRPr="008819AF">
                    <w:rPr>
                      <w:sz w:val="18"/>
                      <w:szCs w:val="18"/>
                      <w:vertAlign w:val="subscript"/>
                    </w:rPr>
                    <w:t>2 ref</w:t>
                  </w:r>
                  <w:r w:rsidRPr="008819AF">
                    <w:rPr>
                      <w:sz w:val="18"/>
                      <w:szCs w:val="18"/>
                    </w:rPr>
                    <w:t>: 6 % objemu; kvapalné palivá: O</w:t>
                  </w:r>
                  <w:r w:rsidRPr="008819AF">
                    <w:rPr>
                      <w:sz w:val="18"/>
                      <w:szCs w:val="18"/>
                      <w:vertAlign w:val="subscript"/>
                    </w:rPr>
                    <w:t>2 ref</w:t>
                  </w:r>
                  <w:r w:rsidRPr="008819AF">
                    <w:rPr>
                      <w:sz w:val="18"/>
                      <w:szCs w:val="18"/>
                    </w:rPr>
                    <w:t>: 3 % objemu</w:t>
                  </w:r>
                </w:p>
              </w:tc>
            </w:tr>
            <w:tr w:rsidR="00236AB5" w:rsidRPr="008819AF" w14:paraId="15133E81" w14:textId="77777777" w:rsidTr="008D7960">
              <w:trPr>
                <w:cantSplit/>
                <w:trHeight w:val="283"/>
                <w:jc w:val="center"/>
              </w:trPr>
              <w:tc>
                <w:tcPr>
                  <w:tcW w:w="1873" w:type="dxa"/>
                  <w:vMerge/>
                  <w:vAlign w:val="center"/>
                </w:tcPr>
                <w:p w14:paraId="15133E7D" w14:textId="77777777" w:rsidR="00236AB5" w:rsidRPr="008819AF" w:rsidRDefault="00236AB5" w:rsidP="00236AB5">
                  <w:pPr>
                    <w:pStyle w:val="Zkladntext20"/>
                    <w:keepNext w:val="0"/>
                    <w:spacing w:before="0"/>
                    <w:jc w:val="left"/>
                    <w:rPr>
                      <w:b/>
                      <w:sz w:val="18"/>
                      <w:szCs w:val="18"/>
                    </w:rPr>
                  </w:pPr>
                </w:p>
              </w:tc>
              <w:tc>
                <w:tcPr>
                  <w:tcW w:w="3237" w:type="dxa"/>
                </w:tcPr>
                <w:p w14:paraId="15133E7E" w14:textId="77777777" w:rsidR="00236AB5" w:rsidRPr="008819AF" w:rsidRDefault="00236AB5" w:rsidP="00236AB5">
                  <w:pPr>
                    <w:pStyle w:val="Zkladntext20"/>
                    <w:spacing w:before="0" w:after="0"/>
                    <w:rPr>
                      <w:sz w:val="18"/>
                      <w:szCs w:val="18"/>
                    </w:rPr>
                  </w:pPr>
                  <w:r w:rsidRPr="008819AF">
                    <w:rPr>
                      <w:sz w:val="18"/>
                      <w:szCs w:val="18"/>
                    </w:rPr>
                    <w:t>Emisné limity platia</w:t>
                  </w:r>
                </w:p>
                <w:p w14:paraId="15133E7F" w14:textId="77777777" w:rsidR="00236AB5" w:rsidRPr="008819AF" w:rsidRDefault="00236AB5" w:rsidP="00236AB5">
                  <w:pPr>
                    <w:pStyle w:val="Zkladntext20"/>
                    <w:spacing w:before="0" w:after="0"/>
                    <w:ind w:left="169" w:hanging="169"/>
                    <w:rPr>
                      <w:sz w:val="18"/>
                      <w:szCs w:val="18"/>
                    </w:rPr>
                  </w:pPr>
                  <w:r w:rsidRPr="008819AF">
                    <w:rPr>
                      <w:sz w:val="18"/>
                      <w:szCs w:val="18"/>
                    </w:rPr>
                    <w:t>- pre ťažké kovy ako priemerné hodnoty za čas odberu vzorky v trvaní najmenej 30 min a najviac 8 h,</w:t>
                  </w:r>
                </w:p>
                <w:p w14:paraId="15133E80" w14:textId="77777777" w:rsidR="00236AB5" w:rsidRPr="008819AF" w:rsidRDefault="00236AB5" w:rsidP="00236AB5">
                  <w:pPr>
                    <w:pStyle w:val="Zkladntext20"/>
                    <w:spacing w:before="0" w:after="0"/>
                    <w:ind w:left="169" w:hanging="169"/>
                    <w:rPr>
                      <w:sz w:val="18"/>
                      <w:szCs w:val="18"/>
                    </w:rPr>
                  </w:pPr>
                  <w:r w:rsidRPr="008819AF">
                    <w:rPr>
                      <w:sz w:val="18"/>
                      <w:szCs w:val="18"/>
                    </w:rPr>
                    <w:t>- pre PCDD + PCDF ako priemerné hodnoty za čas odberu vzorky v trvaní najmenej 6 h a najviac 8 h.</w:t>
                  </w:r>
                </w:p>
              </w:tc>
            </w:tr>
            <w:tr w:rsidR="00236AB5" w:rsidRPr="008819AF" w14:paraId="15133E84" w14:textId="77777777" w:rsidTr="008D7960">
              <w:trPr>
                <w:cantSplit/>
                <w:trHeight w:val="283"/>
                <w:jc w:val="center"/>
              </w:trPr>
              <w:tc>
                <w:tcPr>
                  <w:tcW w:w="1873" w:type="dxa"/>
                  <w:vAlign w:val="center"/>
                </w:tcPr>
                <w:p w14:paraId="15133E82" w14:textId="77777777" w:rsidR="00236AB5" w:rsidRPr="008819AF" w:rsidRDefault="00236AB5" w:rsidP="00236AB5">
                  <w:pPr>
                    <w:pStyle w:val="Zkladntext20"/>
                    <w:keepNext w:val="0"/>
                    <w:spacing w:before="0"/>
                    <w:rPr>
                      <w:b/>
                      <w:sz w:val="18"/>
                      <w:szCs w:val="18"/>
                    </w:rPr>
                  </w:pPr>
                  <w:r w:rsidRPr="008819AF">
                    <w:rPr>
                      <w:b/>
                      <w:sz w:val="18"/>
                      <w:szCs w:val="18"/>
                    </w:rPr>
                    <w:t>Znečisťujúca látka</w:t>
                  </w:r>
                </w:p>
              </w:tc>
              <w:tc>
                <w:tcPr>
                  <w:tcW w:w="3237" w:type="dxa"/>
                  <w:vAlign w:val="center"/>
                </w:tcPr>
                <w:p w14:paraId="15133E83" w14:textId="77777777" w:rsidR="00236AB5" w:rsidRPr="008819AF" w:rsidRDefault="00236AB5" w:rsidP="00236AB5">
                  <w:pPr>
                    <w:pStyle w:val="Zkladntext20"/>
                    <w:keepNext w:val="0"/>
                    <w:spacing w:before="0"/>
                    <w:jc w:val="center"/>
                    <w:rPr>
                      <w:sz w:val="18"/>
                      <w:szCs w:val="18"/>
                      <w:vertAlign w:val="superscript"/>
                    </w:rPr>
                  </w:pPr>
                  <w:r w:rsidRPr="008819AF">
                    <w:rPr>
                      <w:b/>
                      <w:sz w:val="18"/>
                      <w:szCs w:val="18"/>
                    </w:rPr>
                    <w:t>C - celkový emisný limit [mg/m</w:t>
                  </w:r>
                  <w:r w:rsidRPr="008819AF">
                    <w:rPr>
                      <w:b/>
                      <w:sz w:val="18"/>
                      <w:szCs w:val="18"/>
                      <w:vertAlign w:val="superscript"/>
                    </w:rPr>
                    <w:t>3</w:t>
                  </w:r>
                  <w:r w:rsidRPr="008819AF">
                    <w:rPr>
                      <w:b/>
                      <w:sz w:val="18"/>
                      <w:szCs w:val="18"/>
                    </w:rPr>
                    <w:t>]</w:t>
                  </w:r>
                </w:p>
              </w:tc>
            </w:tr>
            <w:tr w:rsidR="00236AB5" w:rsidRPr="008819AF" w14:paraId="15133E87" w14:textId="77777777" w:rsidTr="008D7960">
              <w:trPr>
                <w:cantSplit/>
                <w:trHeight w:val="283"/>
                <w:jc w:val="center"/>
              </w:trPr>
              <w:tc>
                <w:tcPr>
                  <w:tcW w:w="1873" w:type="dxa"/>
                  <w:vAlign w:val="center"/>
                </w:tcPr>
                <w:p w14:paraId="15133E85" w14:textId="77777777" w:rsidR="00236AB5" w:rsidRPr="008819AF" w:rsidRDefault="00236AB5" w:rsidP="00236AB5">
                  <w:pPr>
                    <w:pStyle w:val="Zkladntext20"/>
                    <w:keepNext w:val="0"/>
                    <w:spacing w:before="0"/>
                    <w:rPr>
                      <w:sz w:val="18"/>
                      <w:szCs w:val="18"/>
                    </w:rPr>
                  </w:pPr>
                  <w:r w:rsidRPr="008819AF">
                    <w:rPr>
                      <w:sz w:val="18"/>
                      <w:szCs w:val="18"/>
                    </w:rPr>
                    <w:t>Cd + Tl</w:t>
                  </w:r>
                </w:p>
              </w:tc>
              <w:tc>
                <w:tcPr>
                  <w:tcW w:w="3237" w:type="dxa"/>
                  <w:vAlign w:val="center"/>
                </w:tcPr>
                <w:p w14:paraId="15133E86" w14:textId="77777777" w:rsidR="00236AB5" w:rsidRPr="008819AF" w:rsidRDefault="00236AB5" w:rsidP="00236AB5">
                  <w:pPr>
                    <w:pStyle w:val="Zkladntext20"/>
                    <w:keepNext w:val="0"/>
                    <w:spacing w:before="0"/>
                    <w:jc w:val="center"/>
                    <w:rPr>
                      <w:sz w:val="18"/>
                      <w:szCs w:val="18"/>
                    </w:rPr>
                  </w:pPr>
                  <w:r w:rsidRPr="008819AF">
                    <w:rPr>
                      <w:sz w:val="18"/>
                      <w:szCs w:val="18"/>
                    </w:rPr>
                    <w:t xml:space="preserve">  0,05</w:t>
                  </w:r>
                </w:p>
              </w:tc>
            </w:tr>
            <w:tr w:rsidR="00236AB5" w:rsidRPr="008819AF" w14:paraId="15133E8A" w14:textId="77777777" w:rsidTr="008D7960">
              <w:trPr>
                <w:cantSplit/>
                <w:trHeight w:val="283"/>
                <w:jc w:val="center"/>
              </w:trPr>
              <w:tc>
                <w:tcPr>
                  <w:tcW w:w="1873" w:type="dxa"/>
                  <w:vAlign w:val="center"/>
                </w:tcPr>
                <w:p w14:paraId="15133E88" w14:textId="77777777" w:rsidR="00236AB5" w:rsidRPr="008819AF" w:rsidRDefault="00236AB5" w:rsidP="00236AB5">
                  <w:pPr>
                    <w:pStyle w:val="Zkladntext20"/>
                    <w:keepNext w:val="0"/>
                    <w:spacing w:before="0"/>
                    <w:rPr>
                      <w:sz w:val="18"/>
                      <w:szCs w:val="18"/>
                    </w:rPr>
                  </w:pPr>
                  <w:r w:rsidRPr="008819AF">
                    <w:rPr>
                      <w:sz w:val="18"/>
                      <w:szCs w:val="18"/>
                    </w:rPr>
                    <w:t>Hg</w:t>
                  </w:r>
                </w:p>
              </w:tc>
              <w:tc>
                <w:tcPr>
                  <w:tcW w:w="3237" w:type="dxa"/>
                  <w:vAlign w:val="center"/>
                </w:tcPr>
                <w:p w14:paraId="15133E89" w14:textId="77777777" w:rsidR="00236AB5" w:rsidRPr="008819AF" w:rsidRDefault="00236AB5" w:rsidP="00236AB5">
                  <w:pPr>
                    <w:pStyle w:val="Zkladntext20"/>
                    <w:keepNext w:val="0"/>
                    <w:spacing w:before="0"/>
                    <w:jc w:val="center"/>
                    <w:rPr>
                      <w:sz w:val="18"/>
                      <w:szCs w:val="18"/>
                    </w:rPr>
                  </w:pPr>
                  <w:r w:rsidRPr="008819AF">
                    <w:rPr>
                      <w:sz w:val="18"/>
                      <w:szCs w:val="18"/>
                    </w:rPr>
                    <w:t xml:space="preserve">  0,05</w:t>
                  </w:r>
                </w:p>
              </w:tc>
            </w:tr>
            <w:tr w:rsidR="00236AB5" w:rsidRPr="008819AF" w14:paraId="15133E8D" w14:textId="77777777" w:rsidTr="008D7960">
              <w:trPr>
                <w:cantSplit/>
                <w:trHeight w:val="283"/>
                <w:jc w:val="center"/>
              </w:trPr>
              <w:tc>
                <w:tcPr>
                  <w:tcW w:w="1873" w:type="dxa"/>
                  <w:vAlign w:val="center"/>
                </w:tcPr>
                <w:p w14:paraId="15133E8B" w14:textId="77777777" w:rsidR="00236AB5" w:rsidRPr="008819AF" w:rsidRDefault="00236AB5" w:rsidP="00236AB5">
                  <w:pPr>
                    <w:pStyle w:val="Zkladntext20"/>
                    <w:keepNext w:val="0"/>
                    <w:spacing w:before="0"/>
                    <w:rPr>
                      <w:sz w:val="18"/>
                      <w:szCs w:val="18"/>
                    </w:rPr>
                  </w:pPr>
                  <w:r w:rsidRPr="008819AF">
                    <w:rPr>
                      <w:sz w:val="18"/>
                      <w:szCs w:val="18"/>
                    </w:rPr>
                    <w:t>Sb + As + Pb + Cr + Co + Cu + Mn + Ni + V </w:t>
                  </w:r>
                </w:p>
              </w:tc>
              <w:tc>
                <w:tcPr>
                  <w:tcW w:w="3237" w:type="dxa"/>
                  <w:vAlign w:val="center"/>
                </w:tcPr>
                <w:p w14:paraId="15133E8C" w14:textId="77777777" w:rsidR="00236AB5" w:rsidRPr="008819AF" w:rsidRDefault="00236AB5" w:rsidP="00236AB5">
                  <w:pPr>
                    <w:pStyle w:val="Zkladntext20"/>
                    <w:keepNext w:val="0"/>
                    <w:spacing w:before="0"/>
                    <w:jc w:val="center"/>
                    <w:rPr>
                      <w:sz w:val="18"/>
                      <w:szCs w:val="18"/>
                    </w:rPr>
                  </w:pPr>
                  <w:r w:rsidRPr="008819AF">
                    <w:rPr>
                      <w:sz w:val="18"/>
                      <w:szCs w:val="18"/>
                    </w:rPr>
                    <w:t>0,5</w:t>
                  </w:r>
                </w:p>
              </w:tc>
            </w:tr>
            <w:tr w:rsidR="00236AB5" w:rsidRPr="008819AF" w14:paraId="15133E90" w14:textId="77777777" w:rsidTr="008D7960">
              <w:trPr>
                <w:cantSplit/>
                <w:trHeight w:val="283"/>
                <w:jc w:val="center"/>
              </w:trPr>
              <w:tc>
                <w:tcPr>
                  <w:tcW w:w="1873" w:type="dxa"/>
                  <w:vAlign w:val="center"/>
                </w:tcPr>
                <w:p w14:paraId="15133E8E" w14:textId="77777777" w:rsidR="00236AB5" w:rsidRPr="008819AF" w:rsidRDefault="00236AB5" w:rsidP="00236AB5">
                  <w:pPr>
                    <w:pStyle w:val="Zkladntext20"/>
                    <w:keepNext w:val="0"/>
                    <w:spacing w:before="0"/>
                    <w:rPr>
                      <w:sz w:val="18"/>
                      <w:szCs w:val="18"/>
                    </w:rPr>
                  </w:pPr>
                  <w:r w:rsidRPr="008819AF">
                    <w:rPr>
                      <w:sz w:val="18"/>
                      <w:szCs w:val="18"/>
                    </w:rPr>
                    <w:t xml:space="preserve">PCDD + PCDF </w:t>
                  </w:r>
                </w:p>
              </w:tc>
              <w:tc>
                <w:tcPr>
                  <w:tcW w:w="3237" w:type="dxa"/>
                  <w:vAlign w:val="center"/>
                </w:tcPr>
                <w:p w14:paraId="15133E8F" w14:textId="77777777" w:rsidR="00236AB5" w:rsidRPr="008819AF" w:rsidRDefault="00236AB5" w:rsidP="00236AB5">
                  <w:pPr>
                    <w:pStyle w:val="Zkladntext20"/>
                    <w:keepNext w:val="0"/>
                    <w:spacing w:before="0"/>
                    <w:jc w:val="center"/>
                    <w:rPr>
                      <w:sz w:val="18"/>
                      <w:szCs w:val="18"/>
                    </w:rPr>
                  </w:pPr>
                  <w:r w:rsidRPr="008819AF">
                    <w:rPr>
                      <w:sz w:val="18"/>
                      <w:szCs w:val="18"/>
                    </w:rPr>
                    <w:t>0,1 ng TEQ/m</w:t>
                  </w:r>
                  <w:r w:rsidRPr="008819AF">
                    <w:rPr>
                      <w:sz w:val="18"/>
                      <w:szCs w:val="18"/>
                      <w:vertAlign w:val="superscript"/>
                    </w:rPr>
                    <w:t>3</w:t>
                  </w:r>
                </w:p>
              </w:tc>
            </w:tr>
          </w:tbl>
          <w:p w14:paraId="15133E91" w14:textId="77777777" w:rsidR="00236AB5" w:rsidRPr="008819AF" w:rsidRDefault="00236AB5" w:rsidP="00236AB5">
            <w:pPr>
              <w:pStyle w:val="Hlavika"/>
              <w:ind w:left="72" w:hanging="1"/>
              <w:rPr>
                <w:rFonts w:ascii="Times New Roman" w:hAnsi="Times New Roman" w:cs="Times New Roman"/>
                <w:lang w:bidi="cs-CZ"/>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3E92"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E93" w14:textId="77777777" w:rsidR="00236AB5" w:rsidRPr="008819AF" w:rsidRDefault="00236AB5" w:rsidP="00236AB5">
            <w:pPr>
              <w:ind w:left="215" w:hanging="215"/>
              <w:rPr>
                <w:rFonts w:eastAsia="Arial"/>
              </w:rPr>
            </w:pPr>
          </w:p>
        </w:tc>
      </w:tr>
      <w:tr w:rsidR="00236AB5" w:rsidRPr="008819AF" w14:paraId="15133EBE"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15133E95"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E96" w14:textId="77777777" w:rsidR="00236AB5" w:rsidRPr="008819AF" w:rsidRDefault="00236AB5" w:rsidP="00236AB5">
            <w:pPr>
              <w:ind w:left="215" w:hanging="215"/>
              <w:rPr>
                <w:rFonts w:eastAsia="Arial"/>
                <w:lang w:bidi="cs-CZ"/>
              </w:rPr>
            </w:pPr>
            <w:r w:rsidRPr="008819AF">
              <w:rPr>
                <w:rFonts w:eastAsia="Arial"/>
                <w:lang w:bidi="cs-CZ"/>
              </w:rPr>
              <w:t>4. Osobitné ustanovenia pre zariadenia na spoluspaľovanie odpadov v priemyselných odvetviach, na ktoré sa nevzťahujú body 2 a 3 tejto časti</w:t>
            </w:r>
          </w:p>
          <w:p w14:paraId="15133E97" w14:textId="77777777" w:rsidR="00236AB5" w:rsidRPr="008819AF" w:rsidRDefault="00236AB5" w:rsidP="00236AB5">
            <w:pPr>
              <w:ind w:left="215" w:hanging="215"/>
              <w:rPr>
                <w:rFonts w:eastAsia="Arial"/>
                <w:lang w:bidi="cs-CZ"/>
              </w:rPr>
            </w:pPr>
            <w:r w:rsidRPr="008819AF">
              <w:rPr>
                <w:rFonts w:eastAsia="Arial"/>
                <w:lang w:bidi="cs-CZ"/>
              </w:rPr>
              <w:t>4.1. C – Celková emisný limit (ng/Nm3) pre dioxíny a furány vyjadrená ako priemerná hodnota meraná počas odoberania vzoriek, ktoré trvá minimálne 6 hodín a maximálne 8 hodín:</w:t>
            </w:r>
          </w:p>
          <w:p w14:paraId="15133E98" w14:textId="77777777" w:rsidR="00236AB5" w:rsidRPr="008819AF" w:rsidRDefault="00236AB5" w:rsidP="00236AB5">
            <w:pPr>
              <w:ind w:left="215" w:hanging="215"/>
              <w:rPr>
                <w:rFonts w:eastAsia="Arial"/>
                <w:lang w:bidi="cs-CZ"/>
              </w:rPr>
            </w:pPr>
            <w:r w:rsidRPr="008819AF">
              <w:rPr>
                <w:rFonts w:eastAsia="Arial"/>
                <w:lang w:bidi="cs-CZ"/>
              </w:rPr>
              <w:t>Znečisťujúca látka</w:t>
            </w:r>
            <w:r w:rsidRPr="008819AF">
              <w:rPr>
                <w:rFonts w:eastAsia="Arial"/>
                <w:lang w:bidi="cs-CZ"/>
              </w:rPr>
              <w:tab/>
              <w:t>C</w:t>
            </w:r>
          </w:p>
          <w:p w14:paraId="15133E99" w14:textId="77777777" w:rsidR="00236AB5" w:rsidRPr="008819AF" w:rsidRDefault="00236AB5" w:rsidP="00236AB5">
            <w:pPr>
              <w:ind w:left="215" w:hanging="215"/>
              <w:rPr>
                <w:rFonts w:eastAsia="Arial"/>
                <w:lang w:bidi="cs-CZ"/>
              </w:rPr>
            </w:pPr>
            <w:r w:rsidRPr="008819AF">
              <w:rPr>
                <w:rFonts w:eastAsia="Arial"/>
                <w:lang w:bidi="cs-CZ"/>
              </w:rPr>
              <w:t>Dioxíny a furány</w:t>
            </w:r>
            <w:r w:rsidRPr="008819AF">
              <w:rPr>
                <w:rFonts w:eastAsia="Arial"/>
                <w:lang w:bidi="cs-CZ"/>
              </w:rPr>
              <w:tab/>
              <w:t>0,1</w:t>
            </w:r>
          </w:p>
          <w:p w14:paraId="15133E9A" w14:textId="77777777" w:rsidR="00236AB5" w:rsidRPr="008819AF" w:rsidRDefault="00236AB5" w:rsidP="00236AB5">
            <w:pPr>
              <w:ind w:left="215" w:hanging="215"/>
              <w:rPr>
                <w:rFonts w:eastAsia="Arial"/>
                <w:lang w:bidi="cs-CZ"/>
              </w:rPr>
            </w:pPr>
            <w:r w:rsidRPr="008819AF">
              <w:rPr>
                <w:rFonts w:eastAsia="Arial"/>
                <w:lang w:bidi="cs-CZ"/>
              </w:rPr>
              <w:t>4.2. C – Celková emisný limit (mg/Nm3) pre ťažké kovy vyjadrená ako priemerné hodnoty počas odoberania vzoriek, ktoré trvá minimálne 30 minút a maximálne 8 hodín:</w:t>
            </w:r>
          </w:p>
          <w:p w14:paraId="15133E9B" w14:textId="77777777" w:rsidR="00236AB5" w:rsidRPr="008819AF" w:rsidRDefault="00236AB5" w:rsidP="00236AB5">
            <w:pPr>
              <w:ind w:left="215" w:hanging="215"/>
              <w:rPr>
                <w:rFonts w:eastAsia="Arial"/>
                <w:lang w:bidi="cs-CZ"/>
              </w:rPr>
            </w:pPr>
            <w:r w:rsidRPr="008819AF">
              <w:rPr>
                <w:rFonts w:eastAsia="Arial"/>
                <w:lang w:bidi="cs-CZ"/>
              </w:rPr>
              <w:t>Znečisťujúca látka</w:t>
            </w:r>
            <w:r w:rsidRPr="008819AF">
              <w:rPr>
                <w:rFonts w:eastAsia="Arial"/>
                <w:lang w:bidi="cs-CZ"/>
              </w:rPr>
              <w:tab/>
              <w:t>C</w:t>
            </w:r>
          </w:p>
          <w:p w14:paraId="15133E9C" w14:textId="77777777" w:rsidR="00236AB5" w:rsidRPr="008819AF" w:rsidRDefault="00236AB5" w:rsidP="00236AB5">
            <w:pPr>
              <w:ind w:left="215" w:hanging="215"/>
              <w:rPr>
                <w:rFonts w:eastAsia="Arial"/>
                <w:lang w:bidi="cs-CZ"/>
              </w:rPr>
            </w:pPr>
            <w:r w:rsidRPr="008819AF">
              <w:rPr>
                <w:rFonts w:eastAsia="Arial"/>
                <w:lang w:bidi="cs-CZ"/>
              </w:rPr>
              <w:t>Cd + Tl</w:t>
            </w:r>
            <w:r w:rsidRPr="008819AF">
              <w:rPr>
                <w:rFonts w:eastAsia="Arial"/>
                <w:lang w:bidi="cs-CZ"/>
              </w:rPr>
              <w:tab/>
              <w:t>0,05</w:t>
            </w:r>
          </w:p>
          <w:p w14:paraId="15133E9D" w14:textId="77777777" w:rsidR="00236AB5" w:rsidRPr="008819AF" w:rsidRDefault="00236AB5" w:rsidP="00236AB5">
            <w:pPr>
              <w:ind w:left="215" w:hanging="215"/>
              <w:rPr>
                <w:rFonts w:eastAsia="Arial"/>
                <w:lang w:bidi="cs-CZ"/>
              </w:rPr>
            </w:pPr>
            <w:r w:rsidRPr="008819AF">
              <w:rPr>
                <w:rFonts w:eastAsia="Arial"/>
                <w:lang w:bidi="cs-CZ"/>
              </w:rPr>
              <w:t>Hg</w:t>
            </w:r>
            <w:r w:rsidRPr="008819AF">
              <w:rPr>
                <w:rFonts w:eastAsia="Arial"/>
                <w:lang w:bidi="cs-CZ"/>
              </w:rPr>
              <w:tab/>
              <w:t>0,05</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E9E"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E9F"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3EA0" w14:textId="77777777" w:rsidR="00236AB5" w:rsidRPr="008819AF" w:rsidRDefault="00236AB5" w:rsidP="00236AB5">
            <w:pPr>
              <w:jc w:val="center"/>
            </w:pPr>
            <w:r w:rsidRPr="008819AF">
              <w:t>Pr.5</w:t>
            </w:r>
          </w:p>
          <w:p w14:paraId="15133EA1" w14:textId="77777777" w:rsidR="00236AB5" w:rsidRPr="008819AF" w:rsidRDefault="00236AB5" w:rsidP="00236AB5">
            <w:pPr>
              <w:jc w:val="center"/>
            </w:pPr>
            <w:r w:rsidRPr="008819AF">
              <w:t>Časť IV.</w:t>
            </w:r>
          </w:p>
          <w:p w14:paraId="15133EA2" w14:textId="77777777" w:rsidR="00236AB5" w:rsidRPr="008819AF" w:rsidRDefault="00236AB5"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15133EA3" w14:textId="77777777" w:rsidR="00236AB5" w:rsidRPr="008819AF" w:rsidRDefault="00236AB5" w:rsidP="00236AB5">
            <w:pPr>
              <w:pStyle w:val="Hlavika"/>
              <w:spacing w:after="120"/>
              <w:ind w:left="74" w:firstLine="0"/>
              <w:rPr>
                <w:rFonts w:ascii="Times New Roman" w:hAnsi="Times New Roman" w:cs="Times New Roman"/>
              </w:rPr>
            </w:pPr>
            <w:r w:rsidRPr="008819AF">
              <w:rPr>
                <w:rFonts w:ascii="Times New Roman" w:hAnsi="Times New Roman" w:cs="Times New Roman"/>
              </w:rPr>
              <w:t>4. Emisné limity pre spoluspaľovanie odpadov v ostatných priemyselných odvetviach</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31"/>
              <w:gridCol w:w="3479"/>
            </w:tblGrid>
            <w:tr w:rsidR="00236AB5" w:rsidRPr="008819AF" w14:paraId="15133EA6" w14:textId="77777777" w:rsidTr="002A6C36">
              <w:trPr>
                <w:cantSplit/>
                <w:trHeight w:val="283"/>
                <w:jc w:val="center"/>
              </w:trPr>
              <w:tc>
                <w:tcPr>
                  <w:tcW w:w="1631" w:type="dxa"/>
                  <w:vMerge w:val="restart"/>
                  <w:vAlign w:val="center"/>
                </w:tcPr>
                <w:p w14:paraId="15133EA4" w14:textId="77777777" w:rsidR="00236AB5" w:rsidRPr="008819AF" w:rsidRDefault="00236AB5" w:rsidP="00236AB5">
                  <w:pPr>
                    <w:pStyle w:val="Zkladntext20"/>
                    <w:keepNext w:val="0"/>
                    <w:spacing w:before="0"/>
                    <w:rPr>
                      <w:b/>
                      <w:sz w:val="18"/>
                      <w:szCs w:val="18"/>
                    </w:rPr>
                  </w:pPr>
                  <w:r w:rsidRPr="008819AF">
                    <w:rPr>
                      <w:b/>
                      <w:sz w:val="18"/>
                      <w:szCs w:val="18"/>
                    </w:rPr>
                    <w:t>Podmienky platnosti EL</w:t>
                  </w:r>
                </w:p>
              </w:tc>
              <w:tc>
                <w:tcPr>
                  <w:tcW w:w="3479" w:type="dxa"/>
                  <w:vAlign w:val="center"/>
                </w:tcPr>
                <w:p w14:paraId="15133EA5" w14:textId="77777777" w:rsidR="00236AB5" w:rsidRPr="008819AF" w:rsidRDefault="00236AB5" w:rsidP="00236AB5">
                  <w:pPr>
                    <w:pStyle w:val="Zkladntext20"/>
                    <w:keepNext w:val="0"/>
                    <w:spacing w:before="0"/>
                    <w:rPr>
                      <w:sz w:val="18"/>
                      <w:szCs w:val="18"/>
                    </w:rPr>
                  </w:pPr>
                  <w:r w:rsidRPr="008819AF">
                    <w:rPr>
                      <w:sz w:val="18"/>
                      <w:szCs w:val="18"/>
                    </w:rPr>
                    <w:t>Štandardné stavové podmienky, suchý plyn, O</w:t>
                  </w:r>
                  <w:r w:rsidRPr="008819AF">
                    <w:rPr>
                      <w:sz w:val="18"/>
                      <w:szCs w:val="18"/>
                      <w:vertAlign w:val="subscript"/>
                    </w:rPr>
                    <w:t>2ref</w:t>
                  </w:r>
                  <w:r w:rsidRPr="008819AF">
                    <w:rPr>
                      <w:sz w:val="18"/>
                      <w:szCs w:val="18"/>
                    </w:rPr>
                    <w:t>: podľa bodu 1</w:t>
                  </w:r>
                </w:p>
              </w:tc>
            </w:tr>
            <w:tr w:rsidR="00236AB5" w:rsidRPr="008819AF" w14:paraId="15133EAB" w14:textId="77777777" w:rsidTr="002A6C36">
              <w:trPr>
                <w:cantSplit/>
                <w:trHeight w:val="283"/>
                <w:jc w:val="center"/>
              </w:trPr>
              <w:tc>
                <w:tcPr>
                  <w:tcW w:w="1631" w:type="dxa"/>
                  <w:vMerge/>
                  <w:vAlign w:val="center"/>
                </w:tcPr>
                <w:p w14:paraId="15133EA7" w14:textId="77777777" w:rsidR="00236AB5" w:rsidRPr="008819AF" w:rsidRDefault="00236AB5" w:rsidP="00236AB5">
                  <w:pPr>
                    <w:pStyle w:val="Zkladntext20"/>
                    <w:keepNext w:val="0"/>
                    <w:spacing w:before="0"/>
                    <w:rPr>
                      <w:b/>
                      <w:sz w:val="18"/>
                      <w:szCs w:val="18"/>
                    </w:rPr>
                  </w:pPr>
                </w:p>
              </w:tc>
              <w:tc>
                <w:tcPr>
                  <w:tcW w:w="3479" w:type="dxa"/>
                  <w:vAlign w:val="center"/>
                </w:tcPr>
                <w:p w14:paraId="15133EA8" w14:textId="77777777" w:rsidR="00236AB5" w:rsidRPr="008819AF" w:rsidRDefault="00236AB5" w:rsidP="00236AB5">
                  <w:pPr>
                    <w:pStyle w:val="Zkladntext20"/>
                    <w:spacing w:before="0" w:after="0"/>
                    <w:rPr>
                      <w:sz w:val="18"/>
                      <w:szCs w:val="18"/>
                    </w:rPr>
                  </w:pPr>
                  <w:r w:rsidRPr="008819AF">
                    <w:rPr>
                      <w:sz w:val="18"/>
                      <w:szCs w:val="18"/>
                    </w:rPr>
                    <w:t xml:space="preserve">Emisné limity platia </w:t>
                  </w:r>
                </w:p>
                <w:p w14:paraId="15133EA9" w14:textId="77777777" w:rsidR="00236AB5" w:rsidRPr="008819AF" w:rsidRDefault="00236AB5" w:rsidP="00236AB5">
                  <w:pPr>
                    <w:pStyle w:val="Zkladntext20"/>
                    <w:keepNext w:val="0"/>
                    <w:spacing w:before="0" w:after="0"/>
                    <w:rPr>
                      <w:b/>
                      <w:sz w:val="18"/>
                      <w:szCs w:val="18"/>
                    </w:rPr>
                  </w:pPr>
                  <w:r w:rsidRPr="008819AF">
                    <w:rPr>
                      <w:sz w:val="18"/>
                      <w:szCs w:val="18"/>
                    </w:rPr>
                    <w:t>- pre ťažké kovy ako priemerné hodnoty za dobu odberu vzorky v trvaní najmenej 30 min a najviac 8 h,</w:t>
                  </w:r>
                </w:p>
                <w:p w14:paraId="15133EAA" w14:textId="77777777" w:rsidR="00236AB5" w:rsidRPr="008819AF" w:rsidRDefault="00236AB5" w:rsidP="00236AB5">
                  <w:pPr>
                    <w:pStyle w:val="Zkladntext20"/>
                    <w:spacing w:before="0" w:after="0"/>
                    <w:jc w:val="left"/>
                    <w:rPr>
                      <w:sz w:val="18"/>
                      <w:szCs w:val="18"/>
                    </w:rPr>
                  </w:pPr>
                  <w:r w:rsidRPr="008819AF">
                    <w:rPr>
                      <w:sz w:val="18"/>
                      <w:szCs w:val="18"/>
                    </w:rPr>
                    <w:t>- pre PCDD + PCDF ako priemerné hodnoty za dobu odberu vzorky v trvaní najmenej 6 h a najviac 8 h.</w:t>
                  </w:r>
                </w:p>
              </w:tc>
            </w:tr>
            <w:tr w:rsidR="00236AB5" w:rsidRPr="008819AF" w14:paraId="15133EAE" w14:textId="77777777" w:rsidTr="002A6C36">
              <w:trPr>
                <w:cantSplit/>
                <w:trHeight w:val="283"/>
                <w:jc w:val="center"/>
              </w:trPr>
              <w:tc>
                <w:tcPr>
                  <w:tcW w:w="1631" w:type="dxa"/>
                  <w:vAlign w:val="center"/>
                </w:tcPr>
                <w:p w14:paraId="15133EAC" w14:textId="77777777" w:rsidR="00236AB5" w:rsidRPr="008819AF" w:rsidRDefault="00236AB5" w:rsidP="00236AB5">
                  <w:pPr>
                    <w:pStyle w:val="Zkladntext20"/>
                    <w:keepNext w:val="0"/>
                    <w:spacing w:before="0"/>
                    <w:rPr>
                      <w:b/>
                      <w:sz w:val="18"/>
                      <w:szCs w:val="18"/>
                    </w:rPr>
                  </w:pPr>
                  <w:r w:rsidRPr="008819AF">
                    <w:rPr>
                      <w:b/>
                      <w:sz w:val="18"/>
                      <w:szCs w:val="18"/>
                    </w:rPr>
                    <w:t>Znečisťujúca látka</w:t>
                  </w:r>
                </w:p>
              </w:tc>
              <w:tc>
                <w:tcPr>
                  <w:tcW w:w="3479" w:type="dxa"/>
                  <w:vAlign w:val="center"/>
                </w:tcPr>
                <w:p w14:paraId="15133EAD" w14:textId="77777777" w:rsidR="00236AB5" w:rsidRPr="008819AF" w:rsidRDefault="00236AB5" w:rsidP="00236AB5">
                  <w:pPr>
                    <w:pStyle w:val="Zkladntext20"/>
                    <w:keepNext w:val="0"/>
                    <w:spacing w:before="0"/>
                    <w:jc w:val="center"/>
                    <w:rPr>
                      <w:sz w:val="18"/>
                      <w:szCs w:val="18"/>
                    </w:rPr>
                  </w:pPr>
                  <w:r w:rsidRPr="008819AF">
                    <w:rPr>
                      <w:b/>
                      <w:sz w:val="18"/>
                      <w:szCs w:val="18"/>
                    </w:rPr>
                    <w:t>C - celkový emisný limit [mg/m</w:t>
                  </w:r>
                  <w:r w:rsidRPr="008819AF">
                    <w:rPr>
                      <w:b/>
                      <w:sz w:val="18"/>
                      <w:szCs w:val="18"/>
                      <w:vertAlign w:val="superscript"/>
                    </w:rPr>
                    <w:t>3</w:t>
                  </w:r>
                  <w:r w:rsidRPr="008819AF">
                    <w:rPr>
                      <w:b/>
                      <w:sz w:val="18"/>
                      <w:szCs w:val="18"/>
                    </w:rPr>
                    <w:t>]</w:t>
                  </w:r>
                </w:p>
              </w:tc>
            </w:tr>
            <w:tr w:rsidR="00236AB5" w:rsidRPr="008819AF" w14:paraId="15133EB1" w14:textId="77777777" w:rsidTr="002A6C36">
              <w:trPr>
                <w:cantSplit/>
                <w:trHeight w:val="283"/>
                <w:jc w:val="center"/>
              </w:trPr>
              <w:tc>
                <w:tcPr>
                  <w:tcW w:w="1631" w:type="dxa"/>
                  <w:vAlign w:val="center"/>
                </w:tcPr>
                <w:p w14:paraId="15133EAF" w14:textId="77777777" w:rsidR="00236AB5" w:rsidRPr="008819AF" w:rsidRDefault="00236AB5" w:rsidP="00236AB5">
                  <w:pPr>
                    <w:pStyle w:val="Zkladntext20"/>
                    <w:keepNext w:val="0"/>
                    <w:spacing w:before="0"/>
                    <w:rPr>
                      <w:sz w:val="18"/>
                      <w:szCs w:val="18"/>
                    </w:rPr>
                  </w:pPr>
                  <w:r w:rsidRPr="008819AF">
                    <w:rPr>
                      <w:sz w:val="18"/>
                      <w:szCs w:val="18"/>
                    </w:rPr>
                    <w:t>Cd + Tl</w:t>
                  </w:r>
                </w:p>
              </w:tc>
              <w:tc>
                <w:tcPr>
                  <w:tcW w:w="3479" w:type="dxa"/>
                  <w:vAlign w:val="center"/>
                </w:tcPr>
                <w:p w14:paraId="15133EB0" w14:textId="77777777" w:rsidR="00236AB5" w:rsidRPr="008819AF" w:rsidRDefault="00236AB5" w:rsidP="00236AB5">
                  <w:pPr>
                    <w:pStyle w:val="Zkladntext20"/>
                    <w:keepNext w:val="0"/>
                    <w:spacing w:before="0"/>
                    <w:jc w:val="center"/>
                    <w:rPr>
                      <w:sz w:val="18"/>
                      <w:szCs w:val="18"/>
                    </w:rPr>
                  </w:pPr>
                  <w:r w:rsidRPr="008819AF">
                    <w:rPr>
                      <w:sz w:val="18"/>
                      <w:szCs w:val="18"/>
                    </w:rPr>
                    <w:t>0,05</w:t>
                  </w:r>
                </w:p>
              </w:tc>
            </w:tr>
            <w:tr w:rsidR="00236AB5" w:rsidRPr="008819AF" w14:paraId="15133EB4" w14:textId="77777777" w:rsidTr="002A6C36">
              <w:trPr>
                <w:cantSplit/>
                <w:trHeight w:val="283"/>
                <w:jc w:val="center"/>
              </w:trPr>
              <w:tc>
                <w:tcPr>
                  <w:tcW w:w="1631" w:type="dxa"/>
                  <w:vAlign w:val="center"/>
                </w:tcPr>
                <w:p w14:paraId="15133EB2" w14:textId="77777777" w:rsidR="00236AB5" w:rsidRPr="008819AF" w:rsidRDefault="00236AB5" w:rsidP="00236AB5">
                  <w:pPr>
                    <w:pStyle w:val="Zkladntext20"/>
                    <w:keepNext w:val="0"/>
                    <w:spacing w:before="0"/>
                    <w:rPr>
                      <w:sz w:val="18"/>
                      <w:szCs w:val="18"/>
                    </w:rPr>
                  </w:pPr>
                  <w:r w:rsidRPr="008819AF">
                    <w:rPr>
                      <w:sz w:val="18"/>
                      <w:szCs w:val="18"/>
                    </w:rPr>
                    <w:t>Hg</w:t>
                  </w:r>
                </w:p>
              </w:tc>
              <w:tc>
                <w:tcPr>
                  <w:tcW w:w="3479" w:type="dxa"/>
                  <w:vAlign w:val="center"/>
                </w:tcPr>
                <w:p w14:paraId="15133EB3" w14:textId="77777777" w:rsidR="00236AB5" w:rsidRPr="008819AF" w:rsidRDefault="00236AB5" w:rsidP="00236AB5">
                  <w:pPr>
                    <w:pStyle w:val="Zkladntext20"/>
                    <w:keepNext w:val="0"/>
                    <w:spacing w:before="0"/>
                    <w:jc w:val="center"/>
                    <w:rPr>
                      <w:sz w:val="18"/>
                      <w:szCs w:val="18"/>
                    </w:rPr>
                  </w:pPr>
                  <w:r w:rsidRPr="008819AF">
                    <w:rPr>
                      <w:sz w:val="18"/>
                      <w:szCs w:val="18"/>
                    </w:rPr>
                    <w:t>0,05</w:t>
                  </w:r>
                </w:p>
              </w:tc>
            </w:tr>
            <w:tr w:rsidR="00236AB5" w:rsidRPr="008819AF" w14:paraId="15133EB7" w14:textId="77777777" w:rsidTr="002A6C36">
              <w:trPr>
                <w:cantSplit/>
                <w:trHeight w:val="283"/>
                <w:jc w:val="center"/>
              </w:trPr>
              <w:tc>
                <w:tcPr>
                  <w:tcW w:w="1631" w:type="dxa"/>
                  <w:vAlign w:val="center"/>
                </w:tcPr>
                <w:p w14:paraId="15133EB5" w14:textId="77777777" w:rsidR="00236AB5" w:rsidRPr="008819AF" w:rsidRDefault="00236AB5" w:rsidP="00236AB5">
                  <w:pPr>
                    <w:pStyle w:val="Zkladntext20"/>
                    <w:keepNext w:val="0"/>
                    <w:spacing w:before="0"/>
                    <w:rPr>
                      <w:sz w:val="18"/>
                      <w:szCs w:val="18"/>
                    </w:rPr>
                  </w:pPr>
                  <w:r w:rsidRPr="008819AF">
                    <w:rPr>
                      <w:sz w:val="18"/>
                      <w:szCs w:val="18"/>
                    </w:rPr>
                    <w:t>PCDD + PCDF</w:t>
                  </w:r>
                </w:p>
              </w:tc>
              <w:tc>
                <w:tcPr>
                  <w:tcW w:w="3479" w:type="dxa"/>
                  <w:vAlign w:val="center"/>
                </w:tcPr>
                <w:p w14:paraId="15133EB6" w14:textId="77777777" w:rsidR="00236AB5" w:rsidRPr="008819AF" w:rsidRDefault="00236AB5" w:rsidP="00236AB5">
                  <w:pPr>
                    <w:pStyle w:val="Zkladntext20"/>
                    <w:keepNext w:val="0"/>
                    <w:spacing w:before="0"/>
                    <w:jc w:val="center"/>
                    <w:rPr>
                      <w:sz w:val="18"/>
                      <w:szCs w:val="18"/>
                    </w:rPr>
                  </w:pPr>
                  <w:r w:rsidRPr="008819AF">
                    <w:rPr>
                      <w:sz w:val="18"/>
                      <w:szCs w:val="18"/>
                    </w:rPr>
                    <w:t>0,1 ng TEQ/m</w:t>
                  </w:r>
                  <w:r w:rsidRPr="008819AF">
                    <w:rPr>
                      <w:sz w:val="18"/>
                      <w:szCs w:val="18"/>
                      <w:vertAlign w:val="superscript"/>
                    </w:rPr>
                    <w:t>3</w:t>
                  </w:r>
                </w:p>
              </w:tc>
            </w:tr>
            <w:tr w:rsidR="00236AB5" w:rsidRPr="008819AF" w14:paraId="15133EBA" w14:textId="77777777" w:rsidTr="002A6C36">
              <w:trPr>
                <w:cantSplit/>
                <w:trHeight w:val="283"/>
                <w:jc w:val="center"/>
              </w:trPr>
              <w:tc>
                <w:tcPr>
                  <w:tcW w:w="1631" w:type="dxa"/>
                  <w:vAlign w:val="center"/>
                </w:tcPr>
                <w:p w14:paraId="15133EB8" w14:textId="77777777" w:rsidR="00236AB5" w:rsidRPr="008819AF" w:rsidRDefault="00236AB5" w:rsidP="00236AB5">
                  <w:pPr>
                    <w:pStyle w:val="Zkladntext20"/>
                    <w:keepNext w:val="0"/>
                    <w:spacing w:before="0"/>
                    <w:rPr>
                      <w:sz w:val="18"/>
                      <w:szCs w:val="18"/>
                    </w:rPr>
                  </w:pPr>
                  <w:r w:rsidRPr="008819AF">
                    <w:rPr>
                      <w:sz w:val="18"/>
                      <w:szCs w:val="18"/>
                    </w:rPr>
                    <w:lastRenderedPageBreak/>
                    <w:t>Ďalšie znečisťujúce látky</w:t>
                  </w:r>
                </w:p>
              </w:tc>
              <w:tc>
                <w:tcPr>
                  <w:tcW w:w="3479" w:type="dxa"/>
                  <w:vAlign w:val="center"/>
                </w:tcPr>
                <w:p w14:paraId="15133EB9" w14:textId="77777777" w:rsidR="00236AB5" w:rsidRPr="008819AF" w:rsidRDefault="00236AB5" w:rsidP="00236AB5">
                  <w:pPr>
                    <w:pStyle w:val="Zkladntext20"/>
                    <w:keepNext w:val="0"/>
                    <w:spacing w:before="0"/>
                    <w:rPr>
                      <w:sz w:val="18"/>
                      <w:szCs w:val="18"/>
                    </w:rPr>
                  </w:pPr>
                  <w:r w:rsidRPr="008819AF">
                    <w:rPr>
                      <w:sz w:val="18"/>
                      <w:szCs w:val="18"/>
                    </w:rPr>
                    <w:t>Emisné limity pre ďalšie ZL, ktoré vznikajú spaľovaním odpadu sa vypočítajú podľa vzťahu  uvedeného  v bode  1 tejto časti.</w:t>
                  </w:r>
                </w:p>
              </w:tc>
            </w:tr>
          </w:tbl>
          <w:p w14:paraId="15133EBB" w14:textId="77777777" w:rsidR="00236AB5" w:rsidRPr="008819AF" w:rsidRDefault="00236AB5" w:rsidP="00236AB5">
            <w:pPr>
              <w:pStyle w:val="Hlavika"/>
              <w:ind w:left="0" w:firstLine="0"/>
              <w:rPr>
                <w:rFonts w:ascii="Times New Roman" w:hAnsi="Times New Roman" w:cs="Times New Roman"/>
                <w:lang w:bidi="cs-CZ"/>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3EBC"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EBD" w14:textId="77777777" w:rsidR="00236AB5" w:rsidRPr="008819AF" w:rsidRDefault="00236AB5" w:rsidP="00236AB5">
            <w:pPr>
              <w:ind w:left="215" w:hanging="215"/>
              <w:rPr>
                <w:rFonts w:eastAsia="Arial"/>
              </w:rPr>
            </w:pPr>
          </w:p>
        </w:tc>
      </w:tr>
      <w:tr w:rsidR="00236AB5" w:rsidRPr="008819AF" w14:paraId="15133EF0"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15133EBF"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EC0" w14:textId="77777777" w:rsidR="00236AB5" w:rsidRPr="008819AF" w:rsidRDefault="00236AB5" w:rsidP="00236AB5">
            <w:pPr>
              <w:ind w:left="215" w:hanging="215"/>
              <w:rPr>
                <w:rFonts w:eastAsia="Arial"/>
                <w:lang w:bidi="cs-CZ"/>
              </w:rPr>
            </w:pPr>
            <w:r w:rsidRPr="008819AF">
              <w:rPr>
                <w:rFonts w:eastAsia="Arial"/>
                <w:lang w:bidi="cs-CZ"/>
              </w:rPr>
              <w:t>ČASŤ 5</w:t>
            </w:r>
          </w:p>
          <w:p w14:paraId="15133EC1" w14:textId="77777777" w:rsidR="00236AB5" w:rsidRPr="008819AF" w:rsidRDefault="00236AB5" w:rsidP="00236AB5">
            <w:pPr>
              <w:rPr>
                <w:rFonts w:eastAsia="Arial"/>
                <w:lang w:bidi="cs-CZ"/>
              </w:rPr>
            </w:pPr>
            <w:r w:rsidRPr="008819AF">
              <w:rPr>
                <w:rFonts w:eastAsia="Arial"/>
                <w:lang w:bidi="cs-CZ"/>
              </w:rPr>
              <w:t>Emisné limity pre vypúšťanie odpadových vôd vznikajúcich pri čistení odpadových plynov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1443"/>
              <w:gridCol w:w="1317"/>
            </w:tblGrid>
            <w:tr w:rsidR="00236AB5" w:rsidRPr="008819AF" w14:paraId="15133EC4" w14:textId="77777777" w:rsidTr="002A6C36">
              <w:trPr>
                <w:trHeight w:val="103"/>
              </w:trPr>
              <w:tc>
                <w:tcPr>
                  <w:tcW w:w="3343" w:type="dxa"/>
                  <w:tcBorders>
                    <w:top w:val="single" w:sz="4" w:space="0" w:color="000000"/>
                    <w:left w:val="single" w:sz="4" w:space="0" w:color="000000"/>
                    <w:bottom w:val="single" w:sz="4" w:space="0" w:color="000000"/>
                    <w:right w:val="single" w:sz="4" w:space="0" w:color="000000"/>
                  </w:tcBorders>
                </w:tcPr>
                <w:p w14:paraId="15133EC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Znečisťujúce látky</w:t>
                  </w:r>
                </w:p>
              </w:tc>
              <w:tc>
                <w:tcPr>
                  <w:tcW w:w="2760" w:type="dxa"/>
                  <w:gridSpan w:val="2"/>
                  <w:tcBorders>
                    <w:top w:val="single" w:sz="4" w:space="0" w:color="000000"/>
                    <w:left w:val="single" w:sz="4" w:space="0" w:color="000000"/>
                    <w:bottom w:val="single" w:sz="4" w:space="0" w:color="000000"/>
                    <w:right w:val="single" w:sz="4" w:space="0" w:color="000000"/>
                  </w:tcBorders>
                </w:tcPr>
                <w:p w14:paraId="15133EC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Emisné limity pre nefiltrované vzorky (mg/l s výnimkou dioxínov a furánov)</w:t>
                  </w:r>
                </w:p>
              </w:tc>
            </w:tr>
            <w:tr w:rsidR="00236AB5" w:rsidRPr="008819AF" w14:paraId="15133ECA" w14:textId="77777777" w:rsidTr="002A6C36">
              <w:trPr>
                <w:trHeight w:val="103"/>
              </w:trPr>
              <w:tc>
                <w:tcPr>
                  <w:tcW w:w="3343" w:type="dxa"/>
                  <w:tcBorders>
                    <w:top w:val="single" w:sz="4" w:space="0" w:color="000000"/>
                    <w:left w:val="single" w:sz="4" w:space="0" w:color="000000"/>
                    <w:bottom w:val="single" w:sz="4" w:space="0" w:color="000000"/>
                    <w:right w:val="single" w:sz="4" w:space="0" w:color="000000"/>
                  </w:tcBorders>
                </w:tcPr>
                <w:p w14:paraId="15133EC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Celkové množstvo nerozpustných tuhých látok, ako sú vymedzené v prílohe I smernice 91/271/EHS</w:t>
                  </w:r>
                </w:p>
              </w:tc>
              <w:tc>
                <w:tcPr>
                  <w:tcW w:w="1443" w:type="dxa"/>
                  <w:tcBorders>
                    <w:top w:val="single" w:sz="4" w:space="0" w:color="000000"/>
                    <w:left w:val="single" w:sz="4" w:space="0" w:color="000000"/>
                    <w:bottom w:val="single" w:sz="4" w:space="0" w:color="000000"/>
                    <w:right w:val="single" w:sz="4" w:space="0" w:color="000000"/>
                  </w:tcBorders>
                  <w:vAlign w:val="center"/>
                </w:tcPr>
                <w:p w14:paraId="15133EC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(95 %)</w:t>
                  </w:r>
                </w:p>
                <w:p w14:paraId="15133EC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w:t>
                  </w:r>
                </w:p>
              </w:tc>
              <w:tc>
                <w:tcPr>
                  <w:tcW w:w="1317" w:type="dxa"/>
                  <w:tcBorders>
                    <w:top w:val="single" w:sz="4" w:space="0" w:color="000000"/>
                    <w:left w:val="single" w:sz="4" w:space="0" w:color="000000"/>
                    <w:bottom w:val="single" w:sz="4" w:space="0" w:color="000000"/>
                    <w:right w:val="single" w:sz="4" w:space="0" w:color="000000"/>
                  </w:tcBorders>
                  <w:vAlign w:val="center"/>
                </w:tcPr>
                <w:p w14:paraId="15133EC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p w14:paraId="15133EC9"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45</w:t>
                  </w:r>
                </w:p>
              </w:tc>
            </w:tr>
            <w:tr w:rsidR="00236AB5" w:rsidRPr="008819AF" w14:paraId="15133ECD" w14:textId="77777777" w:rsidTr="002A6C36">
              <w:trPr>
                <w:trHeight w:val="103"/>
              </w:trPr>
              <w:tc>
                <w:tcPr>
                  <w:tcW w:w="3343" w:type="dxa"/>
                  <w:tcBorders>
                    <w:top w:val="single" w:sz="4" w:space="0" w:color="000000"/>
                    <w:left w:val="single" w:sz="4" w:space="0" w:color="000000"/>
                    <w:bottom w:val="single" w:sz="4" w:space="0" w:color="000000"/>
                    <w:right w:val="single" w:sz="4" w:space="0" w:color="000000"/>
                  </w:tcBorders>
                </w:tcPr>
                <w:p w14:paraId="15133EC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2.Ortuť a jej zlúčeniny, vyjadrené ako ortuť (Hg)</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14:paraId="15133EC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0,03</w:t>
                  </w:r>
                </w:p>
              </w:tc>
            </w:tr>
            <w:tr w:rsidR="00236AB5" w:rsidRPr="008819AF" w14:paraId="15133ED0" w14:textId="77777777" w:rsidTr="002A6C36">
              <w:trPr>
                <w:trHeight w:val="103"/>
              </w:trPr>
              <w:tc>
                <w:tcPr>
                  <w:tcW w:w="3343" w:type="dxa"/>
                  <w:tcBorders>
                    <w:top w:val="single" w:sz="4" w:space="0" w:color="000000"/>
                    <w:left w:val="single" w:sz="4" w:space="0" w:color="000000"/>
                    <w:bottom w:val="single" w:sz="4" w:space="0" w:color="000000"/>
                    <w:right w:val="single" w:sz="4" w:space="0" w:color="000000"/>
                  </w:tcBorders>
                </w:tcPr>
                <w:p w14:paraId="15133EC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 Kadmium a jeho zlúčeniny, vyjadrené ako kadmium (Cd)</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14:paraId="15133EC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0,05</w:t>
                  </w:r>
                </w:p>
              </w:tc>
            </w:tr>
            <w:tr w:rsidR="00236AB5" w:rsidRPr="008819AF" w14:paraId="15133ED3" w14:textId="77777777" w:rsidTr="002A6C36">
              <w:trPr>
                <w:trHeight w:val="103"/>
              </w:trPr>
              <w:tc>
                <w:tcPr>
                  <w:tcW w:w="3343" w:type="dxa"/>
                  <w:tcBorders>
                    <w:top w:val="single" w:sz="4" w:space="0" w:color="000000"/>
                    <w:left w:val="single" w:sz="4" w:space="0" w:color="000000"/>
                    <w:bottom w:val="single" w:sz="4" w:space="0" w:color="000000"/>
                    <w:right w:val="single" w:sz="4" w:space="0" w:color="000000"/>
                  </w:tcBorders>
                </w:tcPr>
                <w:p w14:paraId="15133ED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 Tálium a jeho zlúčeniny, vyjadrené ako tálium (Tl)</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14:paraId="15133ED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0,05</w:t>
                  </w:r>
                </w:p>
              </w:tc>
            </w:tr>
            <w:tr w:rsidR="00236AB5" w:rsidRPr="008819AF" w14:paraId="15133ED6" w14:textId="77777777" w:rsidTr="002A6C36">
              <w:trPr>
                <w:trHeight w:val="103"/>
              </w:trPr>
              <w:tc>
                <w:tcPr>
                  <w:tcW w:w="3343" w:type="dxa"/>
                  <w:tcBorders>
                    <w:top w:val="single" w:sz="4" w:space="0" w:color="000000"/>
                    <w:left w:val="single" w:sz="4" w:space="0" w:color="000000"/>
                    <w:bottom w:val="single" w:sz="4" w:space="0" w:color="000000"/>
                    <w:right w:val="single" w:sz="4" w:space="0" w:color="000000"/>
                  </w:tcBorders>
                </w:tcPr>
                <w:p w14:paraId="15133ED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 Arzén a jeho zlúčeniny, vyjadrené ako arzén (As)</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14:paraId="15133ED5"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0,15</w:t>
                  </w:r>
                </w:p>
              </w:tc>
            </w:tr>
            <w:tr w:rsidR="00236AB5" w:rsidRPr="008819AF" w14:paraId="15133ED9" w14:textId="77777777" w:rsidTr="002A6C36">
              <w:trPr>
                <w:trHeight w:val="103"/>
              </w:trPr>
              <w:tc>
                <w:tcPr>
                  <w:tcW w:w="3343" w:type="dxa"/>
                  <w:tcBorders>
                    <w:top w:val="single" w:sz="4" w:space="0" w:color="000000"/>
                    <w:left w:val="single" w:sz="4" w:space="0" w:color="000000"/>
                    <w:bottom w:val="single" w:sz="4" w:space="0" w:color="000000"/>
                    <w:right w:val="single" w:sz="4" w:space="0" w:color="000000"/>
                  </w:tcBorders>
                </w:tcPr>
                <w:p w14:paraId="15133ED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6. Olovo a jeho zlúčeniny, vyjadrené ako olovo (Pb)</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14:paraId="15133ED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0,2</w:t>
                  </w:r>
                </w:p>
              </w:tc>
            </w:tr>
            <w:tr w:rsidR="00236AB5" w:rsidRPr="008819AF" w14:paraId="15133EDC" w14:textId="77777777" w:rsidTr="002A6C36">
              <w:trPr>
                <w:trHeight w:val="103"/>
              </w:trPr>
              <w:tc>
                <w:tcPr>
                  <w:tcW w:w="3343" w:type="dxa"/>
                  <w:tcBorders>
                    <w:top w:val="single" w:sz="4" w:space="0" w:color="000000"/>
                    <w:left w:val="single" w:sz="4" w:space="0" w:color="000000"/>
                    <w:bottom w:val="single" w:sz="4" w:space="0" w:color="000000"/>
                    <w:right w:val="single" w:sz="4" w:space="0" w:color="000000"/>
                  </w:tcBorders>
                </w:tcPr>
                <w:p w14:paraId="15133EDA"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7. Chróm a jeho zlúčeniny, vyjadrené ako chróm (Cr)</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14:paraId="15133ED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0,5</w:t>
                  </w:r>
                </w:p>
              </w:tc>
            </w:tr>
            <w:tr w:rsidR="00236AB5" w:rsidRPr="008819AF" w14:paraId="15133EDF" w14:textId="77777777" w:rsidTr="002A6C36">
              <w:trPr>
                <w:trHeight w:val="103"/>
              </w:trPr>
              <w:tc>
                <w:tcPr>
                  <w:tcW w:w="3343" w:type="dxa"/>
                  <w:tcBorders>
                    <w:top w:val="single" w:sz="4" w:space="0" w:color="000000"/>
                    <w:left w:val="single" w:sz="4" w:space="0" w:color="000000"/>
                    <w:bottom w:val="single" w:sz="4" w:space="0" w:color="000000"/>
                    <w:right w:val="single" w:sz="4" w:space="0" w:color="000000"/>
                  </w:tcBorders>
                </w:tcPr>
                <w:p w14:paraId="15133EDD"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8. Meď a jej zlúčeniny, vyjadrené ako meď (Cu)</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14:paraId="15133ED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0,5</w:t>
                  </w:r>
                </w:p>
              </w:tc>
            </w:tr>
            <w:tr w:rsidR="00236AB5" w:rsidRPr="008819AF" w14:paraId="15133EE2" w14:textId="77777777" w:rsidTr="002A6C36">
              <w:trPr>
                <w:trHeight w:val="103"/>
              </w:trPr>
              <w:tc>
                <w:tcPr>
                  <w:tcW w:w="3343" w:type="dxa"/>
                  <w:tcBorders>
                    <w:top w:val="single" w:sz="4" w:space="0" w:color="000000"/>
                    <w:left w:val="single" w:sz="4" w:space="0" w:color="000000"/>
                    <w:bottom w:val="single" w:sz="4" w:space="0" w:color="000000"/>
                    <w:right w:val="single" w:sz="4" w:space="0" w:color="000000"/>
                  </w:tcBorders>
                </w:tcPr>
                <w:p w14:paraId="15133EE0"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 Nikel a jeho zlúčeniny, vyjadrené ako nikel (Ni)</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14:paraId="15133EE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0,5</w:t>
                  </w:r>
                </w:p>
              </w:tc>
            </w:tr>
            <w:tr w:rsidR="00236AB5" w:rsidRPr="008819AF" w14:paraId="15133EE5" w14:textId="77777777" w:rsidTr="002A6C36">
              <w:trPr>
                <w:trHeight w:val="103"/>
              </w:trPr>
              <w:tc>
                <w:tcPr>
                  <w:tcW w:w="3343" w:type="dxa"/>
                  <w:tcBorders>
                    <w:top w:val="single" w:sz="4" w:space="0" w:color="000000"/>
                    <w:left w:val="single" w:sz="4" w:space="0" w:color="000000"/>
                    <w:bottom w:val="single" w:sz="4" w:space="0" w:color="000000"/>
                    <w:right w:val="single" w:sz="4" w:space="0" w:color="000000"/>
                  </w:tcBorders>
                </w:tcPr>
                <w:p w14:paraId="15133EE3"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 Zinok a jeho zlúčeniny, vyjadrené ako zinok (Zn)</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14:paraId="15133EE4"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w:t>
                  </w:r>
                </w:p>
              </w:tc>
            </w:tr>
            <w:tr w:rsidR="00236AB5" w:rsidRPr="008819AF" w14:paraId="15133EE8" w14:textId="77777777" w:rsidTr="002A6C36">
              <w:trPr>
                <w:trHeight w:val="103"/>
              </w:trPr>
              <w:tc>
                <w:tcPr>
                  <w:tcW w:w="3343" w:type="dxa"/>
                  <w:tcBorders>
                    <w:top w:val="single" w:sz="4" w:space="0" w:color="000000"/>
                    <w:left w:val="single" w:sz="4" w:space="0" w:color="000000"/>
                    <w:bottom w:val="single" w:sz="4" w:space="0" w:color="000000"/>
                    <w:right w:val="single" w:sz="4" w:space="0" w:color="000000"/>
                  </w:tcBorders>
                </w:tcPr>
                <w:p w14:paraId="15133EE6"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11. Dioxíny a furány</w:t>
                  </w:r>
                </w:p>
              </w:tc>
              <w:tc>
                <w:tcPr>
                  <w:tcW w:w="2760" w:type="dxa"/>
                  <w:gridSpan w:val="2"/>
                  <w:tcBorders>
                    <w:top w:val="single" w:sz="4" w:space="0" w:color="000000"/>
                    <w:left w:val="single" w:sz="4" w:space="0" w:color="000000"/>
                    <w:bottom w:val="single" w:sz="4" w:space="0" w:color="000000"/>
                    <w:right w:val="single" w:sz="4" w:space="0" w:color="000000"/>
                  </w:tcBorders>
                  <w:vAlign w:val="center"/>
                </w:tcPr>
                <w:p w14:paraId="15133EE7"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0,3 ng/l</w:t>
                  </w:r>
                </w:p>
              </w:tc>
            </w:tr>
          </w:tbl>
          <w:p w14:paraId="15133EE9" w14:textId="77777777" w:rsidR="00236AB5" w:rsidRPr="008819AF" w:rsidRDefault="00236AB5" w:rsidP="00236AB5">
            <w:pPr>
              <w:rPr>
                <w:rFonts w:eastAsia="Arial"/>
                <w:lang w:bidi="cs-CZ"/>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EEA"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EEB"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EEC" w14:textId="77777777" w:rsidR="00236AB5" w:rsidRPr="008819AF" w:rsidRDefault="00236AB5" w:rsidP="00236AB5">
            <w:pPr>
              <w:pStyle w:val="BodyText21"/>
              <w:spacing w:before="0"/>
              <w:jc w:val="center"/>
              <w:rPr>
                <w:rFonts w:ascii="Times New Roman" w:hAnsi="Times New Roman" w:cs="Times New Roman"/>
              </w:rPr>
            </w:pPr>
          </w:p>
        </w:tc>
        <w:tc>
          <w:tcPr>
            <w:tcW w:w="5230" w:type="dxa"/>
            <w:gridSpan w:val="3"/>
            <w:tcBorders>
              <w:top w:val="single" w:sz="4" w:space="0" w:color="000000"/>
              <w:left w:val="single" w:sz="6" w:space="0" w:color="000000"/>
              <w:bottom w:val="single" w:sz="6" w:space="0" w:color="000000"/>
              <w:right w:val="single" w:sz="6" w:space="0" w:color="000000"/>
            </w:tcBorders>
          </w:tcPr>
          <w:p w14:paraId="15133EED"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3EEE"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EEF" w14:textId="77777777" w:rsidR="00236AB5" w:rsidRPr="008819AF" w:rsidRDefault="00236AB5" w:rsidP="00236AB5">
            <w:pPr>
              <w:ind w:left="215" w:hanging="215"/>
              <w:rPr>
                <w:rFonts w:eastAsia="Arial"/>
              </w:rPr>
            </w:pPr>
          </w:p>
        </w:tc>
      </w:tr>
      <w:tr w:rsidR="00236AB5" w:rsidRPr="008819AF" w14:paraId="15133F11"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EF1"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EF2" w14:textId="77777777" w:rsidR="00236AB5" w:rsidRPr="008819AF" w:rsidRDefault="00236AB5" w:rsidP="00236AB5">
            <w:pPr>
              <w:ind w:left="215" w:hanging="215"/>
              <w:rPr>
                <w:rFonts w:eastAsia="Arial"/>
                <w:lang w:bidi="cs-CZ"/>
              </w:rPr>
            </w:pPr>
            <w:r w:rsidRPr="008819AF">
              <w:rPr>
                <w:rFonts w:eastAsia="Arial"/>
                <w:lang w:bidi="cs-CZ"/>
              </w:rPr>
              <w:t>ČASŤ 6</w:t>
            </w:r>
          </w:p>
          <w:p w14:paraId="15133EF3" w14:textId="77777777" w:rsidR="00236AB5" w:rsidRPr="008819AF" w:rsidRDefault="00236AB5" w:rsidP="00236AB5">
            <w:pPr>
              <w:ind w:left="215" w:hanging="215"/>
              <w:rPr>
                <w:rFonts w:eastAsia="Arial"/>
                <w:i/>
                <w:iCs/>
                <w:lang w:bidi="cs-CZ"/>
              </w:rPr>
            </w:pPr>
            <w:r w:rsidRPr="008819AF">
              <w:rPr>
                <w:rFonts w:eastAsia="Arial"/>
                <w:i/>
                <w:iCs/>
                <w:lang w:bidi="cs-CZ"/>
              </w:rPr>
              <w:t>Monitorovanie emisií</w:t>
            </w:r>
          </w:p>
          <w:p w14:paraId="15133EF4" w14:textId="77777777" w:rsidR="00236AB5" w:rsidRPr="008819AF" w:rsidRDefault="00236AB5" w:rsidP="00236AB5">
            <w:pPr>
              <w:ind w:left="215" w:hanging="215"/>
              <w:rPr>
                <w:rFonts w:eastAsia="Arial"/>
                <w:lang w:bidi="cs-CZ"/>
              </w:rPr>
            </w:pPr>
            <w:r w:rsidRPr="008819AF">
              <w:rPr>
                <w:rFonts w:eastAsia="Arial"/>
                <w:lang w:bidi="cs-CZ"/>
              </w:rPr>
              <w:t>1. Meracie techniky</w:t>
            </w:r>
          </w:p>
          <w:p w14:paraId="15133EF5" w14:textId="77777777" w:rsidR="00236AB5" w:rsidRPr="008819AF" w:rsidRDefault="00236AB5" w:rsidP="00236AB5">
            <w:pPr>
              <w:ind w:left="215" w:hanging="215"/>
              <w:rPr>
                <w:rFonts w:eastAsia="Arial"/>
                <w:lang w:bidi="cs-CZ"/>
              </w:rPr>
            </w:pPr>
            <w:r w:rsidRPr="008819AF">
              <w:rPr>
                <w:rFonts w:eastAsia="Arial"/>
                <w:lang w:bidi="cs-CZ"/>
              </w:rPr>
              <w:t>1.1.  Merania na stanovenie koncentrácií látok znečisťujúcich ovzdušie a vody sa vykonávajú reprezentatívne.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EF6" w14:textId="77777777" w:rsidR="00236AB5" w:rsidRPr="008819AF" w:rsidRDefault="00236AB5" w:rsidP="00236AB5">
            <w:pPr>
              <w:jc w:val="center"/>
            </w:pPr>
            <w:r w:rsidRPr="008819AF">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EF7" w14:textId="77777777" w:rsidR="00236AB5" w:rsidRPr="008819AF" w:rsidRDefault="00236AB5" w:rsidP="00236AB5">
            <w:pPr>
              <w:jc w:val="center"/>
              <w:rPr>
                <w:rFonts w:eastAsia="Arial"/>
                <w:lang w:bidi="cs-CZ"/>
              </w:rPr>
            </w:pPr>
            <w:r w:rsidRPr="008819AF">
              <w:rPr>
                <w:rFonts w:eastAsia="Arial"/>
                <w:lang w:bidi="cs-CZ"/>
              </w:rPr>
              <w:t>NV1</w:t>
            </w:r>
          </w:p>
          <w:p w14:paraId="15133EF8" w14:textId="77777777" w:rsidR="00236AB5" w:rsidRPr="008819AF" w:rsidRDefault="00236AB5" w:rsidP="00236AB5">
            <w:pPr>
              <w:jc w:val="center"/>
              <w:rPr>
                <w:rFonts w:eastAsia="Arial"/>
                <w:lang w:bidi="cs-CZ"/>
              </w:rPr>
            </w:pPr>
          </w:p>
          <w:p w14:paraId="15133EF9" w14:textId="77777777" w:rsidR="00236AB5" w:rsidRPr="008819AF" w:rsidRDefault="00236AB5"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EFA" w14:textId="77777777" w:rsidR="00236AB5" w:rsidRPr="008819AF" w:rsidRDefault="00236AB5" w:rsidP="00236AB5">
            <w:pPr>
              <w:jc w:val="center"/>
            </w:pPr>
            <w:r w:rsidRPr="008819AF">
              <w:t>§9</w:t>
            </w:r>
          </w:p>
          <w:p w14:paraId="15133EFB" w14:textId="77777777" w:rsidR="00236AB5" w:rsidRPr="008819AF" w:rsidRDefault="00236AB5" w:rsidP="00236AB5">
            <w:pPr>
              <w:jc w:val="center"/>
            </w:pPr>
            <w:r w:rsidRPr="008819AF">
              <w:t>O9</w:t>
            </w:r>
          </w:p>
          <w:p w14:paraId="15133EFC" w14:textId="77777777" w:rsidR="00236AB5" w:rsidRPr="008819AF" w:rsidRDefault="00236AB5" w:rsidP="00236AB5">
            <w:pPr>
              <w:jc w:val="center"/>
            </w:pPr>
          </w:p>
          <w:p w14:paraId="15133EFD" w14:textId="77777777" w:rsidR="00236AB5" w:rsidRPr="008819AF" w:rsidRDefault="00236AB5" w:rsidP="00236AB5">
            <w:pPr>
              <w:jc w:val="center"/>
            </w:pPr>
          </w:p>
          <w:p w14:paraId="15133EFE" w14:textId="77777777" w:rsidR="00236AB5" w:rsidRPr="008819AF" w:rsidRDefault="00236AB5" w:rsidP="00236AB5">
            <w:pPr>
              <w:jc w:val="center"/>
            </w:pPr>
          </w:p>
          <w:p w14:paraId="15133EFF" w14:textId="77777777" w:rsidR="00236AB5" w:rsidRPr="008819AF" w:rsidRDefault="00236AB5" w:rsidP="00236AB5">
            <w:pPr>
              <w:jc w:val="center"/>
            </w:pPr>
          </w:p>
          <w:p w14:paraId="15133F00" w14:textId="77777777" w:rsidR="00236AB5" w:rsidRPr="008819AF" w:rsidRDefault="00236AB5" w:rsidP="00236AB5">
            <w:pPr>
              <w:jc w:val="center"/>
            </w:pPr>
          </w:p>
          <w:p w14:paraId="15133F01" w14:textId="77777777" w:rsidR="00236AB5" w:rsidRPr="008819AF" w:rsidRDefault="00236AB5" w:rsidP="00236AB5">
            <w:pPr>
              <w:jc w:val="center"/>
            </w:pPr>
          </w:p>
          <w:p w14:paraId="15133F02" w14:textId="77777777" w:rsidR="00236AB5" w:rsidRPr="008819AF" w:rsidRDefault="00236AB5" w:rsidP="00236AB5">
            <w:pPr>
              <w:jc w:val="center"/>
            </w:pPr>
          </w:p>
          <w:p w14:paraId="15133F03" w14:textId="77777777" w:rsidR="00236AB5" w:rsidRPr="008819AF" w:rsidRDefault="00236AB5" w:rsidP="00236AB5">
            <w:pPr>
              <w:jc w:val="center"/>
            </w:pPr>
          </w:p>
          <w:p w14:paraId="15133F04" w14:textId="77777777" w:rsidR="00236AB5" w:rsidRPr="008819AF" w:rsidRDefault="00236AB5" w:rsidP="00236AB5">
            <w:pPr>
              <w:jc w:val="center"/>
            </w:pPr>
          </w:p>
          <w:p w14:paraId="15133F05" w14:textId="77777777" w:rsidR="00236AB5" w:rsidRPr="008819AF" w:rsidRDefault="00236AB5" w:rsidP="00236AB5">
            <w:pPr>
              <w:jc w:val="center"/>
            </w:pPr>
            <w:r w:rsidRPr="008819AF">
              <w:t>§15</w:t>
            </w:r>
          </w:p>
          <w:p w14:paraId="15133F06" w14:textId="77777777" w:rsidR="00236AB5" w:rsidRPr="008819AF" w:rsidRDefault="00236AB5" w:rsidP="00236AB5">
            <w:pPr>
              <w:jc w:val="center"/>
            </w:pPr>
            <w:r w:rsidRPr="008819AF">
              <w:t>O1</w:t>
            </w:r>
          </w:p>
          <w:p w14:paraId="15133F07" w14:textId="77777777" w:rsidR="00236AB5" w:rsidRPr="008819AF" w:rsidRDefault="00236AB5"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15133F08" w14:textId="77777777" w:rsidR="00236AB5" w:rsidRPr="008819AF" w:rsidRDefault="00236AB5" w:rsidP="00236AB5">
            <w:pPr>
              <w:rPr>
                <w:rFonts w:eastAsia="Arial"/>
              </w:rPr>
            </w:pPr>
            <w:r w:rsidRPr="008819AF">
              <w:rPr>
                <w:rFonts w:eastAsia="Arial"/>
              </w:rPr>
              <w:lastRenderedPageBreak/>
              <w:t>(9)</w:t>
            </w:r>
            <w:r w:rsidRPr="008819AF">
              <w:rPr>
                <w:rFonts w:eastAsia="Arial"/>
              </w:rPr>
              <w:tab/>
              <w:t>Kontinuálne merania, ako aj zabezpečovanie kvality automatizovaných systémov merania a referenčné metódy merania na ich kalibráciu a diskontinuálne merania na stanovenie koncentrácie znečisťujúcich látok v odpadovom plyne, odbery vzoriek a analýzy všetkých znečisťujúcich látok vrátane polychlórovaných dibenzodioxínov a polychlórovaných dibenzofuránov sa vykonávajú v súlade s požiadavkami na</w:t>
            </w:r>
          </w:p>
          <w:p w14:paraId="15133F09" w14:textId="77777777" w:rsidR="00236AB5" w:rsidRPr="008819AF" w:rsidRDefault="00236AB5" w:rsidP="00236AB5">
            <w:pPr>
              <w:rPr>
                <w:rFonts w:eastAsia="Arial"/>
              </w:rPr>
            </w:pPr>
            <w:r w:rsidRPr="008819AF">
              <w:rPr>
                <w:rFonts w:eastAsia="Arial"/>
              </w:rPr>
              <w:t>a)</w:t>
            </w:r>
            <w:r w:rsidRPr="008819AF">
              <w:rPr>
                <w:rFonts w:eastAsia="Arial"/>
              </w:rPr>
              <w:tab/>
              <w:t xml:space="preserve">príslušný spôsob merania podľa § 4, 6, 7 a 14 podľa svojho </w:t>
            </w:r>
            <w:r w:rsidRPr="008819AF">
              <w:rPr>
                <w:rFonts w:eastAsia="Arial"/>
              </w:rPr>
              <w:lastRenderedPageBreak/>
              <w:t>významu,</w:t>
            </w:r>
          </w:p>
          <w:p w14:paraId="15133F0A" w14:textId="77777777" w:rsidR="00236AB5" w:rsidRPr="008819AF" w:rsidRDefault="00236AB5" w:rsidP="00236AB5">
            <w:pPr>
              <w:rPr>
                <w:rFonts w:eastAsia="Arial"/>
              </w:rPr>
            </w:pPr>
            <w:r w:rsidRPr="008819AF">
              <w:rPr>
                <w:rFonts w:eastAsia="Arial"/>
              </w:rPr>
              <w:t>b)</w:t>
            </w:r>
            <w:r w:rsidRPr="008819AF">
              <w:rPr>
                <w:rFonts w:eastAsia="Arial"/>
              </w:rPr>
              <w:tab/>
              <w:t>metódu a metodiku podľa § 15.</w:t>
            </w:r>
          </w:p>
          <w:p w14:paraId="15133F0B" w14:textId="77777777" w:rsidR="00236AB5" w:rsidRPr="008819AF" w:rsidRDefault="00236AB5" w:rsidP="00236AB5">
            <w:pPr>
              <w:rPr>
                <w:rFonts w:eastAsia="Arial"/>
              </w:rPr>
            </w:pPr>
          </w:p>
          <w:p w14:paraId="15133F0C" w14:textId="77777777" w:rsidR="00236AB5" w:rsidRPr="008819AF" w:rsidRDefault="00236AB5" w:rsidP="00236AB5">
            <w:pPr>
              <w:rPr>
                <w:rFonts w:eastAsia="Arial"/>
              </w:rPr>
            </w:pPr>
            <w:r w:rsidRPr="008819AF">
              <w:rPr>
                <w:rFonts w:eastAsia="Arial"/>
              </w:rPr>
              <w:t>(1)</w:t>
            </w:r>
            <w:r w:rsidRPr="008819AF">
              <w:rPr>
                <w:rFonts w:eastAsia="Arial"/>
              </w:rPr>
              <w:tab/>
              <w:t>Metódy a metodiky monitorovania podľa § 2 až 14 musia umožňovať zistenie spoľahlivých, reprezentatívnych, porovnateľných a vedecky odôvodnených hodnôt v súlade so súčasným stavom vedeckého poznania a techniky.</w:t>
            </w:r>
          </w:p>
          <w:p w14:paraId="15133F0D" w14:textId="77777777" w:rsidR="00236AB5" w:rsidRPr="008819AF" w:rsidRDefault="00236AB5" w:rsidP="00236AB5">
            <w:pPr>
              <w:rPr>
                <w:rFonts w:eastAsia="Arial"/>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3F0E" w14:textId="77777777" w:rsidR="00236AB5" w:rsidRPr="008819AF" w:rsidRDefault="00236AB5" w:rsidP="00236AB5">
            <w:pPr>
              <w:ind w:left="215" w:hanging="215"/>
              <w:rPr>
                <w:rFonts w:eastAsia="Arial"/>
                <w:lang w:bidi="cs-CZ"/>
              </w:rPr>
            </w:pPr>
          </w:p>
          <w:p w14:paraId="15133F0F"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F10" w14:textId="77777777" w:rsidR="00236AB5" w:rsidRPr="008819AF" w:rsidRDefault="00236AB5" w:rsidP="00236AB5"/>
        </w:tc>
      </w:tr>
      <w:tr w:rsidR="00236AB5" w:rsidRPr="008819AF" w14:paraId="15133F41"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F12"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F13" w14:textId="77777777" w:rsidR="00236AB5" w:rsidRPr="008819AF" w:rsidRDefault="00236AB5" w:rsidP="00236AB5">
            <w:pPr>
              <w:ind w:left="215" w:hanging="215"/>
              <w:rPr>
                <w:rFonts w:eastAsia="Arial"/>
                <w:lang w:bidi="cs-CZ"/>
              </w:rPr>
            </w:pPr>
            <w:r w:rsidRPr="008819AF">
              <w:rPr>
                <w:rFonts w:eastAsia="Arial"/>
                <w:lang w:bidi="cs-CZ"/>
              </w:rPr>
              <w:t>1.2. Odber vzoriek a analýza všetkých znečisťujúcich látok vrátane dioxínov a furánov, ako aj zabezpečovanie kvality automatizovaných systémov merania a referenčné metódy merania na ich kalibráciu sa vykonávajú v súlade s normami CEN.</w:t>
            </w:r>
          </w:p>
          <w:p w14:paraId="15133F14" w14:textId="77777777" w:rsidR="00236AB5" w:rsidRPr="008819AF" w:rsidRDefault="00236AB5" w:rsidP="00236AB5">
            <w:pPr>
              <w:ind w:left="215" w:hanging="215"/>
              <w:rPr>
                <w:rFonts w:eastAsia="Arial"/>
                <w:lang w:bidi="cs-CZ"/>
              </w:rPr>
            </w:pPr>
          </w:p>
          <w:p w14:paraId="15133F15" w14:textId="77777777" w:rsidR="00236AB5" w:rsidRPr="008819AF" w:rsidRDefault="00236AB5" w:rsidP="00236AB5">
            <w:pPr>
              <w:rPr>
                <w:rFonts w:eastAsia="Arial"/>
                <w:lang w:bidi="cs-CZ"/>
              </w:rPr>
            </w:pPr>
          </w:p>
          <w:p w14:paraId="15133F16" w14:textId="77777777" w:rsidR="00236AB5" w:rsidRPr="008819AF" w:rsidRDefault="00236AB5" w:rsidP="00236AB5">
            <w:pPr>
              <w:ind w:left="215" w:hanging="215"/>
              <w:rPr>
                <w:rFonts w:eastAsia="Arial"/>
                <w:lang w:bidi="cs-CZ"/>
              </w:rPr>
            </w:pPr>
          </w:p>
          <w:p w14:paraId="15133F17" w14:textId="77777777" w:rsidR="00236AB5" w:rsidRPr="008819AF" w:rsidRDefault="00236AB5" w:rsidP="00236AB5">
            <w:pPr>
              <w:ind w:left="215" w:hanging="215"/>
              <w:rPr>
                <w:rFonts w:eastAsia="Arial"/>
                <w:lang w:bidi="cs-CZ"/>
              </w:rPr>
            </w:pPr>
          </w:p>
          <w:p w14:paraId="15133F18" w14:textId="77777777" w:rsidR="00236AB5" w:rsidRPr="008819AF" w:rsidRDefault="00236AB5" w:rsidP="00236AB5">
            <w:pPr>
              <w:ind w:left="215" w:hanging="1"/>
              <w:rPr>
                <w:rFonts w:eastAsia="Arial"/>
                <w:lang w:bidi="cs-CZ"/>
              </w:rPr>
            </w:pPr>
            <w:r w:rsidRPr="008819AF">
              <w:rPr>
                <w:rFonts w:eastAsia="Arial"/>
                <w:lang w:bidi="cs-CZ"/>
              </w:rPr>
              <w:t xml:space="preserve">Ak nie sú dostupné normy CEN, použijú sa normy ISO, vnútroštátne alebo iné medzinárodné normy, na základe ktorých sa zabezpečia údaje </w:t>
            </w:r>
            <w:r w:rsidRPr="008819AF">
              <w:rPr>
                <w:rFonts w:eastAsia="Arial"/>
                <w:u w:val="single"/>
                <w:lang w:bidi="cs-CZ"/>
              </w:rPr>
              <w:t>rovnocennej odbornej kvality</w:t>
            </w:r>
            <w:r w:rsidRPr="008819AF">
              <w:rPr>
                <w:rFonts w:eastAsia="Arial"/>
                <w:lang w:bidi="cs-CZ"/>
              </w:rPr>
              <w:t>.</w:t>
            </w:r>
          </w:p>
          <w:p w14:paraId="15133F19" w14:textId="77777777" w:rsidR="00236AB5" w:rsidRPr="008819AF" w:rsidRDefault="00236AB5" w:rsidP="00236AB5">
            <w:pPr>
              <w:ind w:left="215" w:hanging="1"/>
              <w:rPr>
                <w:rFonts w:eastAsia="Arial"/>
                <w:lang w:bidi="cs-CZ"/>
              </w:rPr>
            </w:pPr>
          </w:p>
          <w:p w14:paraId="15133F1A" w14:textId="77777777" w:rsidR="00236AB5" w:rsidRPr="008819AF" w:rsidRDefault="00236AB5" w:rsidP="00236AB5">
            <w:pPr>
              <w:ind w:left="215" w:hanging="1"/>
              <w:rPr>
                <w:rFonts w:eastAsia="Arial"/>
                <w:lang w:bidi="cs-CZ"/>
              </w:rPr>
            </w:pPr>
          </w:p>
          <w:p w14:paraId="15133F1B" w14:textId="77777777" w:rsidR="00236AB5" w:rsidRPr="008819AF" w:rsidRDefault="00236AB5" w:rsidP="00236AB5">
            <w:pPr>
              <w:ind w:left="215" w:hanging="1"/>
              <w:rPr>
                <w:rFonts w:eastAsia="Arial"/>
                <w:lang w:bidi="cs-CZ"/>
              </w:rPr>
            </w:pPr>
          </w:p>
          <w:p w14:paraId="15133F1C" w14:textId="77777777" w:rsidR="00236AB5" w:rsidRPr="008819AF" w:rsidRDefault="00236AB5" w:rsidP="00236AB5">
            <w:pPr>
              <w:ind w:left="215" w:hanging="1"/>
              <w:rPr>
                <w:rFonts w:eastAsia="Arial"/>
                <w:lang w:bidi="cs-CZ"/>
              </w:rPr>
            </w:pPr>
          </w:p>
          <w:p w14:paraId="15133F1D" w14:textId="77777777" w:rsidR="00236AB5" w:rsidRPr="008819AF" w:rsidRDefault="00236AB5" w:rsidP="00236AB5">
            <w:pPr>
              <w:ind w:left="215" w:hanging="1"/>
              <w:rPr>
                <w:rFonts w:eastAsia="Arial"/>
                <w:lang w:bidi="cs-CZ"/>
              </w:rPr>
            </w:pPr>
            <w:r w:rsidRPr="008819AF">
              <w:rPr>
                <w:rFonts w:eastAsia="Arial"/>
                <w:lang w:bidi="cs-CZ"/>
              </w:rPr>
              <w:t>Automatizované systémy  merania sa kontrolujú prostredníctvom paralelných meraní referenčnými metódami najmenej raz ročne.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F1E" w14:textId="77777777" w:rsidR="00236AB5" w:rsidRPr="008819AF" w:rsidRDefault="00236AB5" w:rsidP="00236AB5">
            <w:pPr>
              <w:ind w:left="215" w:hanging="215"/>
              <w:jc w:val="center"/>
              <w:rPr>
                <w:rFonts w:eastAsia="Arial"/>
                <w:lang w:bidi="cs-CZ"/>
              </w:rPr>
            </w:pPr>
          </w:p>
          <w:p w14:paraId="15133F1F"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F20"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3F21" w14:textId="77777777" w:rsidR="00236AB5" w:rsidRPr="008819AF" w:rsidRDefault="00236AB5" w:rsidP="00236AB5">
            <w:pPr>
              <w:jc w:val="center"/>
            </w:pPr>
            <w:r w:rsidRPr="008819AF">
              <w:t>§15</w:t>
            </w:r>
          </w:p>
          <w:p w14:paraId="15133F22" w14:textId="77777777" w:rsidR="00236AB5" w:rsidRPr="008819AF" w:rsidRDefault="00236AB5" w:rsidP="00236AB5">
            <w:pPr>
              <w:jc w:val="center"/>
            </w:pPr>
            <w:r w:rsidRPr="008819AF">
              <w:t>O1</w:t>
            </w:r>
          </w:p>
          <w:p w14:paraId="15133F23" w14:textId="77777777" w:rsidR="00236AB5" w:rsidRPr="008819AF" w:rsidRDefault="00236AB5" w:rsidP="00236AB5">
            <w:pPr>
              <w:jc w:val="center"/>
            </w:pPr>
            <w:r w:rsidRPr="008819AF">
              <w:t>O2</w:t>
            </w:r>
          </w:p>
          <w:p w14:paraId="15133F24" w14:textId="77777777" w:rsidR="00236AB5" w:rsidRPr="008819AF" w:rsidRDefault="00236AB5" w:rsidP="00236AB5">
            <w:pPr>
              <w:jc w:val="center"/>
            </w:pPr>
            <w:r w:rsidRPr="008819AF">
              <w:t>O3</w:t>
            </w:r>
          </w:p>
          <w:p w14:paraId="15133F25" w14:textId="77777777" w:rsidR="00236AB5" w:rsidRPr="008819AF" w:rsidRDefault="00236AB5" w:rsidP="00236AB5">
            <w:pPr>
              <w:jc w:val="center"/>
            </w:pPr>
          </w:p>
          <w:p w14:paraId="15133F26" w14:textId="77777777" w:rsidR="00236AB5" w:rsidRPr="008819AF" w:rsidRDefault="00236AB5" w:rsidP="00236AB5">
            <w:pPr>
              <w:jc w:val="center"/>
            </w:pPr>
          </w:p>
          <w:p w14:paraId="15133F27" w14:textId="77777777" w:rsidR="00236AB5" w:rsidRPr="008819AF" w:rsidRDefault="00236AB5" w:rsidP="00236AB5">
            <w:pPr>
              <w:jc w:val="center"/>
            </w:pPr>
          </w:p>
          <w:p w14:paraId="15133F28" w14:textId="77777777" w:rsidR="00236AB5" w:rsidRPr="008819AF" w:rsidRDefault="00236AB5" w:rsidP="00236AB5">
            <w:pPr>
              <w:jc w:val="center"/>
            </w:pPr>
          </w:p>
          <w:p w14:paraId="15133F29" w14:textId="77777777" w:rsidR="00236AB5" w:rsidRPr="008819AF" w:rsidRDefault="00236AB5" w:rsidP="00236AB5">
            <w:pPr>
              <w:jc w:val="center"/>
            </w:pPr>
          </w:p>
          <w:p w14:paraId="15133F2A" w14:textId="77777777" w:rsidR="00236AB5" w:rsidRPr="008819AF" w:rsidRDefault="00236AB5" w:rsidP="00236AB5">
            <w:pPr>
              <w:jc w:val="center"/>
            </w:pPr>
          </w:p>
          <w:p w14:paraId="15133F2B" w14:textId="77777777" w:rsidR="00236AB5" w:rsidRPr="008819AF" w:rsidRDefault="00236AB5" w:rsidP="00236AB5">
            <w:pPr>
              <w:jc w:val="center"/>
            </w:pPr>
          </w:p>
          <w:p w14:paraId="15133F2C" w14:textId="77777777" w:rsidR="00236AB5" w:rsidRPr="008819AF" w:rsidRDefault="00236AB5" w:rsidP="00236AB5">
            <w:pPr>
              <w:jc w:val="center"/>
            </w:pPr>
          </w:p>
          <w:p w14:paraId="15133F2D" w14:textId="77777777" w:rsidR="00236AB5" w:rsidRPr="008819AF" w:rsidRDefault="00236AB5" w:rsidP="00236AB5">
            <w:pPr>
              <w:jc w:val="center"/>
            </w:pPr>
          </w:p>
          <w:p w14:paraId="15133F2E" w14:textId="77777777" w:rsidR="00236AB5" w:rsidRPr="008819AF" w:rsidRDefault="00236AB5" w:rsidP="00236AB5">
            <w:pPr>
              <w:jc w:val="center"/>
            </w:pPr>
          </w:p>
          <w:p w14:paraId="15133F2F" w14:textId="77777777" w:rsidR="00236AB5" w:rsidRPr="008819AF" w:rsidRDefault="00236AB5" w:rsidP="00236AB5">
            <w:pPr>
              <w:jc w:val="center"/>
            </w:pPr>
          </w:p>
          <w:p w14:paraId="15133F30" w14:textId="77777777" w:rsidR="00236AB5" w:rsidRPr="008819AF" w:rsidRDefault="00236AB5" w:rsidP="00236AB5">
            <w:pPr>
              <w:jc w:val="center"/>
            </w:pPr>
          </w:p>
          <w:p w14:paraId="15133F31" w14:textId="77777777" w:rsidR="00236AB5" w:rsidRPr="008819AF" w:rsidRDefault="00236AB5" w:rsidP="00236AB5">
            <w:pPr>
              <w:jc w:val="center"/>
            </w:pPr>
            <w:r w:rsidRPr="008819AF">
              <w:t>§14</w:t>
            </w:r>
          </w:p>
          <w:p w14:paraId="15133F32" w14:textId="77777777" w:rsidR="00236AB5" w:rsidRPr="008819AF" w:rsidRDefault="00236AB5" w:rsidP="00236AB5">
            <w:pPr>
              <w:jc w:val="center"/>
            </w:pPr>
            <w:r w:rsidRPr="008819AF">
              <w:t>O5</w:t>
            </w:r>
          </w:p>
          <w:p w14:paraId="15133F33" w14:textId="77777777" w:rsidR="00236AB5" w:rsidRPr="008819AF" w:rsidRDefault="00236AB5" w:rsidP="00236AB5">
            <w:pPr>
              <w:jc w:val="center"/>
            </w:pPr>
          </w:p>
        </w:tc>
        <w:tc>
          <w:tcPr>
            <w:tcW w:w="5230" w:type="dxa"/>
            <w:gridSpan w:val="3"/>
            <w:tcBorders>
              <w:top w:val="single" w:sz="4" w:space="0" w:color="000000"/>
              <w:left w:val="single" w:sz="6" w:space="0" w:color="000000"/>
              <w:bottom w:val="single" w:sz="6" w:space="0" w:color="000000"/>
              <w:right w:val="single" w:sz="6" w:space="0" w:color="000000"/>
            </w:tcBorders>
          </w:tcPr>
          <w:p w14:paraId="15133F34" w14:textId="77777777" w:rsidR="00236AB5" w:rsidRPr="008819AF" w:rsidRDefault="00236AB5" w:rsidP="00236AB5">
            <w:pPr>
              <w:rPr>
                <w:rFonts w:eastAsia="Arial"/>
              </w:rPr>
            </w:pPr>
            <w:r w:rsidRPr="008819AF">
              <w:rPr>
                <w:rFonts w:eastAsia="Arial"/>
              </w:rPr>
              <w:t>(1)</w:t>
            </w:r>
            <w:r w:rsidRPr="008819AF">
              <w:rPr>
                <w:rFonts w:eastAsia="Arial"/>
              </w:rPr>
              <w:tab/>
              <w:t xml:space="preserve">Metódy a metodiky monitorovania podľa § 2 až 14 musia umožňovať zistenie spoľahlivých, reprezentatívnych, porovnateľných a vedecky odôvodnených hodnôt v súlade so súčasným stavom vedeckého poznania a techniky. </w:t>
            </w:r>
          </w:p>
          <w:p w14:paraId="15133F35" w14:textId="77777777" w:rsidR="00236AB5" w:rsidRPr="008819AF" w:rsidRDefault="00236AB5" w:rsidP="00236AB5">
            <w:pPr>
              <w:rPr>
                <w:rFonts w:eastAsia="Arial"/>
              </w:rPr>
            </w:pPr>
          </w:p>
          <w:p w14:paraId="15133F36" w14:textId="77777777" w:rsidR="00236AB5" w:rsidRPr="008819AF" w:rsidRDefault="00236AB5" w:rsidP="00236AB5">
            <w:pPr>
              <w:rPr>
                <w:rFonts w:eastAsia="Arial"/>
              </w:rPr>
            </w:pPr>
            <w:r w:rsidRPr="008819AF">
              <w:rPr>
                <w:rFonts w:eastAsia="Arial"/>
              </w:rPr>
              <w:t>(2)</w:t>
            </w:r>
            <w:r w:rsidRPr="008819AF">
              <w:rPr>
                <w:rFonts w:eastAsia="Arial"/>
              </w:rPr>
              <w:tab/>
              <w:t xml:space="preserve">Predpokladá sa, že požiadavky podľa odseku 1 spĺňajú metódy, ktoré sú v súlade s harmonizovanými technickými normami. </w:t>
            </w:r>
          </w:p>
          <w:p w14:paraId="15133F37" w14:textId="77777777" w:rsidR="00236AB5" w:rsidRPr="008819AF" w:rsidRDefault="00236AB5" w:rsidP="00236AB5">
            <w:pPr>
              <w:rPr>
                <w:rFonts w:eastAsia="Arial"/>
              </w:rPr>
            </w:pPr>
          </w:p>
          <w:p w14:paraId="15133F38" w14:textId="77777777" w:rsidR="00236AB5" w:rsidRPr="008819AF" w:rsidRDefault="00236AB5" w:rsidP="00236AB5">
            <w:pPr>
              <w:rPr>
                <w:rFonts w:eastAsia="Arial"/>
              </w:rPr>
            </w:pPr>
            <w:r w:rsidRPr="008819AF">
              <w:rPr>
                <w:rFonts w:eastAsia="Arial"/>
              </w:rPr>
              <w:t>(3)</w:t>
            </w:r>
            <w:r w:rsidRPr="008819AF">
              <w:rPr>
                <w:rFonts w:eastAsia="Arial"/>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15133F39" w14:textId="77777777" w:rsidR="00236AB5" w:rsidRPr="008819AF" w:rsidRDefault="00236AB5" w:rsidP="00236AB5">
            <w:pPr>
              <w:rPr>
                <w:rFonts w:eastAsia="Arial"/>
              </w:rPr>
            </w:pPr>
          </w:p>
          <w:p w14:paraId="15133F3A" w14:textId="77777777" w:rsidR="00236AB5" w:rsidRPr="008819AF" w:rsidRDefault="00236AB5" w:rsidP="00236AB5">
            <w:pPr>
              <w:rPr>
                <w:rFonts w:eastAsia="Arial"/>
              </w:rPr>
            </w:pPr>
            <w:r w:rsidRPr="008819AF">
              <w:rPr>
                <w:rFonts w:eastAsia="Arial"/>
              </w:rPr>
              <w:t>(5)</w:t>
            </w:r>
            <w:r w:rsidRPr="008819AF">
              <w:rPr>
                <w:rFonts w:eastAsia="Arial"/>
              </w:rPr>
              <w:tab/>
              <w:t>Periodická kontrola automatizovaného meracieho systému vrátane paralelných meraní štandardnou referenčnou metódou alebo v povolení na to určenou metodikou, ak takáto metodika nie je určená, sa vykonáva v intervale najmenej raz za rok 12 kalendárny mesiacov, ak</w:t>
            </w:r>
          </w:p>
          <w:p w14:paraId="15133F3B" w14:textId="77777777" w:rsidR="00236AB5" w:rsidRPr="008819AF" w:rsidRDefault="00236AB5" w:rsidP="00236AB5">
            <w:pPr>
              <w:rPr>
                <w:rFonts w:eastAsia="Arial"/>
              </w:rPr>
            </w:pPr>
            <w:r w:rsidRPr="008819AF">
              <w:rPr>
                <w:rFonts w:eastAsia="Arial"/>
              </w:rPr>
              <w:t>a)</w:t>
            </w:r>
            <w:r w:rsidRPr="008819AF">
              <w:rPr>
                <w:rFonts w:eastAsia="Arial"/>
              </w:rPr>
              <w:tab/>
              <w:t>osobitný predpis4) neustanovuje inak,</w:t>
            </w:r>
          </w:p>
          <w:p w14:paraId="15133F3C" w14:textId="77777777" w:rsidR="00236AB5" w:rsidRPr="008819AF" w:rsidRDefault="00236AB5" w:rsidP="00236AB5">
            <w:pPr>
              <w:rPr>
                <w:rFonts w:eastAsia="Arial"/>
              </w:rPr>
            </w:pPr>
            <w:r w:rsidRPr="008819AF">
              <w:rPr>
                <w:rFonts w:eastAsia="Arial"/>
              </w:rPr>
              <w:t>b)</w:t>
            </w:r>
            <w:r w:rsidRPr="008819AF">
              <w:rPr>
                <w:rFonts w:eastAsia="Arial"/>
              </w:rPr>
              <w:tab/>
              <w:t>kratší interval nie je určený v dokumentácii automatizovaného meracieho systému alebo v povolení alebo</w:t>
            </w:r>
          </w:p>
          <w:p w14:paraId="15133F3D" w14:textId="77777777" w:rsidR="00236AB5" w:rsidRPr="008819AF" w:rsidRDefault="00236AB5" w:rsidP="00236AB5">
            <w:pPr>
              <w:rPr>
                <w:rFonts w:eastAsia="Arial"/>
              </w:rPr>
            </w:pPr>
            <w:r w:rsidRPr="008819AF">
              <w:rPr>
                <w:rFonts w:eastAsia="Arial"/>
              </w:rPr>
              <w:t>c)</w:t>
            </w:r>
            <w:r w:rsidRPr="008819AF">
              <w:rPr>
                <w:rFonts w:eastAsia="Arial"/>
              </w:rPr>
              <w:tab/>
              <w:t>v danom roku nie je nahradená úplnou kontrolou podľa odseku 2 písm. b) až g).</w:t>
            </w:r>
          </w:p>
          <w:p w14:paraId="15133F3E" w14:textId="77777777" w:rsidR="00236AB5" w:rsidRPr="008819AF" w:rsidRDefault="00236AB5" w:rsidP="00236AB5">
            <w:pPr>
              <w:rPr>
                <w:rFonts w:eastAsia="Arial"/>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3F3F" w14:textId="77777777" w:rsidR="00236AB5" w:rsidRPr="008819AF" w:rsidRDefault="00236AB5"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15133F40" w14:textId="77777777" w:rsidR="00236AB5" w:rsidRPr="008819AF" w:rsidRDefault="00236AB5" w:rsidP="00236AB5">
            <w:pPr>
              <w:ind w:left="6"/>
              <w:rPr>
                <w:rFonts w:eastAsia="Arial"/>
              </w:rPr>
            </w:pPr>
          </w:p>
        </w:tc>
      </w:tr>
      <w:tr w:rsidR="00236AB5" w:rsidRPr="008819AF" w14:paraId="15133FDD"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F42"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F43" w14:textId="77777777" w:rsidR="00236AB5" w:rsidRPr="008819AF" w:rsidRDefault="00236AB5" w:rsidP="00236AB5">
            <w:pPr>
              <w:ind w:left="356" w:hanging="356"/>
              <w:rPr>
                <w:rFonts w:eastAsia="Arial"/>
                <w:lang w:bidi="cs-CZ"/>
              </w:rPr>
            </w:pPr>
            <w:r w:rsidRPr="008819AF">
              <w:rPr>
                <w:rFonts w:eastAsia="Arial"/>
                <w:lang w:bidi="cs-CZ"/>
              </w:rPr>
              <w:t>1.3.  Na úrovni dennej emisného limitu nesmú hodnoty 95 % intervalu spoľahlivosti jednotlivého výsledku merania prekročiť tieto percentuálne podiely emisných limitov:</w:t>
            </w:r>
          </w:p>
          <w:tbl>
            <w:tblPr>
              <w:tblW w:w="0" w:type="auto"/>
              <w:tblLayout w:type="fixed"/>
              <w:tblLook w:val="04A0" w:firstRow="1" w:lastRow="0" w:firstColumn="1" w:lastColumn="0" w:noHBand="0" w:noVBand="1"/>
            </w:tblPr>
            <w:tblGrid>
              <w:gridCol w:w="3191"/>
              <w:gridCol w:w="777"/>
            </w:tblGrid>
            <w:tr w:rsidR="00236AB5" w:rsidRPr="008819AF" w14:paraId="15133F46" w14:textId="77777777">
              <w:trPr>
                <w:trHeight w:val="103"/>
              </w:trPr>
              <w:tc>
                <w:tcPr>
                  <w:tcW w:w="3191" w:type="dxa"/>
                </w:tcPr>
                <w:p w14:paraId="15133F44" w14:textId="77777777" w:rsidR="00236AB5" w:rsidRPr="008819AF" w:rsidRDefault="00236AB5" w:rsidP="00236AB5">
                  <w:pPr>
                    <w:ind w:left="248"/>
                    <w:rPr>
                      <w:rFonts w:eastAsia="Arial"/>
                      <w:lang w:bidi="cs-CZ"/>
                    </w:rPr>
                  </w:pPr>
                  <w:r w:rsidRPr="008819AF">
                    <w:rPr>
                      <w:rFonts w:eastAsia="Arial"/>
                      <w:lang w:bidi="cs-CZ"/>
                    </w:rPr>
                    <w:t>Oxid uhoľnatý:</w:t>
                  </w:r>
                </w:p>
              </w:tc>
              <w:tc>
                <w:tcPr>
                  <w:tcW w:w="777" w:type="dxa"/>
                </w:tcPr>
                <w:p w14:paraId="15133F45" w14:textId="77777777" w:rsidR="00236AB5" w:rsidRPr="008819AF" w:rsidRDefault="00236AB5" w:rsidP="00236AB5">
                  <w:pPr>
                    <w:ind w:left="215" w:hanging="215"/>
                    <w:rPr>
                      <w:rFonts w:eastAsia="Arial"/>
                      <w:lang w:bidi="cs-CZ"/>
                    </w:rPr>
                  </w:pPr>
                  <w:r w:rsidRPr="008819AF">
                    <w:rPr>
                      <w:rFonts w:eastAsia="Arial"/>
                      <w:lang w:bidi="cs-CZ"/>
                    </w:rPr>
                    <w:t>10 %</w:t>
                  </w:r>
                </w:p>
              </w:tc>
            </w:tr>
            <w:tr w:rsidR="00236AB5" w:rsidRPr="008819AF" w14:paraId="15133F49" w14:textId="77777777">
              <w:trPr>
                <w:trHeight w:val="103"/>
              </w:trPr>
              <w:tc>
                <w:tcPr>
                  <w:tcW w:w="3191" w:type="dxa"/>
                </w:tcPr>
                <w:p w14:paraId="15133F47" w14:textId="77777777" w:rsidR="00236AB5" w:rsidRPr="008819AF" w:rsidRDefault="00236AB5" w:rsidP="00236AB5">
                  <w:pPr>
                    <w:ind w:left="248"/>
                    <w:rPr>
                      <w:rFonts w:eastAsia="Arial"/>
                      <w:lang w:bidi="cs-CZ"/>
                    </w:rPr>
                  </w:pPr>
                  <w:r w:rsidRPr="008819AF">
                    <w:rPr>
                      <w:rFonts w:eastAsia="Arial"/>
                      <w:lang w:bidi="cs-CZ"/>
                    </w:rPr>
                    <w:t>Oxid siričitý:</w:t>
                  </w:r>
                </w:p>
              </w:tc>
              <w:tc>
                <w:tcPr>
                  <w:tcW w:w="777" w:type="dxa"/>
                </w:tcPr>
                <w:p w14:paraId="15133F48" w14:textId="77777777" w:rsidR="00236AB5" w:rsidRPr="008819AF" w:rsidRDefault="00236AB5" w:rsidP="00236AB5">
                  <w:pPr>
                    <w:ind w:left="215" w:hanging="215"/>
                    <w:rPr>
                      <w:rFonts w:eastAsia="Arial"/>
                      <w:lang w:bidi="cs-CZ"/>
                    </w:rPr>
                  </w:pPr>
                  <w:r w:rsidRPr="008819AF">
                    <w:rPr>
                      <w:rFonts w:eastAsia="Arial"/>
                      <w:lang w:bidi="cs-CZ"/>
                    </w:rPr>
                    <w:t>20 %</w:t>
                  </w:r>
                </w:p>
              </w:tc>
            </w:tr>
            <w:tr w:rsidR="00236AB5" w:rsidRPr="008819AF" w14:paraId="15133F4C" w14:textId="77777777">
              <w:trPr>
                <w:trHeight w:val="103"/>
              </w:trPr>
              <w:tc>
                <w:tcPr>
                  <w:tcW w:w="3191" w:type="dxa"/>
                </w:tcPr>
                <w:p w14:paraId="15133F4A" w14:textId="77777777" w:rsidR="00236AB5" w:rsidRPr="008819AF" w:rsidRDefault="00236AB5" w:rsidP="00236AB5">
                  <w:pPr>
                    <w:ind w:left="248"/>
                    <w:rPr>
                      <w:rFonts w:eastAsia="Arial"/>
                      <w:lang w:bidi="cs-CZ"/>
                    </w:rPr>
                  </w:pPr>
                  <w:r w:rsidRPr="008819AF">
                    <w:rPr>
                      <w:rFonts w:eastAsia="Arial"/>
                      <w:lang w:bidi="cs-CZ"/>
                    </w:rPr>
                    <w:lastRenderedPageBreak/>
                    <w:t>Oxid dusičitý:</w:t>
                  </w:r>
                </w:p>
              </w:tc>
              <w:tc>
                <w:tcPr>
                  <w:tcW w:w="777" w:type="dxa"/>
                </w:tcPr>
                <w:p w14:paraId="15133F4B" w14:textId="77777777" w:rsidR="00236AB5" w:rsidRPr="008819AF" w:rsidRDefault="00236AB5" w:rsidP="00236AB5">
                  <w:pPr>
                    <w:ind w:left="215" w:hanging="215"/>
                    <w:rPr>
                      <w:rFonts w:eastAsia="Arial"/>
                      <w:lang w:bidi="cs-CZ"/>
                    </w:rPr>
                  </w:pPr>
                  <w:r w:rsidRPr="008819AF">
                    <w:rPr>
                      <w:rFonts w:eastAsia="Arial"/>
                      <w:lang w:bidi="cs-CZ"/>
                    </w:rPr>
                    <w:t>20 %</w:t>
                  </w:r>
                </w:p>
              </w:tc>
            </w:tr>
            <w:tr w:rsidR="00236AB5" w:rsidRPr="008819AF" w14:paraId="15133F4F" w14:textId="77777777">
              <w:trPr>
                <w:trHeight w:val="103"/>
              </w:trPr>
              <w:tc>
                <w:tcPr>
                  <w:tcW w:w="3191" w:type="dxa"/>
                </w:tcPr>
                <w:p w14:paraId="15133F4D" w14:textId="77777777" w:rsidR="00236AB5" w:rsidRPr="008819AF" w:rsidRDefault="00236AB5" w:rsidP="00236AB5">
                  <w:pPr>
                    <w:ind w:left="248"/>
                    <w:rPr>
                      <w:rFonts w:eastAsia="Arial"/>
                      <w:lang w:bidi="cs-CZ"/>
                    </w:rPr>
                  </w:pPr>
                  <w:r w:rsidRPr="008819AF">
                    <w:rPr>
                      <w:rFonts w:eastAsia="Arial"/>
                      <w:lang w:bidi="cs-CZ"/>
                    </w:rPr>
                    <w:t>Celkové množstvo prachu:</w:t>
                  </w:r>
                </w:p>
              </w:tc>
              <w:tc>
                <w:tcPr>
                  <w:tcW w:w="777" w:type="dxa"/>
                </w:tcPr>
                <w:p w14:paraId="15133F4E" w14:textId="77777777" w:rsidR="00236AB5" w:rsidRPr="008819AF" w:rsidRDefault="00236AB5" w:rsidP="00236AB5">
                  <w:pPr>
                    <w:ind w:left="215" w:hanging="215"/>
                    <w:rPr>
                      <w:rFonts w:eastAsia="Arial"/>
                      <w:lang w:bidi="cs-CZ"/>
                    </w:rPr>
                  </w:pPr>
                  <w:r w:rsidRPr="008819AF">
                    <w:rPr>
                      <w:rFonts w:eastAsia="Arial"/>
                      <w:lang w:bidi="cs-CZ"/>
                    </w:rPr>
                    <w:t>30 %</w:t>
                  </w:r>
                </w:p>
              </w:tc>
            </w:tr>
            <w:tr w:rsidR="00236AB5" w:rsidRPr="008819AF" w14:paraId="15133F52" w14:textId="77777777">
              <w:trPr>
                <w:trHeight w:val="103"/>
              </w:trPr>
              <w:tc>
                <w:tcPr>
                  <w:tcW w:w="3191" w:type="dxa"/>
                </w:tcPr>
                <w:p w14:paraId="15133F50" w14:textId="77777777" w:rsidR="00236AB5" w:rsidRPr="008819AF" w:rsidRDefault="00236AB5" w:rsidP="00236AB5">
                  <w:pPr>
                    <w:ind w:left="248"/>
                    <w:rPr>
                      <w:rFonts w:eastAsia="Arial"/>
                      <w:lang w:bidi="cs-CZ"/>
                    </w:rPr>
                  </w:pPr>
                  <w:r w:rsidRPr="008819AF">
                    <w:rPr>
                      <w:rFonts w:eastAsia="Arial"/>
                      <w:lang w:bidi="cs-CZ"/>
                    </w:rPr>
                    <w:t>Celkové množstvo organického uhlíka:</w:t>
                  </w:r>
                </w:p>
              </w:tc>
              <w:tc>
                <w:tcPr>
                  <w:tcW w:w="777" w:type="dxa"/>
                </w:tcPr>
                <w:p w14:paraId="15133F51" w14:textId="77777777" w:rsidR="00236AB5" w:rsidRPr="008819AF" w:rsidRDefault="00236AB5" w:rsidP="00236AB5">
                  <w:pPr>
                    <w:ind w:left="215" w:hanging="215"/>
                    <w:rPr>
                      <w:rFonts w:eastAsia="Arial"/>
                      <w:lang w:bidi="cs-CZ"/>
                    </w:rPr>
                  </w:pPr>
                  <w:r w:rsidRPr="008819AF">
                    <w:rPr>
                      <w:rFonts w:eastAsia="Arial"/>
                      <w:lang w:bidi="cs-CZ"/>
                    </w:rPr>
                    <w:t>30 %</w:t>
                  </w:r>
                </w:p>
              </w:tc>
            </w:tr>
            <w:tr w:rsidR="00236AB5" w:rsidRPr="008819AF" w14:paraId="15133F55" w14:textId="77777777">
              <w:trPr>
                <w:trHeight w:val="103"/>
              </w:trPr>
              <w:tc>
                <w:tcPr>
                  <w:tcW w:w="3191" w:type="dxa"/>
                </w:tcPr>
                <w:p w14:paraId="15133F53" w14:textId="77777777" w:rsidR="00236AB5" w:rsidRPr="008819AF" w:rsidRDefault="00236AB5" w:rsidP="00236AB5">
                  <w:pPr>
                    <w:ind w:left="248"/>
                    <w:rPr>
                      <w:rFonts w:eastAsia="Arial"/>
                      <w:lang w:bidi="cs-CZ"/>
                    </w:rPr>
                  </w:pPr>
                  <w:r w:rsidRPr="008819AF">
                    <w:rPr>
                      <w:rFonts w:eastAsia="Arial"/>
                      <w:lang w:bidi="cs-CZ"/>
                    </w:rPr>
                    <w:t>Chlorovodík:</w:t>
                  </w:r>
                </w:p>
              </w:tc>
              <w:tc>
                <w:tcPr>
                  <w:tcW w:w="777" w:type="dxa"/>
                </w:tcPr>
                <w:p w14:paraId="15133F54" w14:textId="77777777" w:rsidR="00236AB5" w:rsidRPr="008819AF" w:rsidRDefault="00236AB5" w:rsidP="00236AB5">
                  <w:pPr>
                    <w:ind w:left="215" w:hanging="215"/>
                    <w:rPr>
                      <w:rFonts w:eastAsia="Arial"/>
                      <w:lang w:bidi="cs-CZ"/>
                    </w:rPr>
                  </w:pPr>
                  <w:r w:rsidRPr="008819AF">
                    <w:rPr>
                      <w:rFonts w:eastAsia="Arial"/>
                      <w:lang w:bidi="cs-CZ"/>
                    </w:rPr>
                    <w:t>40 %</w:t>
                  </w:r>
                </w:p>
              </w:tc>
            </w:tr>
            <w:tr w:rsidR="00236AB5" w:rsidRPr="008819AF" w14:paraId="15133F58" w14:textId="77777777">
              <w:trPr>
                <w:trHeight w:val="103"/>
              </w:trPr>
              <w:tc>
                <w:tcPr>
                  <w:tcW w:w="3191" w:type="dxa"/>
                </w:tcPr>
                <w:p w14:paraId="15133F56" w14:textId="77777777" w:rsidR="00236AB5" w:rsidRPr="008819AF" w:rsidRDefault="00236AB5" w:rsidP="00236AB5">
                  <w:pPr>
                    <w:ind w:left="248"/>
                    <w:rPr>
                      <w:rFonts w:eastAsia="Arial"/>
                      <w:lang w:bidi="cs-CZ"/>
                    </w:rPr>
                  </w:pPr>
                  <w:r w:rsidRPr="008819AF">
                    <w:rPr>
                      <w:rFonts w:eastAsia="Arial"/>
                      <w:lang w:bidi="cs-CZ"/>
                    </w:rPr>
                    <w:t>Fluorovodík:</w:t>
                  </w:r>
                </w:p>
              </w:tc>
              <w:tc>
                <w:tcPr>
                  <w:tcW w:w="777" w:type="dxa"/>
                </w:tcPr>
                <w:p w14:paraId="15133F57" w14:textId="77777777" w:rsidR="00236AB5" w:rsidRPr="008819AF" w:rsidRDefault="00236AB5" w:rsidP="00236AB5">
                  <w:pPr>
                    <w:ind w:left="215" w:hanging="215"/>
                    <w:rPr>
                      <w:rFonts w:eastAsia="Arial"/>
                      <w:lang w:bidi="cs-CZ"/>
                    </w:rPr>
                  </w:pPr>
                  <w:r w:rsidRPr="008819AF">
                    <w:rPr>
                      <w:rFonts w:eastAsia="Arial"/>
                      <w:lang w:bidi="cs-CZ"/>
                    </w:rPr>
                    <w:t>40 %.</w:t>
                  </w:r>
                </w:p>
              </w:tc>
            </w:tr>
          </w:tbl>
          <w:p w14:paraId="15133F59" w14:textId="77777777" w:rsidR="00236AB5" w:rsidRPr="008819AF" w:rsidRDefault="00236AB5" w:rsidP="00236AB5">
            <w:pPr>
              <w:ind w:left="215" w:hanging="215"/>
              <w:rPr>
                <w:rFonts w:eastAsia="Arial"/>
                <w:lang w:bidi="cs-CZ"/>
              </w:rPr>
            </w:pPr>
          </w:p>
          <w:p w14:paraId="15133F5A" w14:textId="77777777" w:rsidR="00236AB5" w:rsidRPr="008819AF" w:rsidRDefault="00236AB5" w:rsidP="00236AB5">
            <w:pPr>
              <w:ind w:left="215" w:hanging="1"/>
              <w:rPr>
                <w:rFonts w:eastAsia="Arial"/>
                <w:lang w:bidi="cs-CZ"/>
              </w:rPr>
            </w:pPr>
            <w:r w:rsidRPr="008819AF">
              <w:rPr>
                <w:rFonts w:eastAsia="Arial"/>
                <w:lang w:bidi="cs-CZ"/>
              </w:rPr>
              <w:t>Periodické merania emisií do ovzdušia a vôd sa musia vykonávať v súlade s bodmi 1.1. a 1.2.</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F5B"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3F5C" w14:textId="77777777" w:rsidR="00236AB5" w:rsidRPr="008819AF" w:rsidRDefault="00236AB5" w:rsidP="00236AB5">
            <w:pPr>
              <w:jc w:val="center"/>
              <w:rPr>
                <w:rFonts w:eastAsia="Arial"/>
                <w:lang w:bidi="cs-CZ"/>
              </w:rPr>
            </w:pPr>
            <w:r w:rsidRPr="008819AF">
              <w:rPr>
                <w:rFonts w:eastAsia="Arial"/>
                <w:lang w:bidi="cs-CZ"/>
              </w:rPr>
              <w:t>NV2</w:t>
            </w:r>
          </w:p>
          <w:p w14:paraId="15133F5D" w14:textId="77777777" w:rsidR="00236AB5" w:rsidRPr="008819AF" w:rsidRDefault="00236AB5" w:rsidP="00236AB5">
            <w:pPr>
              <w:ind w:left="215" w:hanging="215"/>
              <w:jc w:val="center"/>
              <w:rPr>
                <w:rFonts w:eastAsia="Arial"/>
                <w:lang w:bidi="cs-CZ"/>
              </w:rPr>
            </w:pPr>
          </w:p>
          <w:p w14:paraId="15133F5E" w14:textId="77777777" w:rsidR="00236AB5" w:rsidRPr="008819AF" w:rsidRDefault="00236AB5" w:rsidP="00236AB5">
            <w:pPr>
              <w:ind w:left="215" w:hanging="215"/>
              <w:jc w:val="center"/>
              <w:rPr>
                <w:rFonts w:eastAsia="Arial"/>
                <w:lang w:bidi="cs-CZ"/>
              </w:rPr>
            </w:pPr>
          </w:p>
          <w:p w14:paraId="15133F5F" w14:textId="77777777" w:rsidR="00236AB5" w:rsidRPr="008819AF" w:rsidRDefault="00236AB5" w:rsidP="00236AB5">
            <w:pPr>
              <w:ind w:left="215" w:hanging="215"/>
              <w:jc w:val="center"/>
              <w:rPr>
                <w:rFonts w:eastAsia="Arial"/>
                <w:lang w:bidi="cs-CZ"/>
              </w:rPr>
            </w:pPr>
          </w:p>
          <w:p w14:paraId="15133F60" w14:textId="77777777" w:rsidR="00236AB5" w:rsidRPr="008819AF" w:rsidRDefault="00236AB5" w:rsidP="00236AB5">
            <w:pPr>
              <w:ind w:left="215" w:hanging="215"/>
              <w:jc w:val="center"/>
              <w:rPr>
                <w:rFonts w:eastAsia="Arial"/>
                <w:lang w:bidi="cs-CZ"/>
              </w:rPr>
            </w:pPr>
          </w:p>
          <w:p w14:paraId="15133F61" w14:textId="77777777" w:rsidR="00236AB5" w:rsidRPr="008819AF" w:rsidRDefault="00236AB5" w:rsidP="00236AB5">
            <w:pPr>
              <w:ind w:left="215" w:hanging="215"/>
              <w:jc w:val="center"/>
              <w:rPr>
                <w:rFonts w:eastAsia="Arial"/>
                <w:lang w:bidi="cs-CZ"/>
              </w:rPr>
            </w:pPr>
          </w:p>
          <w:p w14:paraId="15133F62" w14:textId="77777777" w:rsidR="00236AB5" w:rsidRPr="008819AF" w:rsidRDefault="00236AB5" w:rsidP="00236AB5">
            <w:pPr>
              <w:ind w:left="215" w:hanging="215"/>
              <w:jc w:val="center"/>
              <w:rPr>
                <w:rFonts w:eastAsia="Arial"/>
                <w:lang w:bidi="cs-CZ"/>
              </w:rPr>
            </w:pPr>
          </w:p>
          <w:p w14:paraId="15133F63" w14:textId="77777777" w:rsidR="00236AB5" w:rsidRPr="008819AF" w:rsidRDefault="00236AB5" w:rsidP="00236AB5">
            <w:pPr>
              <w:ind w:left="215" w:hanging="215"/>
              <w:jc w:val="center"/>
              <w:rPr>
                <w:rFonts w:eastAsia="Arial"/>
                <w:lang w:bidi="cs-CZ"/>
              </w:rPr>
            </w:pPr>
          </w:p>
          <w:p w14:paraId="15133F64" w14:textId="77777777" w:rsidR="00236AB5" w:rsidRPr="008819AF" w:rsidRDefault="00236AB5" w:rsidP="00236AB5">
            <w:pPr>
              <w:ind w:left="215" w:hanging="215"/>
              <w:jc w:val="center"/>
              <w:rPr>
                <w:rFonts w:eastAsia="Arial"/>
                <w:lang w:bidi="cs-CZ"/>
              </w:rPr>
            </w:pPr>
          </w:p>
          <w:p w14:paraId="15133F65" w14:textId="77777777" w:rsidR="00236AB5" w:rsidRPr="008819AF" w:rsidRDefault="00236AB5" w:rsidP="00236AB5">
            <w:pPr>
              <w:ind w:left="215" w:hanging="215"/>
              <w:jc w:val="center"/>
              <w:rPr>
                <w:rFonts w:eastAsia="Arial"/>
                <w:lang w:bidi="cs-CZ"/>
              </w:rPr>
            </w:pPr>
          </w:p>
          <w:p w14:paraId="15133F66" w14:textId="77777777" w:rsidR="00236AB5" w:rsidRPr="008819AF" w:rsidRDefault="00236AB5" w:rsidP="00236AB5">
            <w:pPr>
              <w:ind w:left="215" w:hanging="215"/>
              <w:jc w:val="center"/>
              <w:rPr>
                <w:rFonts w:eastAsia="Arial"/>
                <w:lang w:bidi="cs-CZ"/>
              </w:rPr>
            </w:pPr>
          </w:p>
          <w:p w14:paraId="15133F67" w14:textId="77777777" w:rsidR="00236AB5" w:rsidRPr="008819AF" w:rsidRDefault="00236AB5" w:rsidP="00236AB5">
            <w:pPr>
              <w:ind w:left="215" w:hanging="215"/>
              <w:jc w:val="center"/>
              <w:rPr>
                <w:rFonts w:eastAsia="Arial"/>
                <w:lang w:bidi="cs-CZ"/>
              </w:rPr>
            </w:pPr>
          </w:p>
          <w:p w14:paraId="15133F68" w14:textId="77777777" w:rsidR="00236AB5" w:rsidRPr="008819AF" w:rsidRDefault="00236AB5" w:rsidP="00236AB5">
            <w:pPr>
              <w:ind w:left="215" w:hanging="215"/>
              <w:jc w:val="center"/>
              <w:rPr>
                <w:rFonts w:eastAsia="Arial"/>
                <w:lang w:bidi="cs-CZ"/>
              </w:rPr>
            </w:pPr>
          </w:p>
          <w:p w14:paraId="15133F69" w14:textId="77777777" w:rsidR="00236AB5" w:rsidRPr="008819AF" w:rsidRDefault="00236AB5" w:rsidP="00236AB5">
            <w:pPr>
              <w:ind w:left="215" w:hanging="215"/>
              <w:jc w:val="center"/>
              <w:rPr>
                <w:rFonts w:eastAsia="Arial"/>
                <w:lang w:bidi="cs-CZ"/>
              </w:rPr>
            </w:pPr>
          </w:p>
          <w:p w14:paraId="15133F6A" w14:textId="77777777" w:rsidR="00236AB5" w:rsidRPr="008819AF" w:rsidRDefault="00236AB5" w:rsidP="00236AB5">
            <w:pPr>
              <w:ind w:left="215" w:hanging="215"/>
              <w:jc w:val="center"/>
              <w:rPr>
                <w:rFonts w:eastAsia="Arial"/>
                <w:lang w:bidi="cs-CZ"/>
              </w:rPr>
            </w:pPr>
          </w:p>
          <w:p w14:paraId="15133F6B" w14:textId="77777777" w:rsidR="00236AB5" w:rsidRPr="008819AF" w:rsidRDefault="00236AB5" w:rsidP="00236AB5">
            <w:pPr>
              <w:ind w:left="215" w:hanging="215"/>
              <w:jc w:val="center"/>
              <w:rPr>
                <w:rFonts w:eastAsia="Arial"/>
                <w:lang w:bidi="cs-CZ"/>
              </w:rPr>
            </w:pPr>
          </w:p>
          <w:p w14:paraId="15133F6C" w14:textId="77777777" w:rsidR="00236AB5" w:rsidRPr="008819AF" w:rsidRDefault="00236AB5" w:rsidP="00236AB5">
            <w:pPr>
              <w:ind w:left="215" w:hanging="215"/>
              <w:jc w:val="center"/>
              <w:rPr>
                <w:rFonts w:eastAsia="Arial"/>
                <w:lang w:bidi="cs-CZ"/>
              </w:rPr>
            </w:pPr>
          </w:p>
          <w:p w14:paraId="15133F6D" w14:textId="77777777" w:rsidR="00236AB5" w:rsidRPr="008819AF" w:rsidRDefault="00236AB5" w:rsidP="00236AB5">
            <w:pPr>
              <w:ind w:left="215" w:hanging="215"/>
              <w:jc w:val="center"/>
              <w:rPr>
                <w:rFonts w:eastAsia="Arial"/>
                <w:lang w:bidi="cs-CZ"/>
              </w:rPr>
            </w:pPr>
          </w:p>
          <w:p w14:paraId="15133F6E" w14:textId="77777777" w:rsidR="00236AB5" w:rsidRPr="008819AF" w:rsidRDefault="00236AB5" w:rsidP="00236AB5">
            <w:pPr>
              <w:ind w:left="215" w:hanging="215"/>
              <w:jc w:val="center"/>
              <w:rPr>
                <w:rFonts w:eastAsia="Arial"/>
                <w:lang w:bidi="cs-CZ"/>
              </w:rPr>
            </w:pPr>
          </w:p>
          <w:p w14:paraId="15133F6F" w14:textId="77777777" w:rsidR="00236AB5" w:rsidRPr="008819AF" w:rsidRDefault="00236AB5" w:rsidP="00236AB5">
            <w:pPr>
              <w:ind w:left="215" w:hanging="215"/>
              <w:jc w:val="center"/>
              <w:rPr>
                <w:rFonts w:eastAsia="Arial"/>
                <w:lang w:bidi="cs-CZ"/>
              </w:rPr>
            </w:pPr>
          </w:p>
          <w:p w14:paraId="15133F70" w14:textId="77777777" w:rsidR="00236AB5" w:rsidRPr="008819AF" w:rsidRDefault="00236AB5" w:rsidP="00236AB5">
            <w:pPr>
              <w:ind w:left="215" w:hanging="215"/>
              <w:jc w:val="center"/>
              <w:rPr>
                <w:rFonts w:eastAsia="Arial"/>
                <w:lang w:bidi="cs-CZ"/>
              </w:rPr>
            </w:pPr>
          </w:p>
          <w:p w14:paraId="15133F71" w14:textId="77777777" w:rsidR="00236AB5" w:rsidRPr="008819AF" w:rsidRDefault="00236AB5" w:rsidP="00236AB5">
            <w:pPr>
              <w:ind w:left="215" w:hanging="215"/>
              <w:jc w:val="center"/>
              <w:rPr>
                <w:rFonts w:eastAsia="Arial"/>
                <w:lang w:bidi="cs-CZ"/>
              </w:rPr>
            </w:pPr>
          </w:p>
          <w:p w14:paraId="15133F72" w14:textId="77777777" w:rsidR="00236AB5" w:rsidRPr="008819AF" w:rsidRDefault="00236AB5" w:rsidP="00236AB5">
            <w:pPr>
              <w:ind w:left="215" w:hanging="215"/>
              <w:jc w:val="center"/>
              <w:rPr>
                <w:rFonts w:eastAsia="Arial"/>
                <w:lang w:bidi="cs-CZ"/>
              </w:rPr>
            </w:pPr>
          </w:p>
          <w:p w14:paraId="15133F73" w14:textId="77777777" w:rsidR="00236AB5" w:rsidRPr="008819AF" w:rsidRDefault="00236AB5" w:rsidP="00236AB5">
            <w:pPr>
              <w:ind w:left="215" w:hanging="215"/>
              <w:jc w:val="center"/>
              <w:rPr>
                <w:rFonts w:eastAsia="Arial"/>
                <w:lang w:bidi="cs-CZ"/>
              </w:rPr>
            </w:pPr>
          </w:p>
          <w:p w14:paraId="15133F74" w14:textId="77777777" w:rsidR="00236AB5" w:rsidRPr="008819AF" w:rsidRDefault="00236AB5" w:rsidP="00236AB5">
            <w:pPr>
              <w:ind w:left="215" w:hanging="215"/>
              <w:jc w:val="center"/>
              <w:rPr>
                <w:rFonts w:eastAsia="Arial"/>
                <w:lang w:bidi="cs-CZ"/>
              </w:rPr>
            </w:pPr>
          </w:p>
          <w:p w14:paraId="15133F75" w14:textId="77777777" w:rsidR="00236AB5" w:rsidRPr="008819AF" w:rsidRDefault="00236AB5" w:rsidP="00236AB5">
            <w:pPr>
              <w:ind w:left="215" w:hanging="215"/>
              <w:jc w:val="center"/>
              <w:rPr>
                <w:rFonts w:eastAsia="Arial"/>
                <w:lang w:bidi="cs-CZ"/>
              </w:rPr>
            </w:pPr>
          </w:p>
          <w:p w14:paraId="15133F76" w14:textId="77777777" w:rsidR="00236AB5" w:rsidRPr="008819AF" w:rsidRDefault="00236AB5" w:rsidP="00236AB5">
            <w:pPr>
              <w:ind w:left="215" w:hanging="215"/>
              <w:jc w:val="center"/>
              <w:rPr>
                <w:rFonts w:eastAsia="Arial"/>
                <w:lang w:bidi="cs-CZ"/>
              </w:rPr>
            </w:pPr>
          </w:p>
          <w:p w14:paraId="15133F77" w14:textId="77777777" w:rsidR="00236AB5" w:rsidRPr="008819AF" w:rsidRDefault="00236AB5" w:rsidP="00236AB5">
            <w:pPr>
              <w:ind w:left="215" w:hanging="215"/>
              <w:jc w:val="center"/>
              <w:rPr>
                <w:rFonts w:eastAsia="Arial"/>
                <w:lang w:bidi="cs-CZ"/>
              </w:rPr>
            </w:pPr>
          </w:p>
          <w:p w14:paraId="15133F78" w14:textId="77777777" w:rsidR="00236AB5" w:rsidRPr="008819AF" w:rsidRDefault="00236AB5" w:rsidP="00236AB5">
            <w:pPr>
              <w:ind w:left="215" w:hanging="215"/>
              <w:jc w:val="center"/>
              <w:rPr>
                <w:rFonts w:eastAsia="Arial"/>
                <w:lang w:bidi="cs-CZ"/>
              </w:rPr>
            </w:pPr>
          </w:p>
          <w:p w14:paraId="15133F79" w14:textId="77777777" w:rsidR="00236AB5" w:rsidRPr="008819AF" w:rsidRDefault="00236AB5" w:rsidP="00236AB5">
            <w:pPr>
              <w:ind w:left="215" w:hanging="215"/>
              <w:jc w:val="center"/>
              <w:rPr>
                <w:rFonts w:eastAsia="Arial"/>
                <w:lang w:bidi="cs-CZ"/>
              </w:rPr>
            </w:pPr>
          </w:p>
          <w:p w14:paraId="15133F7A" w14:textId="77777777" w:rsidR="00236AB5" w:rsidRPr="008819AF" w:rsidRDefault="00236AB5" w:rsidP="00236AB5">
            <w:pPr>
              <w:jc w:val="center"/>
              <w:rPr>
                <w:rFonts w:eastAsia="Arial"/>
                <w:lang w:bidi="cs-CZ"/>
              </w:rPr>
            </w:pPr>
            <w:r w:rsidRPr="008819AF">
              <w:rPr>
                <w:rFonts w:eastAsia="Arial"/>
                <w:lang w:bidi="cs-CZ"/>
              </w:rPr>
              <w:t>NV1</w:t>
            </w:r>
          </w:p>
          <w:p w14:paraId="15133F7B" w14:textId="77777777" w:rsidR="00236AB5" w:rsidRPr="008819AF" w:rsidRDefault="00236AB5" w:rsidP="00236AB5">
            <w:pPr>
              <w:ind w:left="215" w:hanging="215"/>
              <w:jc w:val="center"/>
              <w:rPr>
                <w:rFonts w:eastAsia="Arial"/>
                <w:lang w:bidi="cs-CZ"/>
              </w:rPr>
            </w:pPr>
          </w:p>
          <w:p w14:paraId="15133F7C" w14:textId="77777777" w:rsidR="00236AB5" w:rsidRPr="008819AF" w:rsidRDefault="00236AB5" w:rsidP="00236AB5">
            <w:pPr>
              <w:ind w:left="215" w:hanging="215"/>
              <w:jc w:val="center"/>
              <w:rPr>
                <w:rFonts w:eastAsia="Arial"/>
                <w:lang w:bidi="cs-CZ"/>
              </w:rPr>
            </w:pPr>
          </w:p>
          <w:p w14:paraId="15133F7D"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3F7E" w14:textId="77777777" w:rsidR="00236AB5" w:rsidRPr="008819AF" w:rsidRDefault="00236AB5" w:rsidP="00236AB5">
            <w:pPr>
              <w:pStyle w:val="BodyText21"/>
              <w:spacing w:before="0"/>
              <w:ind w:left="-3" w:firstLine="3"/>
              <w:jc w:val="center"/>
              <w:rPr>
                <w:rFonts w:ascii="Times New Roman" w:hAnsi="Times New Roman" w:cs="Times New Roman"/>
              </w:rPr>
            </w:pPr>
            <w:r w:rsidRPr="008819AF">
              <w:rPr>
                <w:rFonts w:ascii="Times New Roman" w:hAnsi="Times New Roman" w:cs="Times New Roman"/>
              </w:rPr>
              <w:lastRenderedPageBreak/>
              <w:t>Pr. 12</w:t>
            </w:r>
          </w:p>
          <w:p w14:paraId="15133F7F" w14:textId="77777777" w:rsidR="00236AB5" w:rsidRPr="008819AF" w:rsidRDefault="00236AB5" w:rsidP="00236AB5">
            <w:pPr>
              <w:pStyle w:val="BodyText21"/>
              <w:spacing w:before="0"/>
              <w:jc w:val="center"/>
              <w:rPr>
                <w:rFonts w:ascii="Times New Roman" w:hAnsi="Times New Roman" w:cs="Times New Roman"/>
              </w:rPr>
            </w:pPr>
          </w:p>
          <w:p w14:paraId="15133F80" w14:textId="77777777" w:rsidR="00236AB5" w:rsidRPr="008819AF" w:rsidRDefault="00236AB5" w:rsidP="00236AB5">
            <w:pPr>
              <w:pStyle w:val="BodyText21"/>
              <w:spacing w:before="0"/>
              <w:jc w:val="center"/>
              <w:rPr>
                <w:rFonts w:ascii="Times New Roman" w:hAnsi="Times New Roman" w:cs="Times New Roman"/>
              </w:rPr>
            </w:pPr>
          </w:p>
          <w:p w14:paraId="15133F81" w14:textId="77777777" w:rsidR="00236AB5" w:rsidRPr="008819AF" w:rsidRDefault="00236AB5" w:rsidP="00236AB5">
            <w:pPr>
              <w:pStyle w:val="BodyText21"/>
              <w:spacing w:before="0"/>
              <w:jc w:val="center"/>
              <w:rPr>
                <w:rFonts w:ascii="Times New Roman" w:hAnsi="Times New Roman" w:cs="Times New Roman"/>
              </w:rPr>
            </w:pPr>
          </w:p>
          <w:p w14:paraId="15133F82" w14:textId="77777777" w:rsidR="00236AB5" w:rsidRPr="008819AF" w:rsidRDefault="00236AB5" w:rsidP="00236AB5">
            <w:pPr>
              <w:pStyle w:val="BodyText21"/>
              <w:spacing w:before="0"/>
              <w:jc w:val="center"/>
              <w:rPr>
                <w:rFonts w:ascii="Times New Roman" w:hAnsi="Times New Roman" w:cs="Times New Roman"/>
              </w:rPr>
            </w:pPr>
          </w:p>
          <w:p w14:paraId="15133F83" w14:textId="77777777" w:rsidR="00236AB5" w:rsidRPr="008819AF" w:rsidRDefault="00236AB5" w:rsidP="00236AB5">
            <w:pPr>
              <w:pStyle w:val="BodyText21"/>
              <w:spacing w:before="0"/>
              <w:jc w:val="center"/>
              <w:rPr>
                <w:rFonts w:ascii="Times New Roman" w:hAnsi="Times New Roman" w:cs="Times New Roman"/>
              </w:rPr>
            </w:pPr>
          </w:p>
          <w:p w14:paraId="15133F84" w14:textId="77777777" w:rsidR="00236AB5" w:rsidRPr="008819AF" w:rsidRDefault="00236AB5" w:rsidP="00236AB5">
            <w:pPr>
              <w:pStyle w:val="BodyText21"/>
              <w:spacing w:before="0"/>
              <w:jc w:val="center"/>
              <w:rPr>
                <w:rFonts w:ascii="Times New Roman" w:hAnsi="Times New Roman" w:cs="Times New Roman"/>
              </w:rPr>
            </w:pPr>
          </w:p>
          <w:p w14:paraId="15133F85" w14:textId="77777777" w:rsidR="00236AB5" w:rsidRPr="008819AF" w:rsidRDefault="00236AB5" w:rsidP="00236AB5">
            <w:pPr>
              <w:pStyle w:val="BodyText21"/>
              <w:spacing w:before="0"/>
              <w:jc w:val="center"/>
              <w:rPr>
                <w:rFonts w:ascii="Times New Roman" w:hAnsi="Times New Roman" w:cs="Times New Roman"/>
              </w:rPr>
            </w:pPr>
          </w:p>
          <w:p w14:paraId="15133F86" w14:textId="77777777" w:rsidR="00236AB5" w:rsidRPr="008819AF" w:rsidRDefault="00236AB5" w:rsidP="00236AB5">
            <w:pPr>
              <w:pStyle w:val="BodyText21"/>
              <w:spacing w:before="0"/>
              <w:jc w:val="center"/>
              <w:rPr>
                <w:rFonts w:ascii="Times New Roman" w:hAnsi="Times New Roman" w:cs="Times New Roman"/>
              </w:rPr>
            </w:pPr>
          </w:p>
          <w:p w14:paraId="15133F87" w14:textId="77777777" w:rsidR="00236AB5" w:rsidRPr="008819AF" w:rsidRDefault="00236AB5" w:rsidP="00236AB5">
            <w:pPr>
              <w:pStyle w:val="BodyText21"/>
              <w:spacing w:before="0"/>
              <w:jc w:val="center"/>
              <w:rPr>
                <w:rFonts w:ascii="Times New Roman" w:hAnsi="Times New Roman" w:cs="Times New Roman"/>
              </w:rPr>
            </w:pPr>
          </w:p>
          <w:p w14:paraId="15133F88" w14:textId="77777777" w:rsidR="00236AB5" w:rsidRPr="008819AF" w:rsidRDefault="00236AB5" w:rsidP="00236AB5">
            <w:pPr>
              <w:pStyle w:val="BodyText21"/>
              <w:spacing w:before="0"/>
              <w:jc w:val="center"/>
              <w:rPr>
                <w:rFonts w:ascii="Times New Roman" w:hAnsi="Times New Roman" w:cs="Times New Roman"/>
              </w:rPr>
            </w:pPr>
          </w:p>
          <w:p w14:paraId="15133F89" w14:textId="77777777" w:rsidR="00236AB5" w:rsidRPr="008819AF" w:rsidRDefault="00236AB5" w:rsidP="00236AB5">
            <w:pPr>
              <w:pStyle w:val="BodyText21"/>
              <w:spacing w:before="0"/>
              <w:jc w:val="center"/>
              <w:rPr>
                <w:rFonts w:ascii="Times New Roman" w:hAnsi="Times New Roman" w:cs="Times New Roman"/>
              </w:rPr>
            </w:pPr>
          </w:p>
          <w:p w14:paraId="15133F8A" w14:textId="77777777" w:rsidR="00236AB5" w:rsidRPr="008819AF" w:rsidRDefault="00236AB5" w:rsidP="00236AB5">
            <w:pPr>
              <w:pStyle w:val="BodyText21"/>
              <w:spacing w:before="0"/>
              <w:jc w:val="center"/>
              <w:rPr>
                <w:rFonts w:ascii="Times New Roman" w:hAnsi="Times New Roman" w:cs="Times New Roman"/>
              </w:rPr>
            </w:pPr>
          </w:p>
          <w:p w14:paraId="15133F8B" w14:textId="77777777" w:rsidR="00236AB5" w:rsidRPr="008819AF" w:rsidRDefault="00236AB5" w:rsidP="00236AB5">
            <w:pPr>
              <w:pStyle w:val="BodyText21"/>
              <w:spacing w:before="0"/>
              <w:jc w:val="center"/>
              <w:rPr>
                <w:rFonts w:ascii="Times New Roman" w:hAnsi="Times New Roman" w:cs="Times New Roman"/>
              </w:rPr>
            </w:pPr>
          </w:p>
          <w:p w14:paraId="15133F8C" w14:textId="77777777" w:rsidR="00236AB5" w:rsidRPr="008819AF" w:rsidRDefault="00236AB5" w:rsidP="00236AB5">
            <w:pPr>
              <w:pStyle w:val="BodyText21"/>
              <w:spacing w:before="0"/>
              <w:jc w:val="center"/>
              <w:rPr>
                <w:rFonts w:ascii="Times New Roman" w:hAnsi="Times New Roman" w:cs="Times New Roman"/>
              </w:rPr>
            </w:pPr>
          </w:p>
          <w:p w14:paraId="15133F8D" w14:textId="77777777" w:rsidR="00236AB5" w:rsidRPr="008819AF" w:rsidRDefault="00236AB5" w:rsidP="00236AB5">
            <w:pPr>
              <w:pStyle w:val="BodyText21"/>
              <w:spacing w:before="0"/>
              <w:jc w:val="center"/>
              <w:rPr>
                <w:rFonts w:ascii="Times New Roman" w:hAnsi="Times New Roman" w:cs="Times New Roman"/>
              </w:rPr>
            </w:pPr>
          </w:p>
          <w:p w14:paraId="15133F8E" w14:textId="77777777" w:rsidR="00236AB5" w:rsidRPr="008819AF" w:rsidRDefault="00236AB5" w:rsidP="00236AB5">
            <w:pPr>
              <w:pStyle w:val="BodyText21"/>
              <w:spacing w:before="0"/>
              <w:jc w:val="center"/>
              <w:rPr>
                <w:rFonts w:ascii="Times New Roman" w:hAnsi="Times New Roman" w:cs="Times New Roman"/>
              </w:rPr>
            </w:pPr>
          </w:p>
          <w:p w14:paraId="15133F8F" w14:textId="77777777" w:rsidR="00236AB5" w:rsidRPr="008819AF" w:rsidRDefault="00236AB5" w:rsidP="00236AB5">
            <w:pPr>
              <w:pStyle w:val="BodyText21"/>
              <w:spacing w:before="0"/>
              <w:jc w:val="center"/>
              <w:rPr>
                <w:rFonts w:ascii="Times New Roman" w:hAnsi="Times New Roman" w:cs="Times New Roman"/>
              </w:rPr>
            </w:pPr>
          </w:p>
          <w:p w14:paraId="15133F90" w14:textId="77777777" w:rsidR="00236AB5" w:rsidRPr="008819AF" w:rsidRDefault="00236AB5" w:rsidP="00236AB5">
            <w:pPr>
              <w:pStyle w:val="BodyText21"/>
              <w:spacing w:before="0"/>
              <w:jc w:val="center"/>
              <w:rPr>
                <w:rFonts w:ascii="Times New Roman" w:hAnsi="Times New Roman" w:cs="Times New Roman"/>
              </w:rPr>
            </w:pPr>
          </w:p>
          <w:p w14:paraId="15133F91" w14:textId="77777777" w:rsidR="00236AB5" w:rsidRPr="008819AF" w:rsidRDefault="00236AB5" w:rsidP="00236AB5">
            <w:pPr>
              <w:pStyle w:val="BodyText21"/>
              <w:spacing w:before="0"/>
              <w:jc w:val="center"/>
              <w:rPr>
                <w:rFonts w:ascii="Times New Roman" w:hAnsi="Times New Roman" w:cs="Times New Roman"/>
              </w:rPr>
            </w:pPr>
          </w:p>
          <w:p w14:paraId="15133F92" w14:textId="77777777" w:rsidR="00236AB5" w:rsidRPr="008819AF" w:rsidRDefault="00236AB5" w:rsidP="00236AB5">
            <w:pPr>
              <w:pStyle w:val="BodyText21"/>
              <w:spacing w:before="0"/>
              <w:jc w:val="center"/>
              <w:rPr>
                <w:rFonts w:ascii="Times New Roman" w:hAnsi="Times New Roman" w:cs="Times New Roman"/>
              </w:rPr>
            </w:pPr>
          </w:p>
          <w:p w14:paraId="15133F93" w14:textId="77777777" w:rsidR="00236AB5" w:rsidRPr="008819AF" w:rsidRDefault="00236AB5" w:rsidP="00236AB5">
            <w:pPr>
              <w:pStyle w:val="BodyText21"/>
              <w:spacing w:before="0"/>
              <w:jc w:val="center"/>
              <w:rPr>
                <w:rFonts w:ascii="Times New Roman" w:hAnsi="Times New Roman" w:cs="Times New Roman"/>
              </w:rPr>
            </w:pPr>
          </w:p>
          <w:p w14:paraId="15133F94" w14:textId="77777777" w:rsidR="00236AB5" w:rsidRPr="008819AF" w:rsidRDefault="00236AB5" w:rsidP="00236AB5">
            <w:pPr>
              <w:pStyle w:val="BodyText21"/>
              <w:spacing w:before="0"/>
              <w:jc w:val="center"/>
              <w:rPr>
                <w:rFonts w:ascii="Times New Roman" w:hAnsi="Times New Roman" w:cs="Times New Roman"/>
              </w:rPr>
            </w:pPr>
          </w:p>
          <w:p w14:paraId="15133F95" w14:textId="77777777" w:rsidR="00236AB5" w:rsidRPr="008819AF" w:rsidRDefault="00236AB5" w:rsidP="00236AB5">
            <w:pPr>
              <w:pStyle w:val="BodyText21"/>
              <w:spacing w:before="0"/>
              <w:jc w:val="center"/>
              <w:rPr>
                <w:rFonts w:ascii="Times New Roman" w:hAnsi="Times New Roman" w:cs="Times New Roman"/>
              </w:rPr>
            </w:pPr>
          </w:p>
          <w:p w14:paraId="15133F96" w14:textId="77777777" w:rsidR="00236AB5" w:rsidRPr="008819AF" w:rsidRDefault="00236AB5" w:rsidP="00236AB5">
            <w:pPr>
              <w:pStyle w:val="BodyText21"/>
              <w:spacing w:before="0"/>
              <w:jc w:val="center"/>
              <w:rPr>
                <w:rFonts w:ascii="Times New Roman" w:hAnsi="Times New Roman" w:cs="Times New Roman"/>
              </w:rPr>
            </w:pPr>
          </w:p>
          <w:p w14:paraId="15133F97" w14:textId="77777777" w:rsidR="00236AB5" w:rsidRPr="008819AF" w:rsidRDefault="00236AB5" w:rsidP="00236AB5">
            <w:pPr>
              <w:pStyle w:val="BodyText21"/>
              <w:spacing w:before="0"/>
              <w:jc w:val="center"/>
              <w:rPr>
                <w:rFonts w:ascii="Times New Roman" w:hAnsi="Times New Roman" w:cs="Times New Roman"/>
              </w:rPr>
            </w:pPr>
          </w:p>
          <w:p w14:paraId="15133F98" w14:textId="77777777" w:rsidR="00236AB5" w:rsidRPr="008819AF" w:rsidRDefault="00236AB5" w:rsidP="00236AB5">
            <w:pPr>
              <w:pStyle w:val="BodyText21"/>
              <w:spacing w:before="0"/>
              <w:jc w:val="center"/>
              <w:rPr>
                <w:rFonts w:ascii="Times New Roman" w:hAnsi="Times New Roman" w:cs="Times New Roman"/>
              </w:rPr>
            </w:pPr>
          </w:p>
          <w:p w14:paraId="15133F99" w14:textId="77777777" w:rsidR="00236AB5" w:rsidRPr="008819AF" w:rsidRDefault="00236AB5" w:rsidP="00236AB5">
            <w:pPr>
              <w:pStyle w:val="BodyText21"/>
              <w:spacing w:before="0"/>
              <w:jc w:val="center"/>
              <w:rPr>
                <w:rFonts w:ascii="Times New Roman" w:hAnsi="Times New Roman" w:cs="Times New Roman"/>
              </w:rPr>
            </w:pPr>
          </w:p>
          <w:p w14:paraId="15133F9A" w14:textId="77777777" w:rsidR="00236AB5" w:rsidRPr="008819AF" w:rsidRDefault="00236AB5" w:rsidP="00236AB5">
            <w:pPr>
              <w:pStyle w:val="BodyText21"/>
              <w:spacing w:before="0"/>
              <w:jc w:val="center"/>
              <w:rPr>
                <w:rFonts w:ascii="Times New Roman" w:hAnsi="Times New Roman" w:cs="Times New Roman"/>
              </w:rPr>
            </w:pPr>
            <w:r w:rsidRPr="008819AF">
              <w:rPr>
                <w:rFonts w:ascii="Times New Roman" w:hAnsi="Times New Roman" w:cs="Times New Roman"/>
              </w:rPr>
              <w:t>§9</w:t>
            </w:r>
          </w:p>
          <w:p w14:paraId="15133F9B" w14:textId="77777777" w:rsidR="00236AB5" w:rsidRPr="008819AF" w:rsidRDefault="00236AB5" w:rsidP="00236AB5">
            <w:pPr>
              <w:pStyle w:val="BodyText21"/>
              <w:spacing w:before="0"/>
              <w:jc w:val="center"/>
              <w:rPr>
                <w:rFonts w:ascii="Times New Roman" w:hAnsi="Times New Roman" w:cs="Times New Roman"/>
              </w:rPr>
            </w:pPr>
            <w:r w:rsidRPr="008819AF">
              <w:rPr>
                <w:rFonts w:ascii="Times New Roman" w:hAnsi="Times New Roman" w:cs="Times New Roman"/>
              </w:rPr>
              <w:t>O9</w:t>
            </w:r>
          </w:p>
          <w:p w14:paraId="15133F9C" w14:textId="77777777" w:rsidR="00236AB5" w:rsidRPr="008819AF" w:rsidRDefault="00236AB5" w:rsidP="00236AB5">
            <w:pPr>
              <w:pStyle w:val="BodyText21"/>
              <w:spacing w:before="0"/>
              <w:jc w:val="center"/>
              <w:rPr>
                <w:rFonts w:ascii="Times New Roman" w:hAnsi="Times New Roman" w:cs="Times New Roman"/>
              </w:rPr>
            </w:pPr>
          </w:p>
          <w:p w14:paraId="15133F9D" w14:textId="77777777" w:rsidR="00236AB5" w:rsidRPr="008819AF" w:rsidRDefault="00236AB5" w:rsidP="00236AB5">
            <w:pPr>
              <w:pStyle w:val="BodyText21"/>
              <w:spacing w:before="0"/>
              <w:jc w:val="center"/>
              <w:rPr>
                <w:rFonts w:ascii="Times New Roman" w:hAnsi="Times New Roman" w:cs="Times New Roman"/>
              </w:rPr>
            </w:pPr>
          </w:p>
          <w:p w14:paraId="15133F9E" w14:textId="77777777" w:rsidR="00236AB5" w:rsidRPr="008819AF" w:rsidRDefault="00236AB5" w:rsidP="00236AB5">
            <w:pPr>
              <w:pStyle w:val="BodyText21"/>
              <w:spacing w:before="0"/>
              <w:jc w:val="center"/>
              <w:rPr>
                <w:rFonts w:ascii="Times New Roman" w:hAnsi="Times New Roman" w:cs="Times New Roman"/>
              </w:rPr>
            </w:pPr>
          </w:p>
          <w:p w14:paraId="15133F9F" w14:textId="77777777" w:rsidR="00236AB5" w:rsidRPr="008819AF" w:rsidRDefault="00236AB5" w:rsidP="00236AB5">
            <w:pPr>
              <w:pStyle w:val="BodyText21"/>
              <w:spacing w:before="0"/>
              <w:jc w:val="center"/>
              <w:rPr>
                <w:rFonts w:ascii="Times New Roman" w:hAnsi="Times New Roman" w:cs="Times New Roman"/>
              </w:rPr>
            </w:pPr>
          </w:p>
          <w:p w14:paraId="15133FA0" w14:textId="77777777" w:rsidR="00236AB5" w:rsidRPr="008819AF" w:rsidRDefault="00236AB5" w:rsidP="00236AB5">
            <w:pPr>
              <w:pStyle w:val="BodyText21"/>
              <w:spacing w:before="0"/>
              <w:jc w:val="center"/>
              <w:rPr>
                <w:rFonts w:ascii="Times New Roman" w:hAnsi="Times New Roman" w:cs="Times New Roman"/>
              </w:rPr>
            </w:pPr>
          </w:p>
          <w:p w14:paraId="15133FA1" w14:textId="77777777" w:rsidR="00236AB5" w:rsidRPr="008819AF" w:rsidRDefault="00236AB5" w:rsidP="00236AB5">
            <w:pPr>
              <w:pStyle w:val="BodyText21"/>
              <w:spacing w:before="0"/>
              <w:jc w:val="center"/>
              <w:rPr>
                <w:rFonts w:ascii="Times New Roman" w:hAnsi="Times New Roman" w:cs="Times New Roman"/>
              </w:rPr>
            </w:pPr>
          </w:p>
          <w:p w14:paraId="15133FA2" w14:textId="77777777" w:rsidR="00236AB5" w:rsidRPr="008819AF" w:rsidRDefault="00236AB5" w:rsidP="00236AB5">
            <w:pPr>
              <w:pStyle w:val="BodyText21"/>
              <w:spacing w:before="0"/>
              <w:jc w:val="center"/>
              <w:rPr>
                <w:rFonts w:ascii="Times New Roman" w:hAnsi="Times New Roman" w:cs="Times New Roman"/>
              </w:rPr>
            </w:pPr>
          </w:p>
          <w:p w14:paraId="15133FA3" w14:textId="77777777" w:rsidR="00236AB5" w:rsidRPr="008819AF" w:rsidRDefault="00236AB5" w:rsidP="00236AB5">
            <w:pPr>
              <w:pStyle w:val="BodyText21"/>
              <w:spacing w:before="0"/>
              <w:jc w:val="center"/>
              <w:rPr>
                <w:rFonts w:ascii="Times New Roman" w:hAnsi="Times New Roman" w:cs="Times New Roman"/>
              </w:rPr>
            </w:pPr>
          </w:p>
          <w:p w14:paraId="15133FA4" w14:textId="77777777" w:rsidR="00236AB5" w:rsidRPr="008819AF" w:rsidRDefault="00236AB5" w:rsidP="00236AB5">
            <w:pPr>
              <w:pStyle w:val="BodyText21"/>
              <w:spacing w:before="0"/>
              <w:jc w:val="center"/>
              <w:rPr>
                <w:rFonts w:ascii="Times New Roman" w:hAnsi="Times New Roman" w:cs="Times New Roman"/>
              </w:rPr>
            </w:pPr>
          </w:p>
          <w:p w14:paraId="15133FA5" w14:textId="77777777" w:rsidR="00236AB5" w:rsidRPr="008819AF" w:rsidRDefault="00236AB5" w:rsidP="00236AB5">
            <w:pPr>
              <w:pStyle w:val="BodyText21"/>
              <w:spacing w:before="0"/>
              <w:jc w:val="center"/>
              <w:rPr>
                <w:rFonts w:ascii="Times New Roman" w:hAnsi="Times New Roman" w:cs="Times New Roman"/>
              </w:rPr>
            </w:pPr>
            <w:r w:rsidRPr="008819AF">
              <w:rPr>
                <w:rFonts w:ascii="Times New Roman" w:hAnsi="Times New Roman" w:cs="Times New Roman"/>
              </w:rPr>
              <w:t>§15</w:t>
            </w:r>
          </w:p>
          <w:p w14:paraId="15133FA6" w14:textId="77777777" w:rsidR="00236AB5" w:rsidRPr="008819AF" w:rsidRDefault="00236AB5" w:rsidP="00236AB5">
            <w:pPr>
              <w:pStyle w:val="BodyText21"/>
              <w:spacing w:before="0"/>
              <w:jc w:val="center"/>
              <w:rPr>
                <w:rFonts w:ascii="Times New Roman" w:hAnsi="Times New Roman" w:cs="Times New Roman"/>
              </w:rPr>
            </w:pPr>
            <w:r w:rsidRPr="008819AF">
              <w:rPr>
                <w:rFonts w:ascii="Times New Roman" w:hAnsi="Times New Roman" w:cs="Times New Roman"/>
              </w:rPr>
              <w:t>O1</w:t>
            </w:r>
          </w:p>
        </w:tc>
        <w:tc>
          <w:tcPr>
            <w:tcW w:w="5230" w:type="dxa"/>
            <w:gridSpan w:val="3"/>
            <w:tcBorders>
              <w:top w:val="single" w:sz="4" w:space="0" w:color="000000"/>
              <w:left w:val="single" w:sz="6" w:space="0" w:color="000000"/>
              <w:bottom w:val="single" w:sz="6" w:space="0" w:color="000000"/>
              <w:right w:val="single" w:sz="6" w:space="0" w:color="000000"/>
            </w:tcBorders>
          </w:tcPr>
          <w:p w14:paraId="15133FA7"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lastRenderedPageBreak/>
              <w:t>IV.  INTERVAL  SPOĽAHLIVOSTI  MERANIA</w:t>
            </w:r>
          </w:p>
          <w:p w14:paraId="15133FA8" w14:textId="77777777" w:rsidR="00236AB5" w:rsidRPr="008819AF" w:rsidRDefault="00236AB5" w:rsidP="00236AB5">
            <w:pPr>
              <w:pStyle w:val="Hlavika"/>
              <w:tabs>
                <w:tab w:val="clear" w:pos="4536"/>
              </w:tabs>
              <w:ind w:left="72" w:hanging="1"/>
              <w:rPr>
                <w:rFonts w:ascii="Times New Roman" w:hAnsi="Times New Roman" w:cs="Times New Roman"/>
              </w:rPr>
            </w:pPr>
            <w:r w:rsidRPr="008819AF">
              <w:rPr>
                <w:rFonts w:ascii="Times New Roman" w:hAnsi="Times New Roman" w:cs="Times New Roman"/>
              </w:rPr>
              <w:t xml:space="preserve">Nepresnosť kontinuálneho merania jednotlivej hodnoty na úrovni emisného limitu vyjadrená ako veľkosť limitnej hodnoty 95-percentného intervalu spoľahlivosti nesmie prekročiť tieto percentuálne podiely z hodnôt emisných </w:t>
            </w:r>
            <w:r w:rsidRPr="008819AF">
              <w:rPr>
                <w:rFonts w:ascii="Times New Roman" w:hAnsi="Times New Roman" w:cs="Times New Roman"/>
              </w:rPr>
              <w:lastRenderedPageBreak/>
              <w:t>limitov:</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983"/>
            </w:tblGrid>
            <w:tr w:rsidR="00236AB5" w:rsidRPr="008819AF" w14:paraId="15133FAB" w14:textId="77777777" w:rsidTr="00864079">
              <w:trPr>
                <w:trHeight w:val="340"/>
                <w:jc w:val="center"/>
              </w:trPr>
              <w:tc>
                <w:tcPr>
                  <w:tcW w:w="3794" w:type="dxa"/>
                </w:tcPr>
                <w:p w14:paraId="15133FA9" w14:textId="77777777" w:rsidR="00236AB5" w:rsidRPr="008819AF" w:rsidRDefault="00236AB5" w:rsidP="00236AB5">
                  <w:pPr>
                    <w:keepNext/>
                    <w:spacing w:after="60"/>
                    <w:jc w:val="both"/>
                    <w:rPr>
                      <w:b/>
                      <w:sz w:val="18"/>
                      <w:szCs w:val="18"/>
                    </w:rPr>
                  </w:pPr>
                  <w:r w:rsidRPr="008819AF">
                    <w:rPr>
                      <w:b/>
                      <w:sz w:val="18"/>
                      <w:szCs w:val="18"/>
                    </w:rPr>
                    <w:t xml:space="preserve">Znečisťujúca látka </w:t>
                  </w:r>
                </w:p>
              </w:tc>
              <w:tc>
                <w:tcPr>
                  <w:tcW w:w="5404" w:type="dxa"/>
                </w:tcPr>
                <w:p w14:paraId="15133FAA" w14:textId="77777777" w:rsidR="00236AB5" w:rsidRPr="008819AF" w:rsidRDefault="00236AB5" w:rsidP="00236AB5">
                  <w:pPr>
                    <w:keepNext/>
                    <w:spacing w:after="60"/>
                    <w:jc w:val="center"/>
                    <w:rPr>
                      <w:b/>
                      <w:sz w:val="18"/>
                      <w:szCs w:val="18"/>
                    </w:rPr>
                  </w:pPr>
                  <w:r w:rsidRPr="008819AF">
                    <w:rPr>
                      <w:b/>
                      <w:sz w:val="18"/>
                      <w:szCs w:val="18"/>
                    </w:rPr>
                    <w:t>Presnosť merania</w:t>
                  </w:r>
                </w:p>
              </w:tc>
            </w:tr>
            <w:tr w:rsidR="00236AB5" w:rsidRPr="008819AF" w14:paraId="15133FAE" w14:textId="77777777" w:rsidTr="00864079">
              <w:trPr>
                <w:trHeight w:val="340"/>
                <w:jc w:val="center"/>
              </w:trPr>
              <w:tc>
                <w:tcPr>
                  <w:tcW w:w="3794" w:type="dxa"/>
                </w:tcPr>
                <w:p w14:paraId="15133FAC" w14:textId="77777777" w:rsidR="00236AB5" w:rsidRPr="008819AF" w:rsidRDefault="00236AB5" w:rsidP="00236AB5">
                  <w:pPr>
                    <w:keepNext/>
                    <w:spacing w:after="60"/>
                    <w:jc w:val="both"/>
                    <w:rPr>
                      <w:sz w:val="18"/>
                      <w:szCs w:val="18"/>
                    </w:rPr>
                  </w:pPr>
                  <w:r w:rsidRPr="008819AF">
                    <w:rPr>
                      <w:sz w:val="18"/>
                      <w:szCs w:val="18"/>
                    </w:rPr>
                    <w:t xml:space="preserve">Tuhé znečisťujúce látky TZL   </w:t>
                  </w:r>
                </w:p>
              </w:tc>
              <w:tc>
                <w:tcPr>
                  <w:tcW w:w="5404" w:type="dxa"/>
                  <w:vAlign w:val="center"/>
                </w:tcPr>
                <w:p w14:paraId="15133FAD" w14:textId="77777777" w:rsidR="00236AB5" w:rsidRPr="008819AF" w:rsidRDefault="00236AB5" w:rsidP="00236AB5">
                  <w:pPr>
                    <w:keepNext/>
                    <w:spacing w:after="60"/>
                    <w:jc w:val="center"/>
                    <w:rPr>
                      <w:sz w:val="18"/>
                      <w:szCs w:val="18"/>
                    </w:rPr>
                  </w:pPr>
                  <w:r w:rsidRPr="008819AF">
                    <w:rPr>
                      <w:sz w:val="18"/>
                      <w:szCs w:val="18"/>
                    </w:rPr>
                    <w:t>30 %</w:t>
                  </w:r>
                </w:p>
              </w:tc>
            </w:tr>
            <w:tr w:rsidR="00236AB5" w:rsidRPr="008819AF" w14:paraId="15133FB1" w14:textId="77777777" w:rsidTr="00864079">
              <w:trPr>
                <w:trHeight w:val="340"/>
                <w:jc w:val="center"/>
              </w:trPr>
              <w:tc>
                <w:tcPr>
                  <w:tcW w:w="3794" w:type="dxa"/>
                </w:tcPr>
                <w:p w14:paraId="15133FAF" w14:textId="77777777" w:rsidR="00236AB5" w:rsidRPr="008819AF" w:rsidRDefault="00236AB5" w:rsidP="00236AB5">
                  <w:pPr>
                    <w:keepNext/>
                    <w:spacing w:after="60"/>
                    <w:jc w:val="both"/>
                    <w:rPr>
                      <w:sz w:val="18"/>
                      <w:szCs w:val="18"/>
                    </w:rPr>
                  </w:pPr>
                  <w:r w:rsidRPr="008819AF">
                    <w:rPr>
                      <w:sz w:val="18"/>
                      <w:szCs w:val="18"/>
                    </w:rPr>
                    <w:t>Oxid siričitý SO</w:t>
                  </w:r>
                  <w:r w:rsidRPr="008819AF">
                    <w:rPr>
                      <w:sz w:val="18"/>
                      <w:szCs w:val="18"/>
                      <w:vertAlign w:val="subscript"/>
                    </w:rPr>
                    <w:t>2</w:t>
                  </w:r>
                </w:p>
              </w:tc>
              <w:tc>
                <w:tcPr>
                  <w:tcW w:w="5404" w:type="dxa"/>
                  <w:vAlign w:val="center"/>
                </w:tcPr>
                <w:p w14:paraId="15133FB0" w14:textId="77777777" w:rsidR="00236AB5" w:rsidRPr="008819AF" w:rsidRDefault="00236AB5" w:rsidP="00236AB5">
                  <w:pPr>
                    <w:keepNext/>
                    <w:spacing w:after="60"/>
                    <w:jc w:val="center"/>
                    <w:rPr>
                      <w:sz w:val="18"/>
                      <w:szCs w:val="18"/>
                    </w:rPr>
                  </w:pPr>
                  <w:r w:rsidRPr="008819AF">
                    <w:rPr>
                      <w:sz w:val="18"/>
                      <w:szCs w:val="18"/>
                    </w:rPr>
                    <w:t>20 %</w:t>
                  </w:r>
                </w:p>
              </w:tc>
            </w:tr>
            <w:tr w:rsidR="00236AB5" w:rsidRPr="008819AF" w14:paraId="15133FB4" w14:textId="77777777" w:rsidTr="00864079">
              <w:trPr>
                <w:trHeight w:val="340"/>
                <w:jc w:val="center"/>
              </w:trPr>
              <w:tc>
                <w:tcPr>
                  <w:tcW w:w="3794" w:type="dxa"/>
                </w:tcPr>
                <w:p w14:paraId="15133FB2" w14:textId="77777777" w:rsidR="00236AB5" w:rsidRPr="008819AF" w:rsidRDefault="00236AB5" w:rsidP="00236AB5">
                  <w:pPr>
                    <w:keepNext/>
                    <w:spacing w:after="60"/>
                    <w:jc w:val="both"/>
                    <w:rPr>
                      <w:sz w:val="18"/>
                      <w:szCs w:val="18"/>
                    </w:rPr>
                  </w:pPr>
                  <w:r w:rsidRPr="008819AF">
                    <w:rPr>
                      <w:sz w:val="18"/>
                      <w:szCs w:val="18"/>
                    </w:rPr>
                    <w:t>Oxidy dusíka NOx</w:t>
                  </w:r>
                </w:p>
              </w:tc>
              <w:tc>
                <w:tcPr>
                  <w:tcW w:w="5404" w:type="dxa"/>
                  <w:vAlign w:val="center"/>
                </w:tcPr>
                <w:p w14:paraId="15133FB3" w14:textId="77777777" w:rsidR="00236AB5" w:rsidRPr="008819AF" w:rsidRDefault="00236AB5" w:rsidP="00236AB5">
                  <w:pPr>
                    <w:keepNext/>
                    <w:spacing w:after="60"/>
                    <w:jc w:val="center"/>
                    <w:rPr>
                      <w:sz w:val="18"/>
                      <w:szCs w:val="18"/>
                    </w:rPr>
                  </w:pPr>
                  <w:r w:rsidRPr="008819AF">
                    <w:rPr>
                      <w:sz w:val="18"/>
                      <w:szCs w:val="18"/>
                    </w:rPr>
                    <w:t>20 %</w:t>
                  </w:r>
                </w:p>
              </w:tc>
            </w:tr>
            <w:tr w:rsidR="00236AB5" w:rsidRPr="008819AF" w14:paraId="15133FB7" w14:textId="77777777" w:rsidTr="00864079">
              <w:trPr>
                <w:trHeight w:val="340"/>
                <w:jc w:val="center"/>
              </w:trPr>
              <w:tc>
                <w:tcPr>
                  <w:tcW w:w="3794" w:type="dxa"/>
                </w:tcPr>
                <w:p w14:paraId="15133FB5" w14:textId="77777777" w:rsidR="00236AB5" w:rsidRPr="008819AF" w:rsidRDefault="00236AB5" w:rsidP="00236AB5">
                  <w:pPr>
                    <w:keepNext/>
                    <w:spacing w:after="60"/>
                    <w:jc w:val="both"/>
                    <w:rPr>
                      <w:sz w:val="18"/>
                      <w:szCs w:val="18"/>
                    </w:rPr>
                  </w:pPr>
                  <w:r w:rsidRPr="008819AF">
                    <w:rPr>
                      <w:sz w:val="18"/>
                      <w:szCs w:val="18"/>
                    </w:rPr>
                    <w:t xml:space="preserve">Oxid uhoľnatý CO   </w:t>
                  </w:r>
                </w:p>
              </w:tc>
              <w:tc>
                <w:tcPr>
                  <w:tcW w:w="5404" w:type="dxa"/>
                  <w:vAlign w:val="center"/>
                </w:tcPr>
                <w:p w14:paraId="15133FB6" w14:textId="77777777" w:rsidR="00236AB5" w:rsidRPr="008819AF" w:rsidRDefault="00236AB5" w:rsidP="00236AB5">
                  <w:pPr>
                    <w:keepNext/>
                    <w:spacing w:after="60"/>
                    <w:jc w:val="center"/>
                    <w:rPr>
                      <w:sz w:val="18"/>
                      <w:szCs w:val="18"/>
                    </w:rPr>
                  </w:pPr>
                  <w:r w:rsidRPr="008819AF">
                    <w:rPr>
                      <w:sz w:val="18"/>
                      <w:szCs w:val="18"/>
                    </w:rPr>
                    <w:t>10 %</w:t>
                  </w:r>
                </w:p>
              </w:tc>
            </w:tr>
            <w:tr w:rsidR="00236AB5" w:rsidRPr="008819AF" w14:paraId="15133FBA" w14:textId="77777777" w:rsidTr="00864079">
              <w:trPr>
                <w:trHeight w:val="340"/>
                <w:jc w:val="center"/>
              </w:trPr>
              <w:tc>
                <w:tcPr>
                  <w:tcW w:w="3794" w:type="dxa"/>
                </w:tcPr>
                <w:p w14:paraId="15133FB8" w14:textId="77777777" w:rsidR="00236AB5" w:rsidRPr="008819AF" w:rsidRDefault="00236AB5" w:rsidP="00236AB5">
                  <w:pPr>
                    <w:keepNext/>
                    <w:spacing w:after="60"/>
                    <w:jc w:val="both"/>
                    <w:rPr>
                      <w:sz w:val="18"/>
                      <w:szCs w:val="18"/>
                    </w:rPr>
                  </w:pPr>
                  <w:r w:rsidRPr="008819AF">
                    <w:rPr>
                      <w:sz w:val="18"/>
                      <w:szCs w:val="18"/>
                    </w:rPr>
                    <w:t>Prchavé organické látky vyjadrené ako celkový organický uhlík TOC</w:t>
                  </w:r>
                </w:p>
              </w:tc>
              <w:tc>
                <w:tcPr>
                  <w:tcW w:w="5404" w:type="dxa"/>
                  <w:vAlign w:val="center"/>
                </w:tcPr>
                <w:p w14:paraId="15133FB9" w14:textId="77777777" w:rsidR="00236AB5" w:rsidRPr="008819AF" w:rsidRDefault="00236AB5" w:rsidP="00236AB5">
                  <w:pPr>
                    <w:keepNext/>
                    <w:spacing w:after="60"/>
                    <w:jc w:val="center"/>
                    <w:rPr>
                      <w:sz w:val="18"/>
                      <w:szCs w:val="18"/>
                    </w:rPr>
                  </w:pPr>
                  <w:r w:rsidRPr="008819AF">
                    <w:rPr>
                      <w:sz w:val="18"/>
                      <w:szCs w:val="18"/>
                    </w:rPr>
                    <w:t>30 %</w:t>
                  </w:r>
                </w:p>
              </w:tc>
            </w:tr>
            <w:tr w:rsidR="00236AB5" w:rsidRPr="008819AF" w14:paraId="15133FBD" w14:textId="77777777" w:rsidTr="00864079">
              <w:trPr>
                <w:trHeight w:val="340"/>
                <w:jc w:val="center"/>
              </w:trPr>
              <w:tc>
                <w:tcPr>
                  <w:tcW w:w="3794" w:type="dxa"/>
                </w:tcPr>
                <w:p w14:paraId="15133FBB" w14:textId="77777777" w:rsidR="00236AB5" w:rsidRPr="008819AF" w:rsidRDefault="00236AB5" w:rsidP="00236AB5">
                  <w:pPr>
                    <w:keepNext/>
                    <w:spacing w:after="60"/>
                    <w:jc w:val="both"/>
                    <w:rPr>
                      <w:sz w:val="18"/>
                      <w:szCs w:val="18"/>
                    </w:rPr>
                  </w:pPr>
                  <w:r w:rsidRPr="008819AF">
                    <w:rPr>
                      <w:sz w:val="18"/>
                      <w:szCs w:val="18"/>
                    </w:rPr>
                    <w:t xml:space="preserve">Fluorovodík HF    </w:t>
                  </w:r>
                </w:p>
              </w:tc>
              <w:tc>
                <w:tcPr>
                  <w:tcW w:w="5404" w:type="dxa"/>
                  <w:vAlign w:val="center"/>
                </w:tcPr>
                <w:p w14:paraId="15133FBC" w14:textId="77777777" w:rsidR="00236AB5" w:rsidRPr="008819AF" w:rsidRDefault="00236AB5" w:rsidP="00236AB5">
                  <w:pPr>
                    <w:keepNext/>
                    <w:spacing w:after="60"/>
                    <w:jc w:val="center"/>
                    <w:rPr>
                      <w:sz w:val="18"/>
                      <w:szCs w:val="18"/>
                    </w:rPr>
                  </w:pPr>
                  <w:r w:rsidRPr="008819AF">
                    <w:rPr>
                      <w:sz w:val="18"/>
                      <w:szCs w:val="18"/>
                    </w:rPr>
                    <w:t>40 %</w:t>
                  </w:r>
                </w:p>
              </w:tc>
            </w:tr>
            <w:tr w:rsidR="00236AB5" w:rsidRPr="008819AF" w14:paraId="15133FC0" w14:textId="77777777" w:rsidTr="00864079">
              <w:trPr>
                <w:trHeight w:val="340"/>
                <w:jc w:val="center"/>
              </w:trPr>
              <w:tc>
                <w:tcPr>
                  <w:tcW w:w="3794" w:type="dxa"/>
                </w:tcPr>
                <w:p w14:paraId="15133FBE" w14:textId="77777777" w:rsidR="00236AB5" w:rsidRPr="008819AF" w:rsidRDefault="00236AB5" w:rsidP="00236AB5">
                  <w:pPr>
                    <w:keepNext/>
                    <w:spacing w:after="60"/>
                    <w:jc w:val="both"/>
                    <w:rPr>
                      <w:sz w:val="18"/>
                      <w:szCs w:val="18"/>
                    </w:rPr>
                  </w:pPr>
                  <w:r w:rsidRPr="008819AF">
                    <w:rPr>
                      <w:sz w:val="18"/>
                      <w:szCs w:val="18"/>
                    </w:rPr>
                    <w:t>Chlorovodík HCl</w:t>
                  </w:r>
                </w:p>
              </w:tc>
              <w:tc>
                <w:tcPr>
                  <w:tcW w:w="5404" w:type="dxa"/>
                  <w:vAlign w:val="center"/>
                </w:tcPr>
                <w:p w14:paraId="15133FBF" w14:textId="77777777" w:rsidR="00236AB5" w:rsidRPr="008819AF" w:rsidRDefault="00236AB5" w:rsidP="00236AB5">
                  <w:pPr>
                    <w:keepNext/>
                    <w:spacing w:after="60"/>
                    <w:jc w:val="center"/>
                    <w:rPr>
                      <w:sz w:val="18"/>
                      <w:szCs w:val="18"/>
                    </w:rPr>
                  </w:pPr>
                  <w:r w:rsidRPr="008819AF">
                    <w:rPr>
                      <w:sz w:val="18"/>
                      <w:szCs w:val="18"/>
                    </w:rPr>
                    <w:t>40 %</w:t>
                  </w:r>
                </w:p>
              </w:tc>
            </w:tr>
            <w:tr w:rsidR="00236AB5" w:rsidRPr="008819AF" w14:paraId="15133FC3" w14:textId="77777777" w:rsidTr="00864079">
              <w:trPr>
                <w:trHeight w:val="340"/>
                <w:jc w:val="center"/>
              </w:trPr>
              <w:tc>
                <w:tcPr>
                  <w:tcW w:w="3794" w:type="dxa"/>
                </w:tcPr>
                <w:p w14:paraId="15133FC1" w14:textId="77777777" w:rsidR="00236AB5" w:rsidRPr="008819AF" w:rsidRDefault="00236AB5" w:rsidP="00236AB5">
                  <w:pPr>
                    <w:keepNext/>
                    <w:spacing w:after="60"/>
                    <w:jc w:val="both"/>
                    <w:rPr>
                      <w:sz w:val="18"/>
                      <w:szCs w:val="18"/>
                    </w:rPr>
                  </w:pPr>
                  <w:r w:rsidRPr="008819AF">
                    <w:rPr>
                      <w:sz w:val="18"/>
                      <w:szCs w:val="18"/>
                    </w:rPr>
                    <w:t>Ortuť Hg</w:t>
                  </w:r>
                </w:p>
              </w:tc>
              <w:tc>
                <w:tcPr>
                  <w:tcW w:w="5404" w:type="dxa"/>
                  <w:vAlign w:val="center"/>
                </w:tcPr>
                <w:p w14:paraId="15133FC2" w14:textId="77777777" w:rsidR="00236AB5" w:rsidRPr="008819AF" w:rsidRDefault="00236AB5" w:rsidP="00236AB5">
                  <w:pPr>
                    <w:keepNext/>
                    <w:spacing w:after="60"/>
                    <w:jc w:val="center"/>
                    <w:rPr>
                      <w:sz w:val="18"/>
                      <w:szCs w:val="18"/>
                    </w:rPr>
                  </w:pPr>
                  <w:r w:rsidRPr="008819AF">
                    <w:rPr>
                      <w:sz w:val="18"/>
                      <w:szCs w:val="18"/>
                    </w:rPr>
                    <w:t>40 %</w:t>
                  </w:r>
                </w:p>
              </w:tc>
            </w:tr>
            <w:tr w:rsidR="00236AB5" w:rsidRPr="008819AF" w14:paraId="15133FC6" w14:textId="77777777" w:rsidTr="00864079">
              <w:trPr>
                <w:trHeight w:val="340"/>
                <w:jc w:val="center"/>
              </w:trPr>
              <w:tc>
                <w:tcPr>
                  <w:tcW w:w="3794" w:type="dxa"/>
                  <w:vAlign w:val="center"/>
                </w:tcPr>
                <w:p w14:paraId="15133FC4" w14:textId="77777777" w:rsidR="00236AB5" w:rsidRPr="008819AF" w:rsidRDefault="00236AB5" w:rsidP="00236AB5">
                  <w:pPr>
                    <w:keepNext/>
                    <w:spacing w:after="60"/>
                    <w:rPr>
                      <w:sz w:val="18"/>
                      <w:szCs w:val="18"/>
                    </w:rPr>
                  </w:pPr>
                  <w:r w:rsidRPr="008819AF">
                    <w:rPr>
                      <w:sz w:val="18"/>
                      <w:szCs w:val="18"/>
                    </w:rPr>
                    <w:t>Ostatné ZL</w:t>
                  </w:r>
                </w:p>
              </w:tc>
              <w:tc>
                <w:tcPr>
                  <w:tcW w:w="5404" w:type="dxa"/>
                  <w:vAlign w:val="center"/>
                </w:tcPr>
                <w:p w14:paraId="15133FC5" w14:textId="77777777" w:rsidR="00236AB5" w:rsidRPr="008819AF" w:rsidRDefault="00236AB5" w:rsidP="00236AB5">
                  <w:pPr>
                    <w:keepNext/>
                    <w:ind w:left="34"/>
                    <w:rPr>
                      <w:sz w:val="18"/>
                      <w:szCs w:val="18"/>
                    </w:rPr>
                  </w:pPr>
                  <w:r w:rsidRPr="008819AF">
                    <w:rPr>
                      <w:sz w:val="18"/>
                      <w:szCs w:val="18"/>
                    </w:rPr>
                    <w:t>Podľa metodiky oprávneného merania a výsledkov skúšky meracieho systému podľa osobitného predpisu.</w:t>
                  </w:r>
                  <w:r w:rsidRPr="008819AF">
                    <w:rPr>
                      <w:sz w:val="18"/>
                      <w:szCs w:val="18"/>
                      <w:vertAlign w:val="superscript"/>
                    </w:rPr>
                    <w:t>52</w:t>
                  </w:r>
                  <w:r w:rsidRPr="008819AF">
                    <w:rPr>
                      <w:sz w:val="18"/>
                      <w:szCs w:val="18"/>
                    </w:rPr>
                    <w:t>)</w:t>
                  </w:r>
                </w:p>
              </w:tc>
            </w:tr>
          </w:tbl>
          <w:p w14:paraId="15133FC7" w14:textId="77777777" w:rsidR="00236AB5" w:rsidRPr="008819AF" w:rsidRDefault="00236AB5" w:rsidP="00236AB5">
            <w:pPr>
              <w:pStyle w:val="Textpoznmkypodiarou"/>
              <w:ind w:left="0" w:firstLine="0"/>
              <w:jc w:val="both"/>
              <w:rPr>
                <w:rFonts w:ascii="Times New Roman" w:hAnsi="Times New Roman" w:cs="Times New Roman"/>
                <w:sz w:val="20"/>
                <w:szCs w:val="20"/>
              </w:rPr>
            </w:pPr>
            <w:r w:rsidRPr="008819AF">
              <w:rPr>
                <w:rFonts w:ascii="Times New Roman" w:hAnsi="Times New Roman" w:cs="Times New Roman"/>
                <w:sz w:val="20"/>
                <w:szCs w:val="20"/>
              </w:rPr>
              <w:t>52) § xxx... vyhlášky Ministerstva životného prostredia Slovenskej  republiky č. ...... /2022 Z. z.. o monitorovaní emisií zo stacionárnych zdrojov znečisťovania ovzdušia a kvality ovzdušia v ich okolí</w:t>
            </w:r>
          </w:p>
          <w:p w14:paraId="15133FC8" w14:textId="77777777" w:rsidR="00236AB5" w:rsidRPr="008819AF" w:rsidRDefault="00236AB5" w:rsidP="00236AB5">
            <w:pPr>
              <w:pStyle w:val="Hlavika"/>
              <w:ind w:left="72" w:hanging="1"/>
              <w:rPr>
                <w:rFonts w:ascii="Times New Roman" w:hAnsi="Times New Roman" w:cs="Times New Roman"/>
              </w:rPr>
            </w:pPr>
          </w:p>
          <w:p w14:paraId="15133FC9" w14:textId="77777777" w:rsidR="00236AB5" w:rsidRPr="008819AF" w:rsidRDefault="00236AB5" w:rsidP="00236AB5">
            <w:pPr>
              <w:rPr>
                <w:rFonts w:eastAsia="Arial"/>
              </w:rPr>
            </w:pPr>
            <w:r w:rsidRPr="008819AF">
              <w:rPr>
                <w:rFonts w:eastAsia="Arial"/>
              </w:rPr>
              <w:t>(9)</w:t>
            </w:r>
            <w:r w:rsidRPr="008819AF">
              <w:rPr>
                <w:rFonts w:eastAsia="Arial"/>
              </w:rPr>
              <w:tab/>
              <w:t>Kontinuálne merania, ako aj zabezpečovanie kvality automatizovaných systémov merania a referenčné metódy merania na ich kalibráciu a diskontinuálne merania na stanovenie koncentrácie znečisťujúcich látok v odpadovom plyne, odbery vzoriek a analýzy všetkých znečisťujúcich látok vrátane polychlórovaných dibenzodioxínov a polychlórovaných dibenzofuránov sa vykonávajú v súlade s požiadavkami na</w:t>
            </w:r>
          </w:p>
          <w:p w14:paraId="15133FCA" w14:textId="77777777" w:rsidR="00236AB5" w:rsidRPr="008819AF" w:rsidRDefault="00236AB5" w:rsidP="00236AB5">
            <w:pPr>
              <w:rPr>
                <w:rFonts w:eastAsia="Arial"/>
              </w:rPr>
            </w:pPr>
            <w:r w:rsidRPr="008819AF">
              <w:rPr>
                <w:rFonts w:eastAsia="Arial"/>
              </w:rPr>
              <w:t>a)</w:t>
            </w:r>
            <w:r w:rsidRPr="008819AF">
              <w:rPr>
                <w:rFonts w:eastAsia="Arial"/>
              </w:rPr>
              <w:tab/>
              <w:t>príslušný spôsob merania podľa § 4, 6, 7 a 14 podľa svojho významu,</w:t>
            </w:r>
          </w:p>
          <w:p w14:paraId="15133FCB" w14:textId="77777777" w:rsidR="00236AB5" w:rsidRPr="008819AF" w:rsidRDefault="00236AB5" w:rsidP="00236AB5">
            <w:pPr>
              <w:keepNext/>
              <w:rPr>
                <w:rFonts w:eastAsia="Arial"/>
              </w:rPr>
            </w:pPr>
            <w:r w:rsidRPr="008819AF">
              <w:rPr>
                <w:rFonts w:eastAsia="Arial"/>
              </w:rPr>
              <w:t>b)</w:t>
            </w:r>
            <w:r w:rsidRPr="008819AF">
              <w:rPr>
                <w:rFonts w:eastAsia="Arial"/>
              </w:rPr>
              <w:tab/>
              <w:t>metódu a metodiku podľa § 15.</w:t>
            </w:r>
          </w:p>
          <w:p w14:paraId="15133FCC" w14:textId="77777777" w:rsidR="00236AB5" w:rsidRPr="008819AF" w:rsidRDefault="00236AB5" w:rsidP="00236AB5">
            <w:pPr>
              <w:keepNext/>
              <w:rPr>
                <w:rFonts w:eastAsia="Arial"/>
              </w:rPr>
            </w:pPr>
          </w:p>
          <w:p w14:paraId="15133FCD" w14:textId="77777777" w:rsidR="00236AB5" w:rsidRPr="008819AF" w:rsidRDefault="00236AB5" w:rsidP="00236AB5">
            <w:pPr>
              <w:rPr>
                <w:rFonts w:eastAsia="Arial"/>
              </w:rPr>
            </w:pPr>
            <w:r w:rsidRPr="008819AF">
              <w:rPr>
                <w:rFonts w:eastAsia="Arial"/>
              </w:rPr>
              <w:t>(1)</w:t>
            </w:r>
            <w:r w:rsidRPr="008819AF">
              <w:rPr>
                <w:rFonts w:eastAsia="Arial"/>
              </w:rPr>
              <w:tab/>
              <w:t xml:space="preserve">Metódy a metodiky monitorovania podľa § 2 až 14 musia umožňovať zistenie spoľahlivých, reprezentatívnych, porovnateľných a vedecky odôvodnených hodnôt v súlade so súčasným stavom vedeckého poznania a techniky. </w:t>
            </w:r>
          </w:p>
        </w:tc>
        <w:tc>
          <w:tcPr>
            <w:tcW w:w="863" w:type="dxa"/>
            <w:gridSpan w:val="3"/>
            <w:tcBorders>
              <w:top w:val="single" w:sz="4" w:space="0" w:color="000000"/>
              <w:left w:val="single" w:sz="6" w:space="0" w:color="000000"/>
              <w:bottom w:val="single" w:sz="6" w:space="0" w:color="000000"/>
              <w:right w:val="single" w:sz="6" w:space="0" w:color="000000"/>
            </w:tcBorders>
          </w:tcPr>
          <w:p w14:paraId="15133FCE" w14:textId="77777777" w:rsidR="00236AB5" w:rsidRPr="008819AF" w:rsidRDefault="00236AB5" w:rsidP="00236AB5">
            <w:pPr>
              <w:ind w:left="215" w:hanging="215"/>
              <w:rPr>
                <w:rFonts w:eastAsia="Arial"/>
                <w:lang w:bidi="cs-CZ"/>
              </w:rPr>
            </w:pPr>
          </w:p>
          <w:p w14:paraId="15133FCF" w14:textId="77777777" w:rsidR="00236AB5" w:rsidRPr="008819AF" w:rsidRDefault="00236AB5" w:rsidP="00236AB5">
            <w:pPr>
              <w:ind w:left="215" w:hanging="215"/>
              <w:rPr>
                <w:rFonts w:eastAsia="Arial"/>
                <w:lang w:bidi="cs-CZ"/>
              </w:rPr>
            </w:pPr>
          </w:p>
          <w:p w14:paraId="15133FD0" w14:textId="77777777" w:rsidR="00236AB5" w:rsidRPr="008819AF" w:rsidRDefault="00236AB5" w:rsidP="00236AB5">
            <w:pPr>
              <w:ind w:left="215" w:hanging="215"/>
              <w:rPr>
                <w:rFonts w:eastAsia="Arial"/>
                <w:lang w:bidi="cs-CZ"/>
              </w:rPr>
            </w:pPr>
          </w:p>
          <w:p w14:paraId="15133FD1" w14:textId="77777777" w:rsidR="00236AB5" w:rsidRPr="008819AF" w:rsidRDefault="00236AB5" w:rsidP="00236AB5">
            <w:pPr>
              <w:ind w:left="215" w:hanging="215"/>
              <w:rPr>
                <w:rFonts w:eastAsia="Arial"/>
                <w:lang w:bidi="cs-CZ"/>
              </w:rPr>
            </w:pPr>
          </w:p>
          <w:p w14:paraId="15133FD2"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3FD3" w14:textId="77777777" w:rsidR="00236AB5" w:rsidRPr="008819AF" w:rsidRDefault="00236AB5" w:rsidP="00236AB5">
            <w:pPr>
              <w:ind w:left="215" w:hanging="215"/>
              <w:rPr>
                <w:rFonts w:eastAsia="Arial"/>
              </w:rPr>
            </w:pPr>
          </w:p>
          <w:p w14:paraId="15133FD4" w14:textId="77777777" w:rsidR="00236AB5" w:rsidRPr="008819AF" w:rsidRDefault="00236AB5" w:rsidP="00236AB5">
            <w:pPr>
              <w:ind w:left="215" w:hanging="215"/>
              <w:rPr>
                <w:rFonts w:eastAsia="Arial"/>
              </w:rPr>
            </w:pPr>
          </w:p>
          <w:p w14:paraId="15133FD5" w14:textId="77777777" w:rsidR="00236AB5" w:rsidRPr="008819AF" w:rsidRDefault="00236AB5" w:rsidP="00236AB5">
            <w:pPr>
              <w:ind w:left="215" w:hanging="215"/>
              <w:rPr>
                <w:rFonts w:eastAsia="Arial"/>
              </w:rPr>
            </w:pPr>
          </w:p>
          <w:p w14:paraId="15133FD6" w14:textId="77777777" w:rsidR="00236AB5" w:rsidRPr="008819AF" w:rsidRDefault="00236AB5" w:rsidP="00236AB5">
            <w:pPr>
              <w:ind w:left="215" w:hanging="215"/>
              <w:rPr>
                <w:rFonts w:eastAsia="Arial"/>
              </w:rPr>
            </w:pPr>
          </w:p>
          <w:p w14:paraId="15133FD7" w14:textId="77777777" w:rsidR="00236AB5" w:rsidRPr="008819AF" w:rsidRDefault="00236AB5" w:rsidP="00236AB5">
            <w:pPr>
              <w:ind w:left="215" w:hanging="215"/>
              <w:rPr>
                <w:rFonts w:eastAsia="Arial"/>
              </w:rPr>
            </w:pPr>
          </w:p>
          <w:p w14:paraId="15133FD8" w14:textId="77777777" w:rsidR="00236AB5" w:rsidRPr="008819AF" w:rsidRDefault="00236AB5" w:rsidP="00236AB5">
            <w:pPr>
              <w:ind w:left="215" w:hanging="215"/>
              <w:rPr>
                <w:rFonts w:eastAsia="Arial"/>
              </w:rPr>
            </w:pPr>
          </w:p>
          <w:p w14:paraId="15133FD9" w14:textId="77777777" w:rsidR="00236AB5" w:rsidRPr="008819AF" w:rsidRDefault="00236AB5" w:rsidP="00236AB5">
            <w:pPr>
              <w:ind w:left="215" w:hanging="215"/>
              <w:rPr>
                <w:rFonts w:eastAsia="Arial"/>
              </w:rPr>
            </w:pPr>
          </w:p>
          <w:p w14:paraId="15133FDA" w14:textId="77777777" w:rsidR="00236AB5" w:rsidRPr="008819AF" w:rsidRDefault="00236AB5" w:rsidP="00236AB5">
            <w:pPr>
              <w:ind w:left="215" w:hanging="215"/>
              <w:rPr>
                <w:rFonts w:eastAsia="Arial"/>
              </w:rPr>
            </w:pPr>
          </w:p>
          <w:p w14:paraId="15133FDB" w14:textId="77777777" w:rsidR="00236AB5" w:rsidRPr="008819AF" w:rsidRDefault="00236AB5" w:rsidP="00236AB5">
            <w:pPr>
              <w:ind w:left="215" w:hanging="215"/>
              <w:rPr>
                <w:rFonts w:eastAsia="Arial"/>
              </w:rPr>
            </w:pPr>
          </w:p>
          <w:p w14:paraId="15133FDC" w14:textId="77777777" w:rsidR="00236AB5" w:rsidRPr="008819AF" w:rsidRDefault="00236AB5" w:rsidP="00236AB5">
            <w:pPr>
              <w:ind w:left="215" w:hanging="215"/>
              <w:rPr>
                <w:rFonts w:eastAsia="Arial"/>
              </w:rPr>
            </w:pPr>
          </w:p>
        </w:tc>
      </w:tr>
      <w:tr w:rsidR="00236AB5" w:rsidRPr="008819AF" w14:paraId="1513401F"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3FDE"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3FDF" w14:textId="77777777" w:rsidR="00236AB5" w:rsidRPr="008819AF" w:rsidRDefault="00236AB5" w:rsidP="00236AB5">
            <w:pPr>
              <w:ind w:left="215" w:hanging="215"/>
              <w:rPr>
                <w:rFonts w:eastAsia="Arial"/>
                <w:lang w:bidi="cs-CZ"/>
              </w:rPr>
            </w:pPr>
            <w:r w:rsidRPr="008819AF">
              <w:rPr>
                <w:rFonts w:eastAsia="Arial"/>
                <w:lang w:bidi="cs-CZ"/>
              </w:rPr>
              <w:t>2. Merania týkajúce sa látok znečisťujúcich ovzdušie</w:t>
            </w:r>
          </w:p>
          <w:p w14:paraId="15133FE0" w14:textId="77777777" w:rsidR="00236AB5" w:rsidRPr="008819AF" w:rsidRDefault="00236AB5" w:rsidP="00236AB5">
            <w:pPr>
              <w:ind w:left="215" w:hanging="215"/>
              <w:rPr>
                <w:rFonts w:eastAsia="Arial"/>
                <w:lang w:bidi="cs-CZ"/>
              </w:rPr>
            </w:pPr>
            <w:r w:rsidRPr="008819AF">
              <w:rPr>
                <w:rFonts w:eastAsia="Arial"/>
                <w:lang w:bidi="cs-CZ"/>
              </w:rPr>
              <w:t>2.1. Musia sa vykonávať tieto merania súvisiace s látkami znečisťujúcimi ovzdušie:</w:t>
            </w:r>
          </w:p>
          <w:p w14:paraId="15133FE1" w14:textId="77777777" w:rsidR="00236AB5" w:rsidRPr="008819AF" w:rsidRDefault="00236AB5" w:rsidP="00236AB5">
            <w:pPr>
              <w:ind w:left="215" w:hanging="215"/>
              <w:rPr>
                <w:rFonts w:eastAsia="Arial"/>
                <w:lang w:bidi="cs-CZ"/>
              </w:rPr>
            </w:pPr>
            <w:r w:rsidRPr="008819AF">
              <w:rPr>
                <w:rFonts w:eastAsia="Arial"/>
                <w:lang w:bidi="cs-CZ"/>
              </w:rPr>
              <w:t>a) kontinuálne merania týchto látok: NOx za predpokladu, že sú stanovené emisné limity, ďalej CO, celkové množstvo prachu, TOC, HCl, HF, SO2;</w:t>
            </w:r>
          </w:p>
          <w:p w14:paraId="15133FE2" w14:textId="77777777" w:rsidR="00236AB5" w:rsidRPr="008819AF" w:rsidRDefault="00236AB5" w:rsidP="00236AB5">
            <w:pPr>
              <w:ind w:left="215" w:hanging="215"/>
              <w:rPr>
                <w:rFonts w:eastAsia="Arial"/>
                <w:lang w:bidi="cs-CZ"/>
              </w:rPr>
            </w:pPr>
          </w:p>
          <w:p w14:paraId="15133FE3" w14:textId="77777777" w:rsidR="00236AB5" w:rsidRPr="008819AF" w:rsidRDefault="00236AB5" w:rsidP="00236AB5">
            <w:pPr>
              <w:ind w:left="215" w:hanging="215"/>
              <w:rPr>
                <w:rFonts w:eastAsia="Arial"/>
                <w:lang w:bidi="cs-CZ"/>
              </w:rPr>
            </w:pPr>
          </w:p>
          <w:p w14:paraId="15133FE4" w14:textId="77777777" w:rsidR="00236AB5" w:rsidRPr="008819AF" w:rsidRDefault="00236AB5" w:rsidP="00236AB5">
            <w:pPr>
              <w:ind w:left="215" w:hanging="215"/>
              <w:rPr>
                <w:rFonts w:eastAsia="Arial"/>
                <w:lang w:bidi="cs-CZ"/>
              </w:rPr>
            </w:pPr>
          </w:p>
          <w:p w14:paraId="15133FE5" w14:textId="77777777" w:rsidR="00236AB5" w:rsidRPr="008819AF" w:rsidRDefault="00236AB5" w:rsidP="00236AB5">
            <w:pPr>
              <w:ind w:left="215" w:hanging="215"/>
              <w:rPr>
                <w:rFonts w:eastAsia="Arial"/>
                <w:lang w:bidi="cs-CZ"/>
              </w:rPr>
            </w:pPr>
          </w:p>
          <w:p w14:paraId="15133FE6" w14:textId="77777777" w:rsidR="00236AB5" w:rsidRPr="008819AF" w:rsidRDefault="00236AB5" w:rsidP="00236AB5">
            <w:pPr>
              <w:ind w:left="215" w:hanging="215"/>
              <w:rPr>
                <w:rFonts w:eastAsia="Arial"/>
                <w:lang w:bidi="cs-CZ"/>
              </w:rPr>
            </w:pPr>
          </w:p>
          <w:p w14:paraId="15133FE7" w14:textId="77777777" w:rsidR="00236AB5" w:rsidRPr="008819AF" w:rsidRDefault="00236AB5" w:rsidP="00236AB5">
            <w:pPr>
              <w:ind w:left="215" w:hanging="215"/>
              <w:rPr>
                <w:rFonts w:eastAsia="Arial"/>
                <w:lang w:bidi="cs-CZ"/>
              </w:rPr>
            </w:pPr>
          </w:p>
          <w:p w14:paraId="15133FE8" w14:textId="77777777" w:rsidR="00236AB5" w:rsidRPr="008819AF" w:rsidRDefault="00236AB5" w:rsidP="00236AB5">
            <w:pPr>
              <w:ind w:left="215" w:hanging="215"/>
              <w:rPr>
                <w:rFonts w:eastAsia="Arial"/>
                <w:lang w:bidi="cs-CZ"/>
              </w:rPr>
            </w:pPr>
          </w:p>
          <w:p w14:paraId="15133FE9" w14:textId="77777777" w:rsidR="00236AB5" w:rsidRPr="008819AF" w:rsidRDefault="00236AB5" w:rsidP="00236AB5">
            <w:pPr>
              <w:ind w:left="215" w:hanging="215"/>
              <w:rPr>
                <w:rFonts w:eastAsia="Arial"/>
                <w:lang w:bidi="cs-CZ"/>
              </w:rPr>
            </w:pPr>
          </w:p>
          <w:p w14:paraId="15133FEA" w14:textId="77777777" w:rsidR="00236AB5" w:rsidRPr="008819AF" w:rsidRDefault="00236AB5" w:rsidP="00236AB5">
            <w:pPr>
              <w:ind w:left="215" w:hanging="215"/>
              <w:rPr>
                <w:rFonts w:eastAsia="Arial"/>
                <w:lang w:bidi="cs-CZ"/>
              </w:rPr>
            </w:pPr>
          </w:p>
          <w:p w14:paraId="15133FEB" w14:textId="77777777" w:rsidR="00236AB5" w:rsidRPr="008819AF" w:rsidRDefault="00236AB5" w:rsidP="00236AB5">
            <w:pPr>
              <w:ind w:left="215" w:hanging="215"/>
              <w:rPr>
                <w:rFonts w:eastAsia="Arial"/>
                <w:lang w:bidi="cs-CZ"/>
              </w:rPr>
            </w:pPr>
            <w:r w:rsidRPr="008819AF">
              <w:rPr>
                <w:rFonts w:eastAsia="Arial"/>
                <w:lang w:bidi="cs-CZ"/>
              </w:rPr>
              <w:t>b) kontinuálne merania týchto prevádzkových ukazovateľov procesu: teplota v blízkosti vnútornej steny alebo na inom reprezentatívnom mieste spaľovacej komory, ktoré schválil príslušný orgán, koncentrácia kyslíka, tlak, teplota a obsah vodných pár v odpadovom plyne;</w:t>
            </w:r>
          </w:p>
          <w:p w14:paraId="15133FEC" w14:textId="77777777" w:rsidR="00236AB5" w:rsidRPr="008819AF" w:rsidRDefault="00236AB5" w:rsidP="00236AB5">
            <w:pPr>
              <w:ind w:left="215" w:hanging="215"/>
              <w:rPr>
                <w:rFonts w:eastAsia="Arial"/>
                <w:lang w:bidi="cs-CZ"/>
              </w:rPr>
            </w:pPr>
          </w:p>
          <w:p w14:paraId="15133FED" w14:textId="77777777" w:rsidR="00236AB5" w:rsidRPr="008819AF" w:rsidRDefault="00236AB5" w:rsidP="00236AB5">
            <w:pPr>
              <w:ind w:left="215" w:hanging="215"/>
              <w:rPr>
                <w:rFonts w:eastAsia="Arial"/>
                <w:lang w:bidi="cs-CZ"/>
              </w:rPr>
            </w:pPr>
          </w:p>
          <w:p w14:paraId="15133FEE" w14:textId="77777777" w:rsidR="00236AB5" w:rsidRPr="008819AF" w:rsidRDefault="00236AB5" w:rsidP="00236AB5">
            <w:pPr>
              <w:ind w:left="215" w:hanging="215"/>
              <w:rPr>
                <w:rFonts w:eastAsia="Arial"/>
                <w:lang w:bidi="cs-CZ"/>
              </w:rPr>
            </w:pPr>
          </w:p>
          <w:p w14:paraId="15133FEF" w14:textId="77777777" w:rsidR="00236AB5" w:rsidRPr="008819AF" w:rsidRDefault="00236AB5" w:rsidP="00236AB5">
            <w:pPr>
              <w:ind w:left="215" w:hanging="215"/>
              <w:rPr>
                <w:rFonts w:eastAsia="Arial"/>
                <w:lang w:bidi="cs-CZ"/>
              </w:rPr>
            </w:pPr>
          </w:p>
          <w:p w14:paraId="15133FF0" w14:textId="77777777" w:rsidR="00236AB5" w:rsidRPr="008819AF" w:rsidRDefault="00236AB5" w:rsidP="00236AB5">
            <w:pPr>
              <w:ind w:left="215" w:hanging="215"/>
              <w:rPr>
                <w:rFonts w:eastAsia="Arial"/>
                <w:lang w:bidi="cs-CZ"/>
              </w:rPr>
            </w:pPr>
            <w:r w:rsidRPr="008819AF">
              <w:rPr>
                <w:rFonts w:eastAsia="Arial"/>
                <w:lang w:bidi="cs-CZ"/>
              </w:rPr>
              <w:t>c) najmenej dve merania ťažkých kovov a dioxínov a furánov za rok; počas prvých 12 mesiacov prevádzkovaní sa však musí vykonať vždy aspoň jedno meranie za tri mesiace.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3FF1"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3FF2"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3FF3"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3FF4" w14:textId="77777777" w:rsidR="00236AB5" w:rsidRPr="008819AF" w:rsidRDefault="00236AB5" w:rsidP="00236AB5">
            <w:pPr>
              <w:jc w:val="center"/>
            </w:pPr>
            <w:r w:rsidRPr="008819AF">
              <w:t>§9</w:t>
            </w:r>
          </w:p>
          <w:p w14:paraId="15133FF5" w14:textId="77777777" w:rsidR="00236AB5" w:rsidRPr="008819AF" w:rsidRDefault="00236AB5" w:rsidP="00236AB5">
            <w:pPr>
              <w:jc w:val="center"/>
            </w:pPr>
            <w:r w:rsidRPr="008819AF">
              <w:t>O1</w:t>
            </w:r>
          </w:p>
          <w:p w14:paraId="15133FF6" w14:textId="77777777" w:rsidR="00236AB5" w:rsidRPr="008819AF" w:rsidRDefault="00236AB5" w:rsidP="00236AB5">
            <w:pPr>
              <w:jc w:val="center"/>
            </w:pPr>
          </w:p>
          <w:p w14:paraId="15133FF7" w14:textId="77777777" w:rsidR="00236AB5" w:rsidRPr="008819AF" w:rsidRDefault="00236AB5" w:rsidP="00236AB5">
            <w:pPr>
              <w:jc w:val="center"/>
            </w:pPr>
          </w:p>
          <w:p w14:paraId="15133FF8" w14:textId="77777777" w:rsidR="00236AB5" w:rsidRPr="008819AF" w:rsidRDefault="00236AB5" w:rsidP="00236AB5">
            <w:pPr>
              <w:jc w:val="center"/>
            </w:pPr>
          </w:p>
          <w:p w14:paraId="15133FF9" w14:textId="77777777" w:rsidR="00236AB5" w:rsidRPr="008819AF" w:rsidRDefault="00236AB5" w:rsidP="00236AB5">
            <w:pPr>
              <w:jc w:val="center"/>
            </w:pPr>
          </w:p>
          <w:p w14:paraId="15133FFA" w14:textId="77777777" w:rsidR="00236AB5" w:rsidRPr="008819AF" w:rsidRDefault="00236AB5" w:rsidP="00236AB5">
            <w:pPr>
              <w:jc w:val="center"/>
            </w:pPr>
          </w:p>
          <w:p w14:paraId="15133FFB" w14:textId="77777777" w:rsidR="00236AB5" w:rsidRPr="008819AF" w:rsidRDefault="00236AB5" w:rsidP="00236AB5">
            <w:pPr>
              <w:jc w:val="center"/>
            </w:pPr>
          </w:p>
          <w:p w14:paraId="15133FFC" w14:textId="77777777" w:rsidR="00236AB5" w:rsidRPr="008819AF" w:rsidRDefault="00236AB5" w:rsidP="00236AB5">
            <w:pPr>
              <w:jc w:val="center"/>
            </w:pPr>
          </w:p>
          <w:p w14:paraId="15133FFD" w14:textId="77777777" w:rsidR="00236AB5" w:rsidRPr="008819AF" w:rsidRDefault="00236AB5" w:rsidP="00236AB5">
            <w:pPr>
              <w:jc w:val="center"/>
            </w:pPr>
          </w:p>
          <w:p w14:paraId="15133FFE" w14:textId="77777777" w:rsidR="00236AB5" w:rsidRPr="008819AF" w:rsidRDefault="00236AB5" w:rsidP="00236AB5">
            <w:pPr>
              <w:jc w:val="center"/>
            </w:pPr>
          </w:p>
          <w:p w14:paraId="15133FFF" w14:textId="77777777" w:rsidR="00236AB5" w:rsidRPr="008819AF" w:rsidRDefault="00236AB5" w:rsidP="00236AB5">
            <w:pPr>
              <w:jc w:val="center"/>
            </w:pPr>
          </w:p>
          <w:p w14:paraId="15134000" w14:textId="77777777" w:rsidR="00236AB5" w:rsidRPr="008819AF" w:rsidRDefault="00236AB5" w:rsidP="00236AB5">
            <w:pPr>
              <w:jc w:val="center"/>
            </w:pPr>
          </w:p>
          <w:p w14:paraId="15134001" w14:textId="77777777" w:rsidR="00236AB5" w:rsidRPr="008819AF" w:rsidRDefault="00236AB5" w:rsidP="00236AB5">
            <w:pPr>
              <w:jc w:val="center"/>
            </w:pPr>
          </w:p>
          <w:p w14:paraId="15134002" w14:textId="77777777" w:rsidR="00236AB5" w:rsidRPr="008819AF" w:rsidRDefault="00236AB5" w:rsidP="00236AB5">
            <w:pPr>
              <w:jc w:val="center"/>
            </w:pPr>
            <w:r w:rsidRPr="008819AF">
              <w:t>§9</w:t>
            </w:r>
          </w:p>
          <w:p w14:paraId="15134003" w14:textId="77777777" w:rsidR="00236AB5" w:rsidRPr="008819AF" w:rsidRDefault="00236AB5" w:rsidP="00236AB5">
            <w:pPr>
              <w:jc w:val="center"/>
            </w:pPr>
            <w:r w:rsidRPr="008819AF">
              <w:t>O2</w:t>
            </w:r>
          </w:p>
          <w:p w14:paraId="15134004" w14:textId="77777777" w:rsidR="00236AB5" w:rsidRPr="008819AF" w:rsidRDefault="00236AB5" w:rsidP="00236AB5">
            <w:pPr>
              <w:jc w:val="center"/>
            </w:pPr>
            <w:r w:rsidRPr="008819AF">
              <w:t>Pa)</w:t>
            </w:r>
          </w:p>
          <w:p w14:paraId="15134005" w14:textId="77777777" w:rsidR="00236AB5" w:rsidRPr="008819AF" w:rsidRDefault="00236AB5" w:rsidP="00236AB5">
            <w:pPr>
              <w:jc w:val="center"/>
            </w:pPr>
            <w:r w:rsidRPr="008819AF">
              <w:t>Pb)</w:t>
            </w:r>
          </w:p>
          <w:p w14:paraId="15134006" w14:textId="77777777" w:rsidR="00236AB5" w:rsidRPr="008819AF" w:rsidRDefault="00236AB5" w:rsidP="00236AB5">
            <w:pPr>
              <w:jc w:val="center"/>
            </w:pPr>
          </w:p>
          <w:p w14:paraId="15134007" w14:textId="77777777" w:rsidR="00236AB5" w:rsidRPr="008819AF" w:rsidRDefault="00236AB5" w:rsidP="00236AB5">
            <w:pPr>
              <w:jc w:val="center"/>
            </w:pPr>
          </w:p>
          <w:p w14:paraId="15134008" w14:textId="77777777" w:rsidR="00236AB5" w:rsidRPr="008819AF" w:rsidRDefault="00236AB5" w:rsidP="00236AB5">
            <w:pPr>
              <w:jc w:val="center"/>
            </w:pPr>
          </w:p>
          <w:p w14:paraId="15134009" w14:textId="77777777" w:rsidR="00236AB5" w:rsidRPr="008819AF" w:rsidRDefault="00236AB5" w:rsidP="00236AB5">
            <w:pPr>
              <w:jc w:val="center"/>
            </w:pPr>
          </w:p>
          <w:p w14:paraId="1513400A" w14:textId="77777777" w:rsidR="00236AB5" w:rsidRPr="008819AF" w:rsidRDefault="00236AB5" w:rsidP="00236AB5">
            <w:pPr>
              <w:jc w:val="center"/>
            </w:pPr>
            <w:r w:rsidRPr="008819AF">
              <w:t>§9</w:t>
            </w:r>
          </w:p>
          <w:p w14:paraId="1513400B" w14:textId="77777777" w:rsidR="00236AB5" w:rsidRPr="008819AF" w:rsidRDefault="00236AB5" w:rsidP="00236AB5">
            <w:pPr>
              <w:jc w:val="center"/>
            </w:pPr>
            <w:r w:rsidRPr="008819AF">
              <w:t>O5</w:t>
            </w:r>
          </w:p>
        </w:tc>
        <w:tc>
          <w:tcPr>
            <w:tcW w:w="5230" w:type="dxa"/>
            <w:gridSpan w:val="3"/>
            <w:tcBorders>
              <w:top w:val="single" w:sz="4" w:space="0" w:color="000000"/>
              <w:left w:val="single" w:sz="6" w:space="0" w:color="000000"/>
              <w:bottom w:val="single" w:sz="6" w:space="0" w:color="000000"/>
              <w:right w:val="single" w:sz="6" w:space="0" w:color="000000"/>
            </w:tcBorders>
          </w:tcPr>
          <w:p w14:paraId="1513400C" w14:textId="77777777" w:rsidR="00236AB5" w:rsidRPr="008819AF" w:rsidRDefault="00236AB5" w:rsidP="00236AB5">
            <w:pPr>
              <w:rPr>
                <w:rFonts w:eastAsia="Arial"/>
              </w:rPr>
            </w:pPr>
            <w:r w:rsidRPr="008819AF">
              <w:rPr>
                <w:rFonts w:eastAsia="Arial"/>
              </w:rPr>
              <w:t>(1)</w:t>
            </w:r>
            <w:r w:rsidRPr="008819AF">
              <w:rPr>
                <w:rFonts w:eastAsia="Arial"/>
              </w:rPr>
              <w:tab/>
              <w:t>Ak ide o zariadenia na spaľovanie odpadov a spoluspaľovanie odpadov podľa § 20 ods. 4 písm. b) a c) kontinuálnym meraním sa zisťuje hmotnostná koncentrácia a množstvo emisie pre</w:t>
            </w:r>
          </w:p>
          <w:p w14:paraId="1513400D" w14:textId="77777777" w:rsidR="00236AB5" w:rsidRPr="008819AF" w:rsidRDefault="00236AB5" w:rsidP="00236AB5">
            <w:pPr>
              <w:rPr>
                <w:rFonts w:eastAsia="Arial"/>
              </w:rPr>
            </w:pPr>
            <w:r w:rsidRPr="008819AF">
              <w:rPr>
                <w:rFonts w:eastAsia="Arial"/>
              </w:rPr>
              <w:t>a)</w:t>
            </w:r>
            <w:r w:rsidRPr="008819AF">
              <w:rPr>
                <w:rFonts w:eastAsia="Arial"/>
              </w:rPr>
              <w:tab/>
              <w:t>tuhé znečisťujúce látky,</w:t>
            </w:r>
          </w:p>
          <w:p w14:paraId="1513400E" w14:textId="77777777" w:rsidR="00236AB5" w:rsidRPr="008819AF" w:rsidRDefault="00236AB5" w:rsidP="00236AB5">
            <w:pPr>
              <w:rPr>
                <w:rFonts w:eastAsia="Arial"/>
              </w:rPr>
            </w:pPr>
            <w:r w:rsidRPr="008819AF">
              <w:rPr>
                <w:rFonts w:eastAsia="Arial"/>
              </w:rPr>
              <w:t>b)</w:t>
            </w:r>
            <w:r w:rsidRPr="008819AF">
              <w:rPr>
                <w:rFonts w:eastAsia="Arial"/>
              </w:rPr>
              <w:tab/>
              <w:t>oxid uhoľnatý,</w:t>
            </w:r>
          </w:p>
          <w:p w14:paraId="1513400F" w14:textId="77777777" w:rsidR="00236AB5" w:rsidRPr="008819AF" w:rsidRDefault="00236AB5" w:rsidP="00236AB5">
            <w:pPr>
              <w:rPr>
                <w:rFonts w:eastAsia="Arial"/>
              </w:rPr>
            </w:pPr>
            <w:r w:rsidRPr="008819AF">
              <w:rPr>
                <w:rFonts w:eastAsia="Arial"/>
              </w:rPr>
              <w:t>c)</w:t>
            </w:r>
            <w:r w:rsidRPr="008819AF">
              <w:rPr>
                <w:rFonts w:eastAsia="Arial"/>
              </w:rPr>
              <w:tab/>
              <w:t xml:space="preserve">oxidy dusíka vyjadrené ako oxid dusičitý, ak je pre ne určený emisný limit, </w:t>
            </w:r>
          </w:p>
          <w:p w14:paraId="15134010" w14:textId="77777777" w:rsidR="00236AB5" w:rsidRPr="008819AF" w:rsidRDefault="00236AB5" w:rsidP="00236AB5">
            <w:pPr>
              <w:rPr>
                <w:rFonts w:eastAsia="Arial"/>
              </w:rPr>
            </w:pPr>
            <w:r w:rsidRPr="008819AF">
              <w:rPr>
                <w:rFonts w:eastAsia="Arial"/>
              </w:rPr>
              <w:t>d)</w:t>
            </w:r>
            <w:r w:rsidRPr="008819AF">
              <w:rPr>
                <w:rFonts w:eastAsia="Arial"/>
              </w:rPr>
              <w:tab/>
              <w:t>organické znečisťujúce látky vo forme plynov a pár vyjadrené ako celkový organický uhlík,</w:t>
            </w:r>
          </w:p>
          <w:p w14:paraId="15134011" w14:textId="77777777" w:rsidR="00236AB5" w:rsidRPr="008819AF" w:rsidRDefault="00236AB5" w:rsidP="00236AB5">
            <w:pPr>
              <w:rPr>
                <w:rFonts w:eastAsia="Arial"/>
              </w:rPr>
            </w:pPr>
            <w:r w:rsidRPr="008819AF">
              <w:rPr>
                <w:rFonts w:eastAsia="Arial"/>
              </w:rPr>
              <w:t>e)</w:t>
            </w:r>
            <w:r w:rsidRPr="008819AF">
              <w:rPr>
                <w:rFonts w:eastAsia="Arial"/>
              </w:rPr>
              <w:tab/>
              <w:t xml:space="preserve">oxid siričitý, </w:t>
            </w:r>
          </w:p>
          <w:p w14:paraId="15134012" w14:textId="77777777" w:rsidR="00236AB5" w:rsidRPr="008819AF" w:rsidRDefault="00236AB5" w:rsidP="00236AB5">
            <w:pPr>
              <w:rPr>
                <w:rFonts w:eastAsia="Arial"/>
              </w:rPr>
            </w:pPr>
            <w:r w:rsidRPr="008819AF">
              <w:rPr>
                <w:rFonts w:eastAsia="Arial"/>
              </w:rPr>
              <w:t>f)</w:t>
            </w:r>
            <w:r w:rsidRPr="008819AF">
              <w:rPr>
                <w:rFonts w:eastAsia="Arial"/>
              </w:rPr>
              <w:tab/>
              <w:t>plynné zlúčeniny chlóru vyjadrené ako chlorovodík,</w:t>
            </w:r>
          </w:p>
          <w:p w14:paraId="15134013" w14:textId="77777777" w:rsidR="00236AB5" w:rsidRPr="008819AF" w:rsidRDefault="00236AB5" w:rsidP="00236AB5">
            <w:pPr>
              <w:rPr>
                <w:rFonts w:eastAsia="Arial"/>
              </w:rPr>
            </w:pPr>
            <w:r w:rsidRPr="008819AF">
              <w:rPr>
                <w:rFonts w:eastAsia="Arial"/>
              </w:rPr>
              <w:t>g)</w:t>
            </w:r>
            <w:r w:rsidRPr="008819AF">
              <w:rPr>
                <w:rFonts w:eastAsia="Arial"/>
              </w:rPr>
              <w:tab/>
              <w:t>plynné zlúčeniny fluóru vyjadrené ako fluorovodík.</w:t>
            </w:r>
          </w:p>
          <w:p w14:paraId="15134014" w14:textId="77777777" w:rsidR="00236AB5" w:rsidRPr="008819AF" w:rsidRDefault="00236AB5" w:rsidP="00236AB5">
            <w:pPr>
              <w:rPr>
                <w:rFonts w:eastAsia="Arial"/>
              </w:rPr>
            </w:pPr>
          </w:p>
          <w:p w14:paraId="15134015" w14:textId="77777777" w:rsidR="00236AB5" w:rsidRPr="008819AF" w:rsidRDefault="00236AB5" w:rsidP="00236AB5">
            <w:pPr>
              <w:rPr>
                <w:rFonts w:eastAsia="Arial"/>
              </w:rPr>
            </w:pPr>
            <w:r w:rsidRPr="008819AF">
              <w:rPr>
                <w:rFonts w:eastAsia="Arial"/>
              </w:rPr>
              <w:t>(2)</w:t>
            </w:r>
            <w:r w:rsidRPr="008819AF">
              <w:rPr>
                <w:rFonts w:eastAsia="Arial"/>
              </w:rPr>
              <w:tab/>
              <w:t>Okrem údajov podľa odseku 1 sa kontinuálnym meraním zisťuje</w:t>
            </w:r>
          </w:p>
          <w:p w14:paraId="15134016" w14:textId="77777777" w:rsidR="00236AB5" w:rsidRPr="008819AF" w:rsidRDefault="00236AB5" w:rsidP="00236AB5">
            <w:pPr>
              <w:rPr>
                <w:rFonts w:eastAsia="Arial"/>
              </w:rPr>
            </w:pPr>
            <w:r w:rsidRPr="008819AF">
              <w:rPr>
                <w:rFonts w:eastAsia="Arial"/>
              </w:rPr>
              <w:t>a)</w:t>
            </w:r>
            <w:r w:rsidRPr="008819AF">
              <w:rPr>
                <w:rFonts w:eastAsia="Arial"/>
              </w:rPr>
              <w:tab/>
              <w:t>objemová koncentrácia kyslíka, tlak a teplota v mieste merania hodnôt emisných veličín,</w:t>
            </w:r>
          </w:p>
          <w:p w14:paraId="15134017" w14:textId="77777777" w:rsidR="00236AB5" w:rsidRPr="008819AF" w:rsidRDefault="00236AB5" w:rsidP="00236AB5">
            <w:pPr>
              <w:rPr>
                <w:rFonts w:eastAsia="Arial"/>
              </w:rPr>
            </w:pPr>
            <w:r w:rsidRPr="008819AF">
              <w:rPr>
                <w:rFonts w:eastAsia="Arial"/>
              </w:rPr>
              <w:t>b)</w:t>
            </w:r>
            <w:r w:rsidRPr="008819AF">
              <w:rPr>
                <w:rFonts w:eastAsia="Arial"/>
              </w:rPr>
              <w:tab/>
              <w:t xml:space="preserve">teplota spalín na vnútornej stene spaľovacieho priestoru za posledným prívodom vzduchu, alebo na inom povolenom reprezentatívnom mieste spaľovacej komory, </w:t>
            </w:r>
          </w:p>
          <w:p w14:paraId="15134018" w14:textId="77777777" w:rsidR="00236AB5" w:rsidRPr="008819AF" w:rsidRDefault="00236AB5" w:rsidP="00236AB5">
            <w:pPr>
              <w:rPr>
                <w:rFonts w:eastAsia="Arial"/>
              </w:rPr>
            </w:pPr>
          </w:p>
          <w:p w14:paraId="15134019" w14:textId="77777777" w:rsidR="00236AB5" w:rsidRPr="008819AF" w:rsidRDefault="00236AB5" w:rsidP="00236AB5">
            <w:pPr>
              <w:rPr>
                <w:rFonts w:eastAsia="Arial"/>
              </w:rPr>
            </w:pPr>
            <w:r w:rsidRPr="008819AF">
              <w:rPr>
                <w:rFonts w:eastAsia="Arial"/>
              </w:rPr>
              <w:t>(5)</w:t>
            </w:r>
            <w:r w:rsidRPr="008819AF">
              <w:rPr>
                <w:rFonts w:eastAsia="Arial"/>
              </w:rPr>
              <w:tab/>
              <w:t>Údaje o dodržaní určených emisných limitov ťažkých kovov, polychlórovaných dibenzodioxínov a polychlórovaných dibenzofuránov a plynných znečisťujúcich látok podľa odsekov 3 a 4 sa zisťujú periodickým meraním najmenej raz za</w:t>
            </w:r>
          </w:p>
          <w:p w14:paraId="1513401A" w14:textId="77777777" w:rsidR="00236AB5" w:rsidRPr="008819AF" w:rsidRDefault="00236AB5" w:rsidP="00236AB5">
            <w:pPr>
              <w:rPr>
                <w:rFonts w:eastAsia="Arial"/>
              </w:rPr>
            </w:pPr>
            <w:r w:rsidRPr="008819AF">
              <w:rPr>
                <w:rFonts w:eastAsia="Arial"/>
              </w:rPr>
              <w:t>a)</w:t>
            </w:r>
            <w:r w:rsidRPr="008819AF">
              <w:rPr>
                <w:rFonts w:eastAsia="Arial"/>
              </w:rPr>
              <w:tab/>
              <w:t>tri mesiace počas prvých dvanástich mesiacov prevádzky,</w:t>
            </w:r>
          </w:p>
          <w:p w14:paraId="1513401B" w14:textId="77777777" w:rsidR="00236AB5" w:rsidRPr="008819AF" w:rsidRDefault="00236AB5" w:rsidP="00236AB5">
            <w:pPr>
              <w:rPr>
                <w:rFonts w:eastAsia="Arial"/>
              </w:rPr>
            </w:pPr>
            <w:r w:rsidRPr="008819AF">
              <w:rPr>
                <w:rFonts w:eastAsia="Arial"/>
              </w:rPr>
              <w:t>b)</w:t>
            </w:r>
            <w:r w:rsidRPr="008819AF">
              <w:rPr>
                <w:rFonts w:eastAsia="Arial"/>
              </w:rPr>
              <w:tab/>
              <w:t>šesť mesiacov v ďalších rokoch prevádzky, ak nie je podľa odseku 6 určené inak.</w:t>
            </w:r>
          </w:p>
          <w:p w14:paraId="1513401C" w14:textId="77777777" w:rsidR="00236AB5" w:rsidRPr="008819AF" w:rsidRDefault="00236AB5" w:rsidP="00236AB5">
            <w:pPr>
              <w:rPr>
                <w:rFonts w:eastAsia="Arial"/>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401D" w14:textId="77777777" w:rsidR="00236AB5" w:rsidRPr="008819AF" w:rsidRDefault="00236AB5"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1513401E" w14:textId="77777777" w:rsidR="00236AB5" w:rsidRPr="008819AF" w:rsidRDefault="00236AB5" w:rsidP="00236AB5">
            <w:pPr>
              <w:ind w:left="6"/>
              <w:rPr>
                <w:rFonts w:eastAsia="Arial"/>
              </w:rPr>
            </w:pPr>
          </w:p>
        </w:tc>
      </w:tr>
      <w:tr w:rsidR="00236AB5" w:rsidRPr="008819AF" w14:paraId="1513402A"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4020"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4021" w14:textId="77777777" w:rsidR="00236AB5" w:rsidRPr="008819AF" w:rsidRDefault="00236AB5" w:rsidP="00236AB5">
            <w:pPr>
              <w:ind w:left="215" w:hanging="215"/>
              <w:rPr>
                <w:rFonts w:eastAsia="Arial"/>
                <w:lang w:bidi="cs-CZ"/>
              </w:rPr>
            </w:pPr>
            <w:r w:rsidRPr="008819AF">
              <w:rPr>
                <w:rFonts w:eastAsia="Arial"/>
                <w:lang w:bidi="cs-CZ"/>
              </w:rPr>
              <w:t>2.2.  Doba zdržania, ako aj minimálna teplota a obsah kyslíka v odpadových plynoch sa musia overovať vhodným spôsobom aspoň raz pri uvedení spaľovne odpadov alebo zariadenia na spoluspaľovanie odpadov do prevádzkovaní a v najnepriaznivejších predpokladaných prevádzkových podmienkach.</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4022"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4023"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4024"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4025" w14:textId="77777777" w:rsidR="00236AB5" w:rsidRPr="008819AF" w:rsidRDefault="00236AB5" w:rsidP="00236AB5">
            <w:pPr>
              <w:jc w:val="center"/>
            </w:pPr>
            <w:r w:rsidRPr="008819AF">
              <w:t>§9</w:t>
            </w:r>
          </w:p>
          <w:p w14:paraId="15134026" w14:textId="77777777" w:rsidR="00236AB5" w:rsidRPr="008819AF" w:rsidRDefault="00236AB5" w:rsidP="00236AB5">
            <w:pPr>
              <w:jc w:val="center"/>
            </w:pPr>
            <w:r w:rsidRPr="008819AF">
              <w:t>O7</w:t>
            </w:r>
          </w:p>
        </w:tc>
        <w:tc>
          <w:tcPr>
            <w:tcW w:w="5230" w:type="dxa"/>
            <w:gridSpan w:val="3"/>
            <w:tcBorders>
              <w:top w:val="single" w:sz="4" w:space="0" w:color="000000"/>
              <w:left w:val="single" w:sz="6" w:space="0" w:color="000000"/>
              <w:bottom w:val="single" w:sz="6" w:space="0" w:color="000000"/>
              <w:right w:val="single" w:sz="6" w:space="0" w:color="000000"/>
            </w:tcBorders>
          </w:tcPr>
          <w:p w14:paraId="15134027" w14:textId="77777777" w:rsidR="00236AB5" w:rsidRPr="008819AF" w:rsidRDefault="00236AB5" w:rsidP="00236AB5">
            <w:pPr>
              <w:rPr>
                <w:rFonts w:eastAsia="Arial"/>
              </w:rPr>
            </w:pPr>
            <w:r w:rsidRPr="008819AF">
              <w:rPr>
                <w:rFonts w:eastAsia="Arial"/>
              </w:rPr>
              <w:t>(7)</w:t>
            </w:r>
            <w:r w:rsidRPr="008819AF">
              <w:rPr>
                <w:rFonts w:eastAsia="Arial"/>
              </w:rPr>
              <w:tab/>
              <w:t>Čas zotrvania spalín v spaľovacom priestore, najmenšia teplota a obsah kyslíka v spalinách za posledným prívodom spaľovacieho vzduchu a účinnosť spaľovania odpadu, ak je určená, sa zisťujú kvalifikovaným spôsobom v termínoch a za podmienok, ktoré sa vzťahujú na jednorazové meranie alebo technický výpočet, a to pri najmenej priaznivých podmienkach, ktoré sa očakávajú z hľadiska druhu a množstva spaľovaného odpadu, ak sa v odôvodnených prípadoch podľa § 6 ods. 4 nezisťujú periodicky.</w:t>
            </w:r>
          </w:p>
        </w:tc>
        <w:tc>
          <w:tcPr>
            <w:tcW w:w="863" w:type="dxa"/>
            <w:gridSpan w:val="3"/>
            <w:tcBorders>
              <w:top w:val="single" w:sz="4" w:space="0" w:color="000000"/>
              <w:left w:val="single" w:sz="6" w:space="0" w:color="000000"/>
              <w:bottom w:val="single" w:sz="6" w:space="0" w:color="000000"/>
              <w:right w:val="single" w:sz="6" w:space="0" w:color="000000"/>
            </w:tcBorders>
          </w:tcPr>
          <w:p w14:paraId="15134028" w14:textId="77777777" w:rsidR="00236AB5" w:rsidRPr="008819AF" w:rsidRDefault="00236AB5"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15134029" w14:textId="77777777" w:rsidR="00236AB5" w:rsidRPr="008819AF" w:rsidRDefault="00236AB5" w:rsidP="00236AB5">
            <w:pPr>
              <w:ind w:left="6"/>
              <w:rPr>
                <w:rFonts w:eastAsia="Arial"/>
              </w:rPr>
            </w:pPr>
          </w:p>
        </w:tc>
      </w:tr>
      <w:tr w:rsidR="00236AB5" w:rsidRPr="008819AF" w14:paraId="15134035"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402B"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402C" w14:textId="77777777" w:rsidR="00236AB5" w:rsidRPr="008819AF" w:rsidRDefault="00236AB5" w:rsidP="00236AB5">
            <w:pPr>
              <w:ind w:left="215" w:hanging="215"/>
              <w:rPr>
                <w:rFonts w:eastAsia="Arial"/>
                <w:lang w:bidi="cs-CZ"/>
              </w:rPr>
            </w:pPr>
            <w:r w:rsidRPr="008819AF">
              <w:rPr>
                <w:rFonts w:eastAsia="Arial"/>
                <w:lang w:bidi="cs-CZ"/>
              </w:rPr>
              <w:t>2.3.  Kontinuálne meranie množstva HF je možné vynechať, ak sa používajú také stupne čistenia HCl, ktoré zabezpečujú, že sa neprekračuje emisný limit pre HCl. V takom prípade sa musia vykonávať periodické merania emisií HF tak, ako je stanovené v bode 2.1 písm. c).</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402D"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402E"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402F"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4030" w14:textId="77777777" w:rsidR="00236AB5" w:rsidRPr="008819AF" w:rsidRDefault="00236AB5" w:rsidP="00236AB5">
            <w:pPr>
              <w:jc w:val="center"/>
            </w:pPr>
            <w:r w:rsidRPr="008819AF">
              <w:t>§9</w:t>
            </w:r>
          </w:p>
          <w:p w14:paraId="15134031" w14:textId="77777777" w:rsidR="00236AB5" w:rsidRPr="008819AF" w:rsidRDefault="00236AB5" w:rsidP="00236AB5">
            <w:pPr>
              <w:jc w:val="center"/>
            </w:pPr>
            <w:r w:rsidRPr="008819AF">
              <w:t>O4</w:t>
            </w:r>
          </w:p>
        </w:tc>
        <w:tc>
          <w:tcPr>
            <w:tcW w:w="5230" w:type="dxa"/>
            <w:gridSpan w:val="3"/>
            <w:tcBorders>
              <w:top w:val="single" w:sz="4" w:space="0" w:color="000000"/>
              <w:left w:val="single" w:sz="6" w:space="0" w:color="000000"/>
              <w:bottom w:val="single" w:sz="6" w:space="0" w:color="000000"/>
              <w:right w:val="single" w:sz="6" w:space="0" w:color="000000"/>
            </w:tcBorders>
          </w:tcPr>
          <w:p w14:paraId="15134032" w14:textId="77777777" w:rsidR="00236AB5" w:rsidRPr="008819AF" w:rsidRDefault="00236AB5" w:rsidP="00236AB5">
            <w:pPr>
              <w:rPr>
                <w:rFonts w:eastAsia="Arial"/>
              </w:rPr>
            </w:pPr>
            <w:r w:rsidRPr="008819AF">
              <w:rPr>
                <w:rFonts w:eastAsia="Arial"/>
              </w:rPr>
              <w:t>(4)</w:t>
            </w:r>
            <w:r w:rsidRPr="008819AF">
              <w:rPr>
                <w:rFonts w:eastAsia="Arial"/>
              </w:rPr>
              <w:tab/>
              <w:t>Kontinuálne meranie plynných zlúčenín fluóru vyjadrených ako fluorovodík možno nahradiť periodickým meraním, ak sa vykonáva také odlučovanie chlorovodíka z odpadového plynu, ktoré zabezpečuje, že sa trvalo dodržuje hodnota emisného limitu pre plynné zlúčeniny chlóru vyjadrené ako chlorovodík; intervaly periodického merania emisií fluorovodíka ustanovujú odseky 5 a 6.</w:t>
            </w:r>
          </w:p>
        </w:tc>
        <w:tc>
          <w:tcPr>
            <w:tcW w:w="863" w:type="dxa"/>
            <w:gridSpan w:val="3"/>
            <w:tcBorders>
              <w:top w:val="single" w:sz="4" w:space="0" w:color="000000"/>
              <w:left w:val="single" w:sz="6" w:space="0" w:color="000000"/>
              <w:bottom w:val="single" w:sz="6" w:space="0" w:color="000000"/>
              <w:right w:val="single" w:sz="6" w:space="0" w:color="000000"/>
            </w:tcBorders>
          </w:tcPr>
          <w:p w14:paraId="15134033" w14:textId="77777777" w:rsidR="00236AB5" w:rsidRPr="008819AF" w:rsidRDefault="00236AB5"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15134034" w14:textId="77777777" w:rsidR="00236AB5" w:rsidRPr="008819AF" w:rsidRDefault="00236AB5" w:rsidP="00236AB5">
            <w:pPr>
              <w:ind w:left="6"/>
              <w:rPr>
                <w:rFonts w:eastAsia="Arial"/>
              </w:rPr>
            </w:pPr>
          </w:p>
        </w:tc>
      </w:tr>
      <w:tr w:rsidR="00236AB5" w:rsidRPr="008819AF" w14:paraId="15134042"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15134036"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4037" w14:textId="77777777" w:rsidR="00236AB5" w:rsidRPr="008819AF" w:rsidRDefault="00236AB5" w:rsidP="00236AB5">
            <w:pPr>
              <w:ind w:left="215" w:hanging="215"/>
              <w:rPr>
                <w:rFonts w:eastAsia="Arial"/>
                <w:lang w:bidi="cs-CZ"/>
              </w:rPr>
            </w:pPr>
            <w:r w:rsidRPr="008819AF">
              <w:rPr>
                <w:rFonts w:eastAsia="Arial"/>
                <w:lang w:bidi="cs-CZ"/>
              </w:rPr>
              <w:t>2.4. Kontinuálne meranie obsahu vodných pár nie je potrebné, ak sa odobraté vzorky odpadového plynu ešte pred analýzou emisií sušia.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4038"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4039"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403A"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403B" w14:textId="77777777" w:rsidR="00236AB5" w:rsidRPr="008819AF" w:rsidRDefault="00236AB5" w:rsidP="00236AB5">
            <w:pPr>
              <w:jc w:val="center"/>
            </w:pPr>
            <w:r w:rsidRPr="008819AF">
              <w:t>§9</w:t>
            </w:r>
          </w:p>
          <w:p w14:paraId="1513403C" w14:textId="77777777" w:rsidR="00236AB5" w:rsidRPr="008819AF" w:rsidRDefault="00236AB5" w:rsidP="00236AB5">
            <w:pPr>
              <w:jc w:val="center"/>
            </w:pPr>
            <w:r w:rsidRPr="008819AF">
              <w:t>O2</w:t>
            </w:r>
          </w:p>
          <w:p w14:paraId="1513403D" w14:textId="77777777" w:rsidR="00236AB5" w:rsidRPr="008819AF" w:rsidRDefault="00236AB5" w:rsidP="00236AB5">
            <w:pPr>
              <w:jc w:val="center"/>
            </w:pPr>
            <w:r w:rsidRPr="008819AF">
              <w:t>Pc)</w:t>
            </w:r>
          </w:p>
        </w:tc>
        <w:tc>
          <w:tcPr>
            <w:tcW w:w="5230" w:type="dxa"/>
            <w:gridSpan w:val="3"/>
            <w:tcBorders>
              <w:top w:val="single" w:sz="4" w:space="0" w:color="000000"/>
              <w:left w:val="single" w:sz="6" w:space="0" w:color="000000"/>
              <w:bottom w:val="single" w:sz="6" w:space="0" w:color="000000"/>
              <w:right w:val="single" w:sz="6" w:space="0" w:color="000000"/>
            </w:tcBorders>
          </w:tcPr>
          <w:p w14:paraId="1513403E" w14:textId="77777777" w:rsidR="00236AB5" w:rsidRPr="008819AF" w:rsidRDefault="00236AB5" w:rsidP="00236AB5">
            <w:pPr>
              <w:rPr>
                <w:rFonts w:eastAsia="Arial"/>
              </w:rPr>
            </w:pPr>
            <w:r w:rsidRPr="008819AF">
              <w:rPr>
                <w:rFonts w:eastAsia="Arial"/>
              </w:rPr>
              <w:t>(2)</w:t>
            </w:r>
            <w:r w:rsidRPr="008819AF">
              <w:rPr>
                <w:rFonts w:eastAsia="Arial"/>
              </w:rPr>
              <w:tab/>
              <w:t xml:space="preserve">Okrem údajov podľa odseku 1 sa kontinuálnym meraním zisťuje, </w:t>
            </w:r>
          </w:p>
          <w:p w14:paraId="1513403F" w14:textId="77777777" w:rsidR="00236AB5" w:rsidRPr="008819AF" w:rsidRDefault="00236AB5" w:rsidP="00236AB5">
            <w:pPr>
              <w:rPr>
                <w:rFonts w:eastAsia="Arial"/>
              </w:rPr>
            </w:pPr>
            <w:r w:rsidRPr="008819AF">
              <w:rPr>
                <w:rFonts w:eastAsia="Arial"/>
              </w:rPr>
              <w:t>c)</w:t>
            </w:r>
            <w:r w:rsidRPr="008819AF">
              <w:rPr>
                <w:rFonts w:eastAsia="Arial"/>
              </w:rPr>
              <w:tab/>
              <w:t>vlhkosť spalín v mieste merania hodnôt emisných veličín, ak sa odoberaná vzorka spalín pred meraním nesuší alebo nie je ani iným spôsobom podľa súčasného stavu techniky kontinuálneho merania a § 7 ods. 2 a 3 vyjadrená na suchý stav.</w:t>
            </w:r>
          </w:p>
        </w:tc>
        <w:tc>
          <w:tcPr>
            <w:tcW w:w="863" w:type="dxa"/>
            <w:gridSpan w:val="3"/>
            <w:tcBorders>
              <w:top w:val="single" w:sz="4" w:space="0" w:color="000000"/>
              <w:left w:val="single" w:sz="6" w:space="0" w:color="000000"/>
              <w:bottom w:val="single" w:sz="6" w:space="0" w:color="000000"/>
              <w:right w:val="single" w:sz="6" w:space="0" w:color="000000"/>
            </w:tcBorders>
          </w:tcPr>
          <w:p w14:paraId="15134040" w14:textId="77777777" w:rsidR="00236AB5" w:rsidRPr="008819AF" w:rsidRDefault="00236AB5"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15134041" w14:textId="77777777" w:rsidR="00236AB5" w:rsidRPr="008819AF" w:rsidRDefault="00236AB5" w:rsidP="00236AB5">
            <w:pPr>
              <w:ind w:left="6"/>
              <w:rPr>
                <w:rFonts w:eastAsia="Arial"/>
              </w:rPr>
            </w:pPr>
          </w:p>
        </w:tc>
      </w:tr>
      <w:tr w:rsidR="00236AB5" w:rsidRPr="008819AF" w14:paraId="15134050"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4043"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4044" w14:textId="77777777" w:rsidR="00236AB5" w:rsidRPr="008819AF" w:rsidRDefault="00236AB5" w:rsidP="00236AB5">
            <w:pPr>
              <w:ind w:left="215" w:hanging="215"/>
              <w:rPr>
                <w:rFonts w:eastAsia="Arial"/>
                <w:lang w:bidi="cs-CZ"/>
              </w:rPr>
            </w:pPr>
            <w:r w:rsidRPr="008819AF">
              <w:rPr>
                <w:rFonts w:eastAsia="Arial"/>
                <w:lang w:bidi="cs-CZ"/>
              </w:rPr>
              <w:t>2.5. Príslušný orgán sa môže rozhodnúť nepožadovať kontinuálne merania HCI, HF a SO2 v spaľovniach odpadov alebo zariadeniach na spoluspaľovanie odpadov a požadovať pravidelné merania stanovené v bode 2.1 písm. c) alebo nepožadovať žiadne merania, ak prevádzkovateľ môže preukázať, že množstvá emisií týchto znečisťujúcich látok nemôžu byť za žiadnych okolností vyššie ako predpísané emisné limity.</w:t>
            </w:r>
          </w:p>
          <w:p w14:paraId="15134045" w14:textId="77777777" w:rsidR="00236AB5" w:rsidRPr="008819AF" w:rsidRDefault="00236AB5" w:rsidP="00236AB5">
            <w:pPr>
              <w:ind w:left="215"/>
              <w:rPr>
                <w:rFonts w:eastAsia="Arial"/>
              </w:rPr>
            </w:pPr>
            <w:r w:rsidRPr="008819AF">
              <w:rPr>
                <w:rFonts w:eastAsia="Arial"/>
                <w:lang w:bidi="cs-CZ"/>
              </w:rPr>
              <w:t>Príslušný orgán sa môže rozhodnúť nepožadovať kontinuálne merania NOx a požadovať pravidelné merania stanovené v bode 2.1 písm. c) v existujúcich spaľovniach odpadov s menovitou kapacitou nižšou ako 6 ton za hodinu alebo v existujúcich zariadeniach na spoluspaľovanie odpadov s menovitou kapacitou nižšou ako 6 ton za hodinu, ak prevádzkovateľ môže na základe informácií o kvalite príslušného odpadu, použitých technológiách a výsledkoch monitorovania emisií preukázať, že množstvá emisií NOx nemôžu byť za žiadnych okolností vyššie ako predpísané emisné limity.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4046" w14:textId="77777777" w:rsidR="00236AB5" w:rsidRPr="008819AF" w:rsidRDefault="00236AB5" w:rsidP="00236AB5">
            <w:pPr>
              <w:ind w:left="215" w:hanging="215"/>
              <w:jc w:val="center"/>
              <w:rPr>
                <w:rFonts w:eastAsia="Arial"/>
                <w:lang w:bidi="cs-CZ"/>
              </w:rPr>
            </w:pPr>
            <w:r w:rsidRPr="008819AF">
              <w:rPr>
                <w:rFonts w:eastAsia="Arial"/>
                <w:lang w:bidi="cs-CZ"/>
              </w:rPr>
              <w:t>N</w:t>
            </w:r>
          </w:p>
          <w:p w14:paraId="15134047"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4048"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4049" w14:textId="77777777" w:rsidR="00236AB5" w:rsidRPr="008819AF" w:rsidRDefault="00236AB5" w:rsidP="00236AB5">
            <w:pPr>
              <w:jc w:val="center"/>
            </w:pPr>
            <w:r w:rsidRPr="008819AF">
              <w:t>§9</w:t>
            </w:r>
          </w:p>
          <w:p w14:paraId="1513404A" w14:textId="77777777" w:rsidR="00236AB5" w:rsidRPr="008819AF" w:rsidRDefault="00236AB5" w:rsidP="00236AB5">
            <w:pPr>
              <w:jc w:val="center"/>
            </w:pPr>
            <w:r w:rsidRPr="008819AF">
              <w:t>O3</w:t>
            </w:r>
          </w:p>
        </w:tc>
        <w:tc>
          <w:tcPr>
            <w:tcW w:w="5230" w:type="dxa"/>
            <w:gridSpan w:val="3"/>
            <w:tcBorders>
              <w:top w:val="single" w:sz="4" w:space="0" w:color="000000"/>
              <w:left w:val="single" w:sz="6" w:space="0" w:color="000000"/>
              <w:bottom w:val="single" w:sz="6" w:space="0" w:color="000000"/>
              <w:right w:val="single" w:sz="6" w:space="0" w:color="000000"/>
            </w:tcBorders>
          </w:tcPr>
          <w:p w14:paraId="1513404B" w14:textId="77777777" w:rsidR="00236AB5" w:rsidRPr="008819AF" w:rsidRDefault="00236AB5" w:rsidP="00236AB5">
            <w:pPr>
              <w:rPr>
                <w:rFonts w:eastAsia="Arial"/>
              </w:rPr>
            </w:pPr>
            <w:r w:rsidRPr="008819AF">
              <w:rPr>
                <w:rFonts w:eastAsia="Arial"/>
              </w:rPr>
              <w:t>(3)</w:t>
            </w:r>
            <w:r w:rsidRPr="008819AF">
              <w:rPr>
                <w:rFonts w:eastAsia="Arial"/>
              </w:rPr>
              <w:tab/>
              <w:t>Ak sa žiadosťou preukáže, že najvyššia hodnota emisnej veličiny počas ustálenej prevádzky v súlade s povolením nemôže byť za žiadnych okolností vyššia ako hodnota emisného limitu vzhľadom na látkové zloženie odpadov, charakter a technológiu ich vzniku, prepracovanie a triedenie odpadov a sú aj ďalšie predpoklady na jeho trvalé dodržanie podľa § 11 ods. 7, možno podľa § 44 ods. 2 písm. d) zákona povoliť nahradenie kontinuálneho merania hmotnostnej koncentrácie a hmotnostného toku</w:t>
            </w:r>
          </w:p>
          <w:p w14:paraId="1513404C" w14:textId="77777777" w:rsidR="00236AB5" w:rsidRPr="008819AF" w:rsidRDefault="00236AB5" w:rsidP="00236AB5">
            <w:pPr>
              <w:rPr>
                <w:rFonts w:eastAsia="Arial"/>
              </w:rPr>
            </w:pPr>
            <w:r w:rsidRPr="008819AF">
              <w:rPr>
                <w:rFonts w:eastAsia="Arial"/>
              </w:rPr>
              <w:t>a) oxidu siričitého, plynných zlúčenín chlóru a plynných zlúčením fluóru periodickým meraním alebo nepožadovať žiadne meranie,</w:t>
            </w:r>
          </w:p>
          <w:p w14:paraId="1513404D" w14:textId="77777777" w:rsidR="00236AB5" w:rsidRPr="008819AF" w:rsidRDefault="00236AB5" w:rsidP="00236AB5">
            <w:pPr>
              <w:rPr>
                <w:rFonts w:eastAsia="Arial"/>
              </w:rPr>
            </w:pPr>
            <w:r w:rsidRPr="008819AF">
              <w:rPr>
                <w:rFonts w:eastAsia="Arial"/>
              </w:rPr>
              <w:t>b) oxidov dusíka vyjadrených ako oxid dusičitý periodickým meraním, ak ide o jestvujúcu spaľovňu odpadov s menovitou kapacitou nižšou ako 6 ton za hodinu alebo o jestvujúce zariadenie na spoluspaľovanie odpadov s menovitou kapacitou nižšou ako 6 ton za hodinu a súčasne, ak trvalé dodržanie emisného limitu preukážu aj výsledky monitorovania.</w:t>
            </w:r>
          </w:p>
        </w:tc>
        <w:tc>
          <w:tcPr>
            <w:tcW w:w="863" w:type="dxa"/>
            <w:gridSpan w:val="3"/>
            <w:tcBorders>
              <w:top w:val="single" w:sz="4" w:space="0" w:color="000000"/>
              <w:left w:val="single" w:sz="6" w:space="0" w:color="000000"/>
              <w:bottom w:val="single" w:sz="6" w:space="0" w:color="000000"/>
              <w:right w:val="single" w:sz="6" w:space="0" w:color="000000"/>
            </w:tcBorders>
          </w:tcPr>
          <w:p w14:paraId="1513404E" w14:textId="77777777" w:rsidR="00236AB5" w:rsidRPr="008819AF" w:rsidRDefault="00236AB5"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1513404F" w14:textId="77777777" w:rsidR="00236AB5" w:rsidRPr="008819AF" w:rsidRDefault="00236AB5" w:rsidP="00236AB5">
            <w:pPr>
              <w:ind w:left="6"/>
              <w:rPr>
                <w:rFonts w:eastAsia="Arial"/>
              </w:rPr>
            </w:pPr>
          </w:p>
        </w:tc>
      </w:tr>
      <w:tr w:rsidR="00236AB5" w:rsidRPr="008819AF" w14:paraId="15134062"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4051"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4052" w14:textId="77777777" w:rsidR="00236AB5" w:rsidRPr="008819AF" w:rsidRDefault="00236AB5" w:rsidP="00236AB5">
            <w:pPr>
              <w:pStyle w:val="Default"/>
              <w:ind w:left="356" w:hanging="356"/>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2.6. Príslušný orgán sa môže rozhodnúť požadovať pre ťažké kovy jedno meranie každé dva roky a pre dioxíny a furány jedno meranie ročne v týchto prípadoch:</w:t>
            </w:r>
          </w:p>
          <w:p w14:paraId="15134053" w14:textId="77777777" w:rsidR="00236AB5" w:rsidRPr="008819AF" w:rsidRDefault="00236AB5" w:rsidP="00236AB5">
            <w:pPr>
              <w:pStyle w:val="Default"/>
              <w:ind w:left="497" w:hanging="283"/>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a) množstvá emisií vznikajúcich pri spaľovaní a spoluspaľovaní odpadov sú za každých okolností menšie ako 50 % emisných limitov;</w:t>
            </w:r>
          </w:p>
          <w:p w14:paraId="15134054" w14:textId="77777777" w:rsidR="00236AB5" w:rsidRPr="008819AF" w:rsidRDefault="00236AB5" w:rsidP="00236AB5">
            <w:pPr>
              <w:pStyle w:val="Default"/>
              <w:ind w:left="497" w:hanging="283"/>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b) odpad, ktorý sa má spaľovať alebo spoluspaľovať, pozostáva len z určitých triedených spáliteľných frakcií odpadu, ktorý nie je nebezpečný, pričom tieto frakcie sú nevhodné na recykláciu a </w:t>
            </w:r>
            <w:r w:rsidRPr="008819AF">
              <w:rPr>
                <w:rFonts w:ascii="Times New Roman" w:eastAsia="Arial" w:hAnsi="Times New Roman" w:cs="Times New Roman"/>
                <w:color w:val="auto"/>
                <w:sz w:val="20"/>
                <w:szCs w:val="20"/>
              </w:rPr>
              <w:lastRenderedPageBreak/>
              <w:t>vykazujú určité charakteristiky, a ktorý sa ďalej špecifikuje na základe posúdenia uvedeného v písmene c);</w:t>
            </w:r>
          </w:p>
          <w:p w14:paraId="15134055" w14:textId="77777777" w:rsidR="00236AB5" w:rsidRPr="008819AF" w:rsidRDefault="00236AB5" w:rsidP="00236AB5">
            <w:pPr>
              <w:pStyle w:val="Default"/>
              <w:ind w:left="497" w:hanging="283"/>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 prevádzkovateľ môže preukázať na základe informácií o kvalite príslušných odpadov a monitorovaní emisií, že množstvá emisií sú za každých okolností výrazne nižšie ako emisné limity pre ťažké kovy a dioxíny a furány.</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4056"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p w14:paraId="15134057" w14:textId="77777777" w:rsidR="00236AB5" w:rsidRPr="008819AF" w:rsidRDefault="00236AB5" w:rsidP="00236AB5">
            <w:pPr>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4058" w14:textId="77777777" w:rsidR="00236AB5" w:rsidRPr="008819AF" w:rsidRDefault="00236AB5" w:rsidP="00236AB5">
            <w:pPr>
              <w:jc w:val="center"/>
              <w:rPr>
                <w:rFonts w:eastAsia="Arial"/>
                <w:lang w:bidi="cs-CZ"/>
              </w:rPr>
            </w:pPr>
            <w:r w:rsidRPr="008819AF">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15134059" w14:textId="77777777" w:rsidR="00236AB5" w:rsidRPr="008819AF" w:rsidRDefault="00236AB5" w:rsidP="00236AB5">
            <w:pPr>
              <w:jc w:val="center"/>
            </w:pPr>
            <w:r w:rsidRPr="008819AF">
              <w:t>§9</w:t>
            </w:r>
          </w:p>
          <w:p w14:paraId="1513405A" w14:textId="77777777" w:rsidR="00236AB5" w:rsidRPr="008819AF" w:rsidRDefault="00236AB5" w:rsidP="00236AB5">
            <w:pPr>
              <w:jc w:val="center"/>
            </w:pPr>
            <w:r w:rsidRPr="008819AF">
              <w:t>O6</w:t>
            </w:r>
          </w:p>
        </w:tc>
        <w:tc>
          <w:tcPr>
            <w:tcW w:w="5230" w:type="dxa"/>
            <w:gridSpan w:val="3"/>
            <w:tcBorders>
              <w:top w:val="single" w:sz="4" w:space="0" w:color="000000"/>
              <w:left w:val="single" w:sz="6" w:space="0" w:color="000000"/>
              <w:bottom w:val="single" w:sz="6" w:space="0" w:color="000000"/>
              <w:right w:val="single" w:sz="6" w:space="0" w:color="000000"/>
            </w:tcBorders>
          </w:tcPr>
          <w:p w14:paraId="1513405B" w14:textId="77777777" w:rsidR="00236AB5" w:rsidRPr="008819AF" w:rsidRDefault="00236AB5" w:rsidP="00236AB5">
            <w:pPr>
              <w:rPr>
                <w:rFonts w:eastAsia="Arial"/>
              </w:rPr>
            </w:pPr>
            <w:r w:rsidRPr="008819AF">
              <w:rPr>
                <w:rFonts w:eastAsia="Arial"/>
              </w:rPr>
              <w:t>(6)</w:t>
            </w:r>
            <w:r w:rsidRPr="008819AF">
              <w:rPr>
                <w:rFonts w:eastAsia="Arial"/>
              </w:rPr>
              <w:tab/>
              <w:t xml:space="preserve">Podľa § 44 ods. 2 písm. d) zákona interval periodického merania ťažkých kovov možno predĺžiť namiesto raz za šesť mesiacov na raz za dva roky a polychlórovaných dibenzodioxínov a polychlórovaných dibenzofuránov a plynných znečisťujúcich látok podľa odsekov 3 a 4 namiesto raz za šesť mesiacov na raz za dvanásť mesiacov, ak </w:t>
            </w:r>
          </w:p>
          <w:p w14:paraId="1513405C" w14:textId="77777777" w:rsidR="00236AB5" w:rsidRPr="008819AF" w:rsidRDefault="00236AB5" w:rsidP="00236AB5">
            <w:pPr>
              <w:rPr>
                <w:rFonts w:eastAsia="Arial"/>
              </w:rPr>
            </w:pPr>
            <w:r w:rsidRPr="008819AF">
              <w:rPr>
                <w:rFonts w:eastAsia="Arial"/>
              </w:rPr>
              <w:t>a)</w:t>
            </w:r>
            <w:r w:rsidRPr="008819AF">
              <w:rPr>
                <w:rFonts w:eastAsia="Arial"/>
              </w:rPr>
              <w:tab/>
              <w:t xml:space="preserve">emisie danej znečisťujúcej látky vznikajúce pri spaľovaní alebo spoluspaľovaní odpadov sú za každých okolností menšie </w:t>
            </w:r>
            <w:r w:rsidRPr="008819AF">
              <w:rPr>
                <w:rFonts w:eastAsia="Arial"/>
              </w:rPr>
              <w:lastRenderedPageBreak/>
              <w:t xml:space="preserve">ako 50 % z hodnoty príslušného emisného limitu, </w:t>
            </w:r>
          </w:p>
          <w:p w14:paraId="1513405D" w14:textId="77777777" w:rsidR="00236AB5" w:rsidRPr="008819AF" w:rsidRDefault="00236AB5" w:rsidP="00236AB5">
            <w:pPr>
              <w:rPr>
                <w:rFonts w:eastAsia="Arial"/>
              </w:rPr>
            </w:pPr>
            <w:r w:rsidRPr="008819AF">
              <w:rPr>
                <w:rFonts w:eastAsia="Arial"/>
              </w:rPr>
              <w:t>b)</w:t>
            </w:r>
            <w:r w:rsidRPr="008819AF">
              <w:rPr>
                <w:rFonts w:eastAsia="Arial"/>
              </w:rPr>
              <w:tab/>
              <w:t xml:space="preserve">odpad, ktorý sa má spaľovať alebo spoluspaľovať sa skladá len z určitých triedených spáliteľných frakcií odpadu, ktorý nie je nebezpečný, pričom tieto frakcie sú nevhodné na recyklovanie, spĺňa definované kvalitatívne a iné obdobné technické parametre podľa dokumentácie alebo povolenia, a ktorý sa ďalej posudzuje podľa písmena c), </w:t>
            </w:r>
          </w:p>
          <w:p w14:paraId="1513405E" w14:textId="77777777" w:rsidR="00236AB5" w:rsidRPr="008819AF" w:rsidRDefault="00236AB5" w:rsidP="00236AB5">
            <w:pPr>
              <w:rPr>
                <w:rFonts w:eastAsia="Arial"/>
              </w:rPr>
            </w:pPr>
            <w:r w:rsidRPr="008819AF">
              <w:rPr>
                <w:rFonts w:eastAsia="Arial"/>
              </w:rPr>
              <w:t>c)</w:t>
            </w:r>
            <w:r w:rsidRPr="008819AF">
              <w:rPr>
                <w:rFonts w:eastAsia="Arial"/>
              </w:rPr>
              <w:tab/>
              <w:t xml:space="preserve">prevádzkovateľ môže dokladmi o kvalite spaľovaných odpadov a výsledkami monitorovania emisií preukázať, že emisie ťažkých kovov alebo polychlórovaných dibenzodioxínov a polychlórovaných dibenzofuránov sú za každých okolností výrazne nižšie, ako hodnota príslušného emisného limitu; ak nie je odôvodnené inak, za výrazne nižšiu hodnotu sa považuje hodnota emisie, ktorá zodpovedá požiadavke podľa písmena a), </w:t>
            </w:r>
          </w:p>
          <w:p w14:paraId="1513405F" w14:textId="77777777" w:rsidR="00236AB5" w:rsidRPr="008819AF" w:rsidRDefault="00236AB5" w:rsidP="00236AB5">
            <w:pPr>
              <w:rPr>
                <w:rFonts w:eastAsia="Arial"/>
              </w:rPr>
            </w:pPr>
            <w:r w:rsidRPr="008819AF">
              <w:rPr>
                <w:rFonts w:eastAsia="Arial"/>
              </w:rPr>
              <w:t>d)</w:t>
            </w:r>
            <w:r w:rsidRPr="008819AF">
              <w:rPr>
                <w:rFonts w:eastAsia="Arial"/>
              </w:rPr>
              <w:tab/>
              <w:t>pre trvalé dodržanie podmienok podľa písmen a) až c) sú aj ďalšie predpoklady podľa § 8 ods. 8, ktoré sa uplatňujú podľa ich vlastného významu.</w:t>
            </w:r>
          </w:p>
        </w:tc>
        <w:tc>
          <w:tcPr>
            <w:tcW w:w="863" w:type="dxa"/>
            <w:gridSpan w:val="3"/>
            <w:tcBorders>
              <w:top w:val="single" w:sz="4" w:space="0" w:color="000000"/>
              <w:left w:val="single" w:sz="6" w:space="0" w:color="000000"/>
              <w:bottom w:val="single" w:sz="6" w:space="0" w:color="000000"/>
              <w:right w:val="single" w:sz="6" w:space="0" w:color="000000"/>
            </w:tcBorders>
          </w:tcPr>
          <w:p w14:paraId="15134060" w14:textId="77777777" w:rsidR="00236AB5" w:rsidRPr="008819AF" w:rsidRDefault="00236AB5" w:rsidP="00236AB5"/>
        </w:tc>
        <w:tc>
          <w:tcPr>
            <w:tcW w:w="759" w:type="dxa"/>
            <w:gridSpan w:val="2"/>
            <w:tcBorders>
              <w:top w:val="single" w:sz="4" w:space="0" w:color="000000"/>
              <w:left w:val="single" w:sz="6" w:space="0" w:color="000000"/>
              <w:bottom w:val="single" w:sz="6" w:space="0" w:color="000000"/>
              <w:right w:val="single" w:sz="6" w:space="0" w:color="000000"/>
            </w:tcBorders>
          </w:tcPr>
          <w:p w14:paraId="15134061" w14:textId="77777777" w:rsidR="00236AB5" w:rsidRPr="008819AF" w:rsidRDefault="00236AB5" w:rsidP="00236AB5">
            <w:pPr>
              <w:ind w:left="6"/>
              <w:rPr>
                <w:rFonts w:eastAsia="Arial"/>
              </w:rPr>
            </w:pPr>
          </w:p>
        </w:tc>
      </w:tr>
      <w:tr w:rsidR="00236AB5" w:rsidRPr="008819AF" w14:paraId="15134074"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4063"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4064" w14:textId="77777777" w:rsidR="00236AB5" w:rsidRPr="008819AF" w:rsidRDefault="00236AB5" w:rsidP="00236AB5">
            <w:pPr>
              <w:ind w:left="215" w:hanging="215"/>
              <w:rPr>
                <w:rFonts w:eastAsia="Arial"/>
                <w:lang w:bidi="cs-CZ"/>
              </w:rPr>
            </w:pPr>
            <w:r w:rsidRPr="008819AF">
              <w:rPr>
                <w:rFonts w:eastAsia="Arial"/>
                <w:lang w:bidi="cs-CZ"/>
              </w:rPr>
              <w:t>2.7.  Výsledky meraní musia byť prepočítané na referenčný obsah kyslíka uvedený v časti 3 alebo vypočítaný podľa časti 4 a použitím vzťahu uvedeného v časti 7.</w:t>
            </w:r>
          </w:p>
          <w:p w14:paraId="15134065" w14:textId="77777777" w:rsidR="00236AB5" w:rsidRPr="008819AF" w:rsidRDefault="00236AB5" w:rsidP="00236AB5">
            <w:pPr>
              <w:ind w:left="215" w:hanging="1"/>
              <w:rPr>
                <w:rFonts w:eastAsia="Arial"/>
                <w:lang w:bidi="cs-CZ"/>
              </w:rPr>
            </w:pPr>
            <w:r w:rsidRPr="008819AF">
              <w:rPr>
                <w:rFonts w:eastAsia="Arial"/>
                <w:lang w:bidi="cs-CZ"/>
              </w:rPr>
              <w:t>Keď sa odpady spaľujú alebo spoluspaľujú v atmosfére obohatenej kyslíkom, výsledky meraní sa môžu normalizovať na hodnotu obsahu kyslíka stanovenú príslušným orgánom podľa osobitných okolností jednotlivého prípadu.</w:t>
            </w:r>
          </w:p>
          <w:p w14:paraId="15134066" w14:textId="77777777" w:rsidR="00236AB5" w:rsidRPr="008819AF" w:rsidRDefault="00236AB5" w:rsidP="00236AB5">
            <w:pPr>
              <w:ind w:left="215" w:hanging="1"/>
              <w:rPr>
                <w:rFonts w:eastAsia="Arial"/>
              </w:rPr>
            </w:pPr>
            <w:r w:rsidRPr="008819AF">
              <w:rPr>
                <w:rFonts w:eastAsia="Arial"/>
                <w:lang w:bidi="cs-CZ"/>
              </w:rPr>
              <w:t>Keď sa množstvo emisií znečisťujúcich látok zníži spracovávaním odpadového plynu v spaľovni odpadov alebo zariadení na spoluspaľovanie odpadov, kde sa spracovávajú nebezpečné odpady, normalizácia na obsah kyslíka uvedený v prvom pododseku sa vykoná iba vtedy, keď obsah kyslíka meraný za rovnaké obdobie ako v prípade príslušnej znečisťujúcej látky presahuje príslušný referenčný obsah kyslíka.</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4067"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4068"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4069" w14:textId="77777777" w:rsidR="00236AB5" w:rsidRPr="008819AF" w:rsidRDefault="00236AB5" w:rsidP="00236AB5">
            <w:pPr>
              <w:jc w:val="center"/>
            </w:pPr>
            <w:r w:rsidRPr="008819AF">
              <w:t>Pr.5</w:t>
            </w:r>
          </w:p>
          <w:p w14:paraId="1513406A" w14:textId="77777777" w:rsidR="00236AB5" w:rsidRPr="008819AF" w:rsidRDefault="00236AB5" w:rsidP="00236AB5">
            <w:pPr>
              <w:jc w:val="center"/>
            </w:pPr>
            <w:r w:rsidRPr="008819AF">
              <w:t>Časť III</w:t>
            </w:r>
          </w:p>
        </w:tc>
        <w:tc>
          <w:tcPr>
            <w:tcW w:w="5230" w:type="dxa"/>
            <w:gridSpan w:val="3"/>
            <w:tcBorders>
              <w:top w:val="single" w:sz="4" w:space="0" w:color="000000"/>
              <w:left w:val="single" w:sz="6" w:space="0" w:color="000000"/>
              <w:bottom w:val="single" w:sz="6" w:space="0" w:color="000000"/>
              <w:right w:val="single" w:sz="6" w:space="0" w:color="000000"/>
            </w:tcBorders>
          </w:tcPr>
          <w:p w14:paraId="1513406B" w14:textId="77777777" w:rsidR="00236AB5" w:rsidRPr="008819AF" w:rsidRDefault="00236AB5" w:rsidP="00236AB5">
            <w:pPr>
              <w:pStyle w:val="Hlavika"/>
              <w:ind w:left="72" w:hanging="1"/>
              <w:rPr>
                <w:rFonts w:ascii="Times New Roman" w:hAnsi="Times New Roman" w:cs="Times New Roman"/>
              </w:rPr>
            </w:pPr>
          </w:p>
          <w:p w14:paraId="1513406C" w14:textId="77777777" w:rsidR="00236AB5" w:rsidRPr="008819AF" w:rsidRDefault="00236AB5" w:rsidP="00236AB5">
            <w:pPr>
              <w:pStyle w:val="Zkladntext20"/>
              <w:numPr>
                <w:ilvl w:val="12"/>
                <w:numId w:val="0"/>
              </w:numPr>
              <w:spacing w:before="0" w:after="0"/>
              <w:rPr>
                <w:sz w:val="20"/>
                <w:szCs w:val="20"/>
              </w:rPr>
            </w:pPr>
            <w:r w:rsidRPr="008819AF">
              <w:rPr>
                <w:sz w:val="20"/>
                <w:szCs w:val="20"/>
              </w:rPr>
              <w:t xml:space="preserve">Štandardné stavové podmienky, suchý plyn, </w:t>
            </w:r>
          </w:p>
          <w:p w14:paraId="1513406D" w14:textId="77777777" w:rsidR="00236AB5" w:rsidRPr="008819AF" w:rsidRDefault="00236AB5" w:rsidP="00236AB5">
            <w:pPr>
              <w:pStyle w:val="Zkladntext20"/>
              <w:numPr>
                <w:ilvl w:val="12"/>
                <w:numId w:val="0"/>
              </w:numPr>
              <w:tabs>
                <w:tab w:val="left" w:pos="245"/>
              </w:tabs>
              <w:spacing w:before="0" w:after="0"/>
              <w:rPr>
                <w:sz w:val="20"/>
                <w:szCs w:val="20"/>
              </w:rPr>
            </w:pPr>
            <w:r w:rsidRPr="008819AF">
              <w:rPr>
                <w:sz w:val="20"/>
                <w:szCs w:val="20"/>
              </w:rPr>
              <w:t>O</w:t>
            </w:r>
            <w:r w:rsidRPr="008819AF">
              <w:rPr>
                <w:sz w:val="20"/>
                <w:szCs w:val="20"/>
                <w:vertAlign w:val="subscript"/>
              </w:rPr>
              <w:t>2 ref</w:t>
            </w:r>
            <w:r w:rsidRPr="008819AF">
              <w:rPr>
                <w:sz w:val="20"/>
                <w:szCs w:val="20"/>
              </w:rPr>
              <w:t xml:space="preserve">  sa určí takto: </w:t>
            </w:r>
          </w:p>
          <w:p w14:paraId="1513406E" w14:textId="77777777" w:rsidR="00236AB5" w:rsidRPr="008819AF" w:rsidRDefault="00236AB5" w:rsidP="00236AB5">
            <w:pPr>
              <w:pStyle w:val="Zkladntext20"/>
              <w:numPr>
                <w:ilvl w:val="1"/>
                <w:numId w:val="97"/>
              </w:numPr>
              <w:tabs>
                <w:tab w:val="clear" w:pos="1440"/>
                <w:tab w:val="left" w:pos="245"/>
              </w:tabs>
              <w:spacing w:before="0" w:after="0"/>
              <w:ind w:left="290" w:hanging="270"/>
              <w:jc w:val="left"/>
              <w:rPr>
                <w:sz w:val="20"/>
                <w:szCs w:val="20"/>
              </w:rPr>
            </w:pPr>
            <w:r w:rsidRPr="008819AF">
              <w:rPr>
                <w:sz w:val="20"/>
                <w:szCs w:val="20"/>
              </w:rPr>
              <w:t xml:space="preserve">všeobecne: 11 % objemu, </w:t>
            </w:r>
          </w:p>
          <w:p w14:paraId="1513406F" w14:textId="77777777" w:rsidR="00236AB5" w:rsidRPr="008819AF" w:rsidRDefault="00236AB5" w:rsidP="00236AB5">
            <w:pPr>
              <w:pStyle w:val="Zkladntext20"/>
              <w:numPr>
                <w:ilvl w:val="1"/>
                <w:numId w:val="97"/>
              </w:numPr>
              <w:tabs>
                <w:tab w:val="clear" w:pos="1440"/>
                <w:tab w:val="left" w:pos="245"/>
              </w:tabs>
              <w:spacing w:before="0" w:after="0"/>
              <w:ind w:left="290" w:hanging="270"/>
              <w:rPr>
                <w:sz w:val="20"/>
                <w:szCs w:val="20"/>
              </w:rPr>
            </w:pPr>
            <w:r w:rsidRPr="008819AF">
              <w:rPr>
                <w:sz w:val="20"/>
                <w:szCs w:val="20"/>
              </w:rPr>
              <w:t>ak ide o spaľovanie  odpadového oleja: O</w:t>
            </w:r>
            <w:r w:rsidRPr="008819AF">
              <w:rPr>
                <w:sz w:val="20"/>
                <w:szCs w:val="20"/>
                <w:vertAlign w:val="subscript"/>
              </w:rPr>
              <w:t>2 ref</w:t>
            </w:r>
            <w:r w:rsidRPr="008819AF">
              <w:rPr>
                <w:sz w:val="20"/>
                <w:szCs w:val="20"/>
              </w:rPr>
              <w:t>: 3 % objemu,</w:t>
            </w:r>
          </w:p>
          <w:p w14:paraId="15134070" w14:textId="77777777" w:rsidR="00236AB5" w:rsidRPr="008819AF" w:rsidRDefault="00236AB5" w:rsidP="00236AB5">
            <w:pPr>
              <w:pStyle w:val="Zkladntext20"/>
              <w:numPr>
                <w:ilvl w:val="1"/>
                <w:numId w:val="97"/>
              </w:numPr>
              <w:tabs>
                <w:tab w:val="clear" w:pos="1440"/>
                <w:tab w:val="left" w:pos="245"/>
              </w:tabs>
              <w:spacing w:before="0" w:after="0"/>
              <w:ind w:left="290" w:hanging="270"/>
              <w:rPr>
                <w:sz w:val="20"/>
                <w:szCs w:val="20"/>
              </w:rPr>
            </w:pPr>
            <w:r w:rsidRPr="008819AF">
              <w:rPr>
                <w:sz w:val="20"/>
                <w:szCs w:val="20"/>
              </w:rPr>
              <w:t>ak sa odpad spaľuje v atmosfére obohatenej kyslíkom: správny orgán môže určiť iný O</w:t>
            </w:r>
            <w:r w:rsidRPr="008819AF">
              <w:rPr>
                <w:sz w:val="20"/>
                <w:szCs w:val="20"/>
                <w:vertAlign w:val="subscript"/>
              </w:rPr>
              <w:t>2 ref</w:t>
            </w:r>
            <w:r w:rsidRPr="008819AF">
              <w:rPr>
                <w:sz w:val="20"/>
                <w:szCs w:val="20"/>
              </w:rPr>
              <w:t>, ktorý zodpovedá podmienkam procesu,</w:t>
            </w:r>
          </w:p>
          <w:p w14:paraId="15134071" w14:textId="77777777" w:rsidR="00236AB5" w:rsidRPr="008819AF" w:rsidRDefault="00236AB5" w:rsidP="00236AB5">
            <w:pPr>
              <w:pStyle w:val="Hlavika"/>
              <w:ind w:left="72" w:hanging="1"/>
              <w:rPr>
                <w:rFonts w:ascii="Times New Roman" w:hAnsi="Times New Roman" w:cs="Times New Roman"/>
                <w:lang w:bidi="cs-CZ"/>
              </w:rPr>
            </w:pPr>
            <w:r w:rsidRPr="008819AF">
              <w:rPr>
                <w:rFonts w:ascii="Times New Roman" w:hAnsi="Times New Roman" w:cs="Times New Roman"/>
              </w:rPr>
              <w:t>ak sa množstvo emisií znečisťujúcich látok zo spaľovania nebezpečných odpadov znižuje čistením odpadových plynov, prepočet na O</w:t>
            </w:r>
            <w:r w:rsidRPr="008819AF">
              <w:rPr>
                <w:rFonts w:ascii="Times New Roman" w:hAnsi="Times New Roman" w:cs="Times New Roman"/>
                <w:vertAlign w:val="subscript"/>
              </w:rPr>
              <w:t>2 ref</w:t>
            </w:r>
            <w:r w:rsidRPr="008819AF">
              <w:rPr>
                <w:rFonts w:ascii="Times New Roman" w:hAnsi="Times New Roman" w:cs="Times New Roman"/>
              </w:rPr>
              <w:t xml:space="preserve"> uvedený v bode 1 alebo v bode 2 sa vykoná len v prípade, ak obsah O</w:t>
            </w:r>
            <w:r w:rsidRPr="008819AF">
              <w:rPr>
                <w:rFonts w:ascii="Times New Roman" w:hAnsi="Times New Roman" w:cs="Times New Roman"/>
                <w:vertAlign w:val="subscript"/>
              </w:rPr>
              <w:t xml:space="preserve">2 </w:t>
            </w:r>
            <w:r w:rsidRPr="008819AF">
              <w:rPr>
                <w:rFonts w:ascii="Times New Roman" w:hAnsi="Times New Roman" w:cs="Times New Roman"/>
              </w:rPr>
              <w:t>meraný za rovnaký čas ako v prípade príslušnej znečisťujúcej látky je vyšší ako príslušný obsah O</w:t>
            </w:r>
            <w:r w:rsidRPr="008819AF">
              <w:rPr>
                <w:rFonts w:ascii="Times New Roman" w:hAnsi="Times New Roman" w:cs="Times New Roman"/>
                <w:vertAlign w:val="subscript"/>
              </w:rPr>
              <w:t>2ref</w:t>
            </w:r>
            <w:r w:rsidRPr="008819AF">
              <w:rPr>
                <w:rFonts w:ascii="Times New Roman" w:hAnsi="Times New Roman" w:cs="Times New Roman"/>
              </w:rPr>
              <w:t>.</w:t>
            </w:r>
          </w:p>
        </w:tc>
        <w:tc>
          <w:tcPr>
            <w:tcW w:w="863" w:type="dxa"/>
            <w:gridSpan w:val="3"/>
            <w:tcBorders>
              <w:top w:val="single" w:sz="4" w:space="0" w:color="000000"/>
              <w:left w:val="single" w:sz="6" w:space="0" w:color="000000"/>
              <w:bottom w:val="single" w:sz="6" w:space="0" w:color="000000"/>
              <w:right w:val="single" w:sz="6" w:space="0" w:color="000000"/>
            </w:tcBorders>
          </w:tcPr>
          <w:p w14:paraId="15134072"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4073" w14:textId="77777777" w:rsidR="00236AB5" w:rsidRPr="008819AF" w:rsidRDefault="00236AB5" w:rsidP="00236AB5">
            <w:pPr>
              <w:ind w:left="215" w:hanging="215"/>
              <w:rPr>
                <w:rFonts w:eastAsia="Arial"/>
              </w:rPr>
            </w:pPr>
          </w:p>
        </w:tc>
      </w:tr>
      <w:tr w:rsidR="00236AB5" w:rsidRPr="008819AF" w14:paraId="15134082"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4075"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4076" w14:textId="77777777" w:rsidR="00236AB5" w:rsidRPr="008819AF" w:rsidRDefault="00236AB5" w:rsidP="00236AB5">
            <w:pPr>
              <w:ind w:left="215" w:hanging="215"/>
              <w:rPr>
                <w:rFonts w:eastAsia="Arial"/>
                <w:lang w:bidi="cs-CZ"/>
              </w:rPr>
            </w:pPr>
            <w:r w:rsidRPr="008819AF">
              <w:rPr>
                <w:rFonts w:eastAsia="Arial"/>
                <w:lang w:bidi="cs-CZ"/>
              </w:rPr>
              <w:t>3. Merania súvisiace s látkami znečisťujúcimi vodu</w:t>
            </w:r>
          </w:p>
          <w:p w14:paraId="15134077" w14:textId="77777777" w:rsidR="00236AB5" w:rsidRPr="008819AF" w:rsidRDefault="00236AB5" w:rsidP="00236AB5">
            <w:pPr>
              <w:ind w:left="356" w:hanging="356"/>
              <w:rPr>
                <w:rFonts w:eastAsia="Arial"/>
                <w:lang w:bidi="cs-CZ"/>
              </w:rPr>
            </w:pPr>
            <w:r w:rsidRPr="008819AF">
              <w:rPr>
                <w:rFonts w:eastAsia="Arial"/>
                <w:lang w:bidi="cs-CZ"/>
              </w:rPr>
              <w:t>3.1. V mieste, kde sa vypúšťajú odpadové vody, sa musia vykonávať tieto merania:</w:t>
            </w:r>
          </w:p>
          <w:p w14:paraId="15134078" w14:textId="77777777" w:rsidR="00236AB5" w:rsidRPr="008819AF" w:rsidRDefault="00236AB5" w:rsidP="00236AB5">
            <w:pPr>
              <w:ind w:left="639" w:hanging="283"/>
              <w:rPr>
                <w:rFonts w:eastAsia="Arial"/>
                <w:lang w:bidi="cs-CZ"/>
              </w:rPr>
            </w:pPr>
            <w:r w:rsidRPr="008819AF">
              <w:rPr>
                <w:rFonts w:eastAsia="Arial"/>
                <w:lang w:bidi="cs-CZ"/>
              </w:rPr>
              <w:t>a) kontinuálne merania hodnoty pH, teploty a prietoku;</w:t>
            </w:r>
          </w:p>
          <w:p w14:paraId="15134079" w14:textId="77777777" w:rsidR="00236AB5" w:rsidRPr="008819AF" w:rsidRDefault="00236AB5" w:rsidP="00236AB5">
            <w:pPr>
              <w:ind w:left="639" w:hanging="283"/>
              <w:rPr>
                <w:rFonts w:eastAsia="Arial"/>
                <w:lang w:bidi="cs-CZ"/>
              </w:rPr>
            </w:pPr>
            <w:r w:rsidRPr="008819AF">
              <w:rPr>
                <w:rFonts w:eastAsia="Arial"/>
                <w:lang w:bidi="cs-CZ"/>
              </w:rPr>
              <w:t>b) náhodné denné merania celkového množstva nerozpustených tuhých látok alebo merania reprezentatívnej vzorky úmernej prietoku počas 24 hodín;</w:t>
            </w:r>
          </w:p>
          <w:p w14:paraId="1513407A" w14:textId="77777777" w:rsidR="00236AB5" w:rsidRPr="008819AF" w:rsidRDefault="00236AB5" w:rsidP="00236AB5">
            <w:pPr>
              <w:ind w:left="639" w:hanging="283"/>
              <w:rPr>
                <w:rFonts w:eastAsia="Arial"/>
                <w:lang w:bidi="cs-CZ"/>
              </w:rPr>
            </w:pPr>
            <w:r w:rsidRPr="008819AF">
              <w:rPr>
                <w:rFonts w:eastAsia="Arial"/>
                <w:lang w:bidi="cs-CZ"/>
              </w:rPr>
              <w:t xml:space="preserve">c) minimálne raz za mesiac merania reprezentatívnej vzorky úmernej </w:t>
            </w:r>
            <w:r w:rsidRPr="008819AF">
              <w:rPr>
                <w:rFonts w:eastAsia="Arial"/>
                <w:lang w:bidi="cs-CZ"/>
              </w:rPr>
              <w:lastRenderedPageBreak/>
              <w:t>prietoku vo vypúšťaných odpadových vodách za časové obdobie 24 hodín pre Hg, Cd, TI, As, Pb, Cr, Cu, Ni a Zn;;</w:t>
            </w:r>
          </w:p>
          <w:p w14:paraId="1513407B" w14:textId="77777777" w:rsidR="00236AB5" w:rsidRPr="008819AF" w:rsidRDefault="00236AB5" w:rsidP="00236AB5">
            <w:pPr>
              <w:ind w:left="639" w:hanging="283"/>
              <w:rPr>
                <w:rFonts w:eastAsia="Arial"/>
                <w:lang w:bidi="cs-CZ"/>
              </w:rPr>
            </w:pPr>
            <w:r w:rsidRPr="008819AF">
              <w:rPr>
                <w:rFonts w:eastAsia="Arial"/>
                <w:lang w:bidi="cs-CZ"/>
              </w:rPr>
              <w:t>d) aspoň každých šesť mesiacov merania dioxínov a furánov; počas prvých 12 mesiacov prevádzkovaní sa však musí vykonať vždy aspoň jedno meranie za každé tri mesiace.</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407C"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407D"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407E" w14:textId="77777777" w:rsidR="00236AB5" w:rsidRPr="008819AF" w:rsidRDefault="00236AB5" w:rsidP="00236AB5">
            <w:pPr>
              <w:pStyle w:val="BodyText21"/>
              <w:jc w:val="center"/>
              <w:rPr>
                <w:rFonts w:ascii="Times New Roman" w:hAnsi="Times New Roman" w:cs="Times New Roman"/>
              </w:rPr>
            </w:pPr>
          </w:p>
        </w:tc>
        <w:tc>
          <w:tcPr>
            <w:tcW w:w="5230" w:type="dxa"/>
            <w:gridSpan w:val="3"/>
            <w:tcBorders>
              <w:top w:val="single" w:sz="4" w:space="0" w:color="000000"/>
              <w:left w:val="single" w:sz="6" w:space="0" w:color="000000"/>
              <w:bottom w:val="single" w:sz="6" w:space="0" w:color="000000"/>
              <w:right w:val="single" w:sz="6" w:space="0" w:color="000000"/>
            </w:tcBorders>
          </w:tcPr>
          <w:p w14:paraId="1513407F"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4080"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4081" w14:textId="77777777" w:rsidR="00236AB5" w:rsidRPr="008819AF" w:rsidRDefault="00236AB5" w:rsidP="00236AB5">
            <w:pPr>
              <w:ind w:left="215" w:hanging="215"/>
              <w:rPr>
                <w:rFonts w:eastAsia="Arial"/>
              </w:rPr>
            </w:pPr>
          </w:p>
        </w:tc>
      </w:tr>
      <w:tr w:rsidR="00236AB5" w:rsidRPr="008819AF" w14:paraId="1513408E" w14:textId="77777777" w:rsidTr="003E351D">
        <w:trPr>
          <w:gridAfter w:val="1"/>
          <w:wAfter w:w="62" w:type="dxa"/>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15134083" w14:textId="77777777" w:rsidR="00236AB5" w:rsidRPr="008819AF" w:rsidRDefault="00236AB5" w:rsidP="00236AB5">
            <w:pPr>
              <w:ind w:right="-70"/>
              <w:rPr>
                <w:rFonts w:eastAsia="Arial"/>
                <w:lang w:bidi="cs-CZ"/>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4084" w14:textId="77777777" w:rsidR="00236AB5" w:rsidRPr="008819AF" w:rsidRDefault="00236AB5" w:rsidP="00236AB5">
            <w:pPr>
              <w:ind w:left="215" w:hanging="215"/>
              <w:rPr>
                <w:rFonts w:eastAsia="Arial"/>
                <w:lang w:bidi="cs-CZ"/>
              </w:rPr>
            </w:pPr>
            <w:r w:rsidRPr="008819AF">
              <w:rPr>
                <w:rFonts w:eastAsia="Arial"/>
                <w:lang w:bidi="cs-CZ"/>
              </w:rPr>
              <w:t>3.2. Ak sa odpadové vody vznikajúce pri čistení odpadových plynov čistia v areáli spoločne s inými zdrojmi odpadových vôd, musí prevádzkovateľ vykonávať merania:</w:t>
            </w:r>
          </w:p>
          <w:p w14:paraId="15134085" w14:textId="77777777" w:rsidR="00236AB5" w:rsidRPr="008819AF" w:rsidRDefault="00236AB5" w:rsidP="00236AB5">
            <w:pPr>
              <w:ind w:left="497" w:hanging="283"/>
              <w:rPr>
                <w:rFonts w:eastAsia="Arial"/>
                <w:lang w:bidi="cs-CZ"/>
              </w:rPr>
            </w:pPr>
            <w:r w:rsidRPr="008819AF">
              <w:rPr>
                <w:rFonts w:eastAsia="Arial"/>
                <w:lang w:bidi="cs-CZ"/>
              </w:rPr>
              <w:t>a) v prúde odpadových vôd z čistiacich procesov odpadových plynov pred jeho vstupom do spoločného zariadenia na čistenie odpadových vôd;</w:t>
            </w:r>
          </w:p>
          <w:p w14:paraId="15134086" w14:textId="77777777" w:rsidR="00236AB5" w:rsidRPr="008819AF" w:rsidRDefault="00236AB5" w:rsidP="00236AB5">
            <w:pPr>
              <w:ind w:left="497" w:hanging="283"/>
              <w:rPr>
                <w:rFonts w:eastAsia="Arial"/>
                <w:lang w:bidi="cs-CZ"/>
              </w:rPr>
            </w:pPr>
            <w:r w:rsidRPr="008819AF">
              <w:rPr>
                <w:rFonts w:eastAsia="Arial"/>
                <w:lang w:bidi="cs-CZ"/>
              </w:rPr>
              <w:t>b) v prúde alebo prúdoch ostatných odpadových vôd pred jeho alebo ich vstupom do spoločného zariadenia na čistenie odpadových vôd;</w:t>
            </w:r>
          </w:p>
          <w:p w14:paraId="15134087" w14:textId="77777777" w:rsidR="00236AB5" w:rsidRPr="008819AF" w:rsidRDefault="00236AB5" w:rsidP="00236AB5">
            <w:pPr>
              <w:ind w:left="497" w:hanging="283"/>
              <w:rPr>
                <w:rFonts w:eastAsia="Arial"/>
                <w:lang w:bidi="cs-CZ"/>
              </w:rPr>
            </w:pPr>
            <w:r w:rsidRPr="008819AF">
              <w:rPr>
                <w:rFonts w:eastAsia="Arial"/>
                <w:lang w:bidi="cs-CZ"/>
              </w:rPr>
              <w:t>c) v mieste konečného vypúšťania odpadových vôd zo spaľovne odpadov alebo zariadenia na spoluspaľovanie odpadov po ich vyčistení.</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4088" w14:textId="77777777" w:rsidR="00236AB5" w:rsidRPr="008819AF" w:rsidRDefault="00236AB5" w:rsidP="00236AB5">
            <w:pPr>
              <w:ind w:left="215" w:hanging="215"/>
              <w:jc w:val="center"/>
              <w:rPr>
                <w:rFonts w:eastAsia="Arial"/>
                <w:lang w:bidi="cs-CZ"/>
              </w:rPr>
            </w:pPr>
          </w:p>
        </w:tc>
        <w:tc>
          <w:tcPr>
            <w:tcW w:w="543" w:type="dxa"/>
            <w:gridSpan w:val="2"/>
            <w:tcBorders>
              <w:top w:val="single" w:sz="4" w:space="0" w:color="000000"/>
              <w:left w:val="single" w:sz="6" w:space="0" w:color="000000"/>
              <w:bottom w:val="single" w:sz="6" w:space="0" w:color="000000"/>
              <w:right w:val="single" w:sz="6" w:space="0" w:color="000000"/>
            </w:tcBorders>
          </w:tcPr>
          <w:p w14:paraId="15134089" w14:textId="77777777" w:rsidR="00236AB5" w:rsidRPr="008819AF" w:rsidRDefault="00236AB5"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1513408A" w14:textId="77777777" w:rsidR="00236AB5" w:rsidRPr="008819AF" w:rsidRDefault="00236AB5" w:rsidP="00236AB5">
            <w:pPr>
              <w:pStyle w:val="BodyText21"/>
              <w:jc w:val="center"/>
              <w:rPr>
                <w:rFonts w:ascii="Times New Roman" w:hAnsi="Times New Roman" w:cs="Times New Roman"/>
              </w:rPr>
            </w:pPr>
          </w:p>
        </w:tc>
        <w:tc>
          <w:tcPr>
            <w:tcW w:w="5230" w:type="dxa"/>
            <w:gridSpan w:val="3"/>
            <w:tcBorders>
              <w:top w:val="single" w:sz="4" w:space="0" w:color="000000"/>
              <w:left w:val="single" w:sz="6" w:space="0" w:color="000000"/>
              <w:bottom w:val="single" w:sz="6" w:space="0" w:color="000000"/>
              <w:right w:val="single" w:sz="6" w:space="0" w:color="000000"/>
            </w:tcBorders>
          </w:tcPr>
          <w:p w14:paraId="1513408B"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863" w:type="dxa"/>
            <w:gridSpan w:val="3"/>
            <w:tcBorders>
              <w:top w:val="single" w:sz="4" w:space="0" w:color="000000"/>
              <w:left w:val="single" w:sz="6" w:space="0" w:color="000000"/>
              <w:bottom w:val="single" w:sz="6" w:space="0" w:color="000000"/>
              <w:right w:val="single" w:sz="6" w:space="0" w:color="000000"/>
            </w:tcBorders>
          </w:tcPr>
          <w:p w14:paraId="1513408C"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408D" w14:textId="77777777" w:rsidR="00236AB5" w:rsidRPr="008819AF" w:rsidRDefault="00236AB5" w:rsidP="00236AB5">
            <w:pPr>
              <w:ind w:left="215" w:hanging="215"/>
              <w:rPr>
                <w:rFonts w:eastAsia="Arial"/>
              </w:rPr>
            </w:pPr>
          </w:p>
        </w:tc>
      </w:tr>
      <w:tr w:rsidR="00236AB5" w:rsidRPr="008819AF" w14:paraId="151340C4" w14:textId="77777777" w:rsidTr="003E351D">
        <w:trPr>
          <w:gridAfter w:val="1"/>
          <w:wAfter w:w="62" w:type="dxa"/>
          <w:jc w:val="center"/>
        </w:trPr>
        <w:tc>
          <w:tcPr>
            <w:tcW w:w="483" w:type="dxa"/>
            <w:tcBorders>
              <w:top w:val="single" w:sz="4" w:space="0" w:color="000000"/>
              <w:left w:val="single" w:sz="6" w:space="0" w:color="000000"/>
              <w:bottom w:val="single" w:sz="6" w:space="0" w:color="000000"/>
              <w:right w:val="single" w:sz="6" w:space="0" w:color="000000"/>
            </w:tcBorders>
          </w:tcPr>
          <w:p w14:paraId="1513408F"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4090" w14:textId="77777777" w:rsidR="00236AB5" w:rsidRPr="008819AF" w:rsidRDefault="00236AB5" w:rsidP="00236AB5">
            <w:pPr>
              <w:ind w:left="215" w:hanging="215"/>
              <w:rPr>
                <w:rFonts w:eastAsia="Arial"/>
                <w:lang w:bidi="cs-CZ"/>
              </w:rPr>
            </w:pPr>
            <w:r w:rsidRPr="008819AF">
              <w:rPr>
                <w:rFonts w:eastAsia="Arial"/>
                <w:lang w:bidi="cs-CZ"/>
              </w:rPr>
              <w:t>ČASŤ 7</w:t>
            </w:r>
          </w:p>
          <w:p w14:paraId="15134091" w14:textId="77777777" w:rsidR="00236AB5" w:rsidRPr="008819AF" w:rsidRDefault="00236AB5" w:rsidP="00236AB5">
            <w:pPr>
              <w:ind w:left="215" w:hanging="215"/>
              <w:rPr>
                <w:rFonts w:eastAsia="Arial"/>
                <w:lang w:bidi="cs-CZ"/>
              </w:rPr>
            </w:pPr>
          </w:p>
          <w:p w14:paraId="15134092" w14:textId="77777777" w:rsidR="00236AB5" w:rsidRPr="008819AF" w:rsidRDefault="00236AB5" w:rsidP="00236AB5">
            <w:pPr>
              <w:rPr>
                <w:rFonts w:eastAsia="Arial"/>
                <w:i/>
                <w:iCs/>
                <w:lang w:bidi="cs-CZ"/>
              </w:rPr>
            </w:pPr>
            <w:r w:rsidRPr="008819AF">
              <w:rPr>
                <w:rFonts w:eastAsia="Arial"/>
                <w:i/>
                <w:iCs/>
                <w:lang w:bidi="cs-CZ"/>
              </w:rPr>
              <w:t>Vzťah na výpočet emisnej koncentrácie pri štandardnom percentuálnom podiele koncentrácie kyslíka</w:t>
            </w:r>
          </w:p>
          <w:p w14:paraId="15134093" w14:textId="77777777" w:rsidR="00236AB5" w:rsidRPr="008819AF" w:rsidRDefault="00236AB5" w:rsidP="00236AB5">
            <w:pPr>
              <w:ind w:left="215" w:hanging="215"/>
              <w:rPr>
                <w:rFonts w:eastAsia="Arial"/>
                <w:i/>
                <w:iCs/>
                <w:lang w:bidi="cs-CZ"/>
              </w:rPr>
            </w:pPr>
          </w:p>
          <w:p w14:paraId="15134094" w14:textId="77777777" w:rsidR="00236AB5" w:rsidRPr="008819AF" w:rsidRDefault="00236AB5" w:rsidP="00236AB5">
            <w:pPr>
              <w:ind w:left="215" w:hanging="215"/>
              <w:rPr>
                <w:rFonts w:eastAsia="Arial"/>
                <w:lang w:bidi="cs-CZ"/>
              </w:rPr>
            </w:pPr>
            <w:r w:rsidRPr="008819AF">
              <w:rPr>
                <w:rFonts w:eastAsia="Arial"/>
                <w:lang w:bidi="cs-CZ"/>
              </w:rPr>
              <w:t xml:space="preserve">                 21 – OS</w:t>
            </w:r>
          </w:p>
          <w:p w14:paraId="15134095" w14:textId="77777777" w:rsidR="00236AB5" w:rsidRPr="008819AF" w:rsidRDefault="00236AB5" w:rsidP="00236AB5">
            <w:pPr>
              <w:ind w:left="215" w:hanging="215"/>
              <w:rPr>
                <w:rFonts w:eastAsia="Arial"/>
                <w:lang w:bidi="cs-CZ"/>
              </w:rPr>
            </w:pPr>
            <w:r w:rsidRPr="008819AF">
              <w:rPr>
                <w:rFonts w:eastAsia="Arial"/>
                <w:lang w:bidi="cs-CZ"/>
              </w:rPr>
              <w:t>E</w:t>
            </w:r>
            <w:r w:rsidRPr="008819AF">
              <w:rPr>
                <w:rFonts w:eastAsia="Arial"/>
                <w:vertAlign w:val="subscript"/>
                <w:lang w:bidi="cs-CZ"/>
              </w:rPr>
              <w:t>S</w:t>
            </w:r>
            <w:r w:rsidRPr="008819AF">
              <w:rPr>
                <w:rFonts w:eastAsia="Arial"/>
                <w:lang w:bidi="cs-CZ"/>
              </w:rPr>
              <w:t xml:space="preserve"> =  -------------------- × EM</w:t>
            </w:r>
          </w:p>
          <w:p w14:paraId="15134096" w14:textId="77777777" w:rsidR="00236AB5" w:rsidRPr="008819AF" w:rsidRDefault="00236AB5" w:rsidP="00236AB5">
            <w:pPr>
              <w:ind w:left="215" w:hanging="215"/>
              <w:rPr>
                <w:rFonts w:eastAsia="Arial"/>
                <w:lang w:bidi="cs-CZ"/>
              </w:rPr>
            </w:pPr>
            <w:r w:rsidRPr="008819AF">
              <w:rPr>
                <w:rFonts w:eastAsia="Arial"/>
                <w:lang w:bidi="cs-CZ"/>
              </w:rPr>
              <w:t xml:space="preserve">                21 – OM</w:t>
            </w:r>
          </w:p>
          <w:p w14:paraId="15134097" w14:textId="77777777" w:rsidR="00236AB5" w:rsidRPr="008819AF" w:rsidRDefault="00236AB5" w:rsidP="00236AB5">
            <w:pPr>
              <w:ind w:left="215" w:hanging="215"/>
              <w:rPr>
                <w:rFonts w:eastAsia="Arial"/>
                <w:i/>
                <w:iCs/>
                <w:lang w:bidi="cs-CZ"/>
              </w:rPr>
            </w:pPr>
          </w:p>
          <w:tbl>
            <w:tblPr>
              <w:tblW w:w="5103" w:type="dxa"/>
              <w:tblLayout w:type="fixed"/>
              <w:tblLook w:val="04A0" w:firstRow="1" w:lastRow="0" w:firstColumn="1" w:lastColumn="0" w:noHBand="0" w:noVBand="1"/>
            </w:tblPr>
            <w:tblGrid>
              <w:gridCol w:w="634"/>
              <w:gridCol w:w="4469"/>
            </w:tblGrid>
            <w:tr w:rsidR="00236AB5" w:rsidRPr="008819AF" w14:paraId="1513409A" w14:textId="77777777">
              <w:tc>
                <w:tcPr>
                  <w:tcW w:w="634" w:type="dxa"/>
                </w:tcPr>
                <w:p w14:paraId="15134098"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ES</w:t>
                  </w:r>
                </w:p>
              </w:tc>
              <w:tc>
                <w:tcPr>
                  <w:tcW w:w="4469" w:type="dxa"/>
                </w:tcPr>
                <w:p w14:paraId="15134099" w14:textId="77777777" w:rsidR="00236AB5" w:rsidRPr="008819AF" w:rsidRDefault="00236AB5" w:rsidP="00236AB5">
                  <w:pPr>
                    <w:pStyle w:val="Default"/>
                    <w:ind w:left="181" w:hanging="181"/>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vypočítaná emisná koncentrácia pri štandardnom percentuálnom podiele koncentrácie kyslíka</w:t>
                  </w:r>
                </w:p>
              </w:tc>
            </w:tr>
            <w:tr w:rsidR="00236AB5" w:rsidRPr="008819AF" w14:paraId="1513409D" w14:textId="77777777">
              <w:tc>
                <w:tcPr>
                  <w:tcW w:w="634" w:type="dxa"/>
                </w:tcPr>
                <w:p w14:paraId="1513409B"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EM</w:t>
                  </w:r>
                </w:p>
              </w:tc>
              <w:tc>
                <w:tcPr>
                  <w:tcW w:w="4469" w:type="dxa"/>
                </w:tcPr>
                <w:p w14:paraId="1513409C"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nameraná emisná koncentrácia</w:t>
                  </w:r>
                </w:p>
              </w:tc>
            </w:tr>
            <w:tr w:rsidR="00236AB5" w:rsidRPr="008819AF" w14:paraId="151340A0" w14:textId="77777777">
              <w:tc>
                <w:tcPr>
                  <w:tcW w:w="634" w:type="dxa"/>
                </w:tcPr>
                <w:p w14:paraId="1513409E"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OS</w:t>
                  </w:r>
                </w:p>
              </w:tc>
              <w:tc>
                <w:tcPr>
                  <w:tcW w:w="4469" w:type="dxa"/>
                </w:tcPr>
                <w:p w14:paraId="1513409F"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referenčný obsah kyslíka</w:t>
                  </w:r>
                </w:p>
              </w:tc>
            </w:tr>
            <w:tr w:rsidR="00236AB5" w:rsidRPr="008819AF" w14:paraId="151340A3" w14:textId="77777777">
              <w:tc>
                <w:tcPr>
                  <w:tcW w:w="634" w:type="dxa"/>
                </w:tcPr>
                <w:p w14:paraId="151340A1"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OM</w:t>
                  </w:r>
                </w:p>
              </w:tc>
              <w:tc>
                <w:tcPr>
                  <w:tcW w:w="4469" w:type="dxa"/>
                </w:tcPr>
                <w:p w14:paraId="151340A2" w14:textId="77777777" w:rsidR="00236AB5" w:rsidRPr="008819AF" w:rsidRDefault="00236AB5" w:rsidP="00236AB5">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nameraná koncentrácia kyslíka</w:t>
                  </w:r>
                </w:p>
              </w:tc>
            </w:tr>
          </w:tbl>
          <w:p w14:paraId="151340A4" w14:textId="77777777" w:rsidR="00236AB5" w:rsidRPr="008819AF" w:rsidRDefault="00236AB5" w:rsidP="00236AB5">
            <w:pPr>
              <w:ind w:left="215" w:hanging="215"/>
              <w:rPr>
                <w:rFonts w:eastAsia="Arial"/>
                <w:b/>
                <w:bCs/>
                <w:lang w:bidi="cs-CZ"/>
              </w:rPr>
            </w:pP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40A5"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40A6" w14:textId="77777777" w:rsidR="00236AB5" w:rsidRPr="008819AF" w:rsidRDefault="00236AB5" w:rsidP="00236AB5">
            <w:pPr>
              <w:ind w:left="215" w:hanging="215"/>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40A7" w14:textId="77777777" w:rsidR="00236AB5" w:rsidRPr="008819AF" w:rsidRDefault="00236AB5" w:rsidP="00236AB5">
            <w:pPr>
              <w:pStyle w:val="BodyText21"/>
              <w:jc w:val="center"/>
              <w:rPr>
                <w:rFonts w:ascii="Times New Roman" w:hAnsi="Times New Roman" w:cs="Times New Roman"/>
              </w:rPr>
            </w:pPr>
            <w:r w:rsidRPr="008819AF">
              <w:rPr>
                <w:rFonts w:ascii="Times New Roman" w:hAnsi="Times New Roman" w:cs="Times New Roman"/>
              </w:rPr>
              <w:t>Pr.12</w:t>
            </w:r>
          </w:p>
        </w:tc>
        <w:tc>
          <w:tcPr>
            <w:tcW w:w="5230" w:type="dxa"/>
            <w:gridSpan w:val="3"/>
            <w:tcBorders>
              <w:top w:val="single" w:sz="4" w:space="0" w:color="000000"/>
              <w:left w:val="single" w:sz="6" w:space="0" w:color="000000"/>
              <w:bottom w:val="single" w:sz="6" w:space="0" w:color="000000"/>
              <w:right w:val="single" w:sz="6" w:space="0" w:color="000000"/>
            </w:tcBorders>
          </w:tcPr>
          <w:p w14:paraId="151340A8" w14:textId="77777777" w:rsidR="00236AB5" w:rsidRPr="008819AF" w:rsidRDefault="00236AB5" w:rsidP="00236AB5">
            <w:r w:rsidRPr="008819AF">
              <w:t>II. Prepočtové vzťahy</w:t>
            </w:r>
          </w:p>
          <w:p w14:paraId="151340A9" w14:textId="77777777" w:rsidR="00236AB5" w:rsidRPr="008819AF" w:rsidRDefault="00236AB5" w:rsidP="00236AB5"/>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23"/>
              <w:gridCol w:w="4487"/>
            </w:tblGrid>
            <w:tr w:rsidR="00236AB5" w:rsidRPr="008819AF" w14:paraId="151340AC" w14:textId="77777777" w:rsidTr="00864079">
              <w:trPr>
                <w:trHeight w:val="283"/>
                <w:jc w:val="center"/>
              </w:trPr>
              <w:tc>
                <w:tcPr>
                  <w:tcW w:w="954" w:type="dxa"/>
                  <w:vAlign w:val="center"/>
                </w:tcPr>
                <w:p w14:paraId="151340AA" w14:textId="77777777" w:rsidR="00236AB5" w:rsidRPr="008819AF" w:rsidRDefault="00236AB5" w:rsidP="00236AB5">
                  <w:pPr>
                    <w:widowControl w:val="0"/>
                    <w:spacing w:after="60"/>
                    <w:jc w:val="center"/>
                    <w:rPr>
                      <w:sz w:val="18"/>
                      <w:szCs w:val="18"/>
                    </w:rPr>
                  </w:pPr>
                  <w:r w:rsidRPr="008819AF">
                    <w:rPr>
                      <w:sz w:val="18"/>
                      <w:szCs w:val="18"/>
                    </w:rPr>
                    <w:t>3.</w:t>
                  </w:r>
                </w:p>
              </w:tc>
              <w:tc>
                <w:tcPr>
                  <w:tcW w:w="8112" w:type="dxa"/>
                </w:tcPr>
                <w:p w14:paraId="151340AB" w14:textId="77777777" w:rsidR="00236AB5" w:rsidRPr="008819AF" w:rsidRDefault="00236AB5" w:rsidP="00236AB5">
                  <w:pPr>
                    <w:widowControl w:val="0"/>
                    <w:spacing w:after="60"/>
                    <w:rPr>
                      <w:sz w:val="18"/>
                      <w:szCs w:val="18"/>
                    </w:rPr>
                  </w:pPr>
                  <w:r w:rsidRPr="008819AF">
                    <w:rPr>
                      <w:sz w:val="18"/>
                      <w:szCs w:val="18"/>
                    </w:rPr>
                    <w:t>Prepočet hmotnostných koncentrácií  na referenčný obsah O</w:t>
                  </w:r>
                  <w:r w:rsidRPr="008819AF">
                    <w:rPr>
                      <w:sz w:val="18"/>
                      <w:szCs w:val="18"/>
                      <w:vertAlign w:val="subscript"/>
                    </w:rPr>
                    <w:t xml:space="preserve">2 </w:t>
                  </w:r>
                  <w:r w:rsidRPr="008819AF">
                    <w:rPr>
                      <w:sz w:val="18"/>
                      <w:szCs w:val="18"/>
                    </w:rPr>
                    <w:t xml:space="preserve"> </w:t>
                  </w:r>
                </w:p>
              </w:tc>
            </w:tr>
            <w:tr w:rsidR="00236AB5" w:rsidRPr="008819AF" w14:paraId="151340AF" w14:textId="77777777" w:rsidTr="00864079">
              <w:trPr>
                <w:trHeight w:val="340"/>
                <w:jc w:val="center"/>
              </w:trPr>
              <w:tc>
                <w:tcPr>
                  <w:tcW w:w="954" w:type="dxa"/>
                  <w:vAlign w:val="center"/>
                </w:tcPr>
                <w:p w14:paraId="151340AD" w14:textId="77777777" w:rsidR="00236AB5" w:rsidRPr="008819AF" w:rsidRDefault="00236AB5" w:rsidP="00236AB5">
                  <w:pPr>
                    <w:widowControl w:val="0"/>
                    <w:spacing w:after="60"/>
                    <w:jc w:val="both"/>
                    <w:rPr>
                      <w:sz w:val="18"/>
                      <w:szCs w:val="18"/>
                    </w:rPr>
                  </w:pPr>
                </w:p>
              </w:tc>
              <w:tc>
                <w:tcPr>
                  <w:tcW w:w="8112" w:type="dxa"/>
                </w:tcPr>
                <w:p w14:paraId="151340AE" w14:textId="77777777" w:rsidR="00236AB5" w:rsidRPr="008819AF" w:rsidRDefault="00236AB5" w:rsidP="00236AB5">
                  <w:pPr>
                    <w:widowControl w:val="0"/>
                    <w:spacing w:after="60"/>
                    <w:ind w:left="-990"/>
                    <w:jc w:val="center"/>
                    <w:rPr>
                      <w:sz w:val="18"/>
                      <w:szCs w:val="18"/>
                    </w:rPr>
                  </w:pPr>
                  <w:r w:rsidRPr="008819AF">
                    <w:rPr>
                      <w:position w:val="-32"/>
                      <w:sz w:val="18"/>
                      <w:szCs w:val="18"/>
                    </w:rPr>
                    <w:object w:dxaOrig="2000" w:dyaOrig="740" w14:anchorId="15134D03">
                      <v:shape id="_x0000_i1031" type="#_x0000_t75" style="width:99.1pt;height:36.45pt" o:ole="">
                        <v:imagedata r:id="rId15" o:title=""/>
                      </v:shape>
                      <o:OLEObject Type="Embed" ProgID="Equation.3" ShapeID="_x0000_i1031" DrawAspect="Content" ObjectID="_1724661778" r:id="rId16"/>
                    </w:object>
                  </w:r>
                </w:p>
              </w:tc>
            </w:tr>
          </w:tbl>
          <w:p w14:paraId="151340B0" w14:textId="77777777" w:rsidR="00236AB5" w:rsidRPr="008819AF" w:rsidRDefault="00236AB5" w:rsidP="00236AB5"/>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24"/>
              <w:gridCol w:w="3624"/>
              <w:gridCol w:w="862"/>
            </w:tblGrid>
            <w:tr w:rsidR="00236AB5" w:rsidRPr="008819AF" w14:paraId="151340B4" w14:textId="77777777" w:rsidTr="00864079">
              <w:trPr>
                <w:trHeight w:val="283"/>
                <w:jc w:val="center"/>
              </w:trPr>
              <w:tc>
                <w:tcPr>
                  <w:tcW w:w="972" w:type="dxa"/>
                  <w:vAlign w:val="center"/>
                </w:tcPr>
                <w:p w14:paraId="151340B1" w14:textId="77777777" w:rsidR="00236AB5" w:rsidRPr="008819AF" w:rsidRDefault="00236AB5" w:rsidP="00236AB5">
                  <w:pPr>
                    <w:keepNext/>
                    <w:spacing w:after="60"/>
                    <w:jc w:val="center"/>
                    <w:rPr>
                      <w:sz w:val="18"/>
                      <w:szCs w:val="18"/>
                    </w:rPr>
                  </w:pPr>
                  <w:r w:rsidRPr="008819AF">
                    <w:rPr>
                      <w:sz w:val="18"/>
                      <w:szCs w:val="18"/>
                    </w:rPr>
                    <w:t>c</w:t>
                  </w:r>
                  <w:r w:rsidRPr="008819AF">
                    <w:rPr>
                      <w:sz w:val="18"/>
                      <w:szCs w:val="18"/>
                      <w:vertAlign w:val="superscript"/>
                    </w:rPr>
                    <w:t>r</w:t>
                  </w:r>
                  <w:r w:rsidRPr="008819AF">
                    <w:rPr>
                      <w:sz w:val="18"/>
                      <w:szCs w:val="18"/>
                      <w:vertAlign w:val="subscript"/>
                    </w:rPr>
                    <w:t>n</w:t>
                  </w:r>
                </w:p>
              </w:tc>
              <w:tc>
                <w:tcPr>
                  <w:tcW w:w="6669" w:type="dxa"/>
                  <w:vAlign w:val="center"/>
                </w:tcPr>
                <w:p w14:paraId="151340B2" w14:textId="77777777" w:rsidR="00236AB5" w:rsidRPr="008819AF" w:rsidRDefault="00236AB5" w:rsidP="00236AB5">
                  <w:pPr>
                    <w:keepNext/>
                    <w:spacing w:after="60"/>
                    <w:jc w:val="both"/>
                    <w:rPr>
                      <w:sz w:val="18"/>
                      <w:szCs w:val="18"/>
                    </w:rPr>
                  </w:pPr>
                  <w:r w:rsidRPr="008819AF">
                    <w:rPr>
                      <w:sz w:val="18"/>
                      <w:szCs w:val="18"/>
                    </w:rPr>
                    <w:t>Hmotnostná koncentrácia po prepočte na štandardný stav v suchom plyne a referenčné podmienky dané obsahom kyslíka O</w:t>
                  </w:r>
                  <w:r w:rsidRPr="008819AF">
                    <w:rPr>
                      <w:sz w:val="18"/>
                      <w:szCs w:val="18"/>
                      <w:vertAlign w:val="subscript"/>
                    </w:rPr>
                    <w:t xml:space="preserve">2 </w:t>
                  </w:r>
                  <w:r w:rsidRPr="008819AF">
                    <w:rPr>
                      <w:sz w:val="18"/>
                      <w:szCs w:val="18"/>
                    </w:rPr>
                    <w:t>ref</w:t>
                  </w:r>
                </w:p>
              </w:tc>
              <w:tc>
                <w:tcPr>
                  <w:tcW w:w="1425" w:type="dxa"/>
                  <w:vAlign w:val="center"/>
                </w:tcPr>
                <w:p w14:paraId="151340B3" w14:textId="77777777" w:rsidR="00236AB5" w:rsidRPr="008819AF" w:rsidRDefault="00236AB5" w:rsidP="00236AB5">
                  <w:pPr>
                    <w:keepNext/>
                    <w:spacing w:after="60"/>
                    <w:jc w:val="center"/>
                    <w:rPr>
                      <w:sz w:val="18"/>
                      <w:szCs w:val="18"/>
                    </w:rPr>
                  </w:pPr>
                  <w:r w:rsidRPr="008819AF">
                    <w:rPr>
                      <w:sz w:val="18"/>
                      <w:szCs w:val="18"/>
                    </w:rPr>
                    <w:sym w:font="Symbol" w:char="F05B"/>
                  </w:r>
                  <w:r w:rsidRPr="008819AF">
                    <w:rPr>
                      <w:sz w:val="18"/>
                      <w:szCs w:val="18"/>
                    </w:rPr>
                    <w:t>mg/m</w:t>
                  </w:r>
                  <w:r w:rsidRPr="008819AF">
                    <w:rPr>
                      <w:sz w:val="18"/>
                      <w:szCs w:val="18"/>
                      <w:vertAlign w:val="superscript"/>
                    </w:rPr>
                    <w:t>3</w:t>
                  </w:r>
                  <w:r w:rsidRPr="008819AF">
                    <w:rPr>
                      <w:sz w:val="18"/>
                      <w:szCs w:val="18"/>
                    </w:rPr>
                    <w:sym w:font="Symbol" w:char="F05D"/>
                  </w:r>
                </w:p>
              </w:tc>
            </w:tr>
            <w:tr w:rsidR="00236AB5" w:rsidRPr="008819AF" w14:paraId="151340B8" w14:textId="77777777" w:rsidTr="00864079">
              <w:trPr>
                <w:trHeight w:val="283"/>
                <w:jc w:val="center"/>
              </w:trPr>
              <w:tc>
                <w:tcPr>
                  <w:tcW w:w="972" w:type="dxa"/>
                  <w:vAlign w:val="center"/>
                </w:tcPr>
                <w:p w14:paraId="151340B5" w14:textId="77777777" w:rsidR="00236AB5" w:rsidRPr="008819AF" w:rsidRDefault="00236AB5" w:rsidP="00236AB5">
                  <w:pPr>
                    <w:keepNext/>
                    <w:spacing w:after="60"/>
                    <w:jc w:val="center"/>
                    <w:rPr>
                      <w:sz w:val="18"/>
                      <w:szCs w:val="18"/>
                    </w:rPr>
                  </w:pPr>
                  <w:r w:rsidRPr="008819AF">
                    <w:rPr>
                      <w:sz w:val="18"/>
                      <w:szCs w:val="18"/>
                    </w:rPr>
                    <w:t>c</w:t>
                  </w:r>
                  <w:r w:rsidRPr="008819AF">
                    <w:rPr>
                      <w:sz w:val="18"/>
                      <w:szCs w:val="18"/>
                      <w:vertAlign w:val="subscript"/>
                    </w:rPr>
                    <w:t>p</w:t>
                  </w:r>
                </w:p>
              </w:tc>
              <w:tc>
                <w:tcPr>
                  <w:tcW w:w="6669" w:type="dxa"/>
                  <w:vAlign w:val="center"/>
                </w:tcPr>
                <w:p w14:paraId="151340B6" w14:textId="77777777" w:rsidR="00236AB5" w:rsidRPr="008819AF" w:rsidRDefault="00236AB5" w:rsidP="00236AB5">
                  <w:pPr>
                    <w:keepNext/>
                    <w:spacing w:after="60"/>
                    <w:rPr>
                      <w:sz w:val="18"/>
                      <w:szCs w:val="18"/>
                    </w:rPr>
                  </w:pPr>
                  <w:r w:rsidRPr="008819AF">
                    <w:rPr>
                      <w:sz w:val="18"/>
                      <w:szCs w:val="18"/>
                    </w:rPr>
                    <w:t>Hmotnostná koncentrácia zodpovedajúca prevádzkovým podmienkam zistená  meraním</w:t>
                  </w:r>
                </w:p>
              </w:tc>
              <w:tc>
                <w:tcPr>
                  <w:tcW w:w="1425" w:type="dxa"/>
                  <w:vAlign w:val="center"/>
                </w:tcPr>
                <w:p w14:paraId="151340B7" w14:textId="77777777" w:rsidR="00236AB5" w:rsidRPr="008819AF" w:rsidRDefault="00236AB5" w:rsidP="00236AB5">
                  <w:pPr>
                    <w:keepNext/>
                    <w:spacing w:after="60"/>
                    <w:jc w:val="center"/>
                    <w:rPr>
                      <w:sz w:val="18"/>
                      <w:szCs w:val="18"/>
                    </w:rPr>
                  </w:pPr>
                  <w:r w:rsidRPr="008819AF">
                    <w:rPr>
                      <w:sz w:val="18"/>
                      <w:szCs w:val="18"/>
                    </w:rPr>
                    <w:sym w:font="Symbol" w:char="F05B"/>
                  </w:r>
                  <w:r w:rsidRPr="008819AF">
                    <w:rPr>
                      <w:sz w:val="18"/>
                      <w:szCs w:val="18"/>
                    </w:rPr>
                    <w:t>mg/m</w:t>
                  </w:r>
                  <w:r w:rsidRPr="008819AF">
                    <w:rPr>
                      <w:sz w:val="18"/>
                      <w:szCs w:val="18"/>
                      <w:vertAlign w:val="superscript"/>
                    </w:rPr>
                    <w:t>3</w:t>
                  </w:r>
                  <w:r w:rsidRPr="008819AF">
                    <w:rPr>
                      <w:sz w:val="18"/>
                      <w:szCs w:val="18"/>
                    </w:rPr>
                    <w:sym w:font="Symbol" w:char="F05D"/>
                  </w:r>
                </w:p>
              </w:tc>
            </w:tr>
            <w:tr w:rsidR="00236AB5" w:rsidRPr="008819AF" w14:paraId="151340BC" w14:textId="77777777" w:rsidTr="00864079">
              <w:trPr>
                <w:trHeight w:val="283"/>
                <w:jc w:val="center"/>
              </w:trPr>
              <w:tc>
                <w:tcPr>
                  <w:tcW w:w="972" w:type="dxa"/>
                  <w:vAlign w:val="center"/>
                </w:tcPr>
                <w:p w14:paraId="151340B9" w14:textId="77777777" w:rsidR="00236AB5" w:rsidRPr="008819AF" w:rsidRDefault="00236AB5" w:rsidP="00236AB5">
                  <w:pPr>
                    <w:keepNext/>
                    <w:spacing w:after="60"/>
                    <w:jc w:val="center"/>
                    <w:rPr>
                      <w:sz w:val="18"/>
                      <w:szCs w:val="18"/>
                    </w:rPr>
                  </w:pPr>
                  <w:r w:rsidRPr="008819AF">
                    <w:rPr>
                      <w:sz w:val="18"/>
                      <w:szCs w:val="18"/>
                    </w:rPr>
                    <w:t>O</w:t>
                  </w:r>
                  <w:r w:rsidRPr="008819AF">
                    <w:rPr>
                      <w:sz w:val="18"/>
                      <w:szCs w:val="18"/>
                      <w:vertAlign w:val="subscript"/>
                    </w:rPr>
                    <w:t>2 ref</w:t>
                  </w:r>
                </w:p>
              </w:tc>
              <w:tc>
                <w:tcPr>
                  <w:tcW w:w="6669" w:type="dxa"/>
                  <w:vAlign w:val="center"/>
                </w:tcPr>
                <w:p w14:paraId="151340BA" w14:textId="77777777" w:rsidR="00236AB5" w:rsidRPr="008819AF" w:rsidRDefault="00236AB5" w:rsidP="00236AB5">
                  <w:pPr>
                    <w:keepNext/>
                    <w:spacing w:after="60"/>
                    <w:jc w:val="both"/>
                    <w:rPr>
                      <w:sz w:val="18"/>
                      <w:szCs w:val="18"/>
                    </w:rPr>
                  </w:pPr>
                  <w:r w:rsidRPr="008819AF">
                    <w:rPr>
                      <w:sz w:val="18"/>
                      <w:szCs w:val="18"/>
                    </w:rPr>
                    <w:t xml:space="preserve">Referenčný obsah kyslíka v spalinách </w:t>
                  </w:r>
                </w:p>
              </w:tc>
              <w:tc>
                <w:tcPr>
                  <w:tcW w:w="1425" w:type="dxa"/>
                  <w:vAlign w:val="center"/>
                </w:tcPr>
                <w:p w14:paraId="151340BB" w14:textId="77777777" w:rsidR="00236AB5" w:rsidRPr="008819AF" w:rsidRDefault="00236AB5" w:rsidP="00236AB5">
                  <w:pPr>
                    <w:keepNext/>
                    <w:spacing w:after="60"/>
                    <w:ind w:right="-108"/>
                    <w:jc w:val="both"/>
                    <w:rPr>
                      <w:sz w:val="18"/>
                      <w:szCs w:val="18"/>
                    </w:rPr>
                  </w:pPr>
                  <w:r w:rsidRPr="008819AF">
                    <w:rPr>
                      <w:sz w:val="18"/>
                      <w:szCs w:val="18"/>
                    </w:rPr>
                    <w:sym w:font="Symbol" w:char="F05B"/>
                  </w:r>
                  <w:r w:rsidRPr="008819AF">
                    <w:rPr>
                      <w:sz w:val="18"/>
                      <w:szCs w:val="18"/>
                    </w:rPr>
                    <w:t>% objemu</w:t>
                  </w:r>
                  <w:r w:rsidRPr="008819AF">
                    <w:rPr>
                      <w:sz w:val="18"/>
                      <w:szCs w:val="18"/>
                    </w:rPr>
                    <w:sym w:font="Symbol" w:char="F05D"/>
                  </w:r>
                </w:p>
              </w:tc>
            </w:tr>
            <w:tr w:rsidR="00236AB5" w:rsidRPr="008819AF" w14:paraId="151340C0" w14:textId="77777777" w:rsidTr="00864079">
              <w:trPr>
                <w:trHeight w:val="283"/>
                <w:jc w:val="center"/>
              </w:trPr>
              <w:tc>
                <w:tcPr>
                  <w:tcW w:w="972" w:type="dxa"/>
                  <w:vAlign w:val="center"/>
                </w:tcPr>
                <w:p w14:paraId="151340BD" w14:textId="77777777" w:rsidR="00236AB5" w:rsidRPr="008819AF" w:rsidRDefault="00236AB5" w:rsidP="00236AB5">
                  <w:pPr>
                    <w:keepNext/>
                    <w:spacing w:after="60"/>
                    <w:jc w:val="center"/>
                    <w:rPr>
                      <w:sz w:val="18"/>
                      <w:szCs w:val="18"/>
                    </w:rPr>
                  </w:pPr>
                  <w:r w:rsidRPr="008819AF">
                    <w:rPr>
                      <w:sz w:val="18"/>
                      <w:szCs w:val="18"/>
                    </w:rPr>
                    <w:t xml:space="preserve"> O</w:t>
                  </w:r>
                  <w:r w:rsidRPr="008819AF">
                    <w:rPr>
                      <w:sz w:val="18"/>
                      <w:szCs w:val="18"/>
                      <w:vertAlign w:val="subscript"/>
                    </w:rPr>
                    <w:t>2 prev</w:t>
                  </w:r>
                </w:p>
              </w:tc>
              <w:tc>
                <w:tcPr>
                  <w:tcW w:w="6669" w:type="dxa"/>
                  <w:vAlign w:val="center"/>
                </w:tcPr>
                <w:p w14:paraId="151340BE" w14:textId="77777777" w:rsidR="00236AB5" w:rsidRPr="008819AF" w:rsidRDefault="00236AB5" w:rsidP="00236AB5">
                  <w:pPr>
                    <w:keepNext/>
                    <w:spacing w:after="60"/>
                    <w:rPr>
                      <w:sz w:val="18"/>
                      <w:szCs w:val="18"/>
                    </w:rPr>
                  </w:pPr>
                  <w:r w:rsidRPr="008819AF">
                    <w:rPr>
                      <w:sz w:val="18"/>
                      <w:szCs w:val="18"/>
                    </w:rPr>
                    <w:t>Obsah kyslíka v spalinách zodpovedajúci prevádzkovým podmienkam, zistený  meraním</w:t>
                  </w:r>
                </w:p>
              </w:tc>
              <w:tc>
                <w:tcPr>
                  <w:tcW w:w="1425" w:type="dxa"/>
                  <w:vAlign w:val="center"/>
                </w:tcPr>
                <w:p w14:paraId="151340BF" w14:textId="77777777" w:rsidR="00236AB5" w:rsidRPr="008819AF" w:rsidRDefault="00236AB5" w:rsidP="00236AB5">
                  <w:pPr>
                    <w:keepNext/>
                    <w:spacing w:after="60"/>
                    <w:ind w:right="-108"/>
                    <w:jc w:val="both"/>
                    <w:rPr>
                      <w:sz w:val="18"/>
                      <w:szCs w:val="18"/>
                    </w:rPr>
                  </w:pPr>
                  <w:r w:rsidRPr="008819AF">
                    <w:rPr>
                      <w:sz w:val="18"/>
                      <w:szCs w:val="18"/>
                    </w:rPr>
                    <w:sym w:font="Symbol" w:char="F05B"/>
                  </w:r>
                  <w:r w:rsidRPr="008819AF">
                    <w:rPr>
                      <w:sz w:val="18"/>
                      <w:szCs w:val="18"/>
                    </w:rPr>
                    <w:t>% objemu</w:t>
                  </w:r>
                  <w:r w:rsidRPr="008819AF">
                    <w:rPr>
                      <w:sz w:val="18"/>
                      <w:szCs w:val="18"/>
                    </w:rPr>
                    <w:sym w:font="Symbol" w:char="F05D"/>
                  </w:r>
                </w:p>
              </w:tc>
            </w:tr>
          </w:tbl>
          <w:p w14:paraId="151340C1" w14:textId="77777777" w:rsidR="00236AB5" w:rsidRPr="008819AF" w:rsidRDefault="00236AB5" w:rsidP="00236AB5"/>
        </w:tc>
        <w:tc>
          <w:tcPr>
            <w:tcW w:w="863" w:type="dxa"/>
            <w:gridSpan w:val="3"/>
            <w:tcBorders>
              <w:top w:val="single" w:sz="4" w:space="0" w:color="000000"/>
              <w:left w:val="single" w:sz="6" w:space="0" w:color="000000"/>
              <w:bottom w:val="single" w:sz="6" w:space="0" w:color="000000"/>
              <w:right w:val="single" w:sz="6" w:space="0" w:color="000000"/>
            </w:tcBorders>
          </w:tcPr>
          <w:p w14:paraId="151340C2"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40C3" w14:textId="77777777" w:rsidR="00236AB5" w:rsidRPr="008819AF" w:rsidRDefault="00236AB5" w:rsidP="00236AB5">
            <w:pPr>
              <w:ind w:left="215" w:hanging="215"/>
              <w:rPr>
                <w:rFonts w:eastAsia="Arial"/>
              </w:rPr>
            </w:pPr>
          </w:p>
        </w:tc>
      </w:tr>
      <w:tr w:rsidR="00236AB5" w:rsidRPr="008819AF" w14:paraId="151340F4" w14:textId="77777777" w:rsidTr="003E351D">
        <w:trPr>
          <w:gridAfter w:val="1"/>
          <w:wAfter w:w="62" w:type="dxa"/>
          <w:trHeight w:val="5585"/>
          <w:jc w:val="center"/>
        </w:trPr>
        <w:tc>
          <w:tcPr>
            <w:tcW w:w="483" w:type="dxa"/>
            <w:tcBorders>
              <w:top w:val="single" w:sz="4" w:space="0" w:color="000000"/>
              <w:left w:val="single" w:sz="6" w:space="0" w:color="000000"/>
              <w:bottom w:val="single" w:sz="6" w:space="0" w:color="000000"/>
              <w:right w:val="single" w:sz="6" w:space="0" w:color="000000"/>
            </w:tcBorders>
          </w:tcPr>
          <w:p w14:paraId="151340C5"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6227" w:type="dxa"/>
            <w:gridSpan w:val="2"/>
            <w:tcBorders>
              <w:top w:val="single" w:sz="4" w:space="0" w:color="000000"/>
              <w:left w:val="single" w:sz="6" w:space="0" w:color="000000"/>
              <w:bottom w:val="single" w:sz="6" w:space="0" w:color="000000"/>
              <w:right w:val="single" w:sz="6" w:space="0" w:color="000000"/>
            </w:tcBorders>
          </w:tcPr>
          <w:p w14:paraId="151340C6" w14:textId="77777777" w:rsidR="00236AB5" w:rsidRPr="008819AF" w:rsidRDefault="00236AB5" w:rsidP="00236AB5">
            <w:pPr>
              <w:ind w:left="215" w:hanging="215"/>
              <w:rPr>
                <w:rFonts w:eastAsia="Arial"/>
                <w:lang w:bidi="cs-CZ"/>
              </w:rPr>
            </w:pPr>
            <w:r w:rsidRPr="008819AF">
              <w:rPr>
                <w:rFonts w:eastAsia="Arial"/>
                <w:lang w:bidi="cs-CZ"/>
              </w:rPr>
              <w:t>ČASŤ 8</w:t>
            </w:r>
          </w:p>
          <w:p w14:paraId="151340C7" w14:textId="77777777" w:rsidR="00236AB5" w:rsidRPr="008819AF" w:rsidRDefault="00236AB5" w:rsidP="00236AB5">
            <w:pPr>
              <w:ind w:left="215" w:hanging="215"/>
              <w:rPr>
                <w:rFonts w:eastAsia="Arial"/>
                <w:i/>
                <w:iCs/>
                <w:lang w:bidi="cs-CZ"/>
              </w:rPr>
            </w:pPr>
            <w:r w:rsidRPr="008819AF">
              <w:rPr>
                <w:rFonts w:eastAsia="Arial"/>
                <w:i/>
                <w:iCs/>
                <w:lang w:bidi="cs-CZ"/>
              </w:rPr>
              <w:t>Posúdenie dodržiavania emisných limitov</w:t>
            </w:r>
          </w:p>
          <w:p w14:paraId="151340C8" w14:textId="77777777" w:rsidR="00236AB5" w:rsidRPr="008819AF" w:rsidRDefault="00236AB5" w:rsidP="00236AB5">
            <w:pPr>
              <w:ind w:left="215" w:hanging="215"/>
              <w:rPr>
                <w:rFonts w:eastAsia="Arial"/>
                <w:lang w:bidi="cs-CZ"/>
              </w:rPr>
            </w:pPr>
            <w:r w:rsidRPr="008819AF">
              <w:rPr>
                <w:rFonts w:eastAsia="Arial"/>
                <w:lang w:bidi="cs-CZ"/>
              </w:rPr>
              <w:t>1. Emisné limity do ovzdušia</w:t>
            </w:r>
          </w:p>
          <w:p w14:paraId="151340C9" w14:textId="77777777" w:rsidR="00236AB5" w:rsidRPr="008819AF" w:rsidRDefault="00236AB5" w:rsidP="00236AB5">
            <w:pPr>
              <w:ind w:left="215" w:hanging="215"/>
              <w:rPr>
                <w:rFonts w:eastAsia="Arial"/>
                <w:lang w:bidi="cs-CZ"/>
              </w:rPr>
            </w:pPr>
            <w:r w:rsidRPr="008819AF">
              <w:rPr>
                <w:rFonts w:eastAsia="Arial"/>
                <w:lang w:bidi="cs-CZ"/>
              </w:rPr>
              <w:t>1.1. Emisné limity do ovzdušia sa považujú za dodržané, ak:</w:t>
            </w:r>
          </w:p>
          <w:p w14:paraId="151340CA" w14:textId="77777777" w:rsidR="00236AB5" w:rsidRPr="008819AF" w:rsidRDefault="00236AB5" w:rsidP="00236AB5">
            <w:pPr>
              <w:ind w:left="497" w:hanging="283"/>
              <w:rPr>
                <w:rFonts w:eastAsia="Arial"/>
                <w:lang w:bidi="cs-CZ"/>
              </w:rPr>
            </w:pPr>
            <w:r w:rsidRPr="008819AF">
              <w:rPr>
                <w:rFonts w:eastAsia="Arial"/>
                <w:lang w:bidi="cs-CZ"/>
              </w:rPr>
              <w:t>a) žiadna z denných priemerných hodnôt nepresahuje žiadnu z emisných limitov stanovených v časti 3 bod 1.1 alebo v časti 4 alebo vypočítaných podľa časti 4;</w:t>
            </w:r>
          </w:p>
          <w:p w14:paraId="151340CB" w14:textId="77777777" w:rsidR="00236AB5" w:rsidRPr="008819AF" w:rsidRDefault="00236AB5" w:rsidP="00236AB5">
            <w:pPr>
              <w:ind w:left="497" w:hanging="283"/>
              <w:rPr>
                <w:rFonts w:eastAsia="Arial"/>
                <w:lang w:bidi="cs-CZ"/>
              </w:rPr>
            </w:pPr>
            <w:r w:rsidRPr="008819AF">
              <w:rPr>
                <w:rFonts w:eastAsia="Arial"/>
                <w:lang w:bidi="cs-CZ"/>
              </w:rPr>
              <w:t>b) buď žiadna z polhodinových priemerných hodnôt nepresahuje žiadnu z emisných limitov stanovených v stĺpci A tabuľky uvedenej v časti 3 bod 1.2, alebo, kde je to vhodné, 97 % polhodinových priemerných hodnôt za rok nepresahuje emisný limit stanovenú v stĺpci B tabuľky uvedenej v časti 3 bod 1.2;</w:t>
            </w:r>
          </w:p>
          <w:p w14:paraId="151340CC" w14:textId="77777777" w:rsidR="00236AB5" w:rsidRPr="008819AF" w:rsidRDefault="00236AB5" w:rsidP="00236AB5">
            <w:pPr>
              <w:ind w:left="497" w:hanging="283"/>
              <w:rPr>
                <w:rFonts w:eastAsia="Arial"/>
                <w:lang w:bidi="cs-CZ"/>
              </w:rPr>
            </w:pPr>
            <w:r w:rsidRPr="008819AF">
              <w:rPr>
                <w:rFonts w:eastAsia="Arial"/>
                <w:lang w:bidi="cs-CZ"/>
              </w:rPr>
              <w:t>c) žiadna z priemerných hodnôt za obdobie odoberania vzoriek stanovených pre ťažké kovy, dioxíny a furány nepresahuje emisné limity stanovené v časti 3 body 1.3 a 1.4 alebo časti 4 alebo vypočítané podľa časti 4;</w:t>
            </w:r>
          </w:p>
          <w:p w14:paraId="151340CD" w14:textId="77777777" w:rsidR="00236AB5" w:rsidRPr="008819AF" w:rsidRDefault="00236AB5" w:rsidP="00236AB5">
            <w:pPr>
              <w:ind w:left="497" w:hanging="283"/>
              <w:rPr>
                <w:rFonts w:eastAsia="Arial"/>
                <w:lang w:bidi="cs-CZ"/>
              </w:rPr>
            </w:pPr>
            <w:r w:rsidRPr="008819AF">
              <w:rPr>
                <w:rFonts w:eastAsia="Arial"/>
                <w:lang w:bidi="cs-CZ"/>
              </w:rPr>
              <w:t>d) pre oxid uhoľnatý (CO):</w:t>
            </w:r>
          </w:p>
          <w:p w14:paraId="151340CE" w14:textId="77777777" w:rsidR="00236AB5" w:rsidRPr="008819AF" w:rsidRDefault="00236AB5" w:rsidP="00236AB5">
            <w:pPr>
              <w:ind w:left="639" w:hanging="283"/>
              <w:rPr>
                <w:rFonts w:eastAsia="Arial"/>
                <w:lang w:bidi="cs-CZ"/>
              </w:rPr>
            </w:pPr>
            <w:r w:rsidRPr="008819AF">
              <w:rPr>
                <w:rFonts w:eastAsia="Arial"/>
                <w:lang w:bidi="cs-CZ"/>
              </w:rPr>
              <w:t>i) v prípade spaľovní odpadov:</w:t>
            </w:r>
          </w:p>
          <w:p w14:paraId="151340CF" w14:textId="77777777" w:rsidR="00236AB5" w:rsidRPr="008819AF" w:rsidRDefault="00236AB5" w:rsidP="00236AB5">
            <w:pPr>
              <w:ind w:left="781" w:hanging="284"/>
              <w:rPr>
                <w:rFonts w:eastAsia="Arial"/>
                <w:lang w:bidi="cs-CZ"/>
              </w:rPr>
            </w:pPr>
            <w:r w:rsidRPr="008819AF">
              <w:rPr>
                <w:rFonts w:eastAsia="Arial"/>
                <w:lang w:bidi="cs-CZ"/>
              </w:rPr>
              <w:t>— aspoň 97 % denných priemerných hodnôt za rok nepresiahne emisný limit stanovenú v časti 3 bod 1.5 písm. a); a</w:t>
            </w:r>
          </w:p>
          <w:p w14:paraId="151340D0" w14:textId="77777777" w:rsidR="00236AB5" w:rsidRPr="008819AF" w:rsidRDefault="00236AB5" w:rsidP="00236AB5">
            <w:pPr>
              <w:ind w:left="781" w:hanging="284"/>
              <w:rPr>
                <w:rFonts w:eastAsia="Arial"/>
                <w:lang w:bidi="cs-CZ"/>
              </w:rPr>
            </w:pPr>
            <w:r w:rsidRPr="008819AF">
              <w:rPr>
                <w:rFonts w:eastAsia="Arial"/>
                <w:lang w:bidi="cs-CZ"/>
              </w:rPr>
              <w:t>— aspoň 95 % všetkých desaťminútových priemerných hodnôt získaných za 24 hodín alebo všetkých polhodinových priemerných hodnôt získaných za rovnaké obdobie nepresiahne emisné limity stanovené v časti 3 bod 1.5 písm. b) a c); v prípade spaľovní odpadu, v ktorých plyn, ktorý vzniká spaľovaním, dosiahne teplotu minimálne 1 100 °C najmenej na dve sekundy, môžu členské štáty uplatňovať sedemdňové hodnotiace obdobie na desaťminútové priemerné hodnoty;</w:t>
            </w:r>
          </w:p>
          <w:p w14:paraId="151340D1" w14:textId="77777777" w:rsidR="00236AB5" w:rsidRPr="008819AF" w:rsidRDefault="00236AB5" w:rsidP="00236AB5">
            <w:pPr>
              <w:ind w:left="639" w:hanging="283"/>
              <w:rPr>
                <w:rFonts w:eastAsia="Arial"/>
                <w:lang w:bidi="cs-CZ"/>
              </w:rPr>
            </w:pPr>
            <w:r w:rsidRPr="008819AF">
              <w:rPr>
                <w:rFonts w:eastAsia="Arial"/>
                <w:lang w:bidi="cs-CZ"/>
              </w:rPr>
              <w:t>ii) v prípade zariadení na spoluspaľovanie odpadov: sú splnené ustanovenia časti 4.</w:t>
            </w:r>
          </w:p>
          <w:p w14:paraId="151340D2" w14:textId="77777777" w:rsidR="00236AB5" w:rsidRPr="008819AF" w:rsidRDefault="00236AB5" w:rsidP="00236AB5">
            <w:pPr>
              <w:ind w:left="356" w:hanging="356"/>
              <w:rPr>
                <w:rFonts w:eastAsia="Arial"/>
                <w:lang w:bidi="cs-CZ"/>
              </w:rPr>
            </w:pPr>
            <w:r w:rsidRPr="008819AF">
              <w:rPr>
                <w:rFonts w:eastAsia="Arial"/>
                <w:lang w:bidi="cs-CZ"/>
              </w:rPr>
              <w:t>1.2. Polhodinové a desaťminútové priemerné hodnoty sa určujú počas efektívnej prevádzkovaní (bez doby nábehu a odstávky, ak sa nespaľujú žiadne odpady) z meraných hodnôt po odpočítaní hodnoty intervalu spoľahlivosti stanovenej v časti 6 bod 1.3. Denné priemerné hodnoty sa stanovia z týchto validovaných priemerných hodnôt.</w:t>
            </w:r>
          </w:p>
          <w:p w14:paraId="151340D3" w14:textId="77777777" w:rsidR="00236AB5" w:rsidRPr="008819AF" w:rsidRDefault="00236AB5" w:rsidP="00236AB5">
            <w:pPr>
              <w:ind w:left="356"/>
              <w:rPr>
                <w:rFonts w:eastAsia="Arial"/>
                <w:b/>
                <w:bCs/>
                <w:lang w:bidi="cs-CZ"/>
              </w:rPr>
            </w:pPr>
            <w:r w:rsidRPr="008819AF">
              <w:rPr>
                <w:rFonts w:eastAsia="Arial"/>
                <w:lang w:bidi="cs-CZ"/>
              </w:rPr>
              <w:t>Na získanie platnej dennej priemernej hodnoty sa nesmie vyradiť viac ako päť polhodinových priemerných hodnôt počas dňa v dôsledku chyby alebo údržby systému kontinuálneho merania. Za rok sa nesmie vylúčiť viac ako desať denných priemerných hodnôt v dôsledku chyby alebo údržby systému kontinuálneho merania.</w:t>
            </w:r>
          </w:p>
          <w:p w14:paraId="151340D4" w14:textId="77777777" w:rsidR="00236AB5" w:rsidRPr="008819AF" w:rsidRDefault="00236AB5" w:rsidP="00236AB5">
            <w:pPr>
              <w:ind w:left="356" w:hanging="356"/>
              <w:rPr>
                <w:rFonts w:eastAsia="Arial"/>
                <w:b/>
                <w:bCs/>
                <w:lang w:bidi="cs-CZ"/>
              </w:rPr>
            </w:pPr>
            <w:r w:rsidRPr="008819AF">
              <w:rPr>
                <w:rFonts w:eastAsia="Arial"/>
                <w:lang w:bidi="cs-CZ"/>
              </w:rPr>
              <w:t xml:space="preserve">1.3. Priemerné hodnoty za obdobie odoberania vzoriek a priemerné hodnoty </w:t>
            </w:r>
            <w:r w:rsidRPr="008819AF">
              <w:rPr>
                <w:rFonts w:eastAsia="Arial"/>
                <w:lang w:bidi="cs-CZ"/>
              </w:rPr>
              <w:lastRenderedPageBreak/>
              <w:t>v prípade periodických meraní HF, HCl a SO2 sa určujú v súlade s požiadavkami článku 45 ods. 1 písm. e), článku 48 ods. 3 a časti 6 bod 1.</w:t>
            </w:r>
          </w:p>
          <w:p w14:paraId="151340D5" w14:textId="77777777" w:rsidR="00236AB5" w:rsidRPr="008819AF" w:rsidRDefault="00236AB5" w:rsidP="00236AB5">
            <w:pPr>
              <w:ind w:left="215" w:hanging="215"/>
              <w:rPr>
                <w:rFonts w:eastAsia="Arial"/>
                <w:lang w:bidi="cs-CZ"/>
              </w:rPr>
            </w:pPr>
            <w:r w:rsidRPr="008819AF">
              <w:rPr>
                <w:rFonts w:eastAsia="Arial"/>
                <w:lang w:bidi="cs-CZ"/>
              </w:rPr>
              <w:t>2. Emisné limity do vody</w:t>
            </w:r>
          </w:p>
          <w:p w14:paraId="151340D6" w14:textId="77777777" w:rsidR="00236AB5" w:rsidRPr="008819AF" w:rsidRDefault="00236AB5" w:rsidP="00236AB5">
            <w:pPr>
              <w:ind w:left="215" w:hanging="1"/>
              <w:rPr>
                <w:rFonts w:eastAsia="Arial"/>
                <w:lang w:bidi="cs-CZ"/>
              </w:rPr>
            </w:pPr>
            <w:r w:rsidRPr="008819AF">
              <w:rPr>
                <w:rFonts w:eastAsia="Arial"/>
                <w:lang w:bidi="cs-CZ"/>
              </w:rPr>
              <w:t>Emisné limity pre vodu sa považujú za dodržané, ak:</w:t>
            </w:r>
          </w:p>
          <w:p w14:paraId="151340D7" w14:textId="77777777" w:rsidR="00236AB5" w:rsidRPr="008819AF" w:rsidRDefault="00236AB5" w:rsidP="00236AB5">
            <w:pPr>
              <w:ind w:left="497" w:hanging="283"/>
              <w:rPr>
                <w:rFonts w:eastAsia="Arial"/>
                <w:lang w:bidi="cs-CZ"/>
              </w:rPr>
            </w:pPr>
            <w:r w:rsidRPr="008819AF">
              <w:rPr>
                <w:rFonts w:eastAsia="Arial"/>
                <w:lang w:bidi="cs-CZ"/>
              </w:rPr>
              <w:t>a) 95 % a 100 % nameraných hodnôt celkového množstva nerozpustných tuhých látok nepresahuje príslušné emisné limity stanovené v časti 5;</w:t>
            </w:r>
          </w:p>
          <w:p w14:paraId="151340D8" w14:textId="77777777" w:rsidR="00236AB5" w:rsidRPr="008819AF" w:rsidRDefault="00236AB5" w:rsidP="00236AB5">
            <w:pPr>
              <w:ind w:left="497" w:hanging="283"/>
              <w:rPr>
                <w:rFonts w:eastAsia="Arial"/>
                <w:lang w:bidi="cs-CZ"/>
              </w:rPr>
            </w:pPr>
            <w:r w:rsidRPr="008819AF">
              <w:rPr>
                <w:rFonts w:eastAsia="Arial"/>
                <w:lang w:bidi="cs-CZ"/>
              </w:rPr>
              <w:t>b) najviac jedno meranie obsahu ťažkých kovov (Hg, Cd, TI, As, Pb, Cr, Cu, Ni a Zn) za rok presahuje emisné limity stanovené v časti 5; alebo, ak členský štát meria viac ako 20 vzoriek za rok, najviac 5 % týchto vzoriek presahuje emisné limity stanovené v časti 5;</w:t>
            </w:r>
          </w:p>
          <w:p w14:paraId="151340D9" w14:textId="77777777" w:rsidR="00236AB5" w:rsidRPr="008819AF" w:rsidRDefault="00236AB5" w:rsidP="00236AB5">
            <w:pPr>
              <w:ind w:left="497" w:hanging="283"/>
              <w:rPr>
                <w:rFonts w:eastAsia="Arial"/>
                <w:lang w:bidi="cs-CZ"/>
              </w:rPr>
            </w:pPr>
            <w:r w:rsidRPr="008819AF">
              <w:rPr>
                <w:rFonts w:eastAsia="Arial"/>
                <w:lang w:bidi="cs-CZ"/>
              </w:rPr>
              <w:t>c) výsledky meraní dioxínov a furánov nepresahujú emisný limit stanovenú v časti 5.</w:t>
            </w:r>
          </w:p>
        </w:tc>
        <w:tc>
          <w:tcPr>
            <w:tcW w:w="542" w:type="dxa"/>
            <w:gridSpan w:val="2"/>
            <w:tcBorders>
              <w:top w:val="single" w:sz="4" w:space="0" w:color="000000"/>
              <w:left w:val="single" w:sz="6" w:space="0" w:color="000000"/>
              <w:bottom w:val="single" w:sz="6" w:space="0" w:color="000000"/>
              <w:right w:val="single" w:sz="6" w:space="0" w:color="000000"/>
            </w:tcBorders>
            <w:noWrap/>
          </w:tcPr>
          <w:p w14:paraId="151340DA"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tc>
        <w:tc>
          <w:tcPr>
            <w:tcW w:w="543" w:type="dxa"/>
            <w:gridSpan w:val="2"/>
            <w:tcBorders>
              <w:top w:val="single" w:sz="4" w:space="0" w:color="000000"/>
              <w:left w:val="single" w:sz="6" w:space="0" w:color="000000"/>
              <w:bottom w:val="single" w:sz="6" w:space="0" w:color="000000"/>
              <w:right w:val="single" w:sz="6" w:space="0" w:color="000000"/>
            </w:tcBorders>
          </w:tcPr>
          <w:p w14:paraId="151340DB" w14:textId="77777777" w:rsidR="00236AB5" w:rsidRPr="008819AF" w:rsidRDefault="00236AB5" w:rsidP="00236AB5">
            <w:pPr>
              <w:jc w:val="center"/>
              <w:rPr>
                <w:rFonts w:eastAsia="Arial"/>
                <w:lang w:bidi="cs-CZ"/>
              </w:rPr>
            </w:pPr>
            <w:r w:rsidRPr="008819AF">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151340DC" w14:textId="77777777" w:rsidR="00236AB5" w:rsidRPr="008819AF" w:rsidRDefault="00236AB5" w:rsidP="00236AB5">
            <w:pPr>
              <w:jc w:val="center"/>
            </w:pPr>
            <w:r w:rsidRPr="008819AF">
              <w:t>§25</w:t>
            </w:r>
          </w:p>
          <w:p w14:paraId="151340DD" w14:textId="77777777" w:rsidR="00236AB5" w:rsidRPr="008819AF" w:rsidRDefault="00236AB5" w:rsidP="00236AB5">
            <w:pPr>
              <w:jc w:val="center"/>
            </w:pPr>
            <w:r w:rsidRPr="008819AF">
              <w:t>O1</w:t>
            </w:r>
          </w:p>
          <w:p w14:paraId="151340DE" w14:textId="77777777" w:rsidR="00236AB5" w:rsidRPr="008819AF" w:rsidRDefault="00236AB5" w:rsidP="00236AB5">
            <w:pPr>
              <w:jc w:val="center"/>
            </w:pPr>
            <w:r w:rsidRPr="008819AF">
              <w:t>Až</w:t>
            </w:r>
          </w:p>
          <w:p w14:paraId="151340DF" w14:textId="77777777" w:rsidR="00236AB5" w:rsidRPr="008819AF" w:rsidRDefault="00236AB5" w:rsidP="00236AB5">
            <w:pPr>
              <w:jc w:val="center"/>
            </w:pPr>
            <w:r w:rsidRPr="008819AF">
              <w:t>O5</w:t>
            </w:r>
          </w:p>
        </w:tc>
        <w:tc>
          <w:tcPr>
            <w:tcW w:w="5230" w:type="dxa"/>
            <w:gridSpan w:val="3"/>
            <w:tcBorders>
              <w:top w:val="single" w:sz="4" w:space="0" w:color="000000"/>
              <w:left w:val="single" w:sz="6" w:space="0" w:color="000000"/>
              <w:bottom w:val="single" w:sz="6" w:space="0" w:color="000000"/>
              <w:right w:val="single" w:sz="6" w:space="0" w:color="000000"/>
            </w:tcBorders>
          </w:tcPr>
          <w:p w14:paraId="151340E0" w14:textId="77777777" w:rsidR="00236AB5" w:rsidRPr="008819AF" w:rsidRDefault="00236AB5" w:rsidP="00236AB5">
            <w:pPr>
              <w:pStyle w:val="Hlavika"/>
              <w:ind w:left="72" w:hanging="1"/>
              <w:rPr>
                <w:rFonts w:ascii="Times New Roman" w:hAnsi="Times New Roman" w:cs="Times New Roman"/>
                <w:b/>
              </w:rPr>
            </w:pPr>
            <w:r w:rsidRPr="008819AF">
              <w:rPr>
                <w:rFonts w:ascii="Times New Roman" w:hAnsi="Times New Roman" w:cs="Times New Roman"/>
                <w:b/>
              </w:rPr>
              <w:t>Hodnotenie dodržiavania emisných limitov, technických požiadaviek a podmienok prevádzkovania pre spaľovne odpadov a zariadenia na spoluspaľovanie odpadov</w:t>
            </w:r>
          </w:p>
          <w:p w14:paraId="151340E1" w14:textId="77777777" w:rsidR="00236AB5" w:rsidRPr="008819AF" w:rsidRDefault="00236AB5" w:rsidP="00236AB5">
            <w:pPr>
              <w:pStyle w:val="Hlavika"/>
              <w:ind w:left="72" w:hanging="1"/>
              <w:rPr>
                <w:rFonts w:ascii="Times New Roman" w:hAnsi="Times New Roman" w:cs="Times New Roman"/>
              </w:rPr>
            </w:pPr>
            <w:r w:rsidRPr="008819AF">
              <w:rPr>
                <w:rFonts w:ascii="Times New Roman" w:hAnsi="Times New Roman" w:cs="Times New Roman"/>
              </w:rPr>
              <w:t>(1) Emisné limity pre spaľovňu odpadov a zariadenie na spoluspaľovanie odpadov sa považujú za dodržané, ak sú splnené tieto podmienky:</w:t>
            </w:r>
          </w:p>
          <w:p w14:paraId="151340E2" w14:textId="77777777" w:rsidR="00236AB5" w:rsidRPr="008819AF" w:rsidRDefault="00236AB5" w:rsidP="00236AB5">
            <w:pPr>
              <w:numPr>
                <w:ilvl w:val="0"/>
                <w:numId w:val="98"/>
              </w:numPr>
              <w:spacing w:line="261" w:lineRule="auto"/>
              <w:ind w:left="284" w:hanging="284"/>
              <w:jc w:val="both"/>
              <w:rPr>
                <w:rFonts w:eastAsia="Calibri"/>
                <w:noProof/>
              </w:rPr>
            </w:pPr>
            <w:r w:rsidRPr="008819AF">
              <w:rPr>
                <w:rFonts w:eastAsia="Calibri"/>
                <w:noProof/>
              </w:rPr>
              <w:t>žiadna denná priemerná hodnota TZL, SO</w:t>
            </w:r>
            <w:r w:rsidRPr="008819AF">
              <w:rPr>
                <w:rFonts w:eastAsia="Calibri"/>
                <w:noProof/>
                <w:vertAlign w:val="subscript"/>
              </w:rPr>
              <w:t>2</w:t>
            </w:r>
            <w:r w:rsidRPr="008819AF">
              <w:rPr>
                <w:rFonts w:eastAsia="Calibri"/>
                <w:noProof/>
              </w:rPr>
              <w:t>, NO</w:t>
            </w:r>
            <w:r w:rsidRPr="008819AF">
              <w:rPr>
                <w:rFonts w:eastAsia="Calibri"/>
                <w:noProof/>
                <w:vertAlign w:val="subscript"/>
              </w:rPr>
              <w:t>x</w:t>
            </w:r>
            <w:r w:rsidRPr="008819AF">
              <w:rPr>
                <w:rFonts w:eastAsia="Calibri"/>
                <w:noProof/>
              </w:rPr>
              <w:t>, HCl, HF, TOC neprekročí hodnotu emisného limitu ustanovenú v prílohe č. 5 tretej časti alebo štvrtej časti alebo vypočítanú podľa prílohy č.5 štvrtej časti bodu 1,</w:t>
            </w:r>
          </w:p>
          <w:p w14:paraId="151340E3" w14:textId="77777777" w:rsidR="00236AB5" w:rsidRPr="008819AF" w:rsidRDefault="00236AB5" w:rsidP="00236AB5">
            <w:pPr>
              <w:numPr>
                <w:ilvl w:val="0"/>
                <w:numId w:val="98"/>
              </w:numPr>
              <w:spacing w:line="261" w:lineRule="auto"/>
              <w:ind w:left="0"/>
              <w:jc w:val="both"/>
              <w:rPr>
                <w:rFonts w:eastAsia="Calibri"/>
                <w:noProof/>
              </w:rPr>
            </w:pPr>
            <w:r w:rsidRPr="008819AF">
              <w:rPr>
                <w:rFonts w:eastAsia="Calibri"/>
                <w:noProof/>
              </w:rPr>
              <w:t>ak ide o polhodinovú priemernú hodnotu a emisné limity v prílohe č. 5 tretej časti,</w:t>
            </w:r>
          </w:p>
          <w:p w14:paraId="151340E4" w14:textId="77777777" w:rsidR="00236AB5" w:rsidRPr="008819AF" w:rsidRDefault="00236AB5" w:rsidP="00236AB5">
            <w:pPr>
              <w:numPr>
                <w:ilvl w:val="1"/>
                <w:numId w:val="98"/>
              </w:numPr>
              <w:spacing w:line="261" w:lineRule="auto"/>
              <w:ind w:left="284"/>
              <w:jc w:val="both"/>
              <w:rPr>
                <w:rFonts w:eastAsia="Calibri"/>
                <w:noProof/>
              </w:rPr>
            </w:pPr>
            <w:r w:rsidRPr="008819AF">
              <w:rPr>
                <w:rFonts w:eastAsia="Calibri"/>
                <w:noProof/>
              </w:rPr>
              <w:t>žiadna hodnota emisného limitu za rok neprekročí hodnotu uvedenú v stĺpci A, alebo</w:t>
            </w:r>
          </w:p>
          <w:p w14:paraId="151340E5" w14:textId="77777777" w:rsidR="00236AB5" w:rsidRPr="008819AF" w:rsidRDefault="00236AB5" w:rsidP="00236AB5">
            <w:pPr>
              <w:numPr>
                <w:ilvl w:val="1"/>
                <w:numId w:val="98"/>
              </w:numPr>
              <w:spacing w:line="261" w:lineRule="auto"/>
              <w:ind w:left="284"/>
              <w:jc w:val="both"/>
              <w:rPr>
                <w:rFonts w:eastAsia="Calibri"/>
                <w:noProof/>
              </w:rPr>
            </w:pPr>
            <w:r w:rsidRPr="008819AF">
              <w:rPr>
                <w:rFonts w:eastAsia="Calibri"/>
                <w:noProof/>
              </w:rPr>
              <w:t xml:space="preserve">ak je to </w:t>
            </w:r>
            <w:r w:rsidRPr="008819AF">
              <w:t>relevantné</w:t>
            </w:r>
            <w:r w:rsidRPr="008819AF">
              <w:rPr>
                <w:rFonts w:eastAsia="Calibri"/>
                <w:noProof/>
              </w:rPr>
              <w:t>, najmenej 97 % hodnôt v roku neprekročí hodnotu v stĺpci B,</w:t>
            </w:r>
          </w:p>
          <w:p w14:paraId="151340E6" w14:textId="77777777" w:rsidR="00236AB5" w:rsidRPr="008819AF" w:rsidRDefault="00236AB5" w:rsidP="00236AB5">
            <w:pPr>
              <w:numPr>
                <w:ilvl w:val="0"/>
                <w:numId w:val="98"/>
              </w:numPr>
              <w:spacing w:line="261" w:lineRule="auto"/>
              <w:ind w:left="0"/>
              <w:jc w:val="both"/>
              <w:rPr>
                <w:rFonts w:eastAsia="Calibri"/>
                <w:noProof/>
              </w:rPr>
            </w:pPr>
            <w:r w:rsidRPr="008819AF">
              <w:rPr>
                <w:rFonts w:eastAsia="Calibri"/>
                <w:noProof/>
              </w:rPr>
              <w:t>žiadna priemerná hodnota hmotnostnej koncentrácie ťažkých kovov, PCDD a PCDF za čas odberu vzorky neprekročí pri diskontinuálnom meraní hodnotu emisného limitu ustanovenú v prílohe č. 5 tretej časti alebo štvrtej časti,</w:t>
            </w:r>
          </w:p>
          <w:p w14:paraId="151340E7" w14:textId="77777777" w:rsidR="00236AB5" w:rsidRPr="008819AF" w:rsidRDefault="00236AB5" w:rsidP="00236AB5">
            <w:pPr>
              <w:numPr>
                <w:ilvl w:val="0"/>
                <w:numId w:val="98"/>
              </w:numPr>
              <w:spacing w:line="261" w:lineRule="auto"/>
              <w:ind w:left="0"/>
              <w:jc w:val="both"/>
              <w:rPr>
                <w:rFonts w:eastAsia="Calibri"/>
                <w:noProof/>
              </w:rPr>
            </w:pPr>
            <w:r w:rsidRPr="008819AF">
              <w:rPr>
                <w:rFonts w:eastAsia="Calibri"/>
                <w:noProof/>
              </w:rPr>
              <w:t xml:space="preserve">ak ide o emisný </w:t>
            </w:r>
            <w:r w:rsidRPr="008819AF">
              <w:t>limit CO</w:t>
            </w:r>
            <w:r w:rsidRPr="008819AF">
              <w:rPr>
                <w:rFonts w:eastAsia="Calibri"/>
                <w:noProof/>
              </w:rPr>
              <w:t xml:space="preserve"> pre spaľovňu odpadov uvedený v prílohe č. 5 tretej časti,</w:t>
            </w:r>
          </w:p>
          <w:p w14:paraId="151340E8" w14:textId="77777777" w:rsidR="00236AB5" w:rsidRPr="008819AF" w:rsidRDefault="00236AB5" w:rsidP="00236AB5">
            <w:pPr>
              <w:numPr>
                <w:ilvl w:val="1"/>
                <w:numId w:val="98"/>
              </w:numPr>
              <w:spacing w:line="261" w:lineRule="auto"/>
              <w:ind w:left="284"/>
              <w:jc w:val="both"/>
              <w:rPr>
                <w:rFonts w:eastAsia="Calibri"/>
                <w:noProof/>
              </w:rPr>
            </w:pPr>
            <w:r w:rsidRPr="008819AF">
              <w:rPr>
                <w:rFonts w:eastAsia="Calibri"/>
                <w:noProof/>
              </w:rPr>
              <w:t xml:space="preserve">najmenej 97 % hodnôt za rok neprekročí emisný limit uvedený ako denná priemerná hodnota a </w:t>
            </w:r>
          </w:p>
          <w:p w14:paraId="151340E9" w14:textId="77777777" w:rsidR="00236AB5" w:rsidRPr="008819AF" w:rsidRDefault="00236AB5" w:rsidP="00236AB5">
            <w:pPr>
              <w:numPr>
                <w:ilvl w:val="1"/>
                <w:numId w:val="98"/>
              </w:numPr>
              <w:spacing w:line="261" w:lineRule="auto"/>
              <w:ind w:left="284"/>
              <w:jc w:val="both"/>
              <w:rPr>
                <w:rFonts w:eastAsia="Calibri"/>
                <w:noProof/>
              </w:rPr>
            </w:pPr>
            <w:r w:rsidRPr="008819AF">
              <w:rPr>
                <w:rFonts w:eastAsia="Calibri"/>
                <w:noProof/>
              </w:rPr>
              <w:t>najmenej 95 % zo všetkých hodnôt neprekročí emisné limity uvedené ako 10-minútové priemerné hodnoty získané za 24 hodín alebo polhodinové priemerné hodnoty získané za 24 hodín; hodnoty sa merajú počas ľubovoľného plávajúceho 24-hodinového intervalu; v prípade, ak sú splnené prevádzkové podmienky, teplota najmenej 1 100 °C počas najmenej 2 sekúnd, správny orgán môže určiť desaťminútové priemerné hodnoty ako sedemdňový interval,</w:t>
            </w:r>
          </w:p>
          <w:p w14:paraId="151340EA" w14:textId="77777777" w:rsidR="00236AB5" w:rsidRPr="008819AF" w:rsidRDefault="00236AB5" w:rsidP="00236AB5">
            <w:pPr>
              <w:numPr>
                <w:ilvl w:val="0"/>
                <w:numId w:val="98"/>
              </w:numPr>
              <w:spacing w:after="203" w:line="261" w:lineRule="auto"/>
              <w:ind w:left="0"/>
              <w:jc w:val="both"/>
              <w:rPr>
                <w:rFonts w:eastAsia="Calibri"/>
                <w:noProof/>
              </w:rPr>
            </w:pPr>
            <w:r w:rsidRPr="008819AF">
              <w:rPr>
                <w:rFonts w:eastAsia="Calibri"/>
                <w:noProof/>
              </w:rPr>
              <w:t>ak ide o emisný limit CO pre zariadenie na spoluspaľovanie odpadov určený alebo vypočítaný podľa prílohy č. 5 štvrtej časti, správny orgán určí hodnotenie dodržania emisného limitu individuálne.</w:t>
            </w:r>
          </w:p>
          <w:p w14:paraId="151340EB" w14:textId="77777777" w:rsidR="00236AB5" w:rsidRPr="008819AF" w:rsidRDefault="00236AB5" w:rsidP="00236AB5">
            <w:pPr>
              <w:numPr>
                <w:ilvl w:val="1"/>
                <w:numId w:val="99"/>
              </w:numPr>
              <w:spacing w:after="203" w:line="261" w:lineRule="auto"/>
              <w:jc w:val="both"/>
              <w:rPr>
                <w:rFonts w:eastAsia="Calibri"/>
                <w:noProof/>
              </w:rPr>
            </w:pPr>
            <w:r w:rsidRPr="008819AF">
              <w:rPr>
                <w:rFonts w:eastAsia="Calibri"/>
                <w:noProof/>
              </w:rPr>
              <w:lastRenderedPageBreak/>
              <w:t>Polhodinové priemerné hodnoty a 10-minútové priemerné hodnoty sa pri kontinuálnom meraní posudzujú počas skutočnej prevádzky okrem nábehu a odstavovania, ak sa nespaľujú žiadne odpady, a okrem prípadov podľa § 34 ods. 5 písm. a), c) a d) po odpočítaní limitnej hodnoty 95 % intervalu spoľahlivosti uvedenej v prílohe č. 12 štvrtej časti na úrovni dennej limitnej hodnoty emisií. Denné priemery sa zisťujú z týchto validovaných priemerných hodnôt.</w:t>
            </w:r>
          </w:p>
          <w:p w14:paraId="151340EC" w14:textId="77777777" w:rsidR="00236AB5" w:rsidRPr="008819AF" w:rsidRDefault="00236AB5" w:rsidP="00236AB5">
            <w:pPr>
              <w:numPr>
                <w:ilvl w:val="1"/>
                <w:numId w:val="99"/>
              </w:numPr>
              <w:spacing w:line="261" w:lineRule="auto"/>
              <w:jc w:val="both"/>
              <w:rPr>
                <w:rFonts w:eastAsia="Calibri"/>
                <w:noProof/>
              </w:rPr>
            </w:pPr>
            <w:r w:rsidRPr="008819AF">
              <w:rPr>
                <w:rFonts w:eastAsia="Calibri"/>
                <w:noProof/>
              </w:rPr>
              <w:t>Pre poruchu alebo údržbu automatizovaného meracieho systému možno</w:t>
            </w:r>
          </w:p>
          <w:p w14:paraId="151340ED" w14:textId="77777777" w:rsidR="00236AB5" w:rsidRPr="008819AF" w:rsidRDefault="00236AB5" w:rsidP="00236AB5">
            <w:pPr>
              <w:numPr>
                <w:ilvl w:val="0"/>
                <w:numId w:val="100"/>
              </w:numPr>
              <w:spacing w:line="261" w:lineRule="auto"/>
              <w:jc w:val="both"/>
              <w:rPr>
                <w:rFonts w:eastAsia="Calibri"/>
                <w:noProof/>
              </w:rPr>
            </w:pPr>
            <w:r w:rsidRPr="008819AF">
              <w:rPr>
                <w:rFonts w:eastAsia="Calibri"/>
                <w:noProof/>
              </w:rPr>
              <w:t xml:space="preserve">na zistenie platného denného priemeru vylúčiť najviac päť polhodinových priemerných hodnôt v niektorom dni a </w:t>
            </w:r>
          </w:p>
          <w:p w14:paraId="151340EE" w14:textId="77777777" w:rsidR="00236AB5" w:rsidRPr="008819AF" w:rsidRDefault="00236AB5" w:rsidP="00236AB5">
            <w:pPr>
              <w:numPr>
                <w:ilvl w:val="0"/>
                <w:numId w:val="100"/>
              </w:numPr>
              <w:spacing w:after="203" w:line="261" w:lineRule="auto"/>
              <w:jc w:val="both"/>
              <w:rPr>
                <w:rFonts w:eastAsia="Calibri"/>
                <w:noProof/>
              </w:rPr>
            </w:pPr>
            <w:r w:rsidRPr="008819AF">
              <w:rPr>
                <w:rFonts w:eastAsia="Calibri"/>
                <w:noProof/>
              </w:rPr>
              <w:t>z hodnôt použitých na ročné hodnotenie z tohto dôvodu vylúčiť najviac desať denných priemerných hodnôt.</w:t>
            </w:r>
          </w:p>
          <w:p w14:paraId="151340EF" w14:textId="77777777" w:rsidR="00236AB5" w:rsidRPr="008819AF" w:rsidRDefault="00236AB5" w:rsidP="00236AB5">
            <w:pPr>
              <w:numPr>
                <w:ilvl w:val="1"/>
                <w:numId w:val="99"/>
              </w:numPr>
              <w:spacing w:after="99" w:line="261" w:lineRule="auto"/>
              <w:jc w:val="both"/>
              <w:rPr>
                <w:rFonts w:eastAsia="Calibri"/>
                <w:noProof/>
              </w:rPr>
            </w:pPr>
            <w:r w:rsidRPr="008819AF">
              <w:rPr>
                <w:rFonts w:eastAsia="Calibri"/>
                <w:noProof/>
              </w:rPr>
              <w:t>Priemerné hodnoty za čas odberu vzorky alebo priemerné hodnoty, ak ide o periodické merania znečisťujúcich látok HF, HCl a SO</w:t>
            </w:r>
            <w:r w:rsidRPr="008819AF">
              <w:rPr>
                <w:rFonts w:eastAsia="Calibri"/>
                <w:noProof/>
                <w:vertAlign w:val="subscript"/>
              </w:rPr>
              <w:t>2</w:t>
            </w:r>
            <w:r w:rsidRPr="008819AF">
              <w:rPr>
                <w:rFonts w:eastAsia="Calibri"/>
                <w:noProof/>
              </w:rPr>
              <w:t>, sa zisťujú podľa požiadaviek osobitného predpisu</w:t>
            </w:r>
            <w:bookmarkStart w:id="3" w:name="_Ref91655462"/>
            <w:r w:rsidRPr="008819AF">
              <w:rPr>
                <w:rFonts w:eastAsia="Calibri"/>
                <w:noProof/>
                <w:vertAlign w:val="superscript"/>
              </w:rPr>
              <w:t>15</w:t>
            </w:r>
            <w:bookmarkEnd w:id="3"/>
            <w:r w:rsidRPr="008819AF">
              <w:rPr>
                <w:rFonts w:eastAsia="Calibri"/>
                <w:noProof/>
              </w:rPr>
              <w:t xml:space="preserve">) a podmienok </w:t>
            </w:r>
            <w:r w:rsidRPr="008819AF">
              <w:t>určených v povolení.</w:t>
            </w:r>
          </w:p>
          <w:p w14:paraId="151340F0" w14:textId="77777777" w:rsidR="00236AB5" w:rsidRPr="008819AF" w:rsidRDefault="00236AB5" w:rsidP="00236AB5">
            <w:pPr>
              <w:spacing w:after="99" w:line="261" w:lineRule="auto"/>
              <w:ind w:left="106"/>
              <w:jc w:val="both"/>
              <w:rPr>
                <w:rFonts w:eastAsia="Calibri"/>
                <w:noProof/>
              </w:rPr>
            </w:pPr>
            <w:r w:rsidRPr="008819AF">
              <w:rPr>
                <w:rFonts w:eastAsia="Calibri"/>
                <w:noProof/>
                <w:vertAlign w:val="superscript"/>
              </w:rPr>
              <w:t>15</w:t>
            </w:r>
            <w:r w:rsidRPr="008819AF">
              <w:rPr>
                <w:rFonts w:eastAsia="Calibri"/>
                <w:noProof/>
              </w:rPr>
              <w:t xml:space="preserve">) </w:t>
            </w:r>
            <w:r w:rsidRPr="008819AF">
              <w:t>§ XXX vyhlášky Ministerstva životného prostredia Slovenskej republiky č. XXX.../2022 Z. z. o monitorovaní emisií zo stacionárnych zdrojov znečisťovania ovzdušia a kvality ovzdušia v ich okolí</w:t>
            </w:r>
          </w:p>
          <w:p w14:paraId="151340F1" w14:textId="77777777" w:rsidR="00236AB5" w:rsidRPr="008819AF" w:rsidRDefault="00236AB5" w:rsidP="00236AB5">
            <w:pPr>
              <w:numPr>
                <w:ilvl w:val="1"/>
                <w:numId w:val="99"/>
              </w:numPr>
              <w:spacing w:after="99" w:line="261" w:lineRule="auto"/>
              <w:ind w:left="72" w:hanging="1"/>
              <w:jc w:val="both"/>
            </w:pPr>
            <w:r w:rsidRPr="008819AF">
              <w:rPr>
                <w:rFonts w:eastAsia="Calibri"/>
                <w:noProof/>
              </w:rPr>
              <w:t>Pre hodnotenie dodržania technických požiadaviek a podmienok prevádzkovania platí § 34 ods. 2 a 4.</w:t>
            </w:r>
          </w:p>
        </w:tc>
        <w:tc>
          <w:tcPr>
            <w:tcW w:w="863" w:type="dxa"/>
            <w:gridSpan w:val="3"/>
            <w:tcBorders>
              <w:top w:val="single" w:sz="4" w:space="0" w:color="000000"/>
              <w:left w:val="single" w:sz="6" w:space="0" w:color="000000"/>
              <w:bottom w:val="single" w:sz="6" w:space="0" w:color="000000"/>
              <w:right w:val="single" w:sz="6" w:space="0" w:color="000000"/>
            </w:tcBorders>
          </w:tcPr>
          <w:p w14:paraId="151340F2" w14:textId="77777777" w:rsidR="00236AB5" w:rsidRPr="008819AF" w:rsidRDefault="00236AB5" w:rsidP="00236AB5">
            <w:pPr>
              <w:ind w:left="215" w:hanging="215"/>
              <w:rPr>
                <w:rFonts w:eastAsia="Arial"/>
                <w:lang w:bidi="cs-CZ"/>
              </w:rPr>
            </w:pPr>
          </w:p>
        </w:tc>
        <w:tc>
          <w:tcPr>
            <w:tcW w:w="759" w:type="dxa"/>
            <w:gridSpan w:val="2"/>
            <w:tcBorders>
              <w:top w:val="single" w:sz="4" w:space="0" w:color="000000"/>
              <w:left w:val="single" w:sz="6" w:space="0" w:color="000000"/>
              <w:bottom w:val="single" w:sz="6" w:space="0" w:color="000000"/>
              <w:right w:val="single" w:sz="6" w:space="0" w:color="000000"/>
            </w:tcBorders>
          </w:tcPr>
          <w:p w14:paraId="151340F3" w14:textId="77777777" w:rsidR="00236AB5" w:rsidRPr="008819AF" w:rsidRDefault="00236AB5" w:rsidP="00236AB5">
            <w:pPr>
              <w:ind w:left="215" w:hanging="215"/>
              <w:rPr>
                <w:rFonts w:eastAsia="Arial"/>
              </w:rPr>
            </w:pPr>
          </w:p>
        </w:tc>
      </w:tr>
      <w:tr w:rsidR="00236AB5" w:rsidRPr="008819AF" w14:paraId="151340FD" w14:textId="77777777" w:rsidTr="003E351D">
        <w:trPr>
          <w:gridAfter w:val="2"/>
          <w:wAfter w:w="153" w:type="dxa"/>
          <w:trHeight w:val="703"/>
          <w:jc w:val="center"/>
        </w:trPr>
        <w:tc>
          <w:tcPr>
            <w:tcW w:w="483" w:type="dxa"/>
            <w:tcBorders>
              <w:top w:val="single" w:sz="4" w:space="0" w:color="000000"/>
              <w:left w:val="single" w:sz="6" w:space="0" w:color="000000"/>
              <w:bottom w:val="single" w:sz="4" w:space="0" w:color="000000"/>
              <w:right w:val="single" w:sz="6" w:space="0" w:color="000000"/>
            </w:tcBorders>
          </w:tcPr>
          <w:p w14:paraId="151340F5" w14:textId="77777777" w:rsidR="00236AB5" w:rsidRPr="008819AF" w:rsidRDefault="00236AB5" w:rsidP="00236AB5">
            <w:pPr>
              <w:pStyle w:val="Default"/>
              <w:ind w:right="-70"/>
              <w:rPr>
                <w:rFonts w:ascii="Times New Roman" w:eastAsia="Arial" w:hAnsi="Times New Roman" w:cs="Times New Roman"/>
                <w:color w:val="auto"/>
                <w:sz w:val="20"/>
                <w:szCs w:val="20"/>
              </w:rPr>
            </w:pPr>
            <w:r w:rsidRPr="008819AF">
              <w:rPr>
                <w:rFonts w:ascii="Times New Roman" w:eastAsia="Arial" w:hAnsi="Times New Roman" w:cs="Times New Roman"/>
                <w:i/>
                <w:iCs/>
                <w:color w:val="auto"/>
                <w:sz w:val="20"/>
                <w:szCs w:val="20"/>
              </w:rPr>
              <w:t>PRÍLOHA VII</w:t>
            </w:r>
          </w:p>
        </w:tc>
        <w:tc>
          <w:tcPr>
            <w:tcW w:w="5369" w:type="dxa"/>
            <w:tcBorders>
              <w:top w:val="single" w:sz="4" w:space="0" w:color="000000"/>
              <w:left w:val="single" w:sz="6" w:space="0" w:color="000000"/>
              <w:bottom w:val="single" w:sz="4" w:space="0" w:color="000000"/>
              <w:right w:val="single" w:sz="6" w:space="0" w:color="000000"/>
            </w:tcBorders>
          </w:tcPr>
          <w:p w14:paraId="151340F6" w14:textId="77777777" w:rsidR="00236AB5" w:rsidRPr="008819AF" w:rsidRDefault="00236AB5" w:rsidP="00236AB5">
            <w:pPr>
              <w:rPr>
                <w:rFonts w:eastAsia="Arial"/>
              </w:rPr>
            </w:pPr>
            <w:r w:rsidRPr="008819AF">
              <w:rPr>
                <w:rFonts w:eastAsia="Arial"/>
                <w:b/>
                <w:bCs/>
                <w:lang w:bidi="cs-CZ"/>
              </w:rPr>
              <w:t>Technické ustanovenia pre zariadenia a činnosti používajúce organické rozpúšťadlá</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0F7" w14:textId="77777777" w:rsidR="00236AB5" w:rsidRPr="008819AF" w:rsidRDefault="00236AB5" w:rsidP="00236AB5">
            <w:pPr>
              <w:ind w:left="215" w:hanging="215"/>
              <w:jc w:val="center"/>
              <w:rPr>
                <w:rFonts w:eastAsia="Arial"/>
                <w:lang w:bidi="cs-CZ"/>
              </w:rPr>
            </w:pP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0F8" w14:textId="77777777" w:rsidR="00236AB5" w:rsidRPr="008819AF" w:rsidRDefault="00236AB5" w:rsidP="00236AB5">
            <w:pPr>
              <w:ind w:left="215" w:hanging="215"/>
              <w:jc w:val="center"/>
              <w:rPr>
                <w:rFonts w:eastAsia="Arial"/>
                <w:lang w:bidi="cs-CZ"/>
              </w:rPr>
            </w:pPr>
          </w:p>
        </w:tc>
        <w:tc>
          <w:tcPr>
            <w:tcW w:w="879" w:type="dxa"/>
            <w:gridSpan w:val="3"/>
            <w:tcBorders>
              <w:top w:val="single" w:sz="4" w:space="0" w:color="000000"/>
              <w:left w:val="single" w:sz="6" w:space="0" w:color="000000"/>
              <w:bottom w:val="single" w:sz="4" w:space="0" w:color="000000"/>
              <w:right w:val="single" w:sz="6" w:space="0" w:color="000000"/>
            </w:tcBorders>
          </w:tcPr>
          <w:p w14:paraId="151340F9" w14:textId="77777777" w:rsidR="00236AB5" w:rsidRPr="008819AF" w:rsidRDefault="00236AB5" w:rsidP="00236AB5">
            <w:pPr>
              <w:pStyle w:val="BodyText21"/>
              <w:jc w:val="center"/>
              <w:rPr>
                <w:rFonts w:ascii="Times New Roman" w:hAnsi="Times New Roman" w:cs="Times New Roman"/>
              </w:rPr>
            </w:pPr>
          </w:p>
        </w:tc>
        <w:tc>
          <w:tcPr>
            <w:tcW w:w="4658" w:type="dxa"/>
            <w:tcBorders>
              <w:top w:val="single" w:sz="4" w:space="0" w:color="000000"/>
              <w:left w:val="single" w:sz="6" w:space="0" w:color="000000"/>
              <w:bottom w:val="single" w:sz="4" w:space="0" w:color="000000"/>
              <w:right w:val="single" w:sz="6" w:space="0" w:color="000000"/>
            </w:tcBorders>
          </w:tcPr>
          <w:p w14:paraId="151340FA" w14:textId="77777777" w:rsidR="00236AB5" w:rsidRPr="008819AF" w:rsidRDefault="00236AB5" w:rsidP="00236AB5">
            <w:pPr>
              <w:pStyle w:val="Nadpis6"/>
              <w:jc w:val="left"/>
              <w:rPr>
                <w:rFonts w:ascii="Times New Roman" w:hAnsi="Times New Roman" w:cs="Times New Roman"/>
                <w:b w:val="0"/>
                <w:bCs w:val="0"/>
                <w:sz w:val="20"/>
                <w:szCs w:val="20"/>
              </w:rPr>
            </w:pPr>
          </w:p>
        </w:tc>
        <w:tc>
          <w:tcPr>
            <w:tcW w:w="602" w:type="dxa"/>
            <w:gridSpan w:val="2"/>
            <w:tcBorders>
              <w:top w:val="single" w:sz="4" w:space="0" w:color="000000"/>
              <w:left w:val="single" w:sz="6" w:space="0" w:color="000000"/>
              <w:bottom w:val="single" w:sz="4" w:space="0" w:color="000000"/>
              <w:right w:val="single" w:sz="6" w:space="0" w:color="000000"/>
            </w:tcBorders>
          </w:tcPr>
          <w:p w14:paraId="151340FB" w14:textId="77777777" w:rsidR="00236AB5" w:rsidRPr="008819AF" w:rsidRDefault="00236AB5" w:rsidP="00236AB5">
            <w:pPr>
              <w:ind w:left="215" w:hanging="215"/>
              <w:rPr>
                <w:rFonts w:eastAsia="Arial"/>
                <w:lang w:bidi="cs-CZ"/>
              </w:rPr>
            </w:pPr>
            <w:r w:rsidRPr="008819AF">
              <w:rPr>
                <w:rFonts w:eastAsia="Arial"/>
                <w:lang w:bidi="cs-CZ"/>
              </w:rPr>
              <w:t>Ú</w:t>
            </w:r>
          </w:p>
        </w:tc>
        <w:tc>
          <w:tcPr>
            <w:tcW w:w="1352" w:type="dxa"/>
            <w:gridSpan w:val="3"/>
            <w:tcBorders>
              <w:top w:val="single" w:sz="4" w:space="0" w:color="000000"/>
              <w:left w:val="single" w:sz="6" w:space="0" w:color="000000"/>
              <w:bottom w:val="single" w:sz="4" w:space="0" w:color="000000"/>
              <w:right w:val="single" w:sz="6" w:space="0" w:color="000000"/>
            </w:tcBorders>
          </w:tcPr>
          <w:p w14:paraId="151340FC" w14:textId="77777777" w:rsidR="00236AB5" w:rsidRPr="008819AF" w:rsidRDefault="00236AB5" w:rsidP="00236AB5">
            <w:pPr>
              <w:ind w:left="215" w:hanging="215"/>
              <w:rPr>
                <w:rFonts w:eastAsia="Arial"/>
              </w:rPr>
            </w:pPr>
          </w:p>
        </w:tc>
      </w:tr>
      <w:tr w:rsidR="00236AB5" w:rsidRPr="008819AF" w14:paraId="1513410B"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0FE"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0FF" w14:textId="77777777" w:rsidR="00236AB5" w:rsidRPr="008819AF" w:rsidRDefault="00236AB5" w:rsidP="00236AB5">
            <w:pPr>
              <w:ind w:left="215" w:hanging="215"/>
              <w:rPr>
                <w:rFonts w:eastAsia="Arial"/>
                <w:lang w:bidi="cs-CZ"/>
              </w:rPr>
            </w:pPr>
            <w:r w:rsidRPr="008819AF">
              <w:rPr>
                <w:rFonts w:eastAsia="Arial"/>
                <w:lang w:bidi="cs-CZ"/>
              </w:rPr>
              <w:t>ČASŤ 1</w:t>
            </w:r>
          </w:p>
          <w:p w14:paraId="15134100" w14:textId="77777777" w:rsidR="00236AB5" w:rsidRPr="008819AF" w:rsidRDefault="00236AB5" w:rsidP="00236AB5">
            <w:pPr>
              <w:ind w:left="215" w:hanging="215"/>
              <w:rPr>
                <w:rFonts w:eastAsia="Arial"/>
                <w:i/>
                <w:iCs/>
                <w:lang w:bidi="cs-CZ"/>
              </w:rPr>
            </w:pPr>
            <w:r w:rsidRPr="008819AF">
              <w:rPr>
                <w:rFonts w:eastAsia="Arial"/>
                <w:i/>
                <w:iCs/>
                <w:lang w:bidi="cs-CZ"/>
              </w:rPr>
              <w:t>Činnosti</w:t>
            </w:r>
          </w:p>
          <w:p w14:paraId="15134101" w14:textId="77777777" w:rsidR="00236AB5" w:rsidRPr="008819AF" w:rsidRDefault="00236AB5" w:rsidP="00236AB5">
            <w:pPr>
              <w:ind w:left="215" w:hanging="215"/>
              <w:rPr>
                <w:rFonts w:eastAsia="Arial"/>
                <w:lang w:bidi="cs-CZ"/>
              </w:rPr>
            </w:pPr>
            <w:r w:rsidRPr="008819AF">
              <w:rPr>
                <w:rFonts w:eastAsia="Arial"/>
                <w:lang w:bidi="cs-CZ"/>
              </w:rPr>
              <w:t>1. V každom z nasledujúcich bodov činnosť zahŕňa aj čistenie prístrojového vybavenia, nie však čistenie výrobkov, ak nie je výslovne uvedené inak.</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02"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03"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04" w14:textId="77777777" w:rsidR="00236AB5" w:rsidRPr="008819AF" w:rsidRDefault="00236AB5" w:rsidP="00236AB5">
            <w:pPr>
              <w:jc w:val="center"/>
            </w:pPr>
            <w:r w:rsidRPr="008819AF">
              <w:t>Pr.6</w:t>
            </w:r>
          </w:p>
          <w:p w14:paraId="15134105" w14:textId="77777777" w:rsidR="00236AB5" w:rsidRPr="008819AF" w:rsidRDefault="00236AB5" w:rsidP="00236AB5">
            <w:pPr>
              <w:jc w:val="center"/>
            </w:pPr>
            <w:r w:rsidRPr="008819AF">
              <w:t>Časť I.</w:t>
            </w:r>
          </w:p>
        </w:tc>
        <w:tc>
          <w:tcPr>
            <w:tcW w:w="4658" w:type="dxa"/>
            <w:tcBorders>
              <w:top w:val="single" w:sz="4" w:space="0" w:color="000000"/>
              <w:left w:val="single" w:sz="6" w:space="0" w:color="000000"/>
              <w:bottom w:val="single" w:sz="4" w:space="0" w:color="000000"/>
              <w:right w:val="single" w:sz="6" w:space="0" w:color="000000"/>
            </w:tcBorders>
          </w:tcPr>
          <w:p w14:paraId="15134106" w14:textId="77777777" w:rsidR="00236AB5" w:rsidRPr="008819AF" w:rsidRDefault="00236AB5" w:rsidP="00236AB5">
            <w:pPr>
              <w:pStyle w:val="Nadpis1"/>
              <w:spacing w:before="0"/>
              <w:ind w:left="15" w:hanging="15"/>
              <w:jc w:val="both"/>
              <w:rPr>
                <w:rFonts w:ascii="Times New Roman" w:eastAsia="Times New Roman" w:hAnsi="Times New Roman" w:cs="Times New Roman"/>
                <w:b w:val="0"/>
                <w:bCs w:val="0"/>
                <w:sz w:val="20"/>
                <w:szCs w:val="20"/>
                <w:lang w:bidi="sk-SK"/>
              </w:rPr>
            </w:pPr>
            <w:r w:rsidRPr="008819AF">
              <w:rPr>
                <w:rFonts w:ascii="Times New Roman" w:eastAsia="Times New Roman" w:hAnsi="Times New Roman" w:cs="Times New Roman"/>
                <w:b w:val="0"/>
                <w:bCs w:val="0"/>
                <w:sz w:val="20"/>
                <w:szCs w:val="20"/>
                <w:lang w:bidi="sk-SK"/>
              </w:rPr>
              <w:t>ŠPECIFICKÉ POŽIADAVKY PRE ZARIADENIA POUŽÍVAJÚCE ORGANICKÉ  ROZPÚŠŤADLÁ</w:t>
            </w:r>
          </w:p>
          <w:p w14:paraId="15134107" w14:textId="77777777" w:rsidR="00236AB5" w:rsidRPr="008819AF" w:rsidRDefault="00236AB5" w:rsidP="00236AB5">
            <w:pPr>
              <w:ind w:firstLine="15"/>
              <w:jc w:val="both"/>
            </w:pPr>
            <w:r w:rsidRPr="008819AF">
              <w:t xml:space="preserve">I.   ZOZNAM ČINNOSTÍ </w:t>
            </w:r>
          </w:p>
          <w:p w14:paraId="15134108" w14:textId="77777777" w:rsidR="00236AB5" w:rsidRPr="008819AF" w:rsidRDefault="00236AB5" w:rsidP="00236AB5">
            <w:pPr>
              <w:ind w:left="15"/>
              <w:jc w:val="both"/>
              <w:rPr>
                <w:lang w:bidi="cs-CZ"/>
              </w:rPr>
            </w:pPr>
            <w:r w:rsidRPr="008819AF">
              <w:t xml:space="preserve">Požiadavky tejto časti platia pre zariadenia používajúce organické rozpúšťadlá, v ktorých sa vykonávajú činnosti uvedené v tabuľke. Pod uvedenú činnosť sa </w:t>
            </w:r>
            <w:r w:rsidRPr="008819AF">
              <w:lastRenderedPageBreak/>
              <w:t xml:space="preserve">zahŕňa aj čistenie nástrojov a vybavenia zariadenia (napríklad striekacích pištolí), nie však čistenie výrobkov, ak nie je ďalej uvedené inak. </w:t>
            </w:r>
          </w:p>
        </w:tc>
        <w:tc>
          <w:tcPr>
            <w:tcW w:w="602" w:type="dxa"/>
            <w:gridSpan w:val="2"/>
            <w:tcBorders>
              <w:top w:val="single" w:sz="4" w:space="0" w:color="000000"/>
              <w:left w:val="single" w:sz="6" w:space="0" w:color="000000"/>
              <w:bottom w:val="single" w:sz="4" w:space="0" w:color="000000"/>
              <w:right w:val="single" w:sz="6" w:space="0" w:color="000000"/>
            </w:tcBorders>
          </w:tcPr>
          <w:p w14:paraId="15134109" w14:textId="77777777" w:rsidR="00236AB5" w:rsidRPr="008819AF" w:rsidRDefault="00236AB5" w:rsidP="00236AB5">
            <w:pPr>
              <w:ind w:left="215" w:hanging="215"/>
              <w:rPr>
                <w:rFonts w:eastAsia="Arial"/>
                <w:lang w:bidi="cs-CZ"/>
              </w:rPr>
            </w:pPr>
            <w:r w:rsidRPr="008819AF">
              <w:rPr>
                <w:rFonts w:eastAsia="Arial"/>
                <w:lang w:bidi="cs-CZ"/>
              </w:rPr>
              <w:lastRenderedPageBreak/>
              <w:t>Ú</w:t>
            </w:r>
          </w:p>
        </w:tc>
        <w:tc>
          <w:tcPr>
            <w:tcW w:w="1352" w:type="dxa"/>
            <w:gridSpan w:val="3"/>
            <w:tcBorders>
              <w:top w:val="single" w:sz="4" w:space="0" w:color="000000"/>
              <w:left w:val="single" w:sz="6" w:space="0" w:color="000000"/>
              <w:bottom w:val="single" w:sz="4" w:space="0" w:color="000000"/>
              <w:right w:val="single" w:sz="6" w:space="0" w:color="000000"/>
            </w:tcBorders>
          </w:tcPr>
          <w:p w14:paraId="1513410A" w14:textId="77777777" w:rsidR="00236AB5" w:rsidRPr="008819AF" w:rsidRDefault="00236AB5" w:rsidP="00236AB5">
            <w:pPr>
              <w:ind w:left="215" w:hanging="215"/>
              <w:rPr>
                <w:rFonts w:eastAsia="Arial"/>
              </w:rPr>
            </w:pPr>
          </w:p>
        </w:tc>
      </w:tr>
      <w:tr w:rsidR="00236AB5" w:rsidRPr="008819AF" w14:paraId="15134117"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0C"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0D" w14:textId="77777777" w:rsidR="00236AB5" w:rsidRPr="008819AF" w:rsidRDefault="00236AB5" w:rsidP="00236AB5">
            <w:pPr>
              <w:ind w:left="215" w:hanging="215"/>
              <w:rPr>
                <w:rFonts w:eastAsia="Arial"/>
                <w:lang w:bidi="cs-CZ"/>
              </w:rPr>
            </w:pPr>
            <w:r w:rsidRPr="008819AF">
              <w:rPr>
                <w:rFonts w:eastAsia="Arial"/>
                <w:lang w:bidi="cs-CZ"/>
              </w:rPr>
              <w:t>2. Nanášanie lepidla</w:t>
            </w:r>
          </w:p>
          <w:p w14:paraId="1513410E" w14:textId="77777777" w:rsidR="00236AB5" w:rsidRPr="008819AF" w:rsidRDefault="00236AB5" w:rsidP="00236AB5">
            <w:pPr>
              <w:ind w:left="215" w:hanging="1"/>
              <w:rPr>
                <w:rFonts w:eastAsia="Arial"/>
                <w:b/>
                <w:bCs/>
                <w:lang w:bidi="cs-CZ"/>
              </w:rPr>
            </w:pPr>
            <w:r w:rsidRPr="008819AF">
              <w:rPr>
                <w:rFonts w:eastAsia="Arial"/>
                <w:lang w:bidi="cs-CZ"/>
              </w:rPr>
              <w:t>Každá činnosť, pri ktorej sa lepidlo aplikuje na nejaký povrch, s výnimkou nanášania lepidla a laminovania spojených s tlačiarenskými činnosťami.</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0F"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10"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11" w14:textId="77777777" w:rsidR="00236AB5" w:rsidRPr="008819AF" w:rsidRDefault="00236AB5" w:rsidP="00236AB5">
            <w:pPr>
              <w:jc w:val="center"/>
            </w:pPr>
            <w:r w:rsidRPr="008819AF">
              <w:t>Pr. 6</w:t>
            </w:r>
          </w:p>
          <w:p w14:paraId="15134112"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13" w14:textId="77777777" w:rsidR="00236AB5" w:rsidRPr="008819AF" w:rsidRDefault="00236AB5" w:rsidP="00236AB5">
            <w:pPr>
              <w:jc w:val="both"/>
              <w:rPr>
                <w:b/>
              </w:rPr>
            </w:pPr>
            <w:r w:rsidRPr="008819AF">
              <w:rPr>
                <w:b/>
              </w:rPr>
              <w:t>8.  NANÁŠANIE LEPIDLA (VIII)</w:t>
            </w:r>
          </w:p>
          <w:p w14:paraId="15134114" w14:textId="77777777" w:rsidR="00236AB5" w:rsidRPr="008819AF" w:rsidRDefault="00236AB5" w:rsidP="00236AB5">
            <w:pPr>
              <w:ind w:left="284"/>
              <w:jc w:val="both"/>
              <w:rPr>
                <w:lang w:bidi="cs-CZ"/>
              </w:rPr>
            </w:pPr>
            <w:r w:rsidRPr="008819AF">
              <w:t>Činnosť, pri ktorej sa aplikuje lepidlo okrem nanášania lepidla a laminovania, ktoré je súčasťou tlačiarenských činností.</w:t>
            </w:r>
          </w:p>
        </w:tc>
        <w:tc>
          <w:tcPr>
            <w:tcW w:w="602" w:type="dxa"/>
            <w:gridSpan w:val="2"/>
            <w:tcBorders>
              <w:top w:val="single" w:sz="4" w:space="0" w:color="000000"/>
              <w:left w:val="single" w:sz="6" w:space="0" w:color="000000"/>
              <w:bottom w:val="single" w:sz="4" w:space="0" w:color="000000"/>
              <w:right w:val="single" w:sz="6" w:space="0" w:color="000000"/>
            </w:tcBorders>
          </w:tcPr>
          <w:p w14:paraId="15134115"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16" w14:textId="77777777" w:rsidR="00236AB5" w:rsidRPr="008819AF" w:rsidRDefault="00236AB5" w:rsidP="00236AB5">
            <w:pPr>
              <w:ind w:left="215" w:hanging="215"/>
              <w:rPr>
                <w:rFonts w:eastAsia="Arial"/>
              </w:rPr>
            </w:pPr>
          </w:p>
        </w:tc>
      </w:tr>
      <w:tr w:rsidR="00236AB5" w:rsidRPr="008819AF" w14:paraId="1513413E"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18"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19" w14:textId="77777777" w:rsidR="00236AB5" w:rsidRPr="008819AF" w:rsidRDefault="00236AB5" w:rsidP="00236AB5">
            <w:pPr>
              <w:ind w:left="215" w:hanging="215"/>
              <w:rPr>
                <w:rFonts w:eastAsia="Arial"/>
                <w:lang w:bidi="cs-CZ"/>
              </w:rPr>
            </w:pPr>
            <w:r w:rsidRPr="008819AF">
              <w:rPr>
                <w:rFonts w:eastAsia="Arial"/>
                <w:lang w:bidi="cs-CZ"/>
              </w:rPr>
              <w:t>3. Nanášanie náterov</w:t>
            </w:r>
          </w:p>
          <w:p w14:paraId="1513411A" w14:textId="77777777" w:rsidR="00236AB5" w:rsidRPr="008819AF" w:rsidRDefault="00236AB5" w:rsidP="00236AB5">
            <w:pPr>
              <w:ind w:left="215" w:hanging="1"/>
              <w:rPr>
                <w:rFonts w:eastAsia="Arial"/>
                <w:lang w:bidi="cs-CZ"/>
              </w:rPr>
            </w:pPr>
            <w:r w:rsidRPr="008819AF">
              <w:rPr>
                <w:rFonts w:eastAsia="Arial"/>
                <w:lang w:bidi="cs-CZ"/>
              </w:rPr>
              <w:t>Každá činnosť, pri ktorej sa aplikuje jedna alebo viac súvislých vrstiev náteru na:</w:t>
            </w:r>
          </w:p>
          <w:p w14:paraId="1513411B" w14:textId="77777777" w:rsidR="00236AB5" w:rsidRPr="008819AF" w:rsidRDefault="00236AB5" w:rsidP="00236AB5">
            <w:pPr>
              <w:ind w:left="356" w:hanging="142"/>
              <w:rPr>
                <w:rFonts w:eastAsia="Arial"/>
                <w:lang w:bidi="cs-CZ"/>
              </w:rPr>
            </w:pPr>
            <w:r w:rsidRPr="008819AF">
              <w:rPr>
                <w:rFonts w:eastAsia="Arial"/>
                <w:lang w:bidi="cs-CZ"/>
              </w:rPr>
              <w:t>a) jedno z týchto vozidiel:</w:t>
            </w:r>
          </w:p>
          <w:p w14:paraId="1513411C" w14:textId="77777777" w:rsidR="00236AB5" w:rsidRPr="008819AF" w:rsidRDefault="00236AB5" w:rsidP="00236AB5">
            <w:pPr>
              <w:ind w:left="639" w:hanging="283"/>
              <w:rPr>
                <w:rFonts w:eastAsia="Arial"/>
                <w:lang w:bidi="cs-CZ"/>
              </w:rPr>
            </w:pPr>
            <w:r w:rsidRPr="008819AF">
              <w:rPr>
                <w:rFonts w:eastAsia="Arial"/>
                <w:lang w:bidi="cs-CZ"/>
              </w:rPr>
              <w:t>i)   nové autá, ktoré sú ako vozidlá M1 vymedzené v smernici Európskeho parlamentu a Rady 2007/46/ES z 5. septembra 2007, ktorou sa zriaďuje rámec pre typové schválenie motorových vozidiel a ich prípojných vozidiel, systémov, komponentov a samostatných technických jednotiek určených pre tieto vozidlá(</w:t>
            </w:r>
            <w:r w:rsidRPr="008819AF">
              <w:rPr>
                <w:rFonts w:eastAsia="Arial"/>
                <w:vertAlign w:val="superscript"/>
                <w:lang w:bidi="cs-CZ"/>
              </w:rPr>
              <w:t>1</w:t>
            </w:r>
            <w:r w:rsidRPr="008819AF">
              <w:rPr>
                <w:rFonts w:eastAsia="Arial"/>
                <w:lang w:bidi="cs-CZ"/>
              </w:rPr>
              <w:t>) , a kategórie N1, ak je na nich náter nanášaný v rovnakom zariadení ako na vozidlá M1;</w:t>
            </w:r>
          </w:p>
          <w:p w14:paraId="1513411D" w14:textId="77777777" w:rsidR="00236AB5" w:rsidRPr="008819AF" w:rsidRDefault="00236AB5" w:rsidP="00236AB5">
            <w:pPr>
              <w:ind w:left="639" w:hanging="283"/>
              <w:rPr>
                <w:rFonts w:eastAsia="Arial"/>
                <w:lang w:bidi="cs-CZ"/>
              </w:rPr>
            </w:pPr>
            <w:r w:rsidRPr="008819AF">
              <w:rPr>
                <w:rFonts w:eastAsia="Arial"/>
                <w:lang w:bidi="cs-CZ"/>
              </w:rPr>
              <w:t>ii)  kabíny nákladných automobilov, ktoré sú vymedzené ako prístrešok pre vodiča, a všetky integrované kryty pre technické vybavenie vozidiel, ktoré sú podľa smernice 2007/46/ES vymedzené ako vozidlá kategórií N2 a N3;</w:t>
            </w:r>
          </w:p>
          <w:p w14:paraId="1513411E" w14:textId="77777777" w:rsidR="00236AB5" w:rsidRPr="008819AF" w:rsidRDefault="00236AB5" w:rsidP="00236AB5">
            <w:pPr>
              <w:ind w:left="639" w:hanging="283"/>
              <w:rPr>
                <w:rFonts w:eastAsia="Arial"/>
                <w:lang w:bidi="cs-CZ"/>
              </w:rPr>
            </w:pPr>
            <w:r w:rsidRPr="008819AF">
              <w:rPr>
                <w:rFonts w:eastAsia="Arial"/>
                <w:lang w:bidi="cs-CZ"/>
              </w:rPr>
              <w:t>iii) dodávkové a nákladné automobily, ktoré sú v smernici 2007/46/ES vymedzené ako vozidlá kategórií N1, N2 a N3, s výnimkou kabín nákladných automobilov;</w:t>
            </w:r>
          </w:p>
          <w:p w14:paraId="1513411F" w14:textId="77777777" w:rsidR="00236AB5" w:rsidRPr="008819AF" w:rsidRDefault="00236AB5" w:rsidP="00236AB5">
            <w:pPr>
              <w:ind w:left="639" w:hanging="283"/>
              <w:rPr>
                <w:rFonts w:eastAsia="Arial"/>
                <w:lang w:bidi="cs-CZ"/>
              </w:rPr>
            </w:pPr>
            <w:r w:rsidRPr="008819AF">
              <w:rPr>
                <w:rFonts w:eastAsia="Arial"/>
                <w:lang w:bidi="cs-CZ"/>
              </w:rPr>
              <w:t>iv) autobusy, ktoré sú v smernici 2007/46/ES vymedzené ako vozidlá kategórií M2 a M3;</w:t>
            </w:r>
          </w:p>
          <w:p w14:paraId="15134120" w14:textId="77777777" w:rsidR="00236AB5" w:rsidRPr="008819AF" w:rsidRDefault="00236AB5" w:rsidP="00236AB5">
            <w:pPr>
              <w:ind w:left="639" w:hanging="283"/>
              <w:rPr>
                <w:rFonts w:eastAsia="Arial"/>
                <w:lang w:bidi="cs-CZ"/>
              </w:rPr>
            </w:pPr>
            <w:r w:rsidRPr="008819AF">
              <w:rPr>
                <w:rFonts w:eastAsia="Arial"/>
                <w:lang w:bidi="cs-CZ"/>
              </w:rPr>
              <w:t>v) prívesy, ktoré sú v smernici 2007/46/ES vymedzené v kategóriách O1, O2, O3 a O4;</w:t>
            </w:r>
          </w:p>
          <w:p w14:paraId="15134121" w14:textId="77777777" w:rsidR="00236AB5" w:rsidRPr="008819AF" w:rsidRDefault="00236AB5" w:rsidP="00236AB5">
            <w:pPr>
              <w:rPr>
                <w:rFonts w:eastAsia="Arial"/>
                <w:lang w:bidi="cs-CZ"/>
              </w:rPr>
            </w:pPr>
            <w:r w:rsidRPr="008819AF">
              <w:rPr>
                <w:rFonts w:eastAsia="Arial"/>
                <w:lang w:bidi="cs-CZ"/>
              </w:rPr>
              <w:t>b)povrchy kovov a plastov vrátane povrchov lietadiel, lodí, vlakov</w:t>
            </w:r>
          </w:p>
          <w:p w14:paraId="15134122" w14:textId="77777777" w:rsidR="00236AB5" w:rsidRPr="008819AF" w:rsidRDefault="00236AB5" w:rsidP="00236AB5">
            <w:pPr>
              <w:ind w:left="357"/>
              <w:rPr>
                <w:rFonts w:eastAsia="Arial"/>
                <w:lang w:bidi="cs-CZ"/>
              </w:rPr>
            </w:pPr>
            <w:r w:rsidRPr="008819AF">
              <w:rPr>
                <w:rFonts w:eastAsia="Arial"/>
                <w:lang w:bidi="cs-CZ"/>
              </w:rPr>
              <w:t>atď.;</w:t>
            </w:r>
          </w:p>
          <w:p w14:paraId="15134123" w14:textId="77777777" w:rsidR="00236AB5" w:rsidRPr="008819AF" w:rsidRDefault="00236AB5" w:rsidP="00236AB5">
            <w:pPr>
              <w:ind w:left="497" w:hanging="283"/>
              <w:rPr>
                <w:rFonts w:eastAsia="Arial"/>
                <w:lang w:bidi="cs-CZ"/>
              </w:rPr>
            </w:pPr>
            <w:r w:rsidRPr="008819AF">
              <w:rPr>
                <w:rFonts w:eastAsia="Arial"/>
                <w:lang w:bidi="cs-CZ"/>
              </w:rPr>
              <w:t>c) drevené povrchy;</w:t>
            </w:r>
          </w:p>
          <w:p w14:paraId="15134124" w14:textId="77777777" w:rsidR="00236AB5" w:rsidRPr="008819AF" w:rsidRDefault="00236AB5" w:rsidP="00236AB5">
            <w:pPr>
              <w:ind w:left="497" w:hanging="283"/>
              <w:rPr>
                <w:rFonts w:eastAsia="Arial"/>
                <w:lang w:bidi="cs-CZ"/>
              </w:rPr>
            </w:pPr>
            <w:r w:rsidRPr="008819AF">
              <w:rPr>
                <w:rFonts w:eastAsia="Arial"/>
                <w:lang w:bidi="cs-CZ"/>
              </w:rPr>
              <w:t>d) povrchy textílií, tkanín, fólií a papierové povrchy;</w:t>
            </w:r>
          </w:p>
          <w:p w14:paraId="15134125" w14:textId="77777777" w:rsidR="00236AB5" w:rsidRPr="008819AF" w:rsidRDefault="00236AB5" w:rsidP="00236AB5">
            <w:pPr>
              <w:ind w:left="497" w:hanging="283"/>
              <w:rPr>
                <w:rFonts w:eastAsia="Arial"/>
                <w:lang w:bidi="cs-CZ"/>
              </w:rPr>
            </w:pPr>
            <w:r w:rsidRPr="008819AF">
              <w:rPr>
                <w:rFonts w:eastAsia="Arial"/>
                <w:lang w:bidi="cs-CZ"/>
              </w:rPr>
              <w:t>e) koža.</w:t>
            </w:r>
          </w:p>
          <w:p w14:paraId="15134126" w14:textId="77777777" w:rsidR="00236AB5" w:rsidRPr="008819AF" w:rsidRDefault="00236AB5" w:rsidP="00236AB5">
            <w:pPr>
              <w:ind w:left="215" w:hanging="1"/>
              <w:rPr>
                <w:rFonts w:eastAsia="Arial"/>
                <w:b/>
                <w:bCs/>
                <w:lang w:bidi="cs-CZ"/>
              </w:rPr>
            </w:pPr>
            <w:r w:rsidRPr="008819AF">
              <w:rPr>
                <w:rFonts w:eastAsia="Arial"/>
                <w:lang w:bidi="cs-CZ"/>
              </w:rPr>
              <w:t xml:space="preserve">K nanášaniu náterov nepatrí nanášanie substrátov s obsahom kovov za pomoci elektroforetických a chemických nanášacích techník. Ak je súčasťou nanášania náteru aj potlač na ten istý povrch, bez ohľadu na to, aká technika sa použije, potom sa </w:t>
            </w:r>
            <w:r w:rsidRPr="008819AF">
              <w:rPr>
                <w:rFonts w:eastAsia="Arial"/>
                <w:lang w:bidi="cs-CZ"/>
              </w:rPr>
              <w:lastRenderedPageBreak/>
              <w:t>táto potlač považuje za súčasť nanášania náteru. Tlač, ktorá sa však vykonáva ako samostatná činnosť, sem nepatrí, ale môže sa na ňu vzťahovať kapitola V tejto smernice, ak tlač spadá do pôsobnosti tejto smernice.</w:t>
            </w:r>
          </w:p>
          <w:p w14:paraId="15134127" w14:textId="77777777" w:rsidR="00236AB5" w:rsidRPr="008819AF" w:rsidRDefault="00236AB5" w:rsidP="00236AB5">
            <w:pPr>
              <w:ind w:left="215" w:hanging="215"/>
              <w:rPr>
                <w:rFonts w:eastAsia="Arial"/>
                <w:b/>
                <w:bCs/>
                <w:lang w:bidi="cs-CZ"/>
              </w:rPr>
            </w:pPr>
            <w:r w:rsidRPr="008819AF">
              <w:rPr>
                <w:rFonts w:eastAsia="Arial"/>
                <w:vertAlign w:val="superscript"/>
                <w:lang w:bidi="cs-CZ"/>
              </w:rPr>
              <w:t>1</w:t>
            </w:r>
            <w:r w:rsidRPr="008819AF">
              <w:rPr>
                <w:rFonts w:eastAsia="Arial"/>
                <w:lang w:bidi="cs-CZ"/>
              </w:rPr>
              <w:t>) Ú. v. EÚ L 263, 9.10.2007, s. 1.</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28"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29"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2A" w14:textId="77777777" w:rsidR="00236AB5" w:rsidRPr="008819AF" w:rsidRDefault="00236AB5" w:rsidP="00236AB5">
            <w:pPr>
              <w:jc w:val="center"/>
            </w:pPr>
            <w:r w:rsidRPr="008819AF">
              <w:t xml:space="preserve">Pr.6 </w:t>
            </w:r>
          </w:p>
          <w:p w14:paraId="1513412B"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2C" w14:textId="77777777" w:rsidR="00236AB5" w:rsidRPr="008819AF" w:rsidRDefault="00236AB5" w:rsidP="00236AB5">
            <w:pPr>
              <w:jc w:val="both"/>
              <w:rPr>
                <w:b/>
              </w:rPr>
            </w:pPr>
            <w:r w:rsidRPr="008819AF">
              <w:rPr>
                <w:b/>
              </w:rPr>
              <w:t>4.   NANÁŠANIE NÁTEROV (IV)</w:t>
            </w:r>
          </w:p>
          <w:p w14:paraId="1513412D" w14:textId="77777777" w:rsidR="00236AB5" w:rsidRPr="008819AF" w:rsidRDefault="00236AB5" w:rsidP="00236AB5">
            <w:pPr>
              <w:pStyle w:val="Zkladntext2"/>
              <w:ind w:left="0" w:firstLine="0"/>
              <w:rPr>
                <w:rFonts w:ascii="Times New Roman" w:hAnsi="Times New Roman" w:cs="Times New Roman"/>
                <w:sz w:val="20"/>
                <w:szCs w:val="20"/>
              </w:rPr>
            </w:pPr>
            <w:r w:rsidRPr="008819AF">
              <w:rPr>
                <w:rFonts w:ascii="Times New Roman" w:hAnsi="Times New Roman" w:cs="Times New Roman"/>
                <w:sz w:val="20"/>
                <w:szCs w:val="20"/>
              </w:rPr>
              <w:t>Činnosť, pri ktorej sa aplikuje jedna alebo viac súvislých vrstiev náteru na povrch výrobku (napríklad elektroforetické a chemické procesy nanášania náterov, striekanie, navaľovanie, máčanie, polievanie a pod.). Zaraďujú sa sem tieto činnosti:</w:t>
            </w:r>
          </w:p>
          <w:p w14:paraId="1513412E" w14:textId="77777777" w:rsidR="00236AB5" w:rsidRPr="008819AF" w:rsidRDefault="00236AB5" w:rsidP="00236AB5">
            <w:pPr>
              <w:ind w:left="157" w:hanging="142"/>
              <w:jc w:val="both"/>
              <w:rPr>
                <w:strike/>
              </w:rPr>
            </w:pPr>
            <w:r w:rsidRPr="008819AF">
              <w:t xml:space="preserve">a) nanášanie náterov na povrchy kovov, plastov, textílií, tkanín, fólií a papier, </w:t>
            </w:r>
          </w:p>
          <w:p w14:paraId="1513412F" w14:textId="77777777" w:rsidR="00236AB5" w:rsidRPr="008819AF" w:rsidRDefault="00236AB5" w:rsidP="00236AB5">
            <w:pPr>
              <w:ind w:left="157" w:hanging="142"/>
              <w:jc w:val="both"/>
            </w:pPr>
            <w:r w:rsidRPr="008819AF">
              <w:t>b) nanášanie náterov na drevené povrchy,</w:t>
            </w:r>
          </w:p>
          <w:p w14:paraId="15134130" w14:textId="77777777" w:rsidR="00236AB5" w:rsidRPr="008819AF" w:rsidRDefault="00236AB5" w:rsidP="00236AB5">
            <w:pPr>
              <w:ind w:left="157" w:hanging="142"/>
              <w:jc w:val="both"/>
            </w:pPr>
            <w:r w:rsidRPr="008819AF">
              <w:t>c) nanášanie náterov na kožu.</w:t>
            </w:r>
          </w:p>
          <w:p w14:paraId="15134131" w14:textId="77777777" w:rsidR="00236AB5" w:rsidRPr="008819AF" w:rsidRDefault="00236AB5" w:rsidP="00236AB5">
            <w:pPr>
              <w:ind w:left="15"/>
              <w:jc w:val="both"/>
              <w:rPr>
                <w:rFonts w:eastAsia="Arial"/>
                <w:lang w:bidi="cs-CZ"/>
              </w:rPr>
            </w:pPr>
            <w:r w:rsidRPr="008819AF">
              <w:rPr>
                <w:rFonts w:eastAsia="Arial"/>
                <w:lang w:bidi="cs-CZ"/>
              </w:rPr>
              <w:t xml:space="preserve">Zaraďuje sa sem aj nanášanie náterov na povrchy kovov a plastov vrátane povrchov lietadiel, lodí, koľajových vozov, cestných strojov, súčiastok pre automobilový priemysel, ak ide o samostatnú výrobu, a pod. </w:t>
            </w:r>
          </w:p>
          <w:p w14:paraId="15134132" w14:textId="77777777" w:rsidR="00236AB5" w:rsidRPr="008819AF" w:rsidRDefault="00236AB5" w:rsidP="00236AB5">
            <w:pPr>
              <w:ind w:left="15"/>
              <w:jc w:val="both"/>
              <w:rPr>
                <w:rFonts w:eastAsia="Arial"/>
                <w:lang w:bidi="cs-CZ"/>
              </w:rPr>
            </w:pPr>
            <w:r w:rsidRPr="008819AF">
              <w:rPr>
                <w:rFonts w:eastAsia="Arial"/>
                <w:lang w:bidi="cs-CZ"/>
              </w:rPr>
              <w:t>Ak je súčasťou natierania aj potlač na ten istý povrch bez ohľadu na to, aká technika sa použije, potom sa táto potlač považuje za súčasť natierania. Tlačiarenské činnosti, ktoré sa vykonávajú ako samostatná činnosť, do týchto činností nepatria.</w:t>
            </w:r>
          </w:p>
          <w:p w14:paraId="15134133" w14:textId="77777777" w:rsidR="00236AB5" w:rsidRPr="008819AF" w:rsidRDefault="00236AB5" w:rsidP="00236AB5">
            <w:pPr>
              <w:ind w:left="15"/>
              <w:jc w:val="both"/>
              <w:rPr>
                <w:rFonts w:eastAsia="Arial"/>
                <w:lang w:bidi="cs-CZ"/>
              </w:rPr>
            </w:pPr>
            <w:r w:rsidRPr="008819AF">
              <w:rPr>
                <w:rFonts w:eastAsia="Arial"/>
                <w:lang w:bidi="cs-CZ"/>
              </w:rPr>
              <w:t>Do tejto činnosti sa nezahŕňa nanášanie substrátov s obsahom kovov (pokovovanie) za pomoci elektroforetických, chemických a iných nanášacích techník.</w:t>
            </w:r>
          </w:p>
          <w:p w14:paraId="15134134" w14:textId="77777777" w:rsidR="00236AB5" w:rsidRPr="008819AF" w:rsidRDefault="00236AB5" w:rsidP="00236AB5">
            <w:pPr>
              <w:pStyle w:val="Hlavika"/>
              <w:ind w:left="72" w:hanging="1"/>
              <w:rPr>
                <w:rFonts w:ascii="Times New Roman" w:hAnsi="Times New Roman" w:cs="Times New Roman"/>
                <w:lang w:bidi="cs-CZ"/>
              </w:rPr>
            </w:pPr>
          </w:p>
          <w:p w14:paraId="15134135" w14:textId="77777777" w:rsidR="00236AB5" w:rsidRPr="008819AF" w:rsidRDefault="00236AB5" w:rsidP="00236AB5">
            <w:pPr>
              <w:rPr>
                <w:b/>
              </w:rPr>
            </w:pPr>
            <w:r w:rsidRPr="008819AF">
              <w:rPr>
                <w:b/>
              </w:rPr>
              <w:t>5. NANÁŠANIE NÁTEROV NA CESTNÉ  VOZIDLÁ (V)</w:t>
            </w:r>
          </w:p>
          <w:p w14:paraId="15134136" w14:textId="77777777" w:rsidR="00236AB5" w:rsidRPr="008819AF" w:rsidRDefault="00236AB5" w:rsidP="00236AB5">
            <w:pPr>
              <w:rPr>
                <w:b/>
              </w:rPr>
            </w:pPr>
            <w:r w:rsidRPr="008819AF">
              <w:rPr>
                <w:b/>
              </w:rPr>
              <w:t>5.1.  Priemyselná výroba automobilov (Va)</w:t>
            </w:r>
          </w:p>
          <w:p w14:paraId="15134137" w14:textId="77777777" w:rsidR="00236AB5" w:rsidRPr="008819AF" w:rsidRDefault="00236AB5" w:rsidP="00236AB5">
            <w:pPr>
              <w:ind w:left="15"/>
              <w:jc w:val="both"/>
            </w:pPr>
            <w:r w:rsidRPr="008819AF">
              <w:t>Činnosť s prahovou spotrebou rozpúšťadiel ≥ 15 t/rok, pri ktorej sa aplikuje jedna alebo viac súvislých vrstiev náteru na nové vozidlá, klasifikované podľa osobitného predpisu) ako</w:t>
            </w:r>
          </w:p>
          <w:p w14:paraId="15134138" w14:textId="77777777" w:rsidR="00236AB5" w:rsidRPr="008819AF" w:rsidRDefault="00236AB5" w:rsidP="00236AB5">
            <w:pPr>
              <w:ind w:left="157" w:hanging="142"/>
              <w:jc w:val="both"/>
            </w:pPr>
            <w:r w:rsidRPr="008819AF">
              <w:t xml:space="preserve">1. osobné automobily ako vozidlá kategórie M1, vrátane vozidiel kategórie N1, ak sú natierané v tom </w:t>
            </w:r>
            <w:r w:rsidRPr="008819AF">
              <w:lastRenderedPageBreak/>
              <w:t>istom zariadení ako vozidlá kategórie M1,</w:t>
            </w:r>
          </w:p>
          <w:p w14:paraId="15134139" w14:textId="77777777" w:rsidR="00236AB5" w:rsidRPr="008819AF" w:rsidRDefault="00236AB5" w:rsidP="00236AB5">
            <w:pPr>
              <w:ind w:left="157" w:hanging="142"/>
              <w:jc w:val="both"/>
            </w:pPr>
            <w:r w:rsidRPr="008819AF">
              <w:t>2. kabíny nákladných automobilov ako kabíny pre vodiča a všetky integrované kryty pre technické vybavenie vozidiel ako vozidlá kategórií N2 a N3,</w:t>
            </w:r>
          </w:p>
          <w:p w14:paraId="1513413A" w14:textId="77777777" w:rsidR="00236AB5" w:rsidRPr="008819AF" w:rsidRDefault="00236AB5" w:rsidP="00236AB5">
            <w:pPr>
              <w:ind w:left="157" w:hanging="142"/>
              <w:jc w:val="both"/>
            </w:pPr>
            <w:r w:rsidRPr="008819AF">
              <w:t>3. dodávkové a nákladné automobily ako vozidlá kategórií N1, N2 a N3, s výnimkou kabín nákladných automobilov,</w:t>
            </w:r>
          </w:p>
          <w:p w14:paraId="1513413B" w14:textId="77777777" w:rsidR="00236AB5" w:rsidRPr="008819AF" w:rsidRDefault="00236AB5" w:rsidP="00236AB5">
            <w:pPr>
              <w:ind w:left="157" w:hanging="142"/>
              <w:jc w:val="both"/>
              <w:rPr>
                <w:lang w:bidi="cs-CZ"/>
              </w:rPr>
            </w:pPr>
            <w:r w:rsidRPr="008819AF">
              <w:t>4. autobusy, trolejbusy ako vozidlá kategórií M2 a M3.</w:t>
            </w:r>
          </w:p>
        </w:tc>
        <w:tc>
          <w:tcPr>
            <w:tcW w:w="602" w:type="dxa"/>
            <w:gridSpan w:val="2"/>
            <w:tcBorders>
              <w:top w:val="single" w:sz="4" w:space="0" w:color="000000"/>
              <w:left w:val="single" w:sz="6" w:space="0" w:color="000000"/>
              <w:bottom w:val="single" w:sz="4" w:space="0" w:color="000000"/>
              <w:right w:val="single" w:sz="6" w:space="0" w:color="000000"/>
            </w:tcBorders>
          </w:tcPr>
          <w:p w14:paraId="1513413C"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3D" w14:textId="77777777" w:rsidR="00236AB5" w:rsidRPr="008819AF" w:rsidRDefault="00236AB5" w:rsidP="00236AB5">
            <w:pPr>
              <w:ind w:left="215" w:hanging="215"/>
              <w:rPr>
                <w:rFonts w:eastAsia="Arial"/>
              </w:rPr>
            </w:pPr>
          </w:p>
        </w:tc>
      </w:tr>
      <w:tr w:rsidR="00236AB5" w:rsidRPr="008819AF" w14:paraId="1513414A"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3F"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40" w14:textId="77777777" w:rsidR="00236AB5" w:rsidRPr="008819AF" w:rsidRDefault="00236AB5" w:rsidP="00236AB5">
            <w:pPr>
              <w:ind w:left="215" w:hanging="215"/>
              <w:rPr>
                <w:rFonts w:eastAsia="Arial"/>
                <w:lang w:bidi="cs-CZ"/>
              </w:rPr>
            </w:pPr>
            <w:r w:rsidRPr="008819AF">
              <w:rPr>
                <w:rFonts w:eastAsia="Arial"/>
                <w:lang w:bidi="cs-CZ"/>
              </w:rPr>
              <w:t>4. Natieranie zvitkov</w:t>
            </w:r>
          </w:p>
          <w:p w14:paraId="15134141" w14:textId="77777777" w:rsidR="00236AB5" w:rsidRPr="008819AF" w:rsidRDefault="00236AB5" w:rsidP="00236AB5">
            <w:pPr>
              <w:ind w:left="215" w:hanging="1"/>
              <w:rPr>
                <w:rFonts w:eastAsia="Arial"/>
                <w:b/>
                <w:bCs/>
                <w:lang w:bidi="cs-CZ"/>
              </w:rPr>
            </w:pPr>
            <w:r w:rsidRPr="008819AF">
              <w:rPr>
                <w:rFonts w:eastAsia="Arial"/>
                <w:lang w:bidi="cs-CZ"/>
              </w:rPr>
              <w:t>Každá činnosť, pri ktorej sa nepretržite natiera stočená/zvinutá oceľ, nehrdzavejúca oceľ, oceľ s nanesenou vrstvou, zliatiny medi alebo hliníkové pásy plechu náterom, ktorý vytvára na povrchu film alebo vrstvy.</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42"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43"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44" w14:textId="77777777" w:rsidR="00236AB5" w:rsidRPr="008819AF" w:rsidRDefault="00236AB5" w:rsidP="00236AB5">
            <w:pPr>
              <w:jc w:val="center"/>
            </w:pPr>
            <w:r w:rsidRPr="008819AF">
              <w:t xml:space="preserve">Pr.6 </w:t>
            </w:r>
          </w:p>
          <w:p w14:paraId="15134145"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46" w14:textId="77777777" w:rsidR="00236AB5" w:rsidRPr="008819AF" w:rsidRDefault="00236AB5" w:rsidP="00236AB5">
            <w:pPr>
              <w:ind w:left="15" w:hanging="15"/>
              <w:jc w:val="both"/>
              <w:rPr>
                <w:b/>
              </w:rPr>
            </w:pPr>
            <w:r w:rsidRPr="008819AF">
              <w:rPr>
                <w:b/>
              </w:rPr>
              <w:t xml:space="preserve">6. NANÁŠANIE NÁTEROV NA NAVÍJANÉ PÁSY Z KOVOVÝCH MATERIÁLOV (VI)  </w:t>
            </w:r>
          </w:p>
          <w:p w14:paraId="15134147" w14:textId="77777777" w:rsidR="00236AB5" w:rsidRPr="008819AF" w:rsidRDefault="00236AB5" w:rsidP="00236AB5">
            <w:pPr>
              <w:ind w:left="17"/>
              <w:jc w:val="both"/>
              <w:rPr>
                <w:lang w:bidi="cs-CZ"/>
              </w:rPr>
            </w:pPr>
            <w:r w:rsidRPr="008819AF">
              <w:t>Činnosť, pri ktorej sa na navíjaný pás z ocele, nehrdzavejúcej ocele, ocele s nanesenou vrstvou zliatiny medi alebo hliníka kontinuálne nanáša súvislý náter, ktorý vytvára na povrchu film alebo vrstvy.</w:t>
            </w:r>
          </w:p>
        </w:tc>
        <w:tc>
          <w:tcPr>
            <w:tcW w:w="602" w:type="dxa"/>
            <w:gridSpan w:val="2"/>
            <w:tcBorders>
              <w:top w:val="single" w:sz="4" w:space="0" w:color="000000"/>
              <w:left w:val="single" w:sz="6" w:space="0" w:color="000000"/>
              <w:bottom w:val="single" w:sz="4" w:space="0" w:color="000000"/>
              <w:right w:val="single" w:sz="6" w:space="0" w:color="000000"/>
            </w:tcBorders>
          </w:tcPr>
          <w:p w14:paraId="15134148"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49" w14:textId="77777777" w:rsidR="00236AB5" w:rsidRPr="008819AF" w:rsidRDefault="00236AB5" w:rsidP="00236AB5">
            <w:pPr>
              <w:ind w:left="215" w:hanging="215"/>
              <w:rPr>
                <w:rFonts w:eastAsia="Arial"/>
              </w:rPr>
            </w:pPr>
          </w:p>
        </w:tc>
      </w:tr>
      <w:tr w:rsidR="00236AB5" w:rsidRPr="008819AF" w14:paraId="15134156"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4B"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4C" w14:textId="77777777" w:rsidR="00236AB5" w:rsidRPr="008819AF" w:rsidRDefault="00236AB5" w:rsidP="00236AB5">
            <w:pPr>
              <w:ind w:left="215" w:hanging="215"/>
              <w:rPr>
                <w:rFonts w:eastAsia="Arial"/>
                <w:lang w:bidi="cs-CZ"/>
              </w:rPr>
            </w:pPr>
            <w:r w:rsidRPr="008819AF">
              <w:rPr>
                <w:rFonts w:eastAsia="Arial"/>
                <w:lang w:bidi="cs-CZ"/>
              </w:rPr>
              <w:t>. Chemické čistenie/čistenie za sucha</w:t>
            </w:r>
          </w:p>
          <w:p w14:paraId="1513414D" w14:textId="77777777" w:rsidR="00236AB5" w:rsidRPr="008819AF" w:rsidRDefault="00236AB5" w:rsidP="00236AB5">
            <w:pPr>
              <w:ind w:left="215" w:hanging="1"/>
              <w:rPr>
                <w:rFonts w:eastAsia="Arial"/>
                <w:lang w:bidi="cs-CZ"/>
              </w:rPr>
            </w:pPr>
            <w:r w:rsidRPr="008819AF">
              <w:rPr>
                <w:rFonts w:eastAsia="Arial"/>
                <w:lang w:bidi="cs-CZ"/>
              </w:rPr>
              <w:t>Každá priemyselná alebo komerčná činnosť, pri ktorej sa v zariadení používajú prchavé organické zlúčeniny na čistenie odevov, bytového textilu a podobného spotrebiteľského tovaru, s výnimkou ručného odstraňovania škvŕn a fľakov v textilnom a odevnom priemysle.</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4E"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4F"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50" w14:textId="77777777" w:rsidR="00236AB5" w:rsidRPr="008819AF" w:rsidRDefault="00236AB5" w:rsidP="00236AB5">
            <w:pPr>
              <w:jc w:val="center"/>
            </w:pPr>
            <w:r w:rsidRPr="008819AF">
              <w:t xml:space="preserve">Pr.6 </w:t>
            </w:r>
          </w:p>
          <w:p w14:paraId="15134151"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52" w14:textId="77777777" w:rsidR="00236AB5" w:rsidRPr="008819AF" w:rsidRDefault="00236AB5" w:rsidP="00236AB5">
            <w:pPr>
              <w:ind w:left="215" w:hanging="215"/>
              <w:jc w:val="both"/>
              <w:rPr>
                <w:b/>
                <w:lang w:eastAsia="cs-CZ"/>
              </w:rPr>
            </w:pPr>
            <w:r w:rsidRPr="008819AF">
              <w:rPr>
                <w:b/>
                <w:lang w:eastAsia="cs-CZ"/>
              </w:rPr>
              <w:t>3. CHEMICKÉ ČISTENIE (III)</w:t>
            </w:r>
          </w:p>
          <w:p w14:paraId="15134153" w14:textId="77777777" w:rsidR="00236AB5" w:rsidRPr="008819AF" w:rsidRDefault="00236AB5" w:rsidP="00236AB5">
            <w:pPr>
              <w:tabs>
                <w:tab w:val="left" w:pos="426"/>
              </w:tabs>
              <w:jc w:val="both"/>
              <w:rPr>
                <w:lang w:bidi="cs-CZ"/>
              </w:rPr>
            </w:pPr>
            <w:r w:rsidRPr="008819AF">
              <w:rPr>
                <w:lang w:eastAsia="cs-CZ"/>
              </w:rPr>
              <w:t>Priemyselná alebo komerčná činnosť, pri ktorej sa v zariadení používajú prchavé organické zlúčeniny na čistenie odevov, bytového textilu a podobného spotrebiteľského tovaru okrem ručného odstraňovania škvŕn a fľakov v textilnom a odevnom priemysle.</w:t>
            </w:r>
          </w:p>
        </w:tc>
        <w:tc>
          <w:tcPr>
            <w:tcW w:w="602" w:type="dxa"/>
            <w:gridSpan w:val="2"/>
            <w:tcBorders>
              <w:top w:val="single" w:sz="4" w:space="0" w:color="000000"/>
              <w:left w:val="single" w:sz="6" w:space="0" w:color="000000"/>
              <w:bottom w:val="single" w:sz="4" w:space="0" w:color="000000"/>
              <w:right w:val="single" w:sz="6" w:space="0" w:color="000000"/>
            </w:tcBorders>
          </w:tcPr>
          <w:p w14:paraId="15134154"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55" w14:textId="77777777" w:rsidR="00236AB5" w:rsidRPr="008819AF" w:rsidRDefault="00236AB5" w:rsidP="00236AB5">
            <w:pPr>
              <w:ind w:left="215" w:hanging="215"/>
              <w:rPr>
                <w:rFonts w:eastAsia="Arial"/>
              </w:rPr>
            </w:pPr>
          </w:p>
        </w:tc>
      </w:tr>
      <w:tr w:rsidR="00236AB5" w:rsidRPr="008819AF" w14:paraId="15134163"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57"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58" w14:textId="77777777" w:rsidR="00236AB5" w:rsidRPr="008819AF" w:rsidRDefault="00236AB5" w:rsidP="00236AB5">
            <w:pPr>
              <w:ind w:left="215" w:hanging="215"/>
              <w:rPr>
                <w:rFonts w:eastAsia="Arial"/>
                <w:lang w:bidi="cs-CZ"/>
              </w:rPr>
            </w:pPr>
            <w:r w:rsidRPr="008819AF">
              <w:rPr>
                <w:rFonts w:eastAsia="Arial"/>
                <w:lang w:bidi="cs-CZ"/>
              </w:rPr>
              <w:t>6. Výroba obuvi</w:t>
            </w:r>
          </w:p>
          <w:p w14:paraId="15134159" w14:textId="77777777" w:rsidR="00236AB5" w:rsidRPr="008819AF" w:rsidRDefault="00236AB5" w:rsidP="00236AB5">
            <w:pPr>
              <w:ind w:left="215" w:hanging="1"/>
              <w:rPr>
                <w:rFonts w:eastAsia="Arial"/>
                <w:lang w:bidi="cs-CZ"/>
              </w:rPr>
            </w:pPr>
            <w:r w:rsidRPr="008819AF">
              <w:rPr>
                <w:rFonts w:eastAsia="Arial"/>
                <w:lang w:bidi="cs-CZ"/>
              </w:rPr>
              <w:t>Každá činnosť na výrobu celej obuvi alebo častí obuvi.</w:t>
            </w:r>
          </w:p>
          <w:p w14:paraId="1513415A" w14:textId="77777777" w:rsidR="00236AB5" w:rsidRPr="008819AF" w:rsidRDefault="00236AB5" w:rsidP="00236AB5">
            <w:pPr>
              <w:rPr>
                <w:rFonts w:eastAsia="Arial"/>
                <w:lang w:bidi="cs-CZ"/>
              </w:rPr>
            </w:pP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5B"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5C"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5D" w14:textId="77777777" w:rsidR="00236AB5" w:rsidRPr="008819AF" w:rsidRDefault="00236AB5" w:rsidP="00236AB5">
            <w:pPr>
              <w:jc w:val="center"/>
            </w:pPr>
            <w:r w:rsidRPr="008819AF">
              <w:t xml:space="preserve">Pr.6 </w:t>
            </w:r>
          </w:p>
          <w:p w14:paraId="1513415E"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5F" w14:textId="77777777" w:rsidR="00236AB5" w:rsidRPr="008819AF" w:rsidRDefault="00236AB5" w:rsidP="00236AB5">
            <w:pPr>
              <w:ind w:left="215" w:hanging="215"/>
              <w:jc w:val="both"/>
              <w:rPr>
                <w:b/>
                <w:lang w:eastAsia="cs-CZ"/>
              </w:rPr>
            </w:pPr>
            <w:r w:rsidRPr="008819AF">
              <w:rPr>
                <w:b/>
                <w:lang w:eastAsia="cs-CZ"/>
              </w:rPr>
              <w:t>9. VÝROBA OBUVI (IX)</w:t>
            </w:r>
          </w:p>
          <w:p w14:paraId="15134160" w14:textId="77777777" w:rsidR="00236AB5" w:rsidRPr="008819AF" w:rsidRDefault="00236AB5" w:rsidP="00236AB5">
            <w:pPr>
              <w:ind w:left="15"/>
              <w:jc w:val="both"/>
              <w:rPr>
                <w:lang w:bidi="cs-CZ"/>
              </w:rPr>
            </w:pPr>
            <w:r w:rsidRPr="008819AF">
              <w:rPr>
                <w:lang w:eastAsia="cs-CZ"/>
              </w:rPr>
              <w:t>Činnosť na výrobu celej obuvi alebo častí obuvi.</w:t>
            </w:r>
          </w:p>
        </w:tc>
        <w:tc>
          <w:tcPr>
            <w:tcW w:w="602" w:type="dxa"/>
            <w:gridSpan w:val="2"/>
            <w:tcBorders>
              <w:top w:val="single" w:sz="4" w:space="0" w:color="000000"/>
              <w:left w:val="single" w:sz="6" w:space="0" w:color="000000"/>
              <w:bottom w:val="single" w:sz="4" w:space="0" w:color="000000"/>
              <w:right w:val="single" w:sz="6" w:space="0" w:color="000000"/>
            </w:tcBorders>
          </w:tcPr>
          <w:p w14:paraId="15134161"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62" w14:textId="77777777" w:rsidR="00236AB5" w:rsidRPr="008819AF" w:rsidRDefault="00236AB5" w:rsidP="00236AB5">
            <w:pPr>
              <w:ind w:left="215" w:hanging="215"/>
              <w:rPr>
                <w:rFonts w:eastAsia="Arial"/>
              </w:rPr>
            </w:pPr>
          </w:p>
        </w:tc>
      </w:tr>
      <w:tr w:rsidR="00236AB5" w:rsidRPr="008819AF" w14:paraId="1513416F"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64"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65" w14:textId="77777777" w:rsidR="00236AB5" w:rsidRPr="008819AF" w:rsidRDefault="00236AB5" w:rsidP="00236AB5">
            <w:pPr>
              <w:ind w:left="215" w:hanging="215"/>
              <w:rPr>
                <w:rFonts w:eastAsia="Arial"/>
                <w:lang w:bidi="cs-CZ"/>
              </w:rPr>
            </w:pPr>
            <w:r w:rsidRPr="008819AF">
              <w:rPr>
                <w:rFonts w:eastAsia="Arial"/>
                <w:lang w:bidi="cs-CZ"/>
              </w:rPr>
              <w:t>7. Výroba náterových zmesí, lakov, tlačiarenských farieb a lepidiel</w:t>
            </w:r>
          </w:p>
          <w:p w14:paraId="15134166" w14:textId="77777777" w:rsidR="00236AB5" w:rsidRPr="008819AF" w:rsidRDefault="00236AB5" w:rsidP="00236AB5">
            <w:pPr>
              <w:ind w:left="215" w:hanging="1"/>
              <w:rPr>
                <w:rFonts w:eastAsia="Arial"/>
                <w:lang w:bidi="cs-CZ"/>
              </w:rPr>
            </w:pPr>
            <w:r w:rsidRPr="008819AF">
              <w:rPr>
                <w:rFonts w:eastAsia="Arial"/>
                <w:lang w:bidi="cs-CZ"/>
              </w:rPr>
              <w:t>Výroba vyššie uvedených konečných produktov a medziproduktov, ak sa vyrábajú na tom istom mieste, zmiešavaním farbív, živíc a adhéznych materiálov s organickými rozpúšťadlami alebo inými nosičmi vrátane disperzných a preddisperzných činností, úprav viskozity a farebných odtieňov a plnenia konečných produktov do obalov.</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67"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68"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69" w14:textId="77777777" w:rsidR="00236AB5" w:rsidRPr="008819AF" w:rsidRDefault="00236AB5" w:rsidP="00236AB5">
            <w:pPr>
              <w:jc w:val="center"/>
            </w:pPr>
            <w:r w:rsidRPr="008819AF">
              <w:t xml:space="preserve">Pr.6 </w:t>
            </w:r>
          </w:p>
          <w:p w14:paraId="1513416A"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6B" w14:textId="77777777" w:rsidR="00236AB5" w:rsidRPr="008819AF" w:rsidRDefault="00236AB5" w:rsidP="00236AB5">
            <w:pPr>
              <w:tabs>
                <w:tab w:val="left" w:pos="356"/>
              </w:tabs>
              <w:jc w:val="both"/>
              <w:rPr>
                <w:b/>
                <w:lang w:eastAsia="cs-CZ"/>
              </w:rPr>
            </w:pPr>
            <w:r w:rsidRPr="008819AF">
              <w:rPr>
                <w:b/>
                <w:lang w:eastAsia="cs-CZ"/>
              </w:rPr>
              <w:t>10. VÝROBA NÁTEROVÝCH ZMESÍ, LAKOV, TLAČIARENSKÝCH FARIEB A LEPIDIEL (X)</w:t>
            </w:r>
          </w:p>
          <w:p w14:paraId="1513416C" w14:textId="77777777" w:rsidR="00236AB5" w:rsidRPr="008819AF" w:rsidRDefault="00236AB5" w:rsidP="00236AB5">
            <w:pPr>
              <w:pStyle w:val="Hlavika"/>
              <w:ind w:left="72" w:hanging="1"/>
              <w:rPr>
                <w:rFonts w:ascii="Times New Roman" w:hAnsi="Times New Roman" w:cs="Times New Roman"/>
                <w:lang w:bidi="cs-CZ"/>
              </w:rPr>
            </w:pPr>
            <w:r w:rsidRPr="008819AF">
              <w:rPr>
                <w:rFonts w:ascii="Times New Roman" w:hAnsi="Times New Roman" w:cs="Times New Roman"/>
                <w:lang w:eastAsia="cs-CZ"/>
              </w:rPr>
              <w:t>Výroba uvedených konečných produktov a medziproduktov, ak sa vyrábajú na tom istom mieste zmiešaním farbív, živíc a adhéznych materiálov s organickými rozpúšťadlami alebo inými nosičmi vrátane procesu dispergovania a prípravných preddispergačných aktivít, vrátane úprav viskozity, farebných odtieňov a plnenia konečných produktov do obalov</w:t>
            </w:r>
          </w:p>
        </w:tc>
        <w:tc>
          <w:tcPr>
            <w:tcW w:w="602" w:type="dxa"/>
            <w:gridSpan w:val="2"/>
            <w:tcBorders>
              <w:top w:val="single" w:sz="4" w:space="0" w:color="000000"/>
              <w:left w:val="single" w:sz="6" w:space="0" w:color="000000"/>
              <w:bottom w:val="single" w:sz="4" w:space="0" w:color="000000"/>
              <w:right w:val="single" w:sz="6" w:space="0" w:color="000000"/>
            </w:tcBorders>
          </w:tcPr>
          <w:p w14:paraId="1513416D"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6E" w14:textId="77777777" w:rsidR="00236AB5" w:rsidRPr="008819AF" w:rsidRDefault="00236AB5" w:rsidP="00236AB5">
            <w:pPr>
              <w:ind w:left="215" w:hanging="215"/>
              <w:rPr>
                <w:rFonts w:eastAsia="Arial"/>
              </w:rPr>
            </w:pPr>
          </w:p>
        </w:tc>
      </w:tr>
      <w:tr w:rsidR="00236AB5" w:rsidRPr="008819AF" w14:paraId="1513417B"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70"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71" w14:textId="77777777" w:rsidR="00236AB5" w:rsidRPr="008819AF" w:rsidRDefault="00236AB5" w:rsidP="00236AB5">
            <w:pPr>
              <w:ind w:left="215" w:hanging="215"/>
              <w:rPr>
                <w:rFonts w:eastAsia="Arial"/>
                <w:lang w:bidi="cs-CZ"/>
              </w:rPr>
            </w:pPr>
            <w:r w:rsidRPr="008819AF">
              <w:rPr>
                <w:rFonts w:eastAsia="Arial"/>
                <w:lang w:bidi="cs-CZ"/>
              </w:rPr>
              <w:t>8. Výroba farmaceutických výrobkov</w:t>
            </w:r>
          </w:p>
          <w:p w14:paraId="15134172" w14:textId="77777777" w:rsidR="00236AB5" w:rsidRPr="008819AF" w:rsidRDefault="00236AB5" w:rsidP="00236AB5">
            <w:pPr>
              <w:ind w:left="215" w:hanging="215"/>
              <w:rPr>
                <w:rFonts w:eastAsia="Arial"/>
                <w:b/>
                <w:bCs/>
                <w:lang w:bidi="cs-CZ"/>
              </w:rPr>
            </w:pPr>
            <w:r w:rsidRPr="008819AF">
              <w:rPr>
                <w:rFonts w:eastAsia="Arial"/>
                <w:lang w:bidi="cs-CZ"/>
              </w:rPr>
              <w:t>Chemická syntéza, fermentácia (kvasenie), extrakcia, príprava a konečná úprava farmaceutických výrobkov a výroba medziproduktov, ak sú vyrábané na tom istom mieste</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73"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74"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75" w14:textId="77777777" w:rsidR="00236AB5" w:rsidRPr="008819AF" w:rsidRDefault="00236AB5" w:rsidP="00236AB5">
            <w:pPr>
              <w:jc w:val="center"/>
            </w:pPr>
            <w:r w:rsidRPr="008819AF">
              <w:t xml:space="preserve">Pr.6 </w:t>
            </w:r>
          </w:p>
          <w:p w14:paraId="15134176"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77" w14:textId="77777777" w:rsidR="00236AB5" w:rsidRPr="008819AF" w:rsidRDefault="00236AB5" w:rsidP="00236AB5">
            <w:pPr>
              <w:rPr>
                <w:b/>
                <w:lang w:eastAsia="cs-CZ"/>
              </w:rPr>
            </w:pPr>
            <w:r w:rsidRPr="008819AF">
              <w:rPr>
                <w:b/>
                <w:lang w:eastAsia="cs-CZ"/>
              </w:rPr>
              <w:t>11. VÝROBA FARMACEUTICKÝCH VÝROBKOV (XI)</w:t>
            </w:r>
          </w:p>
          <w:p w14:paraId="15134178" w14:textId="77777777" w:rsidR="00236AB5" w:rsidRPr="008819AF" w:rsidRDefault="00236AB5" w:rsidP="00236AB5">
            <w:pPr>
              <w:jc w:val="both"/>
              <w:rPr>
                <w:lang w:bidi="cs-CZ"/>
              </w:rPr>
            </w:pPr>
            <w:r w:rsidRPr="008819AF">
              <w:rPr>
                <w:lang w:eastAsia="cs-CZ"/>
              </w:rPr>
              <w:t>Chemická syntéza, fermentácia, extrakcia, príprava a konečná úprava farmaceutických výrobkov a výroba medziproduktov, ak sa vyrábajú na tom istom mieste.</w:t>
            </w:r>
          </w:p>
        </w:tc>
        <w:tc>
          <w:tcPr>
            <w:tcW w:w="602" w:type="dxa"/>
            <w:gridSpan w:val="2"/>
            <w:tcBorders>
              <w:top w:val="single" w:sz="4" w:space="0" w:color="000000"/>
              <w:left w:val="single" w:sz="6" w:space="0" w:color="000000"/>
              <w:bottom w:val="single" w:sz="4" w:space="0" w:color="000000"/>
              <w:right w:val="single" w:sz="6" w:space="0" w:color="000000"/>
            </w:tcBorders>
          </w:tcPr>
          <w:p w14:paraId="15134179"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7A" w14:textId="77777777" w:rsidR="00236AB5" w:rsidRPr="008819AF" w:rsidRDefault="00236AB5" w:rsidP="00236AB5">
            <w:pPr>
              <w:ind w:left="215" w:hanging="215"/>
              <w:rPr>
                <w:rFonts w:eastAsia="Arial"/>
              </w:rPr>
            </w:pPr>
          </w:p>
        </w:tc>
      </w:tr>
      <w:tr w:rsidR="00236AB5" w:rsidRPr="008819AF" w14:paraId="15134196"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7C"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7D" w14:textId="77777777" w:rsidR="00236AB5" w:rsidRPr="008819AF" w:rsidRDefault="00236AB5" w:rsidP="00236AB5">
            <w:pPr>
              <w:ind w:left="215" w:hanging="215"/>
              <w:rPr>
                <w:rFonts w:eastAsia="Arial"/>
                <w:lang w:bidi="cs-CZ"/>
              </w:rPr>
            </w:pPr>
            <w:r w:rsidRPr="008819AF">
              <w:rPr>
                <w:rFonts w:eastAsia="Arial"/>
                <w:lang w:bidi="cs-CZ"/>
              </w:rPr>
              <w:t>9. Tlač</w:t>
            </w:r>
          </w:p>
          <w:p w14:paraId="1513417E" w14:textId="77777777" w:rsidR="00236AB5" w:rsidRPr="008819AF" w:rsidRDefault="00236AB5" w:rsidP="00236AB5">
            <w:pPr>
              <w:ind w:left="215" w:hanging="1"/>
              <w:rPr>
                <w:rFonts w:eastAsia="Arial"/>
                <w:lang w:bidi="cs-CZ"/>
              </w:rPr>
            </w:pPr>
            <w:r w:rsidRPr="008819AF">
              <w:rPr>
                <w:rFonts w:eastAsia="Arial"/>
                <w:lang w:bidi="cs-CZ"/>
              </w:rPr>
              <w:t>Každá činnosť súvisiaca s reprodukciou textu a/alebo obrazov, pri ktorej sa tlačiarenská farba nanáša na akýkoľvek druh povrchu za použitia nosiča obrazu. Sem patria s tým súvisiace lakovacie, náterové a laminačné techniky. Kapitola V sa však vzťahuje len na tieto procesy:</w:t>
            </w:r>
          </w:p>
          <w:p w14:paraId="1513417F" w14:textId="77777777" w:rsidR="00236AB5" w:rsidRPr="008819AF" w:rsidRDefault="00236AB5" w:rsidP="00236AB5">
            <w:pPr>
              <w:ind w:left="215" w:hanging="215"/>
              <w:rPr>
                <w:rFonts w:eastAsia="Arial"/>
                <w:lang w:bidi="cs-CZ"/>
              </w:rPr>
            </w:pPr>
            <w:r w:rsidRPr="008819AF">
              <w:rPr>
                <w:rFonts w:eastAsia="Arial"/>
                <w:lang w:bidi="cs-CZ"/>
              </w:rPr>
              <w:t>a) flexografia – tlačiarenská činnosť, ktorá ako nosič obrazu využíva gumu alebo elastické fotopolyméry a pri ktorej sú tlačiace plochy nad netlačiacimi plochami za použitia tekutých tlačiarenských farieb schnúcich odparovaním;</w:t>
            </w:r>
          </w:p>
          <w:p w14:paraId="15134180" w14:textId="77777777" w:rsidR="00236AB5" w:rsidRPr="008819AF" w:rsidRDefault="00236AB5" w:rsidP="00236AB5">
            <w:pPr>
              <w:ind w:left="215" w:hanging="215"/>
              <w:rPr>
                <w:rFonts w:eastAsia="Arial"/>
                <w:lang w:bidi="cs-CZ"/>
              </w:rPr>
            </w:pPr>
            <w:r w:rsidRPr="008819AF">
              <w:rPr>
                <w:rFonts w:eastAsia="Arial"/>
                <w:lang w:bidi="cs-CZ"/>
              </w:rPr>
              <w:t>b) ofsetová kotúčová tlač – za použitia farieb schnúcich teplom – kotúčová tlač využívajúca nosič obrazu, pri ktorom sú tlačiaca a netlačiaca plocha v tej istej rovine, pričom kotúčová znamená, že materiál, na ktorý sa tlačí, je podávaný do stroja z kotúča na rozdiel od samostatných hárkov. Netlačiaca plocha je upravená hydrofilizáciou tak, aby nasávala vodu a neprijímala tlačiarenskú farbu. Tlačiaca plocha je upravená tak, aby prijímala a prenášala tlačiarenskú farbu na povrch, na ktorý sa tlačí. K odparovaniu dochádza v sušiacom tuneli, kde sa na sušenie tlačeného materiálu používa teplý vzduch;</w:t>
            </w:r>
          </w:p>
          <w:p w14:paraId="15134181" w14:textId="77777777" w:rsidR="00236AB5" w:rsidRPr="008819AF" w:rsidRDefault="00236AB5" w:rsidP="00236AB5">
            <w:pPr>
              <w:ind w:left="215" w:hanging="215"/>
              <w:rPr>
                <w:rFonts w:eastAsia="Arial"/>
                <w:lang w:bidi="cs-CZ"/>
              </w:rPr>
            </w:pPr>
            <w:r w:rsidRPr="008819AF">
              <w:rPr>
                <w:rFonts w:eastAsia="Arial"/>
                <w:lang w:bidi="cs-CZ"/>
              </w:rPr>
              <w:t>c) laminovanie súvisiace s tlačou – spájanie dvoch alebo viacerých pružných materiálov, aby sa vytvorili vrstvy;</w:t>
            </w:r>
          </w:p>
          <w:p w14:paraId="15134182" w14:textId="77777777" w:rsidR="00236AB5" w:rsidRPr="008819AF" w:rsidRDefault="00236AB5" w:rsidP="00236AB5">
            <w:pPr>
              <w:ind w:left="215" w:hanging="215"/>
              <w:rPr>
                <w:rFonts w:eastAsia="Arial"/>
                <w:lang w:bidi="cs-CZ"/>
              </w:rPr>
            </w:pPr>
            <w:r w:rsidRPr="008819AF">
              <w:rPr>
                <w:rFonts w:eastAsia="Arial"/>
                <w:lang w:bidi="cs-CZ"/>
              </w:rPr>
              <w:t>d) publikačná rotačná hĺbkotlač – rotačná hĺbkotlač používaná na tlač papiera pre časopisy, brožúrky, katalógy alebo podobné výrobky za použitia tlačiarenských farieb na báze toluénu;</w:t>
            </w:r>
          </w:p>
          <w:p w14:paraId="15134183" w14:textId="77777777" w:rsidR="00236AB5" w:rsidRPr="008819AF" w:rsidRDefault="00236AB5" w:rsidP="00236AB5">
            <w:pPr>
              <w:ind w:left="215" w:hanging="215"/>
              <w:rPr>
                <w:rFonts w:eastAsia="Arial"/>
                <w:lang w:bidi="cs-CZ"/>
              </w:rPr>
            </w:pPr>
            <w:r w:rsidRPr="008819AF">
              <w:rPr>
                <w:rFonts w:eastAsia="Arial"/>
                <w:lang w:bidi="cs-CZ"/>
              </w:rPr>
              <w:t>e) rotačná hĺbkotlač – tlač, pri ktorej sa používa cylindrický nosič obrazu, pri ktorom je tlačiaca plocha pod netlačiacou plochou za použitia tekutých tlačiarenských farieb schnúcich vyparovaním. Priehlbiny sú napĺňané tlačiarenskou farbou a zvyšná farba sa z netlačiacej plochy odstráni skôr, ako sa povrch, na ktorý sa má tlačiť, dostane do kontaktu s cylindrom a nasaje farbu z priehlbiniek;</w:t>
            </w:r>
          </w:p>
          <w:p w14:paraId="15134184" w14:textId="77777777" w:rsidR="00236AB5" w:rsidRPr="008819AF" w:rsidRDefault="00236AB5" w:rsidP="00236AB5">
            <w:pPr>
              <w:ind w:left="215" w:hanging="215"/>
              <w:rPr>
                <w:rFonts w:eastAsia="Arial"/>
                <w:lang w:bidi="cs-CZ"/>
              </w:rPr>
            </w:pPr>
            <w:r w:rsidRPr="008819AF">
              <w:rPr>
                <w:rFonts w:eastAsia="Arial"/>
                <w:lang w:bidi="cs-CZ"/>
              </w:rPr>
              <w:t>f) rotačná sieťotlač – kotúčová tlač, pri ktorej sa tlačiarenská farba dostáva na povrch, na ktorý sa má tlačiť, tak, že sa pretlačí cez pórovitý nosič obrazu, pri ktorom je tlačiaca plocha otvorená a netlačiaca plocha je oddelená a používajú sa tekuté tlačiarenské farby schnúce len vyparovaním. Kotúčové podávanie znamená, že materiál, na ktorý sa má tlačiť, sa do stroja podáva z kotúča na rozdiel od samostatných hárkov;</w:t>
            </w:r>
          </w:p>
          <w:p w14:paraId="15134185" w14:textId="77777777" w:rsidR="00236AB5" w:rsidRPr="008819AF" w:rsidRDefault="00236AB5" w:rsidP="00236AB5">
            <w:pPr>
              <w:ind w:left="215" w:hanging="215"/>
              <w:rPr>
                <w:rFonts w:eastAsia="Arial"/>
                <w:lang w:bidi="cs-CZ"/>
              </w:rPr>
            </w:pPr>
            <w:r w:rsidRPr="008819AF">
              <w:rPr>
                <w:rFonts w:eastAsia="Arial"/>
                <w:lang w:bidi="cs-CZ"/>
              </w:rPr>
              <w:t xml:space="preserve">g) nanášanie lakov a lepidiel – činnosť, pri ktorej sa lak alebo lepidlo natiera na účel nalepenia obalového materiálu na </w:t>
            </w:r>
            <w:r w:rsidRPr="008819AF">
              <w:rPr>
                <w:rFonts w:eastAsia="Arial"/>
                <w:lang w:bidi="cs-CZ"/>
              </w:rPr>
              <w:lastRenderedPageBreak/>
              <w:t>pružný materiál.</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86"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87"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88" w14:textId="77777777" w:rsidR="00236AB5" w:rsidRPr="008819AF" w:rsidRDefault="00236AB5" w:rsidP="00236AB5">
            <w:pPr>
              <w:jc w:val="center"/>
            </w:pPr>
            <w:r w:rsidRPr="008819AF">
              <w:t xml:space="preserve">Pr.6 </w:t>
            </w:r>
          </w:p>
          <w:p w14:paraId="15134189"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8A" w14:textId="77777777" w:rsidR="00236AB5" w:rsidRPr="008819AF" w:rsidRDefault="00236AB5" w:rsidP="00236AB5">
            <w:pPr>
              <w:ind w:left="215" w:hanging="215"/>
              <w:jc w:val="both"/>
              <w:rPr>
                <w:b/>
                <w:lang w:eastAsia="cs-CZ"/>
              </w:rPr>
            </w:pPr>
            <w:r w:rsidRPr="008819AF">
              <w:rPr>
                <w:b/>
                <w:lang w:eastAsia="cs-CZ"/>
              </w:rPr>
              <w:t>1. POLYGRAFIA (I)</w:t>
            </w:r>
          </w:p>
          <w:p w14:paraId="1513418B" w14:textId="77777777" w:rsidR="00236AB5" w:rsidRPr="008819AF" w:rsidRDefault="00236AB5" w:rsidP="00236AB5">
            <w:pPr>
              <w:ind w:left="72" w:hanging="3"/>
              <w:jc w:val="both"/>
              <w:rPr>
                <w:lang w:eastAsia="cs-CZ"/>
              </w:rPr>
            </w:pPr>
            <w:r w:rsidRPr="008819AF">
              <w:rPr>
                <w:lang w:eastAsia="cs-CZ"/>
              </w:rPr>
              <w:t>Činnosť súvisiaca s reprodukciou textu alebo obrázkov, pri ktorej sa využíva tlačová forma obrazu alebo textu, pri ktorej sa tlačiarenská farba nanáša na akýkoľvek druh povrchu. Proces zahrňuje aj súvisiace postupy, výrobu tlačiarenskej formy a jej prenos, lakovanie, natieranie a laminovanie. Zaraďuje sa sem:</w:t>
            </w:r>
          </w:p>
          <w:p w14:paraId="1513418C" w14:textId="77777777" w:rsidR="00236AB5" w:rsidRPr="008819AF" w:rsidRDefault="00236AB5" w:rsidP="00236AB5">
            <w:pPr>
              <w:ind w:left="284" w:hanging="284"/>
              <w:jc w:val="both"/>
              <w:rPr>
                <w:lang w:eastAsia="cs-CZ"/>
              </w:rPr>
            </w:pPr>
            <w:r w:rsidRPr="008819AF">
              <w:rPr>
                <w:b/>
                <w:lang w:eastAsia="cs-CZ"/>
              </w:rPr>
              <w:t>a) Tepelná ofsetová rotačná tlač</w:t>
            </w:r>
            <w:r w:rsidRPr="008819AF">
              <w:rPr>
                <w:lang w:eastAsia="cs-CZ"/>
              </w:rPr>
              <w:t xml:space="preserve"> za použitia farieb schnúcich teplom - tlač, využívajúca nosič reprodukcie, pri ktorej sú tlačiaca a netlačiaca plocha v tej istej rovine, pričom materiál, na ktorý sa tlačí, je podávaný do stroja z kotúča a nie formou samostatných hárkov. Netlačiaca plocha je hydrofilizovaná tak, aby nasávala vodu a neprijímala farbu. Tlačiaca plocha je upravená tak, aby prijímala a prenášala farbu na povrch, na ktorý sa tlačí. K odparovaniu dochádza v sušiacom tuneli, kde sa na sušenie tlačeného materiálu používa teplý vzduch.</w:t>
            </w:r>
          </w:p>
          <w:p w14:paraId="1513418D" w14:textId="77777777" w:rsidR="00236AB5" w:rsidRPr="008819AF" w:rsidRDefault="00236AB5" w:rsidP="00236AB5">
            <w:pPr>
              <w:ind w:left="284" w:hanging="284"/>
              <w:jc w:val="both"/>
              <w:rPr>
                <w:lang w:eastAsia="cs-CZ"/>
              </w:rPr>
            </w:pPr>
            <w:r w:rsidRPr="008819AF">
              <w:rPr>
                <w:b/>
                <w:lang w:eastAsia="cs-CZ"/>
              </w:rPr>
              <w:t>b) Publikačná rotačná hĺbkotlač</w:t>
            </w:r>
            <w:r w:rsidRPr="008819AF">
              <w:rPr>
                <w:lang w:eastAsia="cs-CZ"/>
              </w:rPr>
              <w:t xml:space="preserve"> - rotačná hĺbkotlač používaná na tlačenie časopisov, brožúr, katalógov alebo podobných produktov za použitia tlačiarenských farieb na báze toluénu.</w:t>
            </w:r>
          </w:p>
          <w:p w14:paraId="1513418E" w14:textId="77777777" w:rsidR="00236AB5" w:rsidRPr="008819AF" w:rsidRDefault="00236AB5" w:rsidP="00236AB5">
            <w:pPr>
              <w:ind w:left="284" w:hanging="284"/>
              <w:jc w:val="both"/>
              <w:rPr>
                <w:lang w:eastAsia="cs-CZ"/>
              </w:rPr>
            </w:pPr>
            <w:r w:rsidRPr="008819AF">
              <w:rPr>
                <w:b/>
                <w:lang w:eastAsia="cs-CZ"/>
              </w:rPr>
              <w:t>c) Rotačná hĺbkotlač</w:t>
            </w:r>
            <w:r w:rsidRPr="008819AF">
              <w:rPr>
                <w:lang w:eastAsia="cs-CZ"/>
              </w:rPr>
              <w:t xml:space="preserve"> - tlač, pri ktorej sa používa valcový nosič obrazu, pri ktorej je tlačiaca plocha pod netlačiacou plochou, za použitia tekutých tlačiarenských farieb schnúcich vyparovaním. Priehlbiny sú vyplnené farbou a zvyšná farba sa z netlačiacej plochy odstráni skôr, ako sa povrch, na ktorý sa má tlačiť, dostane do kontaktu s valcom a nasaje farbu z priehlbiniek.</w:t>
            </w:r>
          </w:p>
          <w:p w14:paraId="1513418F" w14:textId="77777777" w:rsidR="00236AB5" w:rsidRPr="008819AF" w:rsidRDefault="00236AB5" w:rsidP="00236AB5">
            <w:pPr>
              <w:ind w:left="284" w:hanging="284"/>
              <w:jc w:val="both"/>
              <w:rPr>
                <w:lang w:eastAsia="cs-CZ"/>
              </w:rPr>
            </w:pPr>
            <w:r w:rsidRPr="008819AF">
              <w:rPr>
                <w:b/>
                <w:lang w:eastAsia="cs-CZ"/>
              </w:rPr>
              <w:t>d) Flexografia</w:t>
            </w:r>
            <w:r w:rsidRPr="008819AF">
              <w:rPr>
                <w:lang w:eastAsia="cs-CZ"/>
              </w:rPr>
              <w:t xml:space="preserve"> - tlačiarenská činnosť, ktorá ako nosič obrazu využíva gumu alebo elastické fotopolyméry a pri ktorej sú tlačiace plochy nad netlačiacimi plochami, za použitia kvapalných tlačiarenských farieb, ktoré sa sušia odparovaním.</w:t>
            </w:r>
          </w:p>
          <w:p w14:paraId="15134190" w14:textId="77777777" w:rsidR="00236AB5" w:rsidRPr="008819AF" w:rsidRDefault="00236AB5" w:rsidP="00236AB5">
            <w:pPr>
              <w:ind w:left="284" w:hanging="284"/>
              <w:jc w:val="both"/>
              <w:rPr>
                <w:lang w:eastAsia="cs-CZ"/>
              </w:rPr>
            </w:pPr>
            <w:r w:rsidRPr="008819AF">
              <w:rPr>
                <w:b/>
                <w:lang w:eastAsia="cs-CZ"/>
              </w:rPr>
              <w:t>e) Rotačná sieťotlač</w:t>
            </w:r>
            <w:r w:rsidRPr="008819AF">
              <w:rPr>
                <w:lang w:eastAsia="cs-CZ"/>
              </w:rPr>
              <w:t xml:space="preserve"> - kotúčová tlač, pri ktorej sa farba dostáva na povrch, na ktorom má byť vytlačená tak, že sa pretlačí cez pórovitý nosič obrazu, pri ktorom je tlačiaca plocha otvorená a netlačiaca plocha je oddelená a používajú sa tekuté farby schnúce vyparovaním. Kotúčové podávanie znamená, že </w:t>
            </w:r>
            <w:r w:rsidRPr="008819AF">
              <w:rPr>
                <w:lang w:eastAsia="cs-CZ"/>
              </w:rPr>
              <w:lastRenderedPageBreak/>
              <w:t>materiál, na ktorý sa tlačí, sa do stroja podáva z kotúča, a nie formou jednotlivých hárkov.</w:t>
            </w:r>
          </w:p>
          <w:p w14:paraId="15134191" w14:textId="77777777" w:rsidR="00236AB5" w:rsidRPr="008819AF" w:rsidRDefault="00236AB5" w:rsidP="00236AB5">
            <w:pPr>
              <w:ind w:left="284" w:hanging="284"/>
              <w:jc w:val="both"/>
              <w:rPr>
                <w:lang w:eastAsia="cs-CZ"/>
              </w:rPr>
            </w:pPr>
            <w:r w:rsidRPr="008819AF">
              <w:rPr>
                <w:b/>
                <w:lang w:eastAsia="cs-CZ"/>
              </w:rPr>
              <w:t>f) Nanášanie lakov a lepidiel</w:t>
            </w:r>
            <w:r w:rsidRPr="008819AF">
              <w:rPr>
                <w:lang w:eastAsia="cs-CZ"/>
              </w:rPr>
              <w:t xml:space="preserve"> ako činnosť spojená s tlačou, pri ktorej sa lak alebo lepidlo nanáša na účel nalepenia obalového materiálu na flexibilný materiál.</w:t>
            </w:r>
          </w:p>
          <w:p w14:paraId="15134192" w14:textId="77777777" w:rsidR="00236AB5" w:rsidRPr="008819AF" w:rsidRDefault="00236AB5" w:rsidP="00236AB5">
            <w:pPr>
              <w:ind w:left="284" w:hanging="284"/>
              <w:jc w:val="both"/>
              <w:rPr>
                <w:lang w:eastAsia="cs-CZ"/>
              </w:rPr>
            </w:pPr>
            <w:r w:rsidRPr="008819AF">
              <w:rPr>
                <w:b/>
                <w:lang w:eastAsia="cs-CZ"/>
              </w:rPr>
              <w:t>g) Laminovanie spojené s tlačou</w:t>
            </w:r>
            <w:r w:rsidRPr="008819AF">
              <w:rPr>
                <w:lang w:eastAsia="cs-CZ"/>
              </w:rPr>
              <w:t xml:space="preserve"> - spájanie dvoch alebo viacerých flexibilných materiálov, aby sa vytvorili vrstvy.</w:t>
            </w:r>
          </w:p>
          <w:p w14:paraId="15134193" w14:textId="77777777" w:rsidR="00236AB5" w:rsidRPr="008819AF" w:rsidRDefault="00236AB5" w:rsidP="00236AB5">
            <w:pPr>
              <w:pStyle w:val="Hlavika"/>
              <w:ind w:left="72" w:hanging="1"/>
              <w:rPr>
                <w:rFonts w:ascii="Times New Roman" w:hAnsi="Times New Roman" w:cs="Times New Roman"/>
                <w:lang w:bidi="cs-CZ"/>
              </w:rPr>
            </w:pPr>
          </w:p>
        </w:tc>
        <w:tc>
          <w:tcPr>
            <w:tcW w:w="602" w:type="dxa"/>
            <w:gridSpan w:val="2"/>
            <w:tcBorders>
              <w:top w:val="single" w:sz="4" w:space="0" w:color="000000"/>
              <w:left w:val="single" w:sz="6" w:space="0" w:color="000000"/>
              <w:bottom w:val="single" w:sz="4" w:space="0" w:color="000000"/>
              <w:right w:val="single" w:sz="6" w:space="0" w:color="000000"/>
            </w:tcBorders>
          </w:tcPr>
          <w:p w14:paraId="15134194"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95" w14:textId="77777777" w:rsidR="00236AB5" w:rsidRPr="008819AF" w:rsidRDefault="00236AB5" w:rsidP="00236AB5">
            <w:pPr>
              <w:ind w:left="215" w:hanging="215"/>
              <w:rPr>
                <w:rFonts w:eastAsia="Arial"/>
              </w:rPr>
            </w:pPr>
          </w:p>
        </w:tc>
      </w:tr>
      <w:tr w:rsidR="00236AB5" w:rsidRPr="008819AF" w14:paraId="151341A2"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97"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98" w14:textId="77777777" w:rsidR="00236AB5" w:rsidRPr="008819AF" w:rsidRDefault="00236AB5" w:rsidP="00236AB5">
            <w:pPr>
              <w:ind w:left="215" w:hanging="215"/>
              <w:rPr>
                <w:rFonts w:eastAsia="Arial"/>
                <w:lang w:bidi="cs-CZ"/>
              </w:rPr>
            </w:pPr>
            <w:r w:rsidRPr="008819AF">
              <w:rPr>
                <w:rFonts w:eastAsia="Arial"/>
                <w:lang w:bidi="cs-CZ"/>
              </w:rPr>
              <w:t>10. Spracovanie kaučuku</w:t>
            </w:r>
          </w:p>
          <w:p w14:paraId="15134199" w14:textId="77777777" w:rsidR="00236AB5" w:rsidRPr="008819AF" w:rsidRDefault="00236AB5" w:rsidP="00236AB5">
            <w:pPr>
              <w:ind w:left="215" w:hanging="1"/>
              <w:rPr>
                <w:rFonts w:eastAsia="Arial"/>
                <w:b/>
                <w:bCs/>
                <w:lang w:bidi="cs-CZ"/>
              </w:rPr>
            </w:pPr>
            <w:r w:rsidRPr="008819AF">
              <w:rPr>
                <w:rFonts w:eastAsia="Arial"/>
                <w:lang w:bidi="cs-CZ"/>
              </w:rPr>
              <w:t>Každá činnosť miešania, mletia, zmiešavania, lisovania, pretláčania a vulkanizácie prírodného alebo syntetického kaučuku a všetky pomocné činnosti súvisiace so spracovaním prírodného alebo syntetického kaučuku na hotové výrobky.</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9A"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9B"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9C" w14:textId="77777777" w:rsidR="00236AB5" w:rsidRPr="008819AF" w:rsidRDefault="00236AB5" w:rsidP="00236AB5">
            <w:pPr>
              <w:jc w:val="center"/>
            </w:pPr>
            <w:r w:rsidRPr="008819AF">
              <w:t xml:space="preserve">Pr.6 </w:t>
            </w:r>
          </w:p>
          <w:p w14:paraId="1513419D"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9E" w14:textId="77777777" w:rsidR="00236AB5" w:rsidRPr="008819AF" w:rsidRDefault="00236AB5" w:rsidP="00236AB5">
            <w:pPr>
              <w:ind w:left="215" w:hanging="215"/>
              <w:jc w:val="both"/>
              <w:rPr>
                <w:b/>
                <w:lang w:eastAsia="cs-CZ"/>
              </w:rPr>
            </w:pPr>
            <w:r w:rsidRPr="008819AF">
              <w:rPr>
                <w:b/>
                <w:lang w:eastAsia="cs-CZ"/>
              </w:rPr>
              <w:t>12.   VÝROBA A SPRACOVANIE GUMY (XII)</w:t>
            </w:r>
          </w:p>
          <w:p w14:paraId="1513419F" w14:textId="77777777" w:rsidR="00236AB5" w:rsidRPr="008819AF" w:rsidRDefault="00236AB5" w:rsidP="00236AB5">
            <w:pPr>
              <w:jc w:val="both"/>
              <w:rPr>
                <w:lang w:bidi="cs-CZ"/>
              </w:rPr>
            </w:pPr>
            <w:r w:rsidRPr="008819AF">
              <w:rPr>
                <w:lang w:eastAsia="cs-CZ"/>
              </w:rPr>
              <w:t>Miešanie, mletie, lisovanie, pretláčanie a vulkanizácia prírodného alebo syntetického kaučuku a všetky pomocné činnosti súvisiace so spracovaním prírodného alebo syntetického kaučuku na hotové výrobky.</w:t>
            </w:r>
          </w:p>
        </w:tc>
        <w:tc>
          <w:tcPr>
            <w:tcW w:w="602" w:type="dxa"/>
            <w:gridSpan w:val="2"/>
            <w:tcBorders>
              <w:top w:val="single" w:sz="4" w:space="0" w:color="000000"/>
              <w:left w:val="single" w:sz="6" w:space="0" w:color="000000"/>
              <w:bottom w:val="single" w:sz="4" w:space="0" w:color="000000"/>
              <w:right w:val="single" w:sz="6" w:space="0" w:color="000000"/>
            </w:tcBorders>
          </w:tcPr>
          <w:p w14:paraId="151341A0"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A1" w14:textId="77777777" w:rsidR="00236AB5" w:rsidRPr="008819AF" w:rsidRDefault="00236AB5" w:rsidP="00236AB5">
            <w:pPr>
              <w:ind w:left="215" w:hanging="215"/>
              <w:rPr>
                <w:rFonts w:eastAsia="Arial"/>
              </w:rPr>
            </w:pPr>
          </w:p>
        </w:tc>
      </w:tr>
      <w:tr w:rsidR="00236AB5" w:rsidRPr="008819AF" w14:paraId="151341B2"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A3"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A4" w14:textId="77777777" w:rsidR="00236AB5" w:rsidRPr="008819AF" w:rsidRDefault="00236AB5" w:rsidP="00236AB5">
            <w:pPr>
              <w:ind w:left="215" w:hanging="215"/>
              <w:rPr>
                <w:rFonts w:eastAsia="Arial"/>
                <w:lang w:bidi="cs-CZ"/>
              </w:rPr>
            </w:pPr>
            <w:r w:rsidRPr="008819AF">
              <w:rPr>
                <w:rFonts w:eastAsia="Arial"/>
                <w:lang w:bidi="cs-CZ"/>
              </w:rPr>
              <w:t>11. Čistenie povrchov</w:t>
            </w:r>
          </w:p>
          <w:p w14:paraId="151341A5" w14:textId="77777777" w:rsidR="00236AB5" w:rsidRPr="008819AF" w:rsidRDefault="00236AB5" w:rsidP="00236AB5">
            <w:pPr>
              <w:ind w:left="215" w:hanging="1"/>
              <w:rPr>
                <w:rFonts w:eastAsia="Arial"/>
                <w:lang w:bidi="cs-CZ"/>
              </w:rPr>
            </w:pPr>
            <w:r w:rsidRPr="008819AF">
              <w:rPr>
                <w:rFonts w:eastAsia="Arial"/>
                <w:lang w:bidi="cs-CZ"/>
              </w:rPr>
              <w:t>Každá činnosť, s výnimkou čistenia za sucha, pri ktorej sa používajú organické rozpúšťadlá na odstránenie znečistenia z povrchu materiálu vrátane odmasťovania. Čistenie pozostávajúce z viacerých krokov pred alebo po skončení akejkoľvek inej činnosti sa považuje za jednu činnosť čistenia povrchov. Táto činnosť sa netýka čistenia technického vybavenia, ale len čistenia povrchu výrobkov.</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A6"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A7"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A8" w14:textId="77777777" w:rsidR="00236AB5" w:rsidRPr="008819AF" w:rsidRDefault="00236AB5" w:rsidP="00236AB5">
            <w:pPr>
              <w:jc w:val="center"/>
            </w:pPr>
            <w:r w:rsidRPr="008819AF">
              <w:t xml:space="preserve">Pr.6 </w:t>
            </w:r>
          </w:p>
          <w:p w14:paraId="151341A9"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AA" w14:textId="77777777" w:rsidR="00236AB5" w:rsidRPr="008819AF" w:rsidRDefault="00236AB5" w:rsidP="00236AB5">
            <w:pPr>
              <w:ind w:left="215" w:hanging="215"/>
              <w:jc w:val="both"/>
              <w:rPr>
                <w:b/>
                <w:lang w:eastAsia="cs-CZ"/>
              </w:rPr>
            </w:pPr>
            <w:r w:rsidRPr="008819AF">
              <w:rPr>
                <w:b/>
                <w:lang w:eastAsia="cs-CZ"/>
              </w:rPr>
              <w:t>2. ODMASŤOVANIE A ČISTENIE POVRCHOV (II)</w:t>
            </w:r>
          </w:p>
          <w:p w14:paraId="151341AB" w14:textId="77777777" w:rsidR="00236AB5" w:rsidRPr="008819AF" w:rsidRDefault="00236AB5" w:rsidP="00236AB5">
            <w:pPr>
              <w:ind w:left="72"/>
              <w:jc w:val="both"/>
              <w:rPr>
                <w:lang w:eastAsia="cs-CZ"/>
              </w:rPr>
            </w:pPr>
            <w:r w:rsidRPr="008819AF">
              <w:rPr>
                <w:lang w:eastAsia="cs-CZ"/>
              </w:rPr>
              <w:t>Činnosť, pri ktorej sa používajú organické rozpúšťadlá na odstránenie znečistenia z povrchu materiálu vrátane odmasťovania, odvoskovania a odstraňovania náterov, okrem chemického čistenia. Táto činnosť sa netýka čistenia technického zariadenia, ale len čistenia povrchu výrobkov.</w:t>
            </w:r>
          </w:p>
          <w:p w14:paraId="151341AC" w14:textId="77777777" w:rsidR="00236AB5" w:rsidRPr="008819AF" w:rsidRDefault="00236AB5" w:rsidP="00236AB5">
            <w:pPr>
              <w:ind w:left="15"/>
              <w:jc w:val="both"/>
            </w:pPr>
            <w:r w:rsidRPr="008819AF">
              <w:t>Zaraďujú sa sem tieto činnosti:</w:t>
            </w:r>
          </w:p>
          <w:p w14:paraId="151341AD" w14:textId="77777777" w:rsidR="00236AB5" w:rsidRPr="008819AF" w:rsidRDefault="00236AB5" w:rsidP="00236AB5">
            <w:pPr>
              <w:ind w:left="15"/>
              <w:jc w:val="both"/>
            </w:pPr>
            <w:r w:rsidRPr="008819AF">
              <w:t>a) činnosť IIa - odmasťovanie a čistenie povrchov s použitím organických rozpúšťadiel s obsahom prchavých organických zlúčenín podľa § 28 ods. 1.</w:t>
            </w:r>
          </w:p>
          <w:p w14:paraId="151341AE" w14:textId="77777777" w:rsidR="00236AB5" w:rsidRPr="008819AF" w:rsidRDefault="00236AB5" w:rsidP="00236AB5">
            <w:pPr>
              <w:ind w:left="15"/>
              <w:jc w:val="both"/>
            </w:pPr>
            <w:r w:rsidRPr="008819AF">
              <w:t>b) činnosť IIb - odmasťovanie a čistenie povrchov s použitím organických rozpúšťadiel s obsahom prchavých organických zlúčenín iných ako podľa § 28 ods. 1.</w:t>
            </w:r>
          </w:p>
          <w:p w14:paraId="151341AF" w14:textId="77777777" w:rsidR="00236AB5" w:rsidRPr="008819AF" w:rsidRDefault="00236AB5" w:rsidP="00236AB5">
            <w:pPr>
              <w:ind w:left="72"/>
              <w:jc w:val="both"/>
              <w:rPr>
                <w:lang w:bidi="cs-CZ"/>
              </w:rPr>
            </w:pPr>
            <w:r w:rsidRPr="008819AF">
              <w:rPr>
                <w:lang w:eastAsia="cs-CZ"/>
              </w:rPr>
              <w:t xml:space="preserve">Čistenie pozostávajúce z viacerých krokov pred skončením alebo po skončení akejkoľvek inej činnosti sa považuje za jednu činnosť (samostatne sa hodnotí činnosť IIa a IIb). </w:t>
            </w:r>
          </w:p>
        </w:tc>
        <w:tc>
          <w:tcPr>
            <w:tcW w:w="602" w:type="dxa"/>
            <w:gridSpan w:val="2"/>
            <w:tcBorders>
              <w:top w:val="single" w:sz="4" w:space="0" w:color="000000"/>
              <w:left w:val="single" w:sz="6" w:space="0" w:color="000000"/>
              <w:bottom w:val="single" w:sz="4" w:space="0" w:color="000000"/>
              <w:right w:val="single" w:sz="6" w:space="0" w:color="000000"/>
            </w:tcBorders>
          </w:tcPr>
          <w:p w14:paraId="151341B0"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B1" w14:textId="77777777" w:rsidR="00236AB5" w:rsidRPr="008819AF" w:rsidRDefault="00236AB5" w:rsidP="00236AB5">
            <w:pPr>
              <w:ind w:left="215" w:hanging="215"/>
              <w:rPr>
                <w:rFonts w:eastAsia="Arial"/>
              </w:rPr>
            </w:pPr>
          </w:p>
        </w:tc>
      </w:tr>
      <w:tr w:rsidR="00236AB5" w:rsidRPr="008819AF" w14:paraId="151341BE"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B3"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B4" w14:textId="77777777" w:rsidR="00236AB5" w:rsidRPr="008819AF" w:rsidRDefault="00236AB5" w:rsidP="00236AB5">
            <w:pPr>
              <w:ind w:left="215" w:hanging="215"/>
              <w:rPr>
                <w:rFonts w:eastAsia="Arial"/>
                <w:lang w:bidi="cs-CZ"/>
              </w:rPr>
            </w:pPr>
            <w:r w:rsidRPr="008819AF">
              <w:rPr>
                <w:rFonts w:eastAsia="Arial"/>
                <w:lang w:bidi="cs-CZ"/>
              </w:rPr>
              <w:t>12. Extrakcia rastlinných olejov a živočíšnych tukov a rafinácia rastlinných olejov</w:t>
            </w:r>
          </w:p>
          <w:p w14:paraId="151341B5" w14:textId="77777777" w:rsidR="00236AB5" w:rsidRPr="008819AF" w:rsidRDefault="00236AB5" w:rsidP="00236AB5">
            <w:pPr>
              <w:ind w:left="215" w:hanging="1"/>
              <w:rPr>
                <w:rFonts w:eastAsia="Arial"/>
                <w:lang w:bidi="cs-CZ"/>
              </w:rPr>
            </w:pPr>
            <w:r w:rsidRPr="008819AF">
              <w:rPr>
                <w:rFonts w:eastAsia="Arial"/>
                <w:lang w:bidi="cs-CZ"/>
              </w:rPr>
              <w:t xml:space="preserve">Každá činnosť, pri ktorej sa extrahuje rastlinný olej zo semien a ostatných rastlinných materiálov, spracovanie suchých </w:t>
            </w:r>
            <w:r w:rsidRPr="008819AF">
              <w:rPr>
                <w:rFonts w:eastAsia="Arial"/>
                <w:lang w:bidi="cs-CZ"/>
              </w:rPr>
              <w:lastRenderedPageBreak/>
              <w:t>zvyškov na výrobu krmiva pre zvieratá, čistenie tukov a rastlinných olejov získaných zo semien, rastlinných a/alebo živočíšnych materiálov.</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B6" w14:textId="77777777" w:rsidR="00236AB5" w:rsidRPr="008819AF" w:rsidRDefault="00236AB5" w:rsidP="00236AB5">
            <w:pPr>
              <w:ind w:left="215" w:hanging="215"/>
              <w:jc w:val="center"/>
              <w:rPr>
                <w:rFonts w:eastAsia="Arial"/>
                <w:lang w:bidi="cs-CZ"/>
              </w:rPr>
            </w:pPr>
            <w:r w:rsidRPr="008819AF">
              <w:rPr>
                <w:rFonts w:eastAsia="Arial"/>
                <w:lang w:bidi="cs-CZ"/>
              </w:rPr>
              <w:lastRenderedPageBreak/>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B7"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B8" w14:textId="77777777" w:rsidR="00236AB5" w:rsidRPr="008819AF" w:rsidRDefault="00236AB5" w:rsidP="00236AB5">
            <w:pPr>
              <w:jc w:val="center"/>
            </w:pPr>
            <w:r w:rsidRPr="008819AF">
              <w:t xml:space="preserve">Pr.6 </w:t>
            </w:r>
          </w:p>
          <w:p w14:paraId="151341B9"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BA" w14:textId="77777777" w:rsidR="00236AB5" w:rsidRPr="008819AF" w:rsidRDefault="00236AB5" w:rsidP="00236AB5">
            <w:pPr>
              <w:ind w:left="15"/>
              <w:rPr>
                <w:b/>
                <w:lang w:eastAsia="cs-CZ"/>
              </w:rPr>
            </w:pPr>
            <w:r w:rsidRPr="008819AF">
              <w:rPr>
                <w:b/>
                <w:lang w:eastAsia="cs-CZ"/>
              </w:rPr>
              <w:t>13. EXTRAKCIA RASTLINNÝCH OLEJOV A ŽIVOČÍŠNYCH TUKOV A RAFINÁCIA RASTLINNÝCH OLEJOV (XIII)</w:t>
            </w:r>
          </w:p>
          <w:p w14:paraId="151341BB" w14:textId="77777777" w:rsidR="00236AB5" w:rsidRPr="008819AF" w:rsidRDefault="00236AB5" w:rsidP="00236AB5">
            <w:pPr>
              <w:pStyle w:val="Hlavika"/>
              <w:ind w:left="72" w:hanging="1"/>
              <w:rPr>
                <w:rFonts w:ascii="Times New Roman" w:hAnsi="Times New Roman" w:cs="Times New Roman"/>
                <w:lang w:bidi="cs-CZ"/>
              </w:rPr>
            </w:pPr>
            <w:r w:rsidRPr="008819AF">
              <w:rPr>
                <w:rFonts w:ascii="Times New Roman" w:hAnsi="Times New Roman" w:cs="Times New Roman"/>
                <w:lang w:eastAsia="cs-CZ"/>
              </w:rPr>
              <w:t xml:space="preserve">Činnosť, pri ktorej sa extrahuje rastlinný olej zo semien </w:t>
            </w:r>
            <w:r w:rsidRPr="008819AF">
              <w:rPr>
                <w:rFonts w:ascii="Times New Roman" w:hAnsi="Times New Roman" w:cs="Times New Roman"/>
                <w:lang w:eastAsia="cs-CZ"/>
              </w:rPr>
              <w:lastRenderedPageBreak/>
              <w:t>a z ostatných rastlinných materiálov, spracovanie suchých zvyškov na výrobu krmiva, čistenie tukov a rastlinných olejov získaných zo semien, z rastlinných alebo zo živočíšnych materiálov.</w:t>
            </w:r>
          </w:p>
        </w:tc>
        <w:tc>
          <w:tcPr>
            <w:tcW w:w="602" w:type="dxa"/>
            <w:gridSpan w:val="2"/>
            <w:tcBorders>
              <w:top w:val="single" w:sz="4" w:space="0" w:color="000000"/>
              <w:left w:val="single" w:sz="6" w:space="0" w:color="000000"/>
              <w:bottom w:val="single" w:sz="4" w:space="0" w:color="000000"/>
              <w:right w:val="single" w:sz="6" w:space="0" w:color="000000"/>
            </w:tcBorders>
          </w:tcPr>
          <w:p w14:paraId="151341BC"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BD" w14:textId="77777777" w:rsidR="00236AB5" w:rsidRPr="008819AF" w:rsidRDefault="00236AB5" w:rsidP="00236AB5">
            <w:pPr>
              <w:ind w:left="215" w:hanging="215"/>
              <w:rPr>
                <w:rFonts w:eastAsia="Arial"/>
              </w:rPr>
            </w:pPr>
          </w:p>
        </w:tc>
      </w:tr>
      <w:tr w:rsidR="00236AB5" w:rsidRPr="008819AF" w14:paraId="151341CF"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BF"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C0" w14:textId="77777777" w:rsidR="00236AB5" w:rsidRPr="008819AF" w:rsidRDefault="00236AB5" w:rsidP="00236AB5">
            <w:pPr>
              <w:ind w:left="215" w:hanging="215"/>
              <w:rPr>
                <w:rFonts w:eastAsia="Arial"/>
                <w:lang w:bidi="cs-CZ"/>
              </w:rPr>
            </w:pPr>
            <w:r w:rsidRPr="008819AF">
              <w:rPr>
                <w:rFonts w:eastAsia="Arial"/>
                <w:lang w:bidi="cs-CZ"/>
              </w:rPr>
              <w:t>13. Následná povrchová úprava vozidiel</w:t>
            </w:r>
          </w:p>
          <w:p w14:paraId="151341C1" w14:textId="77777777" w:rsidR="00236AB5" w:rsidRPr="008819AF" w:rsidRDefault="00236AB5" w:rsidP="00236AB5">
            <w:pPr>
              <w:ind w:left="215" w:hanging="1"/>
              <w:rPr>
                <w:rFonts w:eastAsia="Arial"/>
                <w:lang w:bidi="cs-CZ"/>
              </w:rPr>
            </w:pPr>
            <w:r w:rsidRPr="008819AF">
              <w:rPr>
                <w:rFonts w:eastAsia="Arial"/>
                <w:lang w:bidi="cs-CZ"/>
              </w:rPr>
              <w:t>Každá priemyselná alebo komerčná činnosť vo forme natierania a s tým súvisiaceho odmasťovania pri jednej z týchto činností:</w:t>
            </w:r>
          </w:p>
          <w:p w14:paraId="151341C2" w14:textId="77777777" w:rsidR="00236AB5" w:rsidRPr="008819AF" w:rsidRDefault="00236AB5" w:rsidP="00236AB5">
            <w:pPr>
              <w:ind w:left="497" w:hanging="283"/>
              <w:rPr>
                <w:rFonts w:eastAsia="Arial"/>
                <w:lang w:bidi="cs-CZ"/>
              </w:rPr>
            </w:pPr>
            <w:r w:rsidRPr="008819AF">
              <w:rPr>
                <w:rFonts w:eastAsia="Arial"/>
                <w:lang w:bidi="cs-CZ"/>
              </w:rPr>
              <w:t>a) pôvodné natieranie cestných vozidiel, ako sú vymedzené v smernici 2007/46/ES, alebo ich častí materiálmi určenými na následnú povrchovú úpravu, ak sa táto činnosť vykonáva mimo pôvodnej výrobnej linky;</w:t>
            </w:r>
          </w:p>
          <w:p w14:paraId="151341C3" w14:textId="77777777" w:rsidR="00236AB5" w:rsidRPr="008819AF" w:rsidRDefault="00236AB5" w:rsidP="00236AB5">
            <w:pPr>
              <w:ind w:left="497" w:hanging="283"/>
              <w:rPr>
                <w:rFonts w:eastAsia="Arial"/>
                <w:lang w:bidi="cs-CZ"/>
              </w:rPr>
            </w:pPr>
            <w:r w:rsidRPr="008819AF">
              <w:rPr>
                <w:rFonts w:eastAsia="Arial"/>
                <w:lang w:bidi="cs-CZ"/>
              </w:rPr>
              <w:t>b) natieranie prívesov (vrátane návesov) (kategória O v smernici 2007/46/ES).</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C4"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C5"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C6" w14:textId="77777777" w:rsidR="00236AB5" w:rsidRPr="008819AF" w:rsidRDefault="00236AB5" w:rsidP="00236AB5">
            <w:pPr>
              <w:jc w:val="center"/>
            </w:pPr>
            <w:r w:rsidRPr="008819AF">
              <w:t xml:space="preserve">Pr.6 </w:t>
            </w:r>
          </w:p>
          <w:p w14:paraId="151341C7"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C8" w14:textId="77777777" w:rsidR="00236AB5" w:rsidRPr="008819AF" w:rsidRDefault="00236AB5" w:rsidP="00236AB5">
            <w:pPr>
              <w:ind w:left="157" w:hanging="157"/>
              <w:jc w:val="both"/>
              <w:rPr>
                <w:b/>
              </w:rPr>
            </w:pPr>
            <w:r w:rsidRPr="008819AF">
              <w:rPr>
                <w:b/>
              </w:rPr>
              <w:t xml:space="preserve">5.2  Povrchová úprava cestných vozidiel (Vb) </w:t>
            </w:r>
          </w:p>
          <w:p w14:paraId="151341C9" w14:textId="77777777" w:rsidR="00236AB5" w:rsidRPr="008819AF" w:rsidRDefault="00236AB5" w:rsidP="00236AB5">
            <w:pPr>
              <w:pStyle w:val="Odsekzoznamu1"/>
              <w:ind w:left="157" w:hanging="157"/>
              <w:jc w:val="both"/>
              <w:rPr>
                <w:sz w:val="20"/>
                <w:szCs w:val="20"/>
              </w:rPr>
            </w:pPr>
            <w:r w:rsidRPr="008819AF">
              <w:rPr>
                <w:sz w:val="20"/>
                <w:szCs w:val="20"/>
              </w:rPr>
              <w:t>Priemyselná alebo komerčná činnosť nanášania náterov a s tým súvisiaceho odmasťovania pri nanášaní</w:t>
            </w:r>
          </w:p>
          <w:p w14:paraId="151341CA" w14:textId="77777777" w:rsidR="00236AB5" w:rsidRPr="008819AF" w:rsidRDefault="00236AB5" w:rsidP="00236AB5">
            <w:pPr>
              <w:pStyle w:val="Odsekzoznamu1"/>
              <w:numPr>
                <w:ilvl w:val="6"/>
                <w:numId w:val="101"/>
              </w:numPr>
              <w:ind w:left="157" w:hanging="157"/>
              <w:jc w:val="both"/>
              <w:rPr>
                <w:sz w:val="20"/>
                <w:szCs w:val="20"/>
              </w:rPr>
            </w:pPr>
            <w:r w:rsidRPr="008819AF">
              <w:rPr>
                <w:sz w:val="20"/>
                <w:szCs w:val="20"/>
              </w:rPr>
              <w:t>pôvodných náterov v priemyselnej výrobe automobilov s kapacitou spotreby organických rozpúšťadiel &lt; 15 t/rok,</w:t>
            </w:r>
          </w:p>
          <w:p w14:paraId="151341CB" w14:textId="77777777" w:rsidR="00236AB5" w:rsidRPr="008819AF" w:rsidRDefault="00236AB5" w:rsidP="00236AB5">
            <w:pPr>
              <w:pStyle w:val="Odsekzoznamu1"/>
              <w:numPr>
                <w:ilvl w:val="6"/>
                <w:numId w:val="101"/>
              </w:numPr>
              <w:ind w:left="157" w:hanging="157"/>
              <w:jc w:val="both"/>
              <w:rPr>
                <w:sz w:val="20"/>
                <w:szCs w:val="20"/>
              </w:rPr>
            </w:pPr>
            <w:r w:rsidRPr="008819AF">
              <w:rPr>
                <w:sz w:val="20"/>
                <w:szCs w:val="20"/>
              </w:rPr>
              <w:t xml:space="preserve">náterov na prívesy a návesy; klasifikované podľa osobitného predpisu) ako kategórie O1, O2, O3 a O4, </w:t>
            </w:r>
          </w:p>
          <w:p w14:paraId="151341CC" w14:textId="77777777" w:rsidR="00236AB5" w:rsidRPr="008819AF" w:rsidRDefault="00236AB5" w:rsidP="00236AB5">
            <w:pPr>
              <w:ind w:left="157" w:hanging="157"/>
              <w:jc w:val="both"/>
              <w:rPr>
                <w:lang w:bidi="cs-CZ"/>
              </w:rPr>
            </w:pPr>
            <w:r w:rsidRPr="008819AF">
              <w:t>3. pôvodných náterov na cestné vozidlá alebo ich častí s použitím náterových látok určených na následnú povrchovú úpravu, ak sa táto činnosť vykonáva mimo pôvodnej výrobnej linky.</w:t>
            </w:r>
          </w:p>
        </w:tc>
        <w:tc>
          <w:tcPr>
            <w:tcW w:w="602" w:type="dxa"/>
            <w:gridSpan w:val="2"/>
            <w:tcBorders>
              <w:top w:val="single" w:sz="4" w:space="0" w:color="000000"/>
              <w:left w:val="single" w:sz="6" w:space="0" w:color="000000"/>
              <w:bottom w:val="single" w:sz="4" w:space="0" w:color="000000"/>
              <w:right w:val="single" w:sz="6" w:space="0" w:color="000000"/>
            </w:tcBorders>
          </w:tcPr>
          <w:p w14:paraId="151341CD"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CE" w14:textId="77777777" w:rsidR="00236AB5" w:rsidRPr="008819AF" w:rsidRDefault="00236AB5" w:rsidP="00236AB5">
            <w:pPr>
              <w:ind w:left="215" w:hanging="215"/>
              <w:rPr>
                <w:rFonts w:eastAsia="Arial"/>
              </w:rPr>
            </w:pPr>
          </w:p>
        </w:tc>
      </w:tr>
      <w:tr w:rsidR="00236AB5" w:rsidRPr="008819AF" w14:paraId="151341DB"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D0"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D1" w14:textId="77777777" w:rsidR="00236AB5" w:rsidRPr="008819AF" w:rsidRDefault="00236AB5" w:rsidP="00236AB5">
            <w:pPr>
              <w:ind w:left="215" w:hanging="215"/>
              <w:rPr>
                <w:rFonts w:eastAsia="Arial"/>
                <w:lang w:bidi="cs-CZ"/>
              </w:rPr>
            </w:pPr>
            <w:r w:rsidRPr="008819AF">
              <w:rPr>
                <w:rFonts w:eastAsia="Arial"/>
                <w:lang w:bidi="cs-CZ"/>
              </w:rPr>
              <w:t>14. Povrchová úprava navíjaných drôtov</w:t>
            </w:r>
          </w:p>
          <w:p w14:paraId="151341D2" w14:textId="77777777" w:rsidR="00236AB5" w:rsidRPr="008819AF" w:rsidRDefault="00236AB5" w:rsidP="00236AB5">
            <w:pPr>
              <w:ind w:left="215" w:hanging="1"/>
              <w:rPr>
                <w:rFonts w:eastAsia="Arial"/>
                <w:lang w:bidi="cs-CZ"/>
              </w:rPr>
            </w:pPr>
            <w:r w:rsidRPr="008819AF">
              <w:rPr>
                <w:rFonts w:eastAsia="Arial"/>
                <w:lang w:bidi="cs-CZ"/>
              </w:rPr>
              <w:t>Každá činnosť súvisiaca s poťahovaním kovových vodičov používaných na navíjanie cievok určených do transformátorov a motorov atď.</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D3"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D4"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D5" w14:textId="77777777" w:rsidR="00236AB5" w:rsidRPr="008819AF" w:rsidRDefault="00236AB5" w:rsidP="00236AB5">
            <w:pPr>
              <w:jc w:val="center"/>
            </w:pPr>
            <w:r w:rsidRPr="008819AF">
              <w:t xml:space="preserve">Pr.6 </w:t>
            </w:r>
          </w:p>
          <w:p w14:paraId="151341D6"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D7" w14:textId="77777777" w:rsidR="00236AB5" w:rsidRPr="008819AF" w:rsidRDefault="00236AB5" w:rsidP="00236AB5">
            <w:pPr>
              <w:ind w:left="215" w:hanging="215"/>
              <w:jc w:val="both"/>
              <w:rPr>
                <w:b/>
                <w:lang w:eastAsia="cs-CZ"/>
              </w:rPr>
            </w:pPr>
            <w:r w:rsidRPr="008819AF">
              <w:rPr>
                <w:b/>
                <w:lang w:eastAsia="cs-CZ"/>
              </w:rPr>
              <w:t>7.  POVRCHOVÁ ÚPRAVA DRÔTOV (VII)</w:t>
            </w:r>
          </w:p>
          <w:p w14:paraId="151341D8" w14:textId="77777777" w:rsidR="00236AB5" w:rsidRPr="008819AF" w:rsidRDefault="00236AB5" w:rsidP="00236AB5">
            <w:pPr>
              <w:pStyle w:val="Hlavika"/>
              <w:ind w:left="72" w:hanging="1"/>
              <w:rPr>
                <w:rFonts w:ascii="Times New Roman" w:hAnsi="Times New Roman" w:cs="Times New Roman"/>
                <w:lang w:bidi="cs-CZ"/>
              </w:rPr>
            </w:pPr>
            <w:r w:rsidRPr="008819AF">
              <w:rPr>
                <w:rFonts w:ascii="Times New Roman" w:hAnsi="Times New Roman" w:cs="Times New Roman"/>
                <w:lang w:eastAsia="cs-CZ"/>
              </w:rPr>
              <w:t>Činnosť súvisiaca s poťahovaním kovových vodičov používaných na navíjanie cievok určených do transformátorov, motorov a pod</w:t>
            </w:r>
          </w:p>
        </w:tc>
        <w:tc>
          <w:tcPr>
            <w:tcW w:w="602" w:type="dxa"/>
            <w:gridSpan w:val="2"/>
            <w:tcBorders>
              <w:top w:val="single" w:sz="4" w:space="0" w:color="000000"/>
              <w:left w:val="single" w:sz="6" w:space="0" w:color="000000"/>
              <w:bottom w:val="single" w:sz="4" w:space="0" w:color="000000"/>
              <w:right w:val="single" w:sz="6" w:space="0" w:color="000000"/>
            </w:tcBorders>
          </w:tcPr>
          <w:p w14:paraId="151341D9"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DA" w14:textId="77777777" w:rsidR="00236AB5" w:rsidRPr="008819AF" w:rsidRDefault="00236AB5" w:rsidP="00236AB5">
            <w:pPr>
              <w:ind w:left="215" w:hanging="215"/>
              <w:rPr>
                <w:rFonts w:eastAsia="Arial"/>
              </w:rPr>
            </w:pPr>
          </w:p>
        </w:tc>
      </w:tr>
      <w:tr w:rsidR="00236AB5" w:rsidRPr="008819AF" w14:paraId="151341E7"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DC"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DD" w14:textId="77777777" w:rsidR="00236AB5" w:rsidRPr="008819AF" w:rsidRDefault="00236AB5" w:rsidP="00236AB5">
            <w:pPr>
              <w:ind w:left="215" w:hanging="215"/>
              <w:rPr>
                <w:rFonts w:eastAsia="Arial"/>
                <w:lang w:bidi="cs-CZ"/>
              </w:rPr>
            </w:pPr>
            <w:r w:rsidRPr="008819AF">
              <w:rPr>
                <w:rFonts w:eastAsia="Arial"/>
                <w:lang w:bidi="cs-CZ"/>
              </w:rPr>
              <w:t>15. Impregnácia dreva</w:t>
            </w:r>
          </w:p>
          <w:p w14:paraId="151341DE" w14:textId="77777777" w:rsidR="00236AB5" w:rsidRPr="008819AF" w:rsidRDefault="00236AB5" w:rsidP="00236AB5">
            <w:pPr>
              <w:ind w:left="215" w:hanging="1"/>
              <w:rPr>
                <w:rFonts w:eastAsia="Arial"/>
                <w:lang w:bidi="cs-CZ"/>
              </w:rPr>
            </w:pPr>
            <w:r w:rsidRPr="008819AF">
              <w:rPr>
                <w:rFonts w:eastAsia="Arial"/>
                <w:lang w:bidi="cs-CZ"/>
              </w:rPr>
              <w:t>Každá činnosť súvisiaca s nanášaním konzervačných prípravkov na drevo.</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DF" w14:textId="77777777" w:rsidR="00236AB5" w:rsidRPr="008819AF" w:rsidRDefault="00236AB5" w:rsidP="00236AB5">
            <w:pPr>
              <w:ind w:left="215" w:hanging="215"/>
              <w:jc w:val="center"/>
              <w:rPr>
                <w:rFonts w:eastAsia="Arial"/>
                <w:lang w:bidi="cs-CZ"/>
              </w:rPr>
            </w:pPr>
            <w:r w:rsidRPr="008819AF">
              <w:rPr>
                <w:rFonts w:eastAsia="Arial"/>
                <w:lang w:bidi="cs-CZ"/>
              </w:rPr>
              <w:t>N</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E0"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E1" w14:textId="77777777" w:rsidR="00236AB5" w:rsidRPr="008819AF" w:rsidRDefault="00236AB5" w:rsidP="00236AB5">
            <w:pPr>
              <w:jc w:val="center"/>
            </w:pPr>
            <w:r w:rsidRPr="008819AF">
              <w:t xml:space="preserve">Pr.6 </w:t>
            </w:r>
          </w:p>
          <w:p w14:paraId="151341E2"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E3" w14:textId="77777777" w:rsidR="00236AB5" w:rsidRPr="008819AF" w:rsidRDefault="00236AB5" w:rsidP="00236AB5">
            <w:pPr>
              <w:ind w:left="215" w:hanging="215"/>
              <w:jc w:val="both"/>
              <w:rPr>
                <w:b/>
                <w:lang w:eastAsia="cs-CZ"/>
              </w:rPr>
            </w:pPr>
            <w:r w:rsidRPr="008819AF">
              <w:rPr>
                <w:b/>
                <w:lang w:eastAsia="cs-CZ"/>
              </w:rPr>
              <w:t>14.  IMPREGNÁCIA DREVA (XIV)</w:t>
            </w:r>
          </w:p>
          <w:p w14:paraId="151341E4" w14:textId="77777777" w:rsidR="00236AB5" w:rsidRPr="008819AF" w:rsidRDefault="00236AB5" w:rsidP="00236AB5">
            <w:pPr>
              <w:pStyle w:val="Hlavika"/>
              <w:ind w:left="72" w:hanging="1"/>
              <w:rPr>
                <w:rFonts w:ascii="Times New Roman" w:hAnsi="Times New Roman" w:cs="Times New Roman"/>
                <w:lang w:bidi="cs-CZ"/>
              </w:rPr>
            </w:pPr>
            <w:r w:rsidRPr="008819AF">
              <w:rPr>
                <w:rFonts w:ascii="Times New Roman" w:hAnsi="Times New Roman" w:cs="Times New Roman"/>
                <w:lang w:eastAsia="cs-CZ"/>
              </w:rPr>
              <w:t>Činnosť súvisiaca s konzerváciou dreva.</w:t>
            </w:r>
          </w:p>
        </w:tc>
        <w:tc>
          <w:tcPr>
            <w:tcW w:w="602" w:type="dxa"/>
            <w:gridSpan w:val="2"/>
            <w:tcBorders>
              <w:top w:val="single" w:sz="4" w:space="0" w:color="000000"/>
              <w:left w:val="single" w:sz="6" w:space="0" w:color="000000"/>
              <w:bottom w:val="single" w:sz="4" w:space="0" w:color="000000"/>
              <w:right w:val="single" w:sz="6" w:space="0" w:color="000000"/>
            </w:tcBorders>
          </w:tcPr>
          <w:p w14:paraId="151341E5"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E6" w14:textId="77777777" w:rsidR="00236AB5" w:rsidRPr="008819AF" w:rsidRDefault="00236AB5" w:rsidP="00236AB5">
            <w:pPr>
              <w:ind w:left="215" w:hanging="215"/>
              <w:rPr>
                <w:rFonts w:eastAsia="Arial"/>
              </w:rPr>
            </w:pPr>
          </w:p>
        </w:tc>
      </w:tr>
      <w:tr w:rsidR="00236AB5" w:rsidRPr="008819AF" w14:paraId="151341F5" w14:textId="77777777" w:rsidTr="003E351D">
        <w:trPr>
          <w:gridAfter w:val="2"/>
          <w:wAfter w:w="153" w:type="dxa"/>
          <w:jc w:val="center"/>
        </w:trPr>
        <w:tc>
          <w:tcPr>
            <w:tcW w:w="483" w:type="dxa"/>
            <w:tcBorders>
              <w:top w:val="single" w:sz="4" w:space="0" w:color="000000"/>
              <w:left w:val="single" w:sz="6" w:space="0" w:color="000000"/>
              <w:bottom w:val="single" w:sz="4" w:space="0" w:color="000000"/>
              <w:right w:val="single" w:sz="6" w:space="0" w:color="000000"/>
            </w:tcBorders>
          </w:tcPr>
          <w:p w14:paraId="151341E8" w14:textId="77777777" w:rsidR="00236AB5" w:rsidRPr="008819AF" w:rsidRDefault="00236AB5"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151341E9" w14:textId="77777777" w:rsidR="00236AB5" w:rsidRPr="008819AF" w:rsidRDefault="00236AB5" w:rsidP="00236AB5">
            <w:pPr>
              <w:ind w:left="215" w:hanging="215"/>
              <w:rPr>
                <w:rFonts w:eastAsia="Arial"/>
                <w:lang w:bidi="cs-CZ"/>
              </w:rPr>
            </w:pPr>
            <w:r w:rsidRPr="008819AF">
              <w:rPr>
                <w:rFonts w:eastAsia="Arial"/>
                <w:lang w:bidi="cs-CZ"/>
              </w:rPr>
              <w:t>16. Laminovanie dreva a plastov</w:t>
            </w:r>
          </w:p>
          <w:p w14:paraId="151341EA" w14:textId="77777777" w:rsidR="00236AB5" w:rsidRPr="008819AF" w:rsidRDefault="00236AB5" w:rsidP="00236AB5">
            <w:pPr>
              <w:ind w:left="215" w:hanging="215"/>
              <w:rPr>
                <w:rFonts w:eastAsia="Arial"/>
                <w:lang w:bidi="cs-CZ"/>
              </w:rPr>
            </w:pPr>
          </w:p>
          <w:p w14:paraId="151341EB" w14:textId="77777777" w:rsidR="00236AB5" w:rsidRPr="008819AF" w:rsidRDefault="00236AB5" w:rsidP="00236AB5">
            <w:pPr>
              <w:ind w:left="215" w:hanging="1"/>
              <w:rPr>
                <w:rFonts w:eastAsia="Arial"/>
                <w:lang w:bidi="cs-CZ"/>
              </w:rPr>
            </w:pPr>
            <w:r w:rsidRPr="008819AF">
              <w:rPr>
                <w:rFonts w:eastAsia="Arial"/>
                <w:lang w:bidi="cs-CZ"/>
              </w:rPr>
              <w:t>Každá činnosť, pri ktorej sa spája drevo a/alebo plasty na účel výroby vrstvových výrobkov.</w:t>
            </w: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EC" w14:textId="77777777" w:rsidR="00236AB5" w:rsidRPr="008819AF" w:rsidRDefault="00236AB5" w:rsidP="00236AB5">
            <w:pPr>
              <w:ind w:left="215" w:hanging="215"/>
              <w:jc w:val="center"/>
              <w:rPr>
                <w:rFonts w:eastAsia="Arial"/>
                <w:lang w:bidi="cs-CZ"/>
              </w:rPr>
            </w:pPr>
          </w:p>
        </w:tc>
        <w:tc>
          <w:tcPr>
            <w:tcW w:w="878" w:type="dxa"/>
            <w:gridSpan w:val="2"/>
            <w:tcBorders>
              <w:top w:val="single" w:sz="4" w:space="0" w:color="000000"/>
              <w:left w:val="single" w:sz="6" w:space="0" w:color="000000"/>
              <w:bottom w:val="single" w:sz="4" w:space="0" w:color="000000"/>
              <w:right w:val="single" w:sz="6" w:space="0" w:color="000000"/>
            </w:tcBorders>
            <w:noWrap/>
          </w:tcPr>
          <w:p w14:paraId="151341ED" w14:textId="77777777" w:rsidR="00236AB5" w:rsidRPr="008819AF" w:rsidRDefault="00236AB5" w:rsidP="00236AB5">
            <w:pPr>
              <w:jc w:val="center"/>
              <w:rPr>
                <w:rFonts w:eastAsia="Arial"/>
                <w:lang w:bidi="cs-CZ"/>
              </w:rPr>
            </w:pPr>
            <w:r w:rsidRPr="008819AF">
              <w:rPr>
                <w:rFonts w:eastAsia="Arial"/>
                <w:lang w:bidi="cs-CZ"/>
              </w:rPr>
              <w:t>NV2</w:t>
            </w:r>
          </w:p>
        </w:tc>
        <w:tc>
          <w:tcPr>
            <w:tcW w:w="879" w:type="dxa"/>
            <w:gridSpan w:val="3"/>
            <w:tcBorders>
              <w:top w:val="single" w:sz="4" w:space="0" w:color="000000"/>
              <w:left w:val="single" w:sz="6" w:space="0" w:color="000000"/>
              <w:bottom w:val="single" w:sz="4" w:space="0" w:color="000000"/>
              <w:right w:val="single" w:sz="6" w:space="0" w:color="000000"/>
            </w:tcBorders>
          </w:tcPr>
          <w:p w14:paraId="151341EE" w14:textId="77777777" w:rsidR="00236AB5" w:rsidRPr="008819AF" w:rsidRDefault="00236AB5" w:rsidP="00236AB5">
            <w:pPr>
              <w:jc w:val="center"/>
            </w:pPr>
            <w:r w:rsidRPr="008819AF">
              <w:t xml:space="preserve">Pr.6 </w:t>
            </w:r>
          </w:p>
          <w:p w14:paraId="151341EF" w14:textId="77777777" w:rsidR="00236AB5" w:rsidRPr="008819AF" w:rsidRDefault="00236AB5" w:rsidP="00236AB5">
            <w:pPr>
              <w:jc w:val="center"/>
            </w:pPr>
            <w:r w:rsidRPr="008819AF">
              <w:t>Časť IV</w:t>
            </w:r>
          </w:p>
        </w:tc>
        <w:tc>
          <w:tcPr>
            <w:tcW w:w="4658" w:type="dxa"/>
            <w:tcBorders>
              <w:top w:val="single" w:sz="4" w:space="0" w:color="000000"/>
              <w:left w:val="single" w:sz="6" w:space="0" w:color="000000"/>
              <w:bottom w:val="single" w:sz="4" w:space="0" w:color="000000"/>
              <w:right w:val="single" w:sz="6" w:space="0" w:color="000000"/>
            </w:tcBorders>
          </w:tcPr>
          <w:p w14:paraId="151341F0" w14:textId="77777777" w:rsidR="00236AB5" w:rsidRPr="008819AF" w:rsidRDefault="00236AB5" w:rsidP="00236AB5">
            <w:pPr>
              <w:ind w:left="215" w:hanging="215"/>
              <w:jc w:val="both"/>
              <w:rPr>
                <w:b/>
                <w:lang w:eastAsia="cs-CZ"/>
              </w:rPr>
            </w:pPr>
            <w:r w:rsidRPr="008819AF">
              <w:rPr>
                <w:b/>
                <w:lang w:eastAsia="cs-CZ"/>
              </w:rPr>
              <w:t>15.  LAMINOVANIE DREVA A PLASTOV (XV)</w:t>
            </w:r>
          </w:p>
          <w:p w14:paraId="151341F1" w14:textId="77777777" w:rsidR="00236AB5" w:rsidRPr="008819AF" w:rsidRDefault="00236AB5" w:rsidP="00236AB5">
            <w:pPr>
              <w:ind w:left="215" w:hanging="215"/>
              <w:jc w:val="both"/>
              <w:rPr>
                <w:lang w:eastAsia="cs-CZ"/>
              </w:rPr>
            </w:pPr>
          </w:p>
          <w:p w14:paraId="151341F2" w14:textId="77777777" w:rsidR="00236AB5" w:rsidRPr="008819AF" w:rsidRDefault="00236AB5" w:rsidP="00236AB5">
            <w:pPr>
              <w:jc w:val="both"/>
              <w:rPr>
                <w:lang w:bidi="cs-CZ"/>
              </w:rPr>
            </w:pPr>
            <w:r w:rsidRPr="008819AF">
              <w:rPr>
                <w:lang w:eastAsia="cs-CZ"/>
              </w:rPr>
              <w:t xml:space="preserve">Činnosť, pri ktorej sa spája drevo a/alebo plasty s cieľom výroby laminátov. </w:t>
            </w:r>
          </w:p>
        </w:tc>
        <w:tc>
          <w:tcPr>
            <w:tcW w:w="602" w:type="dxa"/>
            <w:gridSpan w:val="2"/>
            <w:tcBorders>
              <w:top w:val="single" w:sz="4" w:space="0" w:color="000000"/>
              <w:left w:val="single" w:sz="6" w:space="0" w:color="000000"/>
              <w:bottom w:val="single" w:sz="4" w:space="0" w:color="000000"/>
              <w:right w:val="single" w:sz="6" w:space="0" w:color="000000"/>
            </w:tcBorders>
          </w:tcPr>
          <w:p w14:paraId="151341F3" w14:textId="77777777" w:rsidR="00236AB5" w:rsidRPr="008819AF" w:rsidRDefault="00236AB5" w:rsidP="00236AB5">
            <w:pPr>
              <w:ind w:left="215" w:hanging="215"/>
              <w:rPr>
                <w:rFonts w:eastAsia="Arial"/>
                <w:lang w:bidi="cs-CZ"/>
              </w:rPr>
            </w:pPr>
          </w:p>
        </w:tc>
        <w:tc>
          <w:tcPr>
            <w:tcW w:w="1352" w:type="dxa"/>
            <w:gridSpan w:val="3"/>
            <w:tcBorders>
              <w:top w:val="single" w:sz="4" w:space="0" w:color="000000"/>
              <w:left w:val="single" w:sz="6" w:space="0" w:color="000000"/>
              <w:bottom w:val="single" w:sz="4" w:space="0" w:color="000000"/>
              <w:right w:val="single" w:sz="6" w:space="0" w:color="000000"/>
            </w:tcBorders>
          </w:tcPr>
          <w:p w14:paraId="151341F4" w14:textId="77777777" w:rsidR="00236AB5" w:rsidRPr="008819AF" w:rsidRDefault="00236AB5" w:rsidP="00236AB5">
            <w:pPr>
              <w:ind w:left="215" w:hanging="215"/>
              <w:rPr>
                <w:rFonts w:eastAsia="Arial"/>
              </w:rPr>
            </w:pPr>
          </w:p>
        </w:tc>
      </w:tr>
    </w:tbl>
    <w:p w14:paraId="151341F6" w14:textId="77777777" w:rsidR="007170C3" w:rsidRPr="008819AF" w:rsidRDefault="007170C3">
      <w:pPr>
        <w:ind w:left="215" w:hanging="215"/>
        <w:rPr>
          <w:rFonts w:ascii="Arial" w:eastAsia="Arial" w:hAnsi="Arial" w:cs="Arial"/>
          <w:sz w:val="16"/>
          <w:szCs w:val="16"/>
          <w:lang w:bidi="cs-CZ"/>
        </w:rPr>
      </w:pPr>
    </w:p>
    <w:p w14:paraId="151341F7" w14:textId="77777777" w:rsidR="007170C3" w:rsidRPr="008819AF" w:rsidRDefault="007170C3">
      <w:pPr>
        <w:ind w:left="215" w:hanging="215"/>
        <w:rPr>
          <w:rFonts w:ascii="Arial" w:eastAsia="Arial" w:hAnsi="Arial" w:cs="Arial"/>
          <w:sz w:val="16"/>
          <w:szCs w:val="16"/>
          <w:lang w:bidi="cs-CZ"/>
        </w:rPr>
      </w:pPr>
    </w:p>
    <w:p w14:paraId="151341F8" w14:textId="77777777" w:rsidR="007170C3" w:rsidRPr="008819AF" w:rsidRDefault="007170C3">
      <w:pPr>
        <w:rPr>
          <w:rFonts w:ascii="Arial" w:eastAsia="Arial" w:hAnsi="Arial" w:cs="Arial"/>
          <w:sz w:val="16"/>
          <w:szCs w:val="16"/>
          <w:lang w:bidi="cs-CZ"/>
        </w:rPr>
      </w:pPr>
    </w:p>
    <w:p w14:paraId="151341F9" w14:textId="77777777" w:rsidR="007170C3" w:rsidRPr="008819AF" w:rsidRDefault="006F0418">
      <w:pPr>
        <w:ind w:left="215" w:hanging="215"/>
        <w:jc w:val="center"/>
        <w:rPr>
          <w:rFonts w:ascii="Arial" w:eastAsia="Arial" w:hAnsi="Arial" w:cs="Arial"/>
          <w:sz w:val="16"/>
          <w:szCs w:val="16"/>
          <w:lang w:bidi="cs-CZ"/>
        </w:rPr>
      </w:pPr>
      <w:r w:rsidRPr="008819AF">
        <w:rPr>
          <w:rFonts w:ascii="Arial" w:eastAsia="Arial" w:hAnsi="Arial" w:cs="Arial"/>
          <w:sz w:val="16"/>
          <w:szCs w:val="16"/>
          <w:lang w:bidi="cs-CZ"/>
        </w:rPr>
        <w:t>ČASŤ 2</w:t>
      </w:r>
    </w:p>
    <w:p w14:paraId="151341FA" w14:textId="77777777" w:rsidR="007170C3" w:rsidRPr="008819AF" w:rsidRDefault="007170C3">
      <w:pPr>
        <w:ind w:left="215" w:hanging="215"/>
        <w:jc w:val="center"/>
        <w:rPr>
          <w:rFonts w:ascii="Arial" w:eastAsia="Arial" w:hAnsi="Arial" w:cs="Arial"/>
          <w:sz w:val="16"/>
          <w:szCs w:val="16"/>
          <w:lang w:bidi="cs-CZ"/>
        </w:rPr>
      </w:pPr>
    </w:p>
    <w:p w14:paraId="151341FB" w14:textId="77777777" w:rsidR="007170C3" w:rsidRPr="008819AF" w:rsidRDefault="006F0418">
      <w:pPr>
        <w:ind w:left="215" w:hanging="215"/>
        <w:jc w:val="center"/>
        <w:rPr>
          <w:rFonts w:ascii="Arial" w:eastAsia="Arial" w:hAnsi="Arial" w:cs="Arial"/>
          <w:sz w:val="16"/>
          <w:szCs w:val="16"/>
          <w:lang w:bidi="cs-CZ"/>
        </w:rPr>
      </w:pPr>
      <w:r w:rsidRPr="008819AF">
        <w:rPr>
          <w:rFonts w:ascii="Arial" w:eastAsia="Arial" w:hAnsi="Arial" w:cs="Arial"/>
          <w:i/>
          <w:iCs/>
          <w:sz w:val="16"/>
          <w:szCs w:val="16"/>
          <w:lang w:bidi="cs-CZ"/>
        </w:rPr>
        <w:t>Prahové hodnoty a emisné limity</w:t>
      </w:r>
    </w:p>
    <w:p w14:paraId="151341FC" w14:textId="77777777" w:rsidR="007170C3" w:rsidRPr="008819AF" w:rsidRDefault="007170C3">
      <w:pPr>
        <w:ind w:left="215" w:hanging="215"/>
        <w:jc w:val="center"/>
        <w:rPr>
          <w:rFonts w:ascii="Arial" w:eastAsia="Arial" w:hAnsi="Arial" w:cs="Arial"/>
          <w:sz w:val="16"/>
          <w:szCs w:val="16"/>
          <w:lang w:bidi="cs-CZ"/>
        </w:rPr>
      </w:pPr>
    </w:p>
    <w:p w14:paraId="151341FD" w14:textId="77777777" w:rsidR="007170C3" w:rsidRPr="008819AF" w:rsidRDefault="007170C3">
      <w:pPr>
        <w:ind w:left="215" w:hanging="215"/>
        <w:jc w:val="center"/>
        <w:rPr>
          <w:rFonts w:ascii="Arial" w:eastAsia="Arial" w:hAnsi="Arial" w:cs="Arial"/>
          <w:sz w:val="16"/>
          <w:szCs w:val="16"/>
          <w:lang w:bidi="cs-CZ"/>
        </w:rPr>
      </w:pPr>
    </w:p>
    <w:p w14:paraId="151341FE" w14:textId="77777777" w:rsidR="007170C3" w:rsidRPr="008819AF" w:rsidRDefault="006F0418">
      <w:pPr>
        <w:ind w:left="215" w:hanging="215"/>
        <w:rPr>
          <w:rFonts w:ascii="Arial" w:eastAsia="Arial" w:hAnsi="Arial" w:cs="Arial"/>
          <w:sz w:val="16"/>
          <w:szCs w:val="16"/>
          <w:lang w:bidi="cs-CZ"/>
        </w:rPr>
      </w:pPr>
      <w:r w:rsidRPr="008819AF">
        <w:rPr>
          <w:rFonts w:ascii="Arial" w:eastAsia="Arial" w:hAnsi="Arial" w:cs="Arial"/>
          <w:sz w:val="16"/>
          <w:szCs w:val="16"/>
          <w:lang w:bidi="cs-CZ"/>
        </w:rPr>
        <w:t>Emisné limity v odpadových plynoch sa vypočítavajú pri teplote 273,15 K a tlaku 101,3 kPa.</w:t>
      </w:r>
    </w:p>
    <w:p w14:paraId="151341FF" w14:textId="77777777" w:rsidR="007170C3" w:rsidRPr="008819AF" w:rsidRDefault="007170C3">
      <w:pPr>
        <w:pStyle w:val="BodyText21"/>
        <w:spacing w:before="0" w:line="240" w:lineRule="auto"/>
        <w:jc w:val="left"/>
        <w:rPr>
          <w:sz w:val="16"/>
          <w:szCs w:val="16"/>
        </w:rPr>
      </w:pPr>
    </w:p>
    <w:tbl>
      <w:tblPr>
        <w:tblW w:w="144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6"/>
        <w:gridCol w:w="1139"/>
        <w:gridCol w:w="994"/>
        <w:gridCol w:w="709"/>
        <w:gridCol w:w="283"/>
        <w:gridCol w:w="850"/>
        <w:gridCol w:w="708"/>
        <w:gridCol w:w="993"/>
        <w:gridCol w:w="5972"/>
      </w:tblGrid>
      <w:tr w:rsidR="00F80158" w:rsidRPr="008819AF" w14:paraId="15134209" w14:textId="77777777">
        <w:trPr>
          <w:trHeight w:val="883"/>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14:paraId="15134200" w14:textId="77777777" w:rsidR="007170C3" w:rsidRPr="008819AF" w:rsidRDefault="007170C3">
            <w:pPr>
              <w:pStyle w:val="Default"/>
              <w:jc w:val="center"/>
              <w:rPr>
                <w:rFonts w:ascii="Times New Roman" w:eastAsia="Arial" w:hAnsi="Times New Roman" w:cs="Times New Roman"/>
                <w:color w:val="auto"/>
                <w:sz w:val="20"/>
                <w:szCs w:val="20"/>
              </w:rPr>
            </w:pPr>
          </w:p>
        </w:tc>
        <w:tc>
          <w:tcPr>
            <w:tcW w:w="2266" w:type="dxa"/>
            <w:vMerge w:val="restart"/>
            <w:tcBorders>
              <w:top w:val="single" w:sz="4" w:space="0" w:color="000000"/>
              <w:left w:val="single" w:sz="4" w:space="0" w:color="000000"/>
              <w:bottom w:val="single" w:sz="4" w:space="0" w:color="000000"/>
              <w:right w:val="single" w:sz="4" w:space="0" w:color="000000"/>
            </w:tcBorders>
            <w:vAlign w:val="center"/>
          </w:tcPr>
          <w:p w14:paraId="15134201"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Činnosť</w:t>
            </w:r>
          </w:p>
          <w:p w14:paraId="15134202"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(prahová hodnota spotreby rozpúšťadiel v tonách/rok)</w:t>
            </w:r>
          </w:p>
        </w:tc>
        <w:tc>
          <w:tcPr>
            <w:tcW w:w="1139" w:type="dxa"/>
            <w:vMerge w:val="restart"/>
            <w:tcBorders>
              <w:top w:val="single" w:sz="4" w:space="0" w:color="000000"/>
              <w:left w:val="single" w:sz="4" w:space="0" w:color="000000"/>
              <w:bottom w:val="single" w:sz="4" w:space="0" w:color="000000"/>
              <w:right w:val="single" w:sz="4" w:space="0" w:color="000000"/>
            </w:tcBorders>
            <w:vAlign w:val="center"/>
          </w:tcPr>
          <w:p w14:paraId="15134203"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Prahová hodnota</w:t>
            </w:r>
          </w:p>
          <w:p w14:paraId="15134204"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(prahová hodnota </w:t>
            </w:r>
            <w:r w:rsidRPr="008819AF">
              <w:rPr>
                <w:rFonts w:ascii="Times New Roman" w:eastAsia="Arial" w:hAnsi="Times New Roman" w:cs="Times New Roman"/>
                <w:color w:val="auto"/>
                <w:sz w:val="20"/>
                <w:szCs w:val="20"/>
              </w:rPr>
              <w:lastRenderedPageBreak/>
              <w:t>spotreby rozpúšťadiel v tonách/rok)</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15134205"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 xml:space="preserve">Emisné limity v odpadových </w:t>
            </w:r>
            <w:r w:rsidRPr="008819AF">
              <w:rPr>
                <w:rFonts w:ascii="Times New Roman" w:eastAsia="Arial" w:hAnsi="Times New Roman" w:cs="Times New Roman"/>
                <w:color w:val="auto"/>
                <w:sz w:val="20"/>
                <w:szCs w:val="20"/>
              </w:rPr>
              <w:lastRenderedPageBreak/>
              <w:t>plynoch (mg C/Nm</w:t>
            </w:r>
            <w:r w:rsidRPr="008819AF">
              <w:rPr>
                <w:rFonts w:ascii="Times New Roman" w:eastAsia="Arial" w:hAnsi="Times New Roman" w:cs="Times New Roman"/>
                <w:color w:val="auto"/>
                <w:sz w:val="20"/>
                <w:szCs w:val="20"/>
                <w:vertAlign w:val="superscript"/>
              </w:rPr>
              <w:t>3</w:t>
            </w:r>
            <w:r w:rsidRPr="008819AF">
              <w:rPr>
                <w:rFonts w:ascii="Times New Roman" w:eastAsia="Arial" w:hAnsi="Times New Roman" w:cs="Times New Roman"/>
                <w:color w:val="auto"/>
                <w:sz w:val="20"/>
                <w:szCs w:val="20"/>
              </w:rPr>
              <w:t>)</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15134206"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 xml:space="preserve">Limitné hodnoty fugitívnych emisií (percento zo vstupného </w:t>
            </w:r>
            <w:r w:rsidRPr="008819AF">
              <w:rPr>
                <w:rFonts w:ascii="Times New Roman" w:eastAsia="Arial" w:hAnsi="Times New Roman" w:cs="Times New Roman"/>
                <w:color w:val="auto"/>
                <w:sz w:val="20"/>
                <w:szCs w:val="20"/>
              </w:rPr>
              <w:lastRenderedPageBreak/>
              <w:t>množstva rozpúšťadla)</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5134207"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Celkové emisné limity</w:t>
            </w:r>
          </w:p>
        </w:tc>
        <w:tc>
          <w:tcPr>
            <w:tcW w:w="5972" w:type="dxa"/>
            <w:vMerge w:val="restart"/>
            <w:tcBorders>
              <w:top w:val="single" w:sz="4" w:space="0" w:color="000000"/>
              <w:left w:val="single" w:sz="4" w:space="0" w:color="000000"/>
              <w:bottom w:val="single" w:sz="4" w:space="0" w:color="000000"/>
              <w:right w:val="single" w:sz="4" w:space="0" w:color="000000"/>
            </w:tcBorders>
            <w:vAlign w:val="center"/>
          </w:tcPr>
          <w:p w14:paraId="15134208"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Osobitné ustanovenia</w:t>
            </w:r>
          </w:p>
        </w:tc>
      </w:tr>
      <w:tr w:rsidR="00F80158" w:rsidRPr="008819AF" w14:paraId="15134213" w14:textId="77777777">
        <w:trPr>
          <w:trHeight w:val="122"/>
        </w:trPr>
        <w:tc>
          <w:tcPr>
            <w:tcW w:w="564" w:type="dxa"/>
            <w:vMerge/>
            <w:tcBorders>
              <w:top w:val="single" w:sz="4" w:space="0" w:color="000000"/>
              <w:left w:val="single" w:sz="4" w:space="0" w:color="000000"/>
              <w:bottom w:val="single" w:sz="4" w:space="0" w:color="000000"/>
              <w:right w:val="single" w:sz="4" w:space="0" w:color="000000"/>
            </w:tcBorders>
            <w:vAlign w:val="center"/>
          </w:tcPr>
          <w:p w14:paraId="1513420A" w14:textId="77777777" w:rsidR="007170C3" w:rsidRPr="008819AF" w:rsidRDefault="007170C3">
            <w:pPr>
              <w:pStyle w:val="Default"/>
              <w:jc w:val="center"/>
              <w:rPr>
                <w:rFonts w:ascii="Times New Roman" w:eastAsia="Arial" w:hAnsi="Times New Roman" w:cs="Times New Roman"/>
                <w:color w:val="auto"/>
                <w:sz w:val="20"/>
                <w:szCs w:val="20"/>
              </w:rPr>
            </w:pPr>
          </w:p>
        </w:tc>
        <w:tc>
          <w:tcPr>
            <w:tcW w:w="2266" w:type="dxa"/>
            <w:vMerge/>
            <w:tcBorders>
              <w:top w:val="single" w:sz="4" w:space="0" w:color="000000"/>
              <w:left w:val="single" w:sz="4" w:space="0" w:color="000000"/>
              <w:bottom w:val="single" w:sz="4" w:space="0" w:color="000000"/>
              <w:right w:val="single" w:sz="4" w:space="0" w:color="000000"/>
            </w:tcBorders>
            <w:vAlign w:val="center"/>
          </w:tcPr>
          <w:p w14:paraId="1513420B" w14:textId="77777777" w:rsidR="007170C3" w:rsidRPr="008819AF" w:rsidRDefault="007170C3">
            <w:pPr>
              <w:pStyle w:val="Default"/>
              <w:jc w:val="center"/>
              <w:rPr>
                <w:rFonts w:ascii="Times New Roman" w:eastAsia="Arial" w:hAnsi="Times New Roman" w:cs="Times New Roman"/>
                <w:color w:val="auto"/>
                <w:sz w:val="20"/>
                <w:szCs w:val="20"/>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1513420C" w14:textId="77777777" w:rsidR="007170C3" w:rsidRPr="008819AF" w:rsidRDefault="007170C3">
            <w:pPr>
              <w:pStyle w:val="Default"/>
              <w:jc w:val="center"/>
              <w:rPr>
                <w:rFonts w:ascii="Times New Roman" w:eastAsia="Arial" w:hAnsi="Times New Roman" w:cs="Times New Roman"/>
                <w:color w:val="auto"/>
                <w:sz w:val="20"/>
                <w:szCs w:val="20"/>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14:paraId="1513420D" w14:textId="77777777" w:rsidR="007170C3" w:rsidRPr="008819AF" w:rsidRDefault="007170C3">
            <w:pPr>
              <w:pStyle w:val="Default"/>
              <w:jc w:val="center"/>
              <w:rPr>
                <w:rFonts w:ascii="Times New Roman" w:eastAsia="Arial" w:hAnsi="Times New Roman" w:cs="Times New Roman"/>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513420E"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Nové zariadenia</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14:paraId="1513420F"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Existujúce zariadenia</w:t>
            </w:r>
          </w:p>
        </w:tc>
        <w:tc>
          <w:tcPr>
            <w:tcW w:w="708" w:type="dxa"/>
            <w:tcBorders>
              <w:top w:val="single" w:sz="4" w:space="0" w:color="000000"/>
              <w:left w:val="single" w:sz="4" w:space="0" w:color="000000"/>
              <w:bottom w:val="single" w:sz="4" w:space="0" w:color="000000"/>
              <w:right w:val="single" w:sz="4" w:space="0" w:color="000000"/>
            </w:tcBorders>
            <w:vAlign w:val="center"/>
          </w:tcPr>
          <w:p w14:paraId="15134210"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Nové zaria</w:t>
            </w:r>
            <w:r w:rsidR="00C60C8C" w:rsidRPr="008819AF">
              <w:rPr>
                <w:rFonts w:ascii="Times New Roman" w:eastAsia="Arial" w:hAnsi="Times New Roman" w:cs="Times New Roman"/>
                <w:color w:val="auto"/>
                <w:sz w:val="20"/>
                <w:szCs w:val="20"/>
              </w:rPr>
              <w:t>-</w:t>
            </w:r>
            <w:r w:rsidRPr="008819AF">
              <w:rPr>
                <w:rFonts w:ascii="Times New Roman" w:eastAsia="Arial" w:hAnsi="Times New Roman" w:cs="Times New Roman"/>
                <w:color w:val="auto"/>
                <w:sz w:val="20"/>
                <w:szCs w:val="20"/>
              </w:rPr>
              <w:t>denia</w:t>
            </w:r>
          </w:p>
        </w:tc>
        <w:tc>
          <w:tcPr>
            <w:tcW w:w="993" w:type="dxa"/>
            <w:tcBorders>
              <w:top w:val="single" w:sz="4" w:space="0" w:color="000000"/>
              <w:left w:val="single" w:sz="4" w:space="0" w:color="000000"/>
              <w:bottom w:val="single" w:sz="4" w:space="0" w:color="000000"/>
              <w:right w:val="single" w:sz="4" w:space="0" w:color="000000"/>
            </w:tcBorders>
            <w:vAlign w:val="center"/>
          </w:tcPr>
          <w:p w14:paraId="15134211" w14:textId="77777777" w:rsidR="007170C3" w:rsidRPr="008819AF" w:rsidRDefault="006F0418">
            <w:pPr>
              <w:pStyle w:val="Default"/>
              <w:ind w:right="-108"/>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Existujúce zariadenia</w:t>
            </w:r>
          </w:p>
        </w:tc>
        <w:tc>
          <w:tcPr>
            <w:tcW w:w="5972" w:type="dxa"/>
            <w:vMerge/>
            <w:tcBorders>
              <w:top w:val="single" w:sz="4" w:space="0" w:color="000000"/>
              <w:left w:val="single" w:sz="4" w:space="0" w:color="000000"/>
              <w:bottom w:val="single" w:sz="4" w:space="0" w:color="000000"/>
              <w:right w:val="single" w:sz="4" w:space="0" w:color="000000"/>
            </w:tcBorders>
            <w:vAlign w:val="center"/>
          </w:tcPr>
          <w:p w14:paraId="15134212" w14:textId="77777777" w:rsidR="007170C3" w:rsidRPr="008819AF" w:rsidRDefault="007170C3">
            <w:pPr>
              <w:pStyle w:val="Default"/>
              <w:jc w:val="center"/>
              <w:rPr>
                <w:rFonts w:ascii="Times New Roman" w:eastAsia="Arial" w:hAnsi="Times New Roman" w:cs="Times New Roman"/>
                <w:color w:val="auto"/>
                <w:sz w:val="20"/>
                <w:szCs w:val="20"/>
              </w:rPr>
            </w:pPr>
          </w:p>
        </w:tc>
      </w:tr>
      <w:tr w:rsidR="00F80158" w:rsidRPr="008819AF" w14:paraId="1513421F"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14"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w:t>
            </w:r>
          </w:p>
        </w:tc>
        <w:tc>
          <w:tcPr>
            <w:tcW w:w="2266" w:type="dxa"/>
            <w:tcBorders>
              <w:top w:val="single" w:sz="4" w:space="0" w:color="000000"/>
              <w:left w:val="single" w:sz="4" w:space="0" w:color="000000"/>
              <w:bottom w:val="single" w:sz="4" w:space="0" w:color="000000"/>
              <w:right w:val="single" w:sz="4" w:space="0" w:color="000000"/>
            </w:tcBorders>
          </w:tcPr>
          <w:p w14:paraId="15134215"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Ofsetová kotúčová tlač</w:t>
            </w:r>
          </w:p>
          <w:p w14:paraId="15134216"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15)</w:t>
            </w:r>
          </w:p>
        </w:tc>
        <w:tc>
          <w:tcPr>
            <w:tcW w:w="1139" w:type="dxa"/>
            <w:tcBorders>
              <w:top w:val="single" w:sz="4" w:space="0" w:color="000000"/>
              <w:left w:val="single" w:sz="4" w:space="0" w:color="000000"/>
              <w:bottom w:val="single" w:sz="4" w:space="0" w:color="000000"/>
              <w:right w:val="single" w:sz="4" w:space="0" w:color="000000"/>
            </w:tcBorders>
          </w:tcPr>
          <w:p w14:paraId="15134217"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 –25</w:t>
            </w:r>
          </w:p>
          <w:p w14:paraId="15134218"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25</w:t>
            </w:r>
          </w:p>
        </w:tc>
        <w:tc>
          <w:tcPr>
            <w:tcW w:w="994" w:type="dxa"/>
            <w:tcBorders>
              <w:top w:val="single" w:sz="4" w:space="0" w:color="000000"/>
              <w:left w:val="single" w:sz="4" w:space="0" w:color="000000"/>
              <w:bottom w:val="single" w:sz="4" w:space="0" w:color="000000"/>
              <w:right w:val="single" w:sz="4" w:space="0" w:color="000000"/>
            </w:tcBorders>
          </w:tcPr>
          <w:p w14:paraId="15134219"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p w14:paraId="1513421A"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842" w:type="dxa"/>
            <w:gridSpan w:val="3"/>
            <w:tcBorders>
              <w:top w:val="single" w:sz="4" w:space="0" w:color="000000"/>
              <w:left w:val="single" w:sz="4" w:space="0" w:color="000000"/>
              <w:bottom w:val="single" w:sz="4" w:space="0" w:color="000000"/>
              <w:right w:val="single" w:sz="4" w:space="0" w:color="000000"/>
            </w:tcBorders>
          </w:tcPr>
          <w:p w14:paraId="1513421B"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 (1)</w:t>
            </w:r>
          </w:p>
          <w:p w14:paraId="1513421C"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 (1)</w:t>
            </w:r>
          </w:p>
        </w:tc>
        <w:tc>
          <w:tcPr>
            <w:tcW w:w="1701" w:type="dxa"/>
            <w:gridSpan w:val="2"/>
            <w:tcBorders>
              <w:top w:val="single" w:sz="4" w:space="0" w:color="000000"/>
              <w:left w:val="single" w:sz="4" w:space="0" w:color="000000"/>
              <w:bottom w:val="single" w:sz="4" w:space="0" w:color="000000"/>
              <w:right w:val="single" w:sz="4" w:space="0" w:color="000000"/>
            </w:tcBorders>
          </w:tcPr>
          <w:p w14:paraId="1513421D" w14:textId="77777777" w:rsidR="007170C3" w:rsidRPr="008819AF"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1513421E"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Zvyšok rozpúšťadla v dokončenom výrobku sa nepovažuje za súčasť fugitívnych emisií.</w:t>
            </w:r>
          </w:p>
        </w:tc>
      </w:tr>
      <w:tr w:rsidR="00F80158" w:rsidRPr="008819AF" w14:paraId="15134229"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20"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w:t>
            </w:r>
          </w:p>
        </w:tc>
        <w:tc>
          <w:tcPr>
            <w:tcW w:w="2266" w:type="dxa"/>
            <w:tcBorders>
              <w:top w:val="single" w:sz="4" w:space="0" w:color="000000"/>
              <w:left w:val="single" w:sz="4" w:space="0" w:color="000000"/>
              <w:bottom w:val="single" w:sz="4" w:space="0" w:color="000000"/>
              <w:right w:val="single" w:sz="4" w:space="0" w:color="000000"/>
            </w:tcBorders>
          </w:tcPr>
          <w:p w14:paraId="15134221"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Publikačná rotačná hĺbkotlač</w:t>
            </w:r>
          </w:p>
          <w:p w14:paraId="1513422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25)</w:t>
            </w:r>
          </w:p>
        </w:tc>
        <w:tc>
          <w:tcPr>
            <w:tcW w:w="1139" w:type="dxa"/>
            <w:tcBorders>
              <w:top w:val="single" w:sz="4" w:space="0" w:color="000000"/>
              <w:left w:val="single" w:sz="4" w:space="0" w:color="000000"/>
              <w:bottom w:val="single" w:sz="4" w:space="0" w:color="000000"/>
              <w:right w:val="single" w:sz="4" w:space="0" w:color="000000"/>
            </w:tcBorders>
          </w:tcPr>
          <w:p w14:paraId="15134223" w14:textId="77777777" w:rsidR="007170C3" w:rsidRPr="008819AF" w:rsidRDefault="007170C3">
            <w:pPr>
              <w:pStyle w:val="Default"/>
              <w:jc w:val="right"/>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15134224"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75</w:t>
            </w:r>
          </w:p>
        </w:tc>
        <w:tc>
          <w:tcPr>
            <w:tcW w:w="709" w:type="dxa"/>
            <w:tcBorders>
              <w:top w:val="single" w:sz="4" w:space="0" w:color="000000"/>
              <w:left w:val="single" w:sz="4" w:space="0" w:color="000000"/>
              <w:bottom w:val="single" w:sz="4" w:space="0" w:color="000000"/>
              <w:right w:val="single" w:sz="4" w:space="0" w:color="000000"/>
            </w:tcBorders>
          </w:tcPr>
          <w:p w14:paraId="15134225"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c>
          <w:tcPr>
            <w:tcW w:w="1133" w:type="dxa"/>
            <w:gridSpan w:val="2"/>
            <w:tcBorders>
              <w:top w:val="single" w:sz="4" w:space="0" w:color="000000"/>
              <w:left w:val="single" w:sz="4" w:space="0" w:color="000000"/>
              <w:bottom w:val="single" w:sz="4" w:space="0" w:color="000000"/>
              <w:right w:val="single" w:sz="4" w:space="0" w:color="000000"/>
            </w:tcBorders>
          </w:tcPr>
          <w:p w14:paraId="15134226"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w:t>
            </w:r>
          </w:p>
        </w:tc>
        <w:tc>
          <w:tcPr>
            <w:tcW w:w="1701" w:type="dxa"/>
            <w:gridSpan w:val="2"/>
            <w:tcBorders>
              <w:top w:val="single" w:sz="4" w:space="0" w:color="000000"/>
              <w:left w:val="single" w:sz="4" w:space="0" w:color="000000"/>
              <w:bottom w:val="single" w:sz="4" w:space="0" w:color="000000"/>
              <w:right w:val="single" w:sz="4" w:space="0" w:color="000000"/>
            </w:tcBorders>
          </w:tcPr>
          <w:p w14:paraId="15134227" w14:textId="77777777" w:rsidR="007170C3" w:rsidRPr="008819AF"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15134228" w14:textId="77777777" w:rsidR="007170C3" w:rsidRPr="008819AF" w:rsidRDefault="007170C3">
            <w:pPr>
              <w:pStyle w:val="Default"/>
              <w:rPr>
                <w:rFonts w:ascii="Times New Roman" w:eastAsia="Arial" w:hAnsi="Times New Roman" w:cs="Times New Roman"/>
                <w:color w:val="auto"/>
                <w:sz w:val="20"/>
                <w:szCs w:val="20"/>
              </w:rPr>
            </w:pPr>
          </w:p>
        </w:tc>
      </w:tr>
      <w:tr w:rsidR="00F80158" w:rsidRPr="008819AF" w14:paraId="15134237"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2A"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w:t>
            </w:r>
          </w:p>
        </w:tc>
        <w:tc>
          <w:tcPr>
            <w:tcW w:w="2266" w:type="dxa"/>
            <w:tcBorders>
              <w:top w:val="single" w:sz="4" w:space="0" w:color="000000"/>
              <w:left w:val="single" w:sz="4" w:space="0" w:color="000000"/>
              <w:bottom w:val="single" w:sz="4" w:space="0" w:color="000000"/>
              <w:right w:val="single" w:sz="4" w:space="0" w:color="000000"/>
            </w:tcBorders>
          </w:tcPr>
          <w:p w14:paraId="1513422B"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Ostatná rotačná hĺbkotlač, flexografia, rotačná sieťotlač, laminovacie alebo lakovacie jednotky (&gt; 15) rotačná sieťotlač na textil a lepenku (&gt; 30)</w:t>
            </w:r>
          </w:p>
        </w:tc>
        <w:tc>
          <w:tcPr>
            <w:tcW w:w="1139" w:type="dxa"/>
            <w:tcBorders>
              <w:top w:val="single" w:sz="4" w:space="0" w:color="000000"/>
              <w:left w:val="single" w:sz="4" w:space="0" w:color="000000"/>
              <w:bottom w:val="single" w:sz="4" w:space="0" w:color="000000"/>
              <w:right w:val="single" w:sz="4" w:space="0" w:color="000000"/>
            </w:tcBorders>
          </w:tcPr>
          <w:p w14:paraId="1513422C"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 25</w:t>
            </w:r>
          </w:p>
          <w:p w14:paraId="1513422D"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25</w:t>
            </w:r>
          </w:p>
          <w:p w14:paraId="1513422E"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30 (1)</w:t>
            </w:r>
          </w:p>
        </w:tc>
        <w:tc>
          <w:tcPr>
            <w:tcW w:w="994" w:type="dxa"/>
            <w:tcBorders>
              <w:top w:val="single" w:sz="4" w:space="0" w:color="000000"/>
              <w:left w:val="single" w:sz="4" w:space="0" w:color="000000"/>
              <w:bottom w:val="single" w:sz="4" w:space="0" w:color="000000"/>
              <w:right w:val="single" w:sz="4" w:space="0" w:color="000000"/>
            </w:tcBorders>
          </w:tcPr>
          <w:p w14:paraId="1513422F"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p w14:paraId="15134230"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p w14:paraId="15134231"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w:t>
            </w:r>
          </w:p>
        </w:tc>
        <w:tc>
          <w:tcPr>
            <w:tcW w:w="1842" w:type="dxa"/>
            <w:gridSpan w:val="3"/>
            <w:tcBorders>
              <w:top w:val="single" w:sz="4" w:space="0" w:color="000000"/>
              <w:left w:val="single" w:sz="4" w:space="0" w:color="000000"/>
              <w:bottom w:val="single" w:sz="4" w:space="0" w:color="000000"/>
              <w:right w:val="single" w:sz="4" w:space="0" w:color="000000"/>
            </w:tcBorders>
          </w:tcPr>
          <w:p w14:paraId="15134232"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w:t>
            </w:r>
          </w:p>
          <w:p w14:paraId="15134233"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p w14:paraId="15134234"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701" w:type="dxa"/>
            <w:gridSpan w:val="2"/>
            <w:tcBorders>
              <w:top w:val="single" w:sz="4" w:space="0" w:color="000000"/>
              <w:left w:val="single" w:sz="4" w:space="0" w:color="000000"/>
              <w:bottom w:val="single" w:sz="4" w:space="0" w:color="000000"/>
              <w:right w:val="single" w:sz="4" w:space="0" w:color="000000"/>
            </w:tcBorders>
          </w:tcPr>
          <w:p w14:paraId="15134235" w14:textId="77777777" w:rsidR="007170C3" w:rsidRPr="008819AF"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15134236"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Prahová hodnota pre rotačnú sieťotlač na textil a lepenku.</w:t>
            </w:r>
          </w:p>
        </w:tc>
      </w:tr>
      <w:tr w:rsidR="00F80158" w:rsidRPr="008819AF" w14:paraId="15134243"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38"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w:t>
            </w:r>
          </w:p>
        </w:tc>
        <w:tc>
          <w:tcPr>
            <w:tcW w:w="2266" w:type="dxa"/>
            <w:tcBorders>
              <w:top w:val="single" w:sz="4" w:space="0" w:color="000000"/>
              <w:left w:val="single" w:sz="4" w:space="0" w:color="000000"/>
              <w:bottom w:val="single" w:sz="4" w:space="0" w:color="000000"/>
              <w:right w:val="single" w:sz="4" w:space="0" w:color="000000"/>
            </w:tcBorders>
          </w:tcPr>
          <w:p w14:paraId="15134239"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Čistenie povrchov pomocou zlúčenín uvedených v článku 59 ods. 5</w:t>
            </w:r>
          </w:p>
          <w:p w14:paraId="1513423A"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w:t>
            </w:r>
          </w:p>
        </w:tc>
        <w:tc>
          <w:tcPr>
            <w:tcW w:w="1139" w:type="dxa"/>
            <w:tcBorders>
              <w:top w:val="single" w:sz="4" w:space="0" w:color="000000"/>
              <w:left w:val="single" w:sz="4" w:space="0" w:color="000000"/>
              <w:bottom w:val="single" w:sz="4" w:space="0" w:color="000000"/>
              <w:right w:val="single" w:sz="4" w:space="0" w:color="000000"/>
            </w:tcBorders>
          </w:tcPr>
          <w:p w14:paraId="1513423B"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5</w:t>
            </w:r>
          </w:p>
          <w:p w14:paraId="1513423C"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w:t>
            </w:r>
          </w:p>
        </w:tc>
        <w:tc>
          <w:tcPr>
            <w:tcW w:w="994" w:type="dxa"/>
            <w:tcBorders>
              <w:top w:val="single" w:sz="4" w:space="0" w:color="000000"/>
              <w:left w:val="single" w:sz="4" w:space="0" w:color="000000"/>
              <w:bottom w:val="single" w:sz="4" w:space="0" w:color="000000"/>
              <w:right w:val="single" w:sz="4" w:space="0" w:color="000000"/>
            </w:tcBorders>
          </w:tcPr>
          <w:p w14:paraId="1513423D"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 (1)</w:t>
            </w:r>
          </w:p>
          <w:p w14:paraId="1513423E"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 (1)</w:t>
            </w:r>
          </w:p>
        </w:tc>
        <w:tc>
          <w:tcPr>
            <w:tcW w:w="1842" w:type="dxa"/>
            <w:gridSpan w:val="3"/>
            <w:tcBorders>
              <w:top w:val="single" w:sz="4" w:space="0" w:color="000000"/>
              <w:left w:val="single" w:sz="4" w:space="0" w:color="000000"/>
              <w:bottom w:val="single" w:sz="4" w:space="0" w:color="000000"/>
              <w:right w:val="single" w:sz="4" w:space="0" w:color="000000"/>
            </w:tcBorders>
          </w:tcPr>
          <w:p w14:paraId="1513423F"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w:t>
            </w:r>
          </w:p>
          <w:p w14:paraId="15134240"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c>
          <w:tcPr>
            <w:tcW w:w="1701" w:type="dxa"/>
            <w:gridSpan w:val="2"/>
            <w:tcBorders>
              <w:top w:val="single" w:sz="4" w:space="0" w:color="000000"/>
              <w:left w:val="single" w:sz="4" w:space="0" w:color="000000"/>
              <w:bottom w:val="single" w:sz="4" w:space="0" w:color="000000"/>
              <w:right w:val="single" w:sz="4" w:space="0" w:color="000000"/>
            </w:tcBorders>
          </w:tcPr>
          <w:p w14:paraId="15134241" w14:textId="77777777" w:rsidR="007170C3" w:rsidRPr="008819AF"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1513424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Limitná hodnota sa týka hmotnosti zlúčenín v mg/Nm</w:t>
            </w:r>
            <w:r w:rsidRPr="008819AF">
              <w:rPr>
                <w:rFonts w:ascii="Times New Roman" w:eastAsia="Arial" w:hAnsi="Times New Roman" w:cs="Times New Roman"/>
                <w:color w:val="auto"/>
                <w:sz w:val="20"/>
                <w:szCs w:val="20"/>
                <w:vertAlign w:val="superscript"/>
              </w:rPr>
              <w:t>3</w:t>
            </w:r>
            <w:r w:rsidRPr="008819AF">
              <w:rPr>
                <w:rFonts w:ascii="Times New Roman" w:eastAsia="Arial" w:hAnsi="Times New Roman" w:cs="Times New Roman"/>
                <w:color w:val="auto"/>
                <w:sz w:val="20"/>
                <w:szCs w:val="20"/>
              </w:rPr>
              <w:t xml:space="preserve"> a nie celkovej hmotnosti uhlíka.</w:t>
            </w:r>
          </w:p>
        </w:tc>
      </w:tr>
      <w:tr w:rsidR="00F80158" w:rsidRPr="008819AF" w14:paraId="1513424F"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44"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w:t>
            </w:r>
          </w:p>
        </w:tc>
        <w:tc>
          <w:tcPr>
            <w:tcW w:w="2266" w:type="dxa"/>
            <w:tcBorders>
              <w:top w:val="single" w:sz="4" w:space="0" w:color="000000"/>
              <w:left w:val="single" w:sz="4" w:space="0" w:color="000000"/>
              <w:bottom w:val="single" w:sz="4" w:space="0" w:color="000000"/>
              <w:right w:val="single" w:sz="4" w:space="0" w:color="000000"/>
            </w:tcBorders>
          </w:tcPr>
          <w:p w14:paraId="15134245"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Ostatné čistenie povrchov</w:t>
            </w:r>
          </w:p>
          <w:p w14:paraId="15134246"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2)</w:t>
            </w:r>
          </w:p>
        </w:tc>
        <w:tc>
          <w:tcPr>
            <w:tcW w:w="1139" w:type="dxa"/>
            <w:tcBorders>
              <w:top w:val="single" w:sz="4" w:space="0" w:color="000000"/>
              <w:left w:val="single" w:sz="4" w:space="0" w:color="000000"/>
              <w:bottom w:val="single" w:sz="4" w:space="0" w:color="000000"/>
              <w:right w:val="single" w:sz="4" w:space="0" w:color="000000"/>
            </w:tcBorders>
          </w:tcPr>
          <w:p w14:paraId="15134247"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 –10</w:t>
            </w:r>
          </w:p>
          <w:p w14:paraId="15134248"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10</w:t>
            </w:r>
          </w:p>
        </w:tc>
        <w:tc>
          <w:tcPr>
            <w:tcW w:w="994" w:type="dxa"/>
            <w:tcBorders>
              <w:top w:val="single" w:sz="4" w:space="0" w:color="000000"/>
              <w:left w:val="single" w:sz="4" w:space="0" w:color="000000"/>
              <w:bottom w:val="single" w:sz="4" w:space="0" w:color="000000"/>
              <w:right w:val="single" w:sz="4" w:space="0" w:color="000000"/>
            </w:tcBorders>
          </w:tcPr>
          <w:p w14:paraId="15134249"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75 (1)</w:t>
            </w:r>
          </w:p>
          <w:p w14:paraId="1513424A"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75 (1)</w:t>
            </w:r>
          </w:p>
        </w:tc>
        <w:tc>
          <w:tcPr>
            <w:tcW w:w="1842" w:type="dxa"/>
            <w:gridSpan w:val="3"/>
            <w:tcBorders>
              <w:top w:val="single" w:sz="4" w:space="0" w:color="000000"/>
              <w:left w:val="single" w:sz="4" w:space="0" w:color="000000"/>
              <w:bottom w:val="single" w:sz="4" w:space="0" w:color="000000"/>
              <w:right w:val="single" w:sz="4" w:space="0" w:color="000000"/>
            </w:tcBorders>
          </w:tcPr>
          <w:p w14:paraId="1513424B"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 (1)</w:t>
            </w:r>
          </w:p>
          <w:p w14:paraId="1513424C"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 (1)</w:t>
            </w:r>
          </w:p>
        </w:tc>
        <w:tc>
          <w:tcPr>
            <w:tcW w:w="1701" w:type="dxa"/>
            <w:gridSpan w:val="2"/>
            <w:tcBorders>
              <w:top w:val="single" w:sz="4" w:space="0" w:color="000000"/>
              <w:left w:val="single" w:sz="4" w:space="0" w:color="000000"/>
              <w:bottom w:val="single" w:sz="4" w:space="0" w:color="000000"/>
              <w:right w:val="single" w:sz="4" w:space="0" w:color="000000"/>
            </w:tcBorders>
          </w:tcPr>
          <w:p w14:paraId="1513424D" w14:textId="77777777" w:rsidR="007170C3" w:rsidRPr="008819AF"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1513424E"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Zariadenia, ktoré príslušnému orgánu preukážu, že priemerný obsah organických rozpúšťadiel všetkých použitých čistiacich materiálov neprevyšuje 30 % hmotnosti, nemusia uplatňovať tieto hodnoty.</w:t>
            </w:r>
          </w:p>
        </w:tc>
      </w:tr>
      <w:tr w:rsidR="00F80158" w:rsidRPr="008819AF" w14:paraId="15134257"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50"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6</w:t>
            </w:r>
          </w:p>
        </w:tc>
        <w:tc>
          <w:tcPr>
            <w:tcW w:w="2266" w:type="dxa"/>
            <w:tcBorders>
              <w:top w:val="single" w:sz="4" w:space="0" w:color="000000"/>
              <w:left w:val="single" w:sz="4" w:space="0" w:color="000000"/>
              <w:bottom w:val="single" w:sz="4" w:space="0" w:color="000000"/>
              <w:right w:val="single" w:sz="4" w:space="0" w:color="000000"/>
            </w:tcBorders>
          </w:tcPr>
          <w:p w14:paraId="15134251"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Natieranie vozidiel (&lt; 15) a následná povrchová úprava vozidiel</w:t>
            </w:r>
          </w:p>
        </w:tc>
        <w:tc>
          <w:tcPr>
            <w:tcW w:w="1139" w:type="dxa"/>
            <w:tcBorders>
              <w:top w:val="single" w:sz="4" w:space="0" w:color="000000"/>
              <w:left w:val="single" w:sz="4" w:space="0" w:color="000000"/>
              <w:bottom w:val="single" w:sz="4" w:space="0" w:color="000000"/>
              <w:right w:val="single" w:sz="4" w:space="0" w:color="000000"/>
            </w:tcBorders>
          </w:tcPr>
          <w:p w14:paraId="15134252"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0,5</w:t>
            </w:r>
          </w:p>
        </w:tc>
        <w:tc>
          <w:tcPr>
            <w:tcW w:w="994" w:type="dxa"/>
            <w:tcBorders>
              <w:top w:val="single" w:sz="4" w:space="0" w:color="000000"/>
              <w:left w:val="single" w:sz="4" w:space="0" w:color="000000"/>
              <w:bottom w:val="single" w:sz="4" w:space="0" w:color="000000"/>
              <w:right w:val="single" w:sz="4" w:space="0" w:color="000000"/>
            </w:tcBorders>
          </w:tcPr>
          <w:p w14:paraId="15134253"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(1)</w:t>
            </w:r>
          </w:p>
        </w:tc>
        <w:tc>
          <w:tcPr>
            <w:tcW w:w="1842" w:type="dxa"/>
            <w:gridSpan w:val="3"/>
            <w:tcBorders>
              <w:top w:val="single" w:sz="4" w:space="0" w:color="000000"/>
              <w:left w:val="single" w:sz="4" w:space="0" w:color="000000"/>
              <w:bottom w:val="single" w:sz="4" w:space="0" w:color="000000"/>
              <w:right w:val="single" w:sz="4" w:space="0" w:color="000000"/>
            </w:tcBorders>
          </w:tcPr>
          <w:p w14:paraId="15134254"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w:t>
            </w:r>
          </w:p>
        </w:tc>
        <w:tc>
          <w:tcPr>
            <w:tcW w:w="1701" w:type="dxa"/>
            <w:gridSpan w:val="2"/>
            <w:tcBorders>
              <w:top w:val="single" w:sz="4" w:space="0" w:color="000000"/>
              <w:left w:val="single" w:sz="4" w:space="0" w:color="000000"/>
              <w:bottom w:val="single" w:sz="4" w:space="0" w:color="000000"/>
              <w:right w:val="single" w:sz="4" w:space="0" w:color="000000"/>
            </w:tcBorders>
          </w:tcPr>
          <w:p w14:paraId="15134255" w14:textId="77777777" w:rsidR="007170C3" w:rsidRPr="008819AF"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15134256"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Dodržanie časti 8 bod 2 sa preukáže na základe priemerných hodnôt z 15-minútových meraní.</w:t>
            </w:r>
          </w:p>
        </w:tc>
      </w:tr>
      <w:tr w:rsidR="00F80158" w:rsidRPr="008819AF" w14:paraId="15134261"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58"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7</w:t>
            </w:r>
          </w:p>
        </w:tc>
        <w:tc>
          <w:tcPr>
            <w:tcW w:w="2266" w:type="dxa"/>
            <w:tcBorders>
              <w:top w:val="single" w:sz="4" w:space="0" w:color="000000"/>
              <w:left w:val="single" w:sz="4" w:space="0" w:color="000000"/>
              <w:bottom w:val="single" w:sz="4" w:space="0" w:color="000000"/>
              <w:right w:val="single" w:sz="4" w:space="0" w:color="000000"/>
            </w:tcBorders>
          </w:tcPr>
          <w:p w14:paraId="15134259"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Natieranie zvitkov</w:t>
            </w:r>
          </w:p>
          <w:p w14:paraId="1513425A"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25)</w:t>
            </w:r>
          </w:p>
        </w:tc>
        <w:tc>
          <w:tcPr>
            <w:tcW w:w="1139" w:type="dxa"/>
            <w:tcBorders>
              <w:top w:val="single" w:sz="4" w:space="0" w:color="000000"/>
              <w:left w:val="single" w:sz="4" w:space="0" w:color="000000"/>
              <w:bottom w:val="single" w:sz="4" w:space="0" w:color="000000"/>
              <w:right w:val="single" w:sz="4" w:space="0" w:color="000000"/>
            </w:tcBorders>
          </w:tcPr>
          <w:p w14:paraId="1513425B" w14:textId="77777777" w:rsidR="007170C3" w:rsidRPr="008819AF" w:rsidRDefault="007170C3">
            <w:pPr>
              <w:pStyle w:val="Default"/>
              <w:jc w:val="right"/>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1513425C"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(1)</w:t>
            </w:r>
          </w:p>
        </w:tc>
        <w:tc>
          <w:tcPr>
            <w:tcW w:w="709" w:type="dxa"/>
            <w:tcBorders>
              <w:top w:val="single" w:sz="4" w:space="0" w:color="000000"/>
              <w:left w:val="single" w:sz="4" w:space="0" w:color="000000"/>
              <w:bottom w:val="single" w:sz="4" w:space="0" w:color="000000"/>
              <w:right w:val="single" w:sz="4" w:space="0" w:color="000000"/>
            </w:tcBorders>
          </w:tcPr>
          <w:p w14:paraId="1513425D"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w:t>
            </w:r>
          </w:p>
        </w:tc>
        <w:tc>
          <w:tcPr>
            <w:tcW w:w="1133" w:type="dxa"/>
            <w:gridSpan w:val="2"/>
            <w:tcBorders>
              <w:top w:val="single" w:sz="4" w:space="0" w:color="000000"/>
              <w:left w:val="single" w:sz="4" w:space="0" w:color="000000"/>
              <w:bottom w:val="single" w:sz="4" w:space="0" w:color="000000"/>
              <w:right w:val="single" w:sz="4" w:space="0" w:color="000000"/>
            </w:tcBorders>
          </w:tcPr>
          <w:p w14:paraId="1513425E"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c>
          <w:tcPr>
            <w:tcW w:w="1701" w:type="dxa"/>
            <w:gridSpan w:val="2"/>
            <w:tcBorders>
              <w:top w:val="single" w:sz="4" w:space="0" w:color="000000"/>
              <w:left w:val="single" w:sz="4" w:space="0" w:color="000000"/>
              <w:bottom w:val="single" w:sz="4" w:space="0" w:color="000000"/>
              <w:right w:val="single" w:sz="4" w:space="0" w:color="000000"/>
            </w:tcBorders>
          </w:tcPr>
          <w:p w14:paraId="1513425F" w14:textId="77777777" w:rsidR="007170C3" w:rsidRPr="008819AF"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15134260"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(1) Pre zariadenia, ktoré používajú techniky, ktoré umožňujú opätovné použitie zhodnotených rozpúšťadiel, je emisný limit 150. </w:t>
            </w:r>
          </w:p>
        </w:tc>
      </w:tr>
      <w:tr w:rsidR="00F80158" w:rsidRPr="008819AF" w14:paraId="15134273"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6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8</w:t>
            </w:r>
          </w:p>
          <w:p w14:paraId="15134263" w14:textId="77777777" w:rsidR="007170C3" w:rsidRPr="008819AF" w:rsidRDefault="007170C3">
            <w:pPr>
              <w:pStyle w:val="Default"/>
              <w:rPr>
                <w:rFonts w:ascii="Times New Roman" w:eastAsia="Arial" w:hAnsi="Times New Roman" w:cs="Times New Roman"/>
                <w:color w:val="auto"/>
                <w:sz w:val="20"/>
                <w:szCs w:val="20"/>
              </w:rPr>
            </w:pPr>
          </w:p>
          <w:p w14:paraId="15134264" w14:textId="77777777" w:rsidR="007170C3" w:rsidRPr="008819AF" w:rsidRDefault="007170C3">
            <w:pPr>
              <w:pStyle w:val="Default"/>
              <w:rPr>
                <w:rFonts w:ascii="Times New Roman" w:eastAsia="Arial" w:hAnsi="Times New Roman" w:cs="Times New Roman"/>
                <w:color w:val="auto"/>
                <w:sz w:val="20"/>
                <w:szCs w:val="20"/>
              </w:rPr>
            </w:pPr>
          </w:p>
        </w:tc>
        <w:tc>
          <w:tcPr>
            <w:tcW w:w="2266" w:type="dxa"/>
            <w:tcBorders>
              <w:top w:val="single" w:sz="4" w:space="0" w:color="000000"/>
              <w:left w:val="single" w:sz="4" w:space="0" w:color="000000"/>
              <w:bottom w:val="single" w:sz="4" w:space="0" w:color="000000"/>
              <w:right w:val="single" w:sz="4" w:space="0" w:color="000000"/>
            </w:tcBorders>
          </w:tcPr>
          <w:p w14:paraId="15134265"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Ostatné druhy povrchovej úpravy vrátane kovov, plastov, textílií (5), tkanív, fólií a papierov</w:t>
            </w:r>
          </w:p>
          <w:p w14:paraId="15134266"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w:t>
            </w:r>
          </w:p>
        </w:tc>
        <w:tc>
          <w:tcPr>
            <w:tcW w:w="1139" w:type="dxa"/>
            <w:tcBorders>
              <w:top w:val="single" w:sz="4" w:space="0" w:color="000000"/>
              <w:left w:val="single" w:sz="4" w:space="0" w:color="000000"/>
              <w:bottom w:val="single" w:sz="4" w:space="0" w:color="000000"/>
              <w:right w:val="single" w:sz="4" w:space="0" w:color="000000"/>
            </w:tcBorders>
          </w:tcPr>
          <w:p w14:paraId="15134267"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 –15</w:t>
            </w:r>
          </w:p>
          <w:p w14:paraId="15134268"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15</w:t>
            </w:r>
          </w:p>
        </w:tc>
        <w:tc>
          <w:tcPr>
            <w:tcW w:w="994" w:type="dxa"/>
            <w:tcBorders>
              <w:top w:val="single" w:sz="4" w:space="0" w:color="000000"/>
              <w:left w:val="single" w:sz="4" w:space="0" w:color="000000"/>
              <w:bottom w:val="single" w:sz="4" w:space="0" w:color="000000"/>
              <w:right w:val="single" w:sz="4" w:space="0" w:color="000000"/>
            </w:tcBorders>
          </w:tcPr>
          <w:p w14:paraId="15134269"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(1) (4)</w:t>
            </w:r>
          </w:p>
          <w:p w14:paraId="1513426A"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50/75 (2) (3) (4)</w:t>
            </w:r>
          </w:p>
        </w:tc>
        <w:tc>
          <w:tcPr>
            <w:tcW w:w="1842" w:type="dxa"/>
            <w:gridSpan w:val="3"/>
            <w:tcBorders>
              <w:top w:val="single" w:sz="4" w:space="0" w:color="000000"/>
              <w:left w:val="single" w:sz="4" w:space="0" w:color="000000"/>
              <w:bottom w:val="single" w:sz="4" w:space="0" w:color="000000"/>
              <w:right w:val="single" w:sz="4" w:space="0" w:color="000000"/>
            </w:tcBorders>
          </w:tcPr>
          <w:p w14:paraId="1513426B"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 (4)</w:t>
            </w:r>
          </w:p>
          <w:p w14:paraId="1513426C"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 (4)</w:t>
            </w:r>
          </w:p>
        </w:tc>
        <w:tc>
          <w:tcPr>
            <w:tcW w:w="1701" w:type="dxa"/>
            <w:gridSpan w:val="2"/>
            <w:tcBorders>
              <w:top w:val="single" w:sz="4" w:space="0" w:color="000000"/>
              <w:left w:val="single" w:sz="4" w:space="0" w:color="000000"/>
              <w:bottom w:val="single" w:sz="4" w:space="0" w:color="000000"/>
              <w:right w:val="single" w:sz="4" w:space="0" w:color="000000"/>
            </w:tcBorders>
          </w:tcPr>
          <w:p w14:paraId="1513426D" w14:textId="77777777" w:rsidR="007170C3" w:rsidRPr="008819AF"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1513426E"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Emisný limit platí pre procesy nanášania náteru a sušenia, ktoré prebiehajú za riadených podmienok.</w:t>
            </w:r>
          </w:p>
          <w:p w14:paraId="1513426F"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 Prvý emisný limit sa vzťahuje na proces sušenia, druhý na proces nanášania náteru.</w:t>
            </w:r>
          </w:p>
          <w:p w14:paraId="15134270"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 Pre zariadenia na povrchovú úpravu textílií, ktoré používajú techniky, ktoré umožňujú opätovné použitie zhodnotených rozpúšťadiel, je emisný limit uplatňovaný spoločne na proces nanášania náteru a proces sušenia 150.</w:t>
            </w:r>
          </w:p>
          <w:p w14:paraId="15134271"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(4) Činnosti povrchovej úpravy, ktoré sa nemôžu vykonávať za </w:t>
            </w:r>
            <w:r w:rsidRPr="008819AF">
              <w:rPr>
                <w:rFonts w:ascii="Times New Roman" w:eastAsia="Arial" w:hAnsi="Times New Roman" w:cs="Times New Roman"/>
                <w:color w:val="auto"/>
                <w:sz w:val="20"/>
                <w:szCs w:val="20"/>
              </w:rPr>
              <w:lastRenderedPageBreak/>
              <w:t>riadených podmienok (ako napríklad stavba lodí, natieranie lietadiel), môžu získať výnimku z uplatňovania týchto hodnôt v súlade s článkom 59 ods. 3</w:t>
            </w:r>
          </w:p>
          <w:p w14:paraId="1513427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 Rotačná sieťotlač na textil je zahrnutá pod činnosť č. 3.</w:t>
            </w:r>
          </w:p>
        </w:tc>
      </w:tr>
      <w:tr w:rsidR="00F80158" w:rsidRPr="008819AF" w14:paraId="1513427E"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74"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9</w:t>
            </w:r>
          </w:p>
        </w:tc>
        <w:tc>
          <w:tcPr>
            <w:tcW w:w="2266" w:type="dxa"/>
            <w:tcBorders>
              <w:top w:val="single" w:sz="4" w:space="0" w:color="000000"/>
              <w:left w:val="single" w:sz="4" w:space="0" w:color="000000"/>
              <w:bottom w:val="single" w:sz="4" w:space="0" w:color="000000"/>
              <w:right w:val="single" w:sz="4" w:space="0" w:color="000000"/>
            </w:tcBorders>
            <w:vAlign w:val="center"/>
          </w:tcPr>
          <w:p w14:paraId="15134275"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Povrchová úprava navíjaných drôtov</w:t>
            </w:r>
          </w:p>
          <w:p w14:paraId="15134276"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w:t>
            </w:r>
          </w:p>
        </w:tc>
        <w:tc>
          <w:tcPr>
            <w:tcW w:w="1139" w:type="dxa"/>
            <w:tcBorders>
              <w:top w:val="single" w:sz="4" w:space="0" w:color="000000"/>
              <w:left w:val="single" w:sz="4" w:space="0" w:color="000000"/>
              <w:bottom w:val="single" w:sz="4" w:space="0" w:color="000000"/>
              <w:right w:val="single" w:sz="4" w:space="0" w:color="000000"/>
            </w:tcBorders>
            <w:vAlign w:val="center"/>
          </w:tcPr>
          <w:p w14:paraId="15134277" w14:textId="77777777" w:rsidR="007170C3" w:rsidRPr="008819AF"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15134278" w14:textId="77777777" w:rsidR="007170C3" w:rsidRPr="008819AF"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15134279" w14:textId="77777777" w:rsidR="007170C3" w:rsidRPr="008819AF"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513427A"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 g/kg (1)</w:t>
            </w:r>
          </w:p>
          <w:p w14:paraId="1513427B"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 g/kg (2)</w:t>
            </w:r>
          </w:p>
        </w:tc>
        <w:tc>
          <w:tcPr>
            <w:tcW w:w="5972" w:type="dxa"/>
            <w:tcBorders>
              <w:top w:val="single" w:sz="4" w:space="0" w:color="000000"/>
              <w:left w:val="single" w:sz="4" w:space="0" w:color="000000"/>
              <w:bottom w:val="single" w:sz="4" w:space="0" w:color="000000"/>
              <w:right w:val="single" w:sz="4" w:space="0" w:color="000000"/>
            </w:tcBorders>
          </w:tcPr>
          <w:p w14:paraId="1513427C"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Platí pre zariadenia, kde priemerný priemer drôtu je ≤ 0,1 mm.</w:t>
            </w:r>
          </w:p>
          <w:p w14:paraId="1513427D"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 Platí pre všetky ostatné zariadenia.</w:t>
            </w:r>
          </w:p>
        </w:tc>
      </w:tr>
      <w:tr w:rsidR="00F80158" w:rsidRPr="008819AF" w14:paraId="1513428B"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7F"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c>
          <w:tcPr>
            <w:tcW w:w="2266" w:type="dxa"/>
            <w:tcBorders>
              <w:top w:val="single" w:sz="4" w:space="0" w:color="000000"/>
              <w:left w:val="single" w:sz="4" w:space="0" w:color="000000"/>
              <w:bottom w:val="single" w:sz="4" w:space="0" w:color="000000"/>
              <w:right w:val="single" w:sz="4" w:space="0" w:color="000000"/>
            </w:tcBorders>
            <w:vAlign w:val="center"/>
          </w:tcPr>
          <w:p w14:paraId="15134280"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Povrchová úprava drevených povrchov</w:t>
            </w:r>
          </w:p>
          <w:p w14:paraId="15134281"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15)</w:t>
            </w:r>
          </w:p>
        </w:tc>
        <w:tc>
          <w:tcPr>
            <w:tcW w:w="1139" w:type="dxa"/>
            <w:tcBorders>
              <w:top w:val="single" w:sz="4" w:space="0" w:color="000000"/>
              <w:left w:val="single" w:sz="4" w:space="0" w:color="000000"/>
              <w:bottom w:val="single" w:sz="4" w:space="0" w:color="000000"/>
              <w:right w:val="single" w:sz="4" w:space="0" w:color="000000"/>
            </w:tcBorders>
            <w:vAlign w:val="center"/>
          </w:tcPr>
          <w:p w14:paraId="15134282"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15—25</w:t>
            </w:r>
          </w:p>
          <w:p w14:paraId="15134283"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25</w:t>
            </w:r>
          </w:p>
        </w:tc>
        <w:tc>
          <w:tcPr>
            <w:tcW w:w="994" w:type="dxa"/>
            <w:tcBorders>
              <w:top w:val="single" w:sz="4" w:space="0" w:color="000000"/>
              <w:left w:val="single" w:sz="4" w:space="0" w:color="000000"/>
              <w:bottom w:val="single" w:sz="4" w:space="0" w:color="000000"/>
              <w:right w:val="single" w:sz="4" w:space="0" w:color="000000"/>
            </w:tcBorders>
            <w:vAlign w:val="center"/>
          </w:tcPr>
          <w:p w14:paraId="15134284"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(1)</w:t>
            </w:r>
          </w:p>
          <w:p w14:paraId="15134285"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50/75 (2)</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15134286"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w:t>
            </w:r>
          </w:p>
          <w:p w14:paraId="15134287"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5134288" w14:textId="77777777" w:rsidR="007170C3" w:rsidRPr="008819AF"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15134289"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Emisný limit platí pre procesy nanášania náteru a sušenia, ktoré prebiehajú za riadených podmienok.</w:t>
            </w:r>
          </w:p>
          <w:p w14:paraId="1513428A"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 Prvá hodnota platí pre proces sušenia, druhá pre proces nanášania náteru.</w:t>
            </w:r>
          </w:p>
        </w:tc>
      </w:tr>
      <w:tr w:rsidR="00F80158" w:rsidRPr="008819AF" w14:paraId="15134294"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8C"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11</w:t>
            </w:r>
          </w:p>
        </w:tc>
        <w:tc>
          <w:tcPr>
            <w:tcW w:w="2266" w:type="dxa"/>
            <w:tcBorders>
              <w:top w:val="single" w:sz="4" w:space="0" w:color="000000"/>
              <w:left w:val="single" w:sz="4" w:space="0" w:color="000000"/>
              <w:bottom w:val="single" w:sz="4" w:space="0" w:color="000000"/>
              <w:right w:val="single" w:sz="4" w:space="0" w:color="000000"/>
            </w:tcBorders>
            <w:vAlign w:val="center"/>
          </w:tcPr>
          <w:p w14:paraId="1513428D"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Chemické čistenie/čistenie za sucha</w:t>
            </w:r>
          </w:p>
        </w:tc>
        <w:tc>
          <w:tcPr>
            <w:tcW w:w="1139" w:type="dxa"/>
            <w:tcBorders>
              <w:top w:val="single" w:sz="4" w:space="0" w:color="000000"/>
              <w:left w:val="single" w:sz="4" w:space="0" w:color="000000"/>
              <w:bottom w:val="single" w:sz="4" w:space="0" w:color="000000"/>
              <w:right w:val="single" w:sz="4" w:space="0" w:color="000000"/>
            </w:tcBorders>
            <w:vAlign w:val="center"/>
          </w:tcPr>
          <w:p w14:paraId="1513428E" w14:textId="77777777" w:rsidR="007170C3" w:rsidRPr="008819AF"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1513428F" w14:textId="77777777" w:rsidR="007170C3" w:rsidRPr="008819AF"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15134290" w14:textId="77777777" w:rsidR="007170C3" w:rsidRPr="008819AF"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5134291"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 g/kg (1) (2)</w:t>
            </w:r>
          </w:p>
        </w:tc>
        <w:tc>
          <w:tcPr>
            <w:tcW w:w="5972" w:type="dxa"/>
            <w:tcBorders>
              <w:top w:val="single" w:sz="4" w:space="0" w:color="000000"/>
              <w:left w:val="single" w:sz="4" w:space="0" w:color="000000"/>
              <w:bottom w:val="single" w:sz="4" w:space="0" w:color="000000"/>
              <w:right w:val="single" w:sz="4" w:space="0" w:color="000000"/>
            </w:tcBorders>
          </w:tcPr>
          <w:p w14:paraId="1513429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Vyjadrené v hmotnosti rozpúšťadla emitovaného na jeden kilogram vyčistených a vysušených výrobkov.</w:t>
            </w:r>
          </w:p>
          <w:p w14:paraId="15134293"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 Emisný limit uvedená v časti 4 bod 2 sa nevzťahuje na túto činnosť.</w:t>
            </w:r>
          </w:p>
        </w:tc>
      </w:tr>
      <w:tr w:rsidR="00F80158" w:rsidRPr="008819AF" w14:paraId="1513429D"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95"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w:t>
            </w:r>
          </w:p>
        </w:tc>
        <w:tc>
          <w:tcPr>
            <w:tcW w:w="2266" w:type="dxa"/>
            <w:tcBorders>
              <w:top w:val="single" w:sz="4" w:space="0" w:color="000000"/>
              <w:left w:val="single" w:sz="4" w:space="0" w:color="000000"/>
              <w:bottom w:val="single" w:sz="4" w:space="0" w:color="000000"/>
              <w:right w:val="single" w:sz="4" w:space="0" w:color="000000"/>
            </w:tcBorders>
            <w:vAlign w:val="center"/>
          </w:tcPr>
          <w:p w14:paraId="15134296"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Impregnácia dreva</w:t>
            </w:r>
          </w:p>
          <w:p w14:paraId="15134297"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25)</w:t>
            </w:r>
          </w:p>
        </w:tc>
        <w:tc>
          <w:tcPr>
            <w:tcW w:w="1139" w:type="dxa"/>
            <w:tcBorders>
              <w:top w:val="single" w:sz="4" w:space="0" w:color="000000"/>
              <w:left w:val="single" w:sz="4" w:space="0" w:color="000000"/>
              <w:bottom w:val="single" w:sz="4" w:space="0" w:color="000000"/>
              <w:right w:val="single" w:sz="4" w:space="0" w:color="000000"/>
            </w:tcBorders>
            <w:vAlign w:val="center"/>
          </w:tcPr>
          <w:p w14:paraId="15134298" w14:textId="77777777" w:rsidR="007170C3" w:rsidRPr="008819AF"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15134299"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(1)</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1513429A"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513429B"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11 kg/m</w:t>
            </w:r>
            <w:r w:rsidRPr="008819AF">
              <w:rPr>
                <w:rFonts w:ascii="Times New Roman" w:eastAsia="Arial" w:hAnsi="Times New Roman" w:cs="Times New Roman"/>
                <w:color w:val="auto"/>
                <w:sz w:val="20"/>
                <w:szCs w:val="20"/>
                <w:vertAlign w:val="superscript"/>
              </w:rPr>
              <w:t>3</w:t>
            </w:r>
          </w:p>
        </w:tc>
        <w:tc>
          <w:tcPr>
            <w:tcW w:w="5972" w:type="dxa"/>
            <w:tcBorders>
              <w:top w:val="single" w:sz="4" w:space="0" w:color="000000"/>
              <w:left w:val="single" w:sz="4" w:space="0" w:color="000000"/>
              <w:bottom w:val="single" w:sz="4" w:space="0" w:color="000000"/>
              <w:right w:val="single" w:sz="4" w:space="0" w:color="000000"/>
            </w:tcBorders>
          </w:tcPr>
          <w:p w14:paraId="1513429C"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Emisný limit neplatí pre impregnáciu kreozotom.</w:t>
            </w:r>
          </w:p>
        </w:tc>
      </w:tr>
      <w:tr w:rsidR="00F80158" w:rsidRPr="008819AF" w14:paraId="151342AB"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9E"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13</w:t>
            </w:r>
          </w:p>
        </w:tc>
        <w:tc>
          <w:tcPr>
            <w:tcW w:w="2266" w:type="dxa"/>
            <w:tcBorders>
              <w:top w:val="single" w:sz="4" w:space="0" w:color="000000"/>
              <w:left w:val="single" w:sz="4" w:space="0" w:color="000000"/>
              <w:bottom w:val="single" w:sz="4" w:space="0" w:color="000000"/>
              <w:right w:val="single" w:sz="4" w:space="0" w:color="000000"/>
            </w:tcBorders>
            <w:vAlign w:val="center"/>
          </w:tcPr>
          <w:p w14:paraId="1513429F"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Povrchová úprava kože</w:t>
            </w:r>
          </w:p>
          <w:p w14:paraId="151342A0"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10)</w:t>
            </w:r>
          </w:p>
        </w:tc>
        <w:tc>
          <w:tcPr>
            <w:tcW w:w="1139" w:type="dxa"/>
            <w:tcBorders>
              <w:top w:val="single" w:sz="4" w:space="0" w:color="000000"/>
              <w:left w:val="single" w:sz="4" w:space="0" w:color="000000"/>
              <w:bottom w:val="single" w:sz="4" w:space="0" w:color="000000"/>
              <w:right w:val="single" w:sz="4" w:space="0" w:color="000000"/>
            </w:tcBorders>
            <w:vAlign w:val="center"/>
          </w:tcPr>
          <w:p w14:paraId="151342A1"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 – 25</w:t>
            </w:r>
          </w:p>
          <w:p w14:paraId="151342A2"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25</w:t>
            </w:r>
          </w:p>
          <w:p w14:paraId="151342A3"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10 (1)</w:t>
            </w:r>
          </w:p>
        </w:tc>
        <w:tc>
          <w:tcPr>
            <w:tcW w:w="994" w:type="dxa"/>
            <w:tcBorders>
              <w:top w:val="single" w:sz="4" w:space="0" w:color="000000"/>
              <w:left w:val="single" w:sz="4" w:space="0" w:color="000000"/>
              <w:bottom w:val="single" w:sz="4" w:space="0" w:color="000000"/>
              <w:right w:val="single" w:sz="4" w:space="0" w:color="000000"/>
            </w:tcBorders>
            <w:vAlign w:val="center"/>
          </w:tcPr>
          <w:p w14:paraId="151342A4" w14:textId="77777777" w:rsidR="007170C3" w:rsidRPr="008819AF"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151342A5" w14:textId="77777777" w:rsidR="007170C3" w:rsidRPr="008819AF"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51342A6"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85 g/m</w:t>
            </w:r>
            <w:r w:rsidRPr="008819AF">
              <w:rPr>
                <w:rFonts w:ascii="Times New Roman" w:eastAsia="Arial" w:hAnsi="Times New Roman" w:cs="Times New Roman"/>
                <w:color w:val="auto"/>
                <w:sz w:val="20"/>
                <w:szCs w:val="20"/>
                <w:vertAlign w:val="superscript"/>
              </w:rPr>
              <w:t>2</w:t>
            </w:r>
          </w:p>
          <w:p w14:paraId="151342A7"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75 g/m</w:t>
            </w:r>
            <w:r w:rsidRPr="008819AF">
              <w:rPr>
                <w:rFonts w:ascii="Times New Roman" w:eastAsia="Arial" w:hAnsi="Times New Roman" w:cs="Times New Roman"/>
                <w:color w:val="auto"/>
                <w:sz w:val="20"/>
                <w:szCs w:val="20"/>
                <w:vertAlign w:val="superscript"/>
              </w:rPr>
              <w:t>2</w:t>
            </w:r>
          </w:p>
          <w:p w14:paraId="151342A8"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 g/m</w:t>
            </w:r>
            <w:r w:rsidRPr="008819AF">
              <w:rPr>
                <w:rFonts w:ascii="Times New Roman" w:eastAsia="Arial" w:hAnsi="Times New Roman" w:cs="Times New Roman"/>
                <w:color w:val="auto"/>
                <w:sz w:val="20"/>
                <w:szCs w:val="20"/>
                <w:vertAlign w:val="superscript"/>
              </w:rPr>
              <w:t>2</w:t>
            </w:r>
          </w:p>
        </w:tc>
        <w:tc>
          <w:tcPr>
            <w:tcW w:w="5972" w:type="dxa"/>
            <w:tcBorders>
              <w:top w:val="single" w:sz="4" w:space="0" w:color="000000"/>
              <w:left w:val="single" w:sz="4" w:space="0" w:color="000000"/>
              <w:bottom w:val="single" w:sz="4" w:space="0" w:color="000000"/>
              <w:right w:val="single" w:sz="4" w:space="0" w:color="000000"/>
            </w:tcBorders>
          </w:tcPr>
          <w:p w14:paraId="151342A9"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Emisné limity sú vyjadrené v gramoch emitovaného rozpúšťadla na m2 vyrobeného výrobku.</w:t>
            </w:r>
          </w:p>
          <w:p w14:paraId="151342AA"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Pri činnostiach povrchovej úpravy kože pri výrobe nábytku a určitého koženého tovaru, ktorý sa používa ako drobný spotrebiteľský tovar, napríklad kabelky, opasky, náprsné tašky atď.</w:t>
            </w:r>
          </w:p>
        </w:tc>
      </w:tr>
      <w:tr w:rsidR="00F80158" w:rsidRPr="008819AF" w14:paraId="151342B4"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AC"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14</w:t>
            </w:r>
          </w:p>
        </w:tc>
        <w:tc>
          <w:tcPr>
            <w:tcW w:w="2266" w:type="dxa"/>
            <w:tcBorders>
              <w:top w:val="single" w:sz="4" w:space="0" w:color="000000"/>
              <w:left w:val="single" w:sz="4" w:space="0" w:color="000000"/>
              <w:bottom w:val="single" w:sz="4" w:space="0" w:color="000000"/>
              <w:right w:val="single" w:sz="4" w:space="0" w:color="000000"/>
            </w:tcBorders>
            <w:vAlign w:val="center"/>
          </w:tcPr>
          <w:p w14:paraId="151342AD"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Výroba obuvi</w:t>
            </w:r>
          </w:p>
          <w:p w14:paraId="151342AE"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w:t>
            </w:r>
          </w:p>
        </w:tc>
        <w:tc>
          <w:tcPr>
            <w:tcW w:w="1139" w:type="dxa"/>
            <w:tcBorders>
              <w:top w:val="single" w:sz="4" w:space="0" w:color="000000"/>
              <w:left w:val="single" w:sz="4" w:space="0" w:color="000000"/>
              <w:bottom w:val="single" w:sz="4" w:space="0" w:color="000000"/>
              <w:right w:val="single" w:sz="4" w:space="0" w:color="000000"/>
            </w:tcBorders>
            <w:vAlign w:val="center"/>
          </w:tcPr>
          <w:p w14:paraId="151342AF" w14:textId="77777777" w:rsidR="007170C3" w:rsidRPr="008819AF"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151342B0" w14:textId="77777777" w:rsidR="007170C3" w:rsidRPr="008819AF"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151342B1" w14:textId="77777777" w:rsidR="007170C3" w:rsidRPr="008819AF"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51342B2"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 g na jeden pár</w:t>
            </w:r>
          </w:p>
        </w:tc>
        <w:tc>
          <w:tcPr>
            <w:tcW w:w="5972" w:type="dxa"/>
            <w:tcBorders>
              <w:top w:val="single" w:sz="4" w:space="0" w:color="000000"/>
              <w:left w:val="single" w:sz="4" w:space="0" w:color="000000"/>
              <w:bottom w:val="single" w:sz="4" w:space="0" w:color="000000"/>
              <w:right w:val="single" w:sz="4" w:space="0" w:color="000000"/>
            </w:tcBorders>
          </w:tcPr>
          <w:p w14:paraId="151342B3"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Celková emisný limit je vyjadrená v gramoch rozpúšťadla emitovaného na jeden pár úplne vyrobeného výrobku.</w:t>
            </w:r>
          </w:p>
        </w:tc>
      </w:tr>
      <w:tr w:rsidR="00F80158" w:rsidRPr="008819AF" w14:paraId="151342BC"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B5"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w:t>
            </w:r>
          </w:p>
        </w:tc>
        <w:tc>
          <w:tcPr>
            <w:tcW w:w="2266" w:type="dxa"/>
            <w:tcBorders>
              <w:top w:val="single" w:sz="4" w:space="0" w:color="000000"/>
              <w:left w:val="single" w:sz="4" w:space="0" w:color="000000"/>
              <w:bottom w:val="single" w:sz="4" w:space="0" w:color="000000"/>
              <w:right w:val="single" w:sz="4" w:space="0" w:color="000000"/>
            </w:tcBorders>
            <w:vAlign w:val="center"/>
          </w:tcPr>
          <w:p w14:paraId="151342B6"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Laminovanie dreva a plastov(&gt; 5)</w:t>
            </w:r>
          </w:p>
        </w:tc>
        <w:tc>
          <w:tcPr>
            <w:tcW w:w="1139" w:type="dxa"/>
            <w:tcBorders>
              <w:top w:val="single" w:sz="4" w:space="0" w:color="000000"/>
              <w:left w:val="single" w:sz="4" w:space="0" w:color="000000"/>
              <w:bottom w:val="single" w:sz="4" w:space="0" w:color="000000"/>
              <w:right w:val="single" w:sz="4" w:space="0" w:color="000000"/>
            </w:tcBorders>
            <w:vAlign w:val="center"/>
          </w:tcPr>
          <w:p w14:paraId="151342B7" w14:textId="77777777" w:rsidR="007170C3" w:rsidRPr="008819AF"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151342B8" w14:textId="77777777" w:rsidR="007170C3" w:rsidRPr="008819AF"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151342B9" w14:textId="77777777" w:rsidR="007170C3" w:rsidRPr="008819AF"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51342BA"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30 g/m</w:t>
            </w:r>
            <w:r w:rsidRPr="008819AF">
              <w:rPr>
                <w:rFonts w:ascii="Times New Roman" w:eastAsia="Arial" w:hAnsi="Times New Roman" w:cs="Times New Roman"/>
                <w:color w:val="auto"/>
                <w:sz w:val="20"/>
                <w:szCs w:val="20"/>
                <w:vertAlign w:val="superscript"/>
              </w:rPr>
              <w:t>2</w:t>
            </w:r>
          </w:p>
        </w:tc>
        <w:tc>
          <w:tcPr>
            <w:tcW w:w="5972" w:type="dxa"/>
            <w:tcBorders>
              <w:top w:val="single" w:sz="4" w:space="0" w:color="000000"/>
              <w:left w:val="single" w:sz="4" w:space="0" w:color="000000"/>
              <w:bottom w:val="single" w:sz="4" w:space="0" w:color="000000"/>
              <w:right w:val="single" w:sz="4" w:space="0" w:color="000000"/>
            </w:tcBorders>
          </w:tcPr>
          <w:p w14:paraId="151342BB" w14:textId="77777777" w:rsidR="007170C3" w:rsidRPr="008819AF" w:rsidRDefault="007170C3">
            <w:pPr>
              <w:pStyle w:val="Default"/>
              <w:rPr>
                <w:rFonts w:ascii="Times New Roman" w:eastAsia="Arial" w:hAnsi="Times New Roman" w:cs="Times New Roman"/>
                <w:color w:val="auto"/>
                <w:sz w:val="20"/>
                <w:szCs w:val="20"/>
              </w:rPr>
            </w:pPr>
          </w:p>
        </w:tc>
      </w:tr>
      <w:tr w:rsidR="00F80158" w:rsidRPr="008819AF" w14:paraId="151342C8"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BD"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16</w:t>
            </w:r>
          </w:p>
        </w:tc>
        <w:tc>
          <w:tcPr>
            <w:tcW w:w="2266" w:type="dxa"/>
            <w:tcBorders>
              <w:top w:val="single" w:sz="4" w:space="0" w:color="000000"/>
              <w:left w:val="single" w:sz="4" w:space="0" w:color="000000"/>
              <w:bottom w:val="single" w:sz="4" w:space="0" w:color="000000"/>
              <w:right w:val="single" w:sz="4" w:space="0" w:color="000000"/>
            </w:tcBorders>
            <w:vAlign w:val="center"/>
          </w:tcPr>
          <w:p w14:paraId="151342BE"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Nanášanie lepidla</w:t>
            </w:r>
          </w:p>
          <w:p w14:paraId="151342BF"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w:t>
            </w:r>
          </w:p>
        </w:tc>
        <w:tc>
          <w:tcPr>
            <w:tcW w:w="1139" w:type="dxa"/>
            <w:tcBorders>
              <w:top w:val="single" w:sz="4" w:space="0" w:color="000000"/>
              <w:left w:val="single" w:sz="4" w:space="0" w:color="000000"/>
              <w:bottom w:val="single" w:sz="4" w:space="0" w:color="000000"/>
              <w:right w:val="single" w:sz="4" w:space="0" w:color="000000"/>
            </w:tcBorders>
            <w:vAlign w:val="center"/>
          </w:tcPr>
          <w:p w14:paraId="151342C0"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5—15</w:t>
            </w:r>
          </w:p>
          <w:p w14:paraId="151342C1"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15</w:t>
            </w:r>
          </w:p>
        </w:tc>
        <w:tc>
          <w:tcPr>
            <w:tcW w:w="994" w:type="dxa"/>
            <w:tcBorders>
              <w:top w:val="single" w:sz="4" w:space="0" w:color="000000"/>
              <w:left w:val="single" w:sz="4" w:space="0" w:color="000000"/>
              <w:bottom w:val="single" w:sz="4" w:space="0" w:color="000000"/>
              <w:right w:val="single" w:sz="4" w:space="0" w:color="000000"/>
            </w:tcBorders>
            <w:vAlign w:val="center"/>
          </w:tcPr>
          <w:p w14:paraId="151342C2"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(1)</w:t>
            </w:r>
          </w:p>
          <w:p w14:paraId="151342C3"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50 (1)</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151342C4"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w:t>
            </w:r>
          </w:p>
          <w:p w14:paraId="151342C5"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51342C6" w14:textId="77777777" w:rsidR="007170C3" w:rsidRPr="008819AF"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151342C7"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Ak sa používajú techniky, ktoré umožňujú opätovné použitie zhodnotených rozpúšťadiel, emisný limit v odpadových plynoch je 150.</w:t>
            </w:r>
          </w:p>
        </w:tc>
      </w:tr>
      <w:tr w:rsidR="00F80158" w:rsidRPr="008819AF" w14:paraId="151342D8"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C9"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17</w:t>
            </w:r>
          </w:p>
        </w:tc>
        <w:tc>
          <w:tcPr>
            <w:tcW w:w="2266" w:type="dxa"/>
            <w:tcBorders>
              <w:top w:val="single" w:sz="4" w:space="0" w:color="000000"/>
              <w:left w:val="single" w:sz="4" w:space="0" w:color="000000"/>
              <w:bottom w:val="single" w:sz="4" w:space="0" w:color="000000"/>
              <w:right w:val="single" w:sz="4" w:space="0" w:color="000000"/>
            </w:tcBorders>
            <w:vAlign w:val="center"/>
          </w:tcPr>
          <w:p w14:paraId="151342CA"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Výroba náterových zmesí, lakov, tlačiarenských farieb a lepidiel</w:t>
            </w:r>
          </w:p>
          <w:p w14:paraId="151342CB"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100)</w:t>
            </w:r>
          </w:p>
        </w:tc>
        <w:tc>
          <w:tcPr>
            <w:tcW w:w="1139" w:type="dxa"/>
            <w:tcBorders>
              <w:top w:val="single" w:sz="4" w:space="0" w:color="000000"/>
              <w:left w:val="single" w:sz="4" w:space="0" w:color="000000"/>
              <w:bottom w:val="single" w:sz="4" w:space="0" w:color="000000"/>
              <w:right w:val="single" w:sz="4" w:space="0" w:color="000000"/>
            </w:tcBorders>
            <w:vAlign w:val="center"/>
          </w:tcPr>
          <w:p w14:paraId="151342CC"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100 – 1 000</w:t>
            </w:r>
          </w:p>
          <w:p w14:paraId="151342CD" w14:textId="77777777" w:rsidR="007170C3" w:rsidRPr="008819AF" w:rsidRDefault="007170C3">
            <w:pPr>
              <w:pStyle w:val="Default"/>
              <w:jc w:val="center"/>
              <w:rPr>
                <w:rFonts w:ascii="Times New Roman" w:eastAsia="Arial" w:hAnsi="Times New Roman" w:cs="Times New Roman"/>
                <w:color w:val="auto"/>
                <w:sz w:val="20"/>
                <w:szCs w:val="20"/>
              </w:rPr>
            </w:pPr>
          </w:p>
          <w:p w14:paraId="151342CE"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1 000</w:t>
            </w:r>
          </w:p>
        </w:tc>
        <w:tc>
          <w:tcPr>
            <w:tcW w:w="994" w:type="dxa"/>
            <w:tcBorders>
              <w:top w:val="single" w:sz="4" w:space="0" w:color="000000"/>
              <w:left w:val="single" w:sz="4" w:space="0" w:color="000000"/>
              <w:bottom w:val="single" w:sz="4" w:space="0" w:color="000000"/>
              <w:right w:val="single" w:sz="4" w:space="0" w:color="000000"/>
            </w:tcBorders>
            <w:vAlign w:val="center"/>
          </w:tcPr>
          <w:p w14:paraId="151342CF"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p w14:paraId="151342D0" w14:textId="77777777" w:rsidR="007170C3" w:rsidRPr="008819AF" w:rsidRDefault="007170C3">
            <w:pPr>
              <w:pStyle w:val="Default"/>
              <w:jc w:val="center"/>
              <w:rPr>
                <w:rFonts w:ascii="Times New Roman" w:eastAsia="Arial" w:hAnsi="Times New Roman" w:cs="Times New Roman"/>
                <w:color w:val="auto"/>
                <w:sz w:val="20"/>
                <w:szCs w:val="20"/>
              </w:rPr>
            </w:pPr>
          </w:p>
          <w:p w14:paraId="151342D1"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151342D2"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w:t>
            </w:r>
          </w:p>
          <w:p w14:paraId="151342D3" w14:textId="77777777" w:rsidR="007170C3" w:rsidRPr="008819AF" w:rsidRDefault="007170C3">
            <w:pPr>
              <w:pStyle w:val="Default"/>
              <w:jc w:val="center"/>
              <w:rPr>
                <w:rFonts w:ascii="Times New Roman" w:eastAsia="Arial" w:hAnsi="Times New Roman" w:cs="Times New Roman"/>
                <w:color w:val="auto"/>
                <w:sz w:val="20"/>
                <w:szCs w:val="20"/>
              </w:rPr>
            </w:pPr>
          </w:p>
          <w:p w14:paraId="151342D4"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51342D5"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5 % zo vstupného množstva rozpúšťadla</w:t>
            </w:r>
          </w:p>
          <w:p w14:paraId="151342D6"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3 % zo vstupného množstva rozpúšťadla</w:t>
            </w:r>
          </w:p>
        </w:tc>
        <w:tc>
          <w:tcPr>
            <w:tcW w:w="5972" w:type="dxa"/>
            <w:tcBorders>
              <w:top w:val="single" w:sz="4" w:space="0" w:color="000000"/>
              <w:left w:val="single" w:sz="4" w:space="0" w:color="000000"/>
              <w:bottom w:val="single" w:sz="4" w:space="0" w:color="000000"/>
              <w:right w:val="single" w:sz="4" w:space="0" w:color="000000"/>
            </w:tcBorders>
          </w:tcPr>
          <w:p w14:paraId="151342D7"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Limitná hodnota fugitívnych emisií nezahŕňa rozpúšťadlo predané ako súčasť náterových zmesí v hermeticky uzatvorenej nádobe.</w:t>
            </w:r>
          </w:p>
        </w:tc>
      </w:tr>
      <w:tr w:rsidR="00F80158" w:rsidRPr="008819AF" w14:paraId="151342E2"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D9"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18</w:t>
            </w:r>
          </w:p>
        </w:tc>
        <w:tc>
          <w:tcPr>
            <w:tcW w:w="2266" w:type="dxa"/>
            <w:tcBorders>
              <w:top w:val="single" w:sz="4" w:space="0" w:color="000000"/>
              <w:left w:val="single" w:sz="4" w:space="0" w:color="000000"/>
              <w:bottom w:val="single" w:sz="4" w:space="0" w:color="000000"/>
              <w:right w:val="single" w:sz="4" w:space="0" w:color="000000"/>
            </w:tcBorders>
            <w:vAlign w:val="center"/>
          </w:tcPr>
          <w:p w14:paraId="151342DA"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Spracovanie kaučuku</w:t>
            </w:r>
          </w:p>
          <w:p w14:paraId="151342DB"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15)</w:t>
            </w:r>
          </w:p>
        </w:tc>
        <w:tc>
          <w:tcPr>
            <w:tcW w:w="1139" w:type="dxa"/>
            <w:tcBorders>
              <w:top w:val="single" w:sz="4" w:space="0" w:color="000000"/>
              <w:left w:val="single" w:sz="4" w:space="0" w:color="000000"/>
              <w:bottom w:val="single" w:sz="4" w:space="0" w:color="000000"/>
              <w:right w:val="single" w:sz="4" w:space="0" w:color="000000"/>
            </w:tcBorders>
            <w:vAlign w:val="center"/>
          </w:tcPr>
          <w:p w14:paraId="151342DC" w14:textId="77777777" w:rsidR="007170C3" w:rsidRPr="008819AF"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151342DD"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 (1)</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151342DE"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 (2)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51342DF"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25 % zo vstupného množstva rozpúšťadla</w:t>
            </w:r>
          </w:p>
        </w:tc>
        <w:tc>
          <w:tcPr>
            <w:tcW w:w="5972" w:type="dxa"/>
            <w:tcBorders>
              <w:top w:val="single" w:sz="4" w:space="0" w:color="000000"/>
              <w:left w:val="single" w:sz="4" w:space="0" w:color="000000"/>
              <w:bottom w:val="single" w:sz="4" w:space="0" w:color="000000"/>
              <w:right w:val="single" w:sz="4" w:space="0" w:color="000000"/>
            </w:tcBorders>
          </w:tcPr>
          <w:p w14:paraId="151342E0"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Ak sa používajú techniky, ktoré umožňujú opätovné použitie zhodnotených rozpúšťadiel, emisný limit v odpadových plynoch je 150.</w:t>
            </w:r>
          </w:p>
          <w:p w14:paraId="151342E1"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 Limitná hodnota fugitívnych emisií nezahŕňa rozpúšťadlo predané ako súčasť výrobku alebo zmesí</w:t>
            </w:r>
          </w:p>
        </w:tc>
      </w:tr>
      <w:tr w:rsidR="00F80158" w:rsidRPr="008819AF" w14:paraId="151342F2" w14:textId="77777777">
        <w:trPr>
          <w:trHeight w:val="657"/>
        </w:trPr>
        <w:tc>
          <w:tcPr>
            <w:tcW w:w="564" w:type="dxa"/>
            <w:tcBorders>
              <w:top w:val="single" w:sz="4" w:space="0" w:color="000000"/>
              <w:left w:val="single" w:sz="4" w:space="0" w:color="000000"/>
              <w:bottom w:val="single" w:sz="4" w:space="0" w:color="000000"/>
              <w:right w:val="single" w:sz="4" w:space="0" w:color="000000"/>
            </w:tcBorders>
          </w:tcPr>
          <w:p w14:paraId="151342E3"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19</w:t>
            </w:r>
          </w:p>
        </w:tc>
        <w:tc>
          <w:tcPr>
            <w:tcW w:w="2266" w:type="dxa"/>
            <w:tcBorders>
              <w:top w:val="single" w:sz="4" w:space="0" w:color="000000"/>
              <w:left w:val="single" w:sz="4" w:space="0" w:color="000000"/>
              <w:bottom w:val="single" w:sz="4" w:space="0" w:color="000000"/>
              <w:right w:val="single" w:sz="4" w:space="0" w:color="000000"/>
            </w:tcBorders>
            <w:vAlign w:val="center"/>
          </w:tcPr>
          <w:p w14:paraId="151342E4"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Extrakcia rastlinných olejov a živočíšnych tukov a rafinácia rastlinných olejov (&gt; 10)</w:t>
            </w:r>
          </w:p>
        </w:tc>
        <w:tc>
          <w:tcPr>
            <w:tcW w:w="1139" w:type="dxa"/>
            <w:tcBorders>
              <w:top w:val="single" w:sz="4" w:space="0" w:color="000000"/>
              <w:left w:val="single" w:sz="4" w:space="0" w:color="000000"/>
              <w:bottom w:val="single" w:sz="4" w:space="0" w:color="000000"/>
              <w:right w:val="single" w:sz="4" w:space="0" w:color="000000"/>
            </w:tcBorders>
            <w:vAlign w:val="center"/>
          </w:tcPr>
          <w:p w14:paraId="151342E5" w14:textId="77777777" w:rsidR="007170C3" w:rsidRPr="008819AF"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151342E6" w14:textId="77777777" w:rsidR="007170C3" w:rsidRPr="008819AF"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151342E7" w14:textId="77777777" w:rsidR="007170C3" w:rsidRPr="008819AF"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51342E8"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Živočíšny tuk: 1,5 kg/t</w:t>
            </w:r>
          </w:p>
          <w:p w14:paraId="151342E9"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Pižmo: 3 kg/t</w:t>
            </w:r>
          </w:p>
          <w:p w14:paraId="151342EA"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Repkové semeno: </w:t>
            </w:r>
            <w:r w:rsidRPr="008819AF">
              <w:rPr>
                <w:rFonts w:ascii="Times New Roman" w:eastAsia="Arial" w:hAnsi="Times New Roman" w:cs="Times New Roman"/>
                <w:color w:val="auto"/>
                <w:sz w:val="20"/>
                <w:szCs w:val="20"/>
              </w:rPr>
              <w:lastRenderedPageBreak/>
              <w:t>1 kg/t</w:t>
            </w:r>
          </w:p>
          <w:p w14:paraId="151342EB"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Slnečnicové semeno: 1 kg/t</w:t>
            </w:r>
          </w:p>
          <w:p w14:paraId="151342EC"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Sójové bôby (normálne rozdrvené): 0,8 kg/t</w:t>
            </w:r>
          </w:p>
          <w:p w14:paraId="151342ED"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Sójové bôby (biele vločky): 1.2 kg/t</w:t>
            </w:r>
          </w:p>
          <w:p w14:paraId="151342EE"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Ostatné semená a ostatné rastlinné hmoty: 3 kg/t (1) 1,5 kg/t (2) 4 kg/t (3)</w:t>
            </w:r>
          </w:p>
        </w:tc>
        <w:tc>
          <w:tcPr>
            <w:tcW w:w="5972" w:type="dxa"/>
            <w:tcBorders>
              <w:top w:val="single" w:sz="4" w:space="0" w:color="000000"/>
              <w:left w:val="single" w:sz="4" w:space="0" w:color="000000"/>
              <w:bottom w:val="single" w:sz="4" w:space="0" w:color="000000"/>
              <w:right w:val="single" w:sz="4" w:space="0" w:color="000000"/>
            </w:tcBorders>
          </w:tcPr>
          <w:p w14:paraId="151342EF"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(1) Celkovú emisný limit pre zariadenia spracovávajúce jednotlivé skupiny semien a ostatných rastlinných hmôt by mal stanoviť príslušný orgán individuálne, uplatnením najlepších dostupných techník.</w:t>
            </w:r>
          </w:p>
          <w:p w14:paraId="151342F0"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(2) Platí pre čiastkové procesy, s výnimkou odglejovania </w:t>
            </w:r>
            <w:r w:rsidRPr="008819AF">
              <w:rPr>
                <w:rFonts w:ascii="Times New Roman" w:eastAsia="Arial" w:hAnsi="Times New Roman" w:cs="Times New Roman"/>
                <w:color w:val="auto"/>
                <w:sz w:val="20"/>
                <w:szCs w:val="20"/>
              </w:rPr>
              <w:lastRenderedPageBreak/>
              <w:t>(odstraňovanie živice z oleja).</w:t>
            </w:r>
          </w:p>
          <w:p w14:paraId="151342F1"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 Platí pre odglejovanie.</w:t>
            </w:r>
          </w:p>
        </w:tc>
      </w:tr>
      <w:tr w:rsidR="00F80158" w:rsidRPr="008819AF" w14:paraId="151342FE"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151342F3"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20</w:t>
            </w:r>
          </w:p>
        </w:tc>
        <w:tc>
          <w:tcPr>
            <w:tcW w:w="2266" w:type="dxa"/>
            <w:tcBorders>
              <w:top w:val="single" w:sz="4" w:space="0" w:color="000000"/>
              <w:left w:val="single" w:sz="4" w:space="0" w:color="000000"/>
              <w:bottom w:val="single" w:sz="4" w:space="0" w:color="000000"/>
              <w:right w:val="single" w:sz="4" w:space="0" w:color="000000"/>
            </w:tcBorders>
          </w:tcPr>
          <w:p w14:paraId="151342F4"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Výroba farmaceutických výrobkov</w:t>
            </w:r>
          </w:p>
          <w:p w14:paraId="151342F5"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50)</w:t>
            </w:r>
          </w:p>
        </w:tc>
        <w:tc>
          <w:tcPr>
            <w:tcW w:w="1139" w:type="dxa"/>
            <w:tcBorders>
              <w:top w:val="single" w:sz="4" w:space="0" w:color="000000"/>
              <w:left w:val="single" w:sz="4" w:space="0" w:color="000000"/>
              <w:bottom w:val="single" w:sz="4" w:space="0" w:color="000000"/>
              <w:right w:val="single" w:sz="4" w:space="0" w:color="000000"/>
            </w:tcBorders>
          </w:tcPr>
          <w:p w14:paraId="151342F6" w14:textId="77777777" w:rsidR="007170C3" w:rsidRPr="008819AF" w:rsidRDefault="007170C3">
            <w:pPr>
              <w:pStyle w:val="Default"/>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151342F7"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 (1)</w:t>
            </w:r>
          </w:p>
        </w:tc>
        <w:tc>
          <w:tcPr>
            <w:tcW w:w="992" w:type="dxa"/>
            <w:gridSpan w:val="2"/>
            <w:tcBorders>
              <w:top w:val="single" w:sz="4" w:space="0" w:color="000000"/>
              <w:left w:val="single" w:sz="4" w:space="0" w:color="000000"/>
              <w:bottom w:val="single" w:sz="4" w:space="0" w:color="000000"/>
              <w:right w:val="single" w:sz="4" w:space="0" w:color="000000"/>
            </w:tcBorders>
          </w:tcPr>
          <w:p w14:paraId="151342F8"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 (2)</w:t>
            </w:r>
          </w:p>
        </w:tc>
        <w:tc>
          <w:tcPr>
            <w:tcW w:w="850" w:type="dxa"/>
            <w:tcBorders>
              <w:top w:val="single" w:sz="4" w:space="0" w:color="000000"/>
              <w:left w:val="single" w:sz="4" w:space="0" w:color="000000"/>
              <w:bottom w:val="single" w:sz="4" w:space="0" w:color="000000"/>
              <w:right w:val="single" w:sz="4" w:space="0" w:color="000000"/>
            </w:tcBorders>
          </w:tcPr>
          <w:p w14:paraId="151342F9"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 (2)</w:t>
            </w:r>
          </w:p>
        </w:tc>
        <w:tc>
          <w:tcPr>
            <w:tcW w:w="708" w:type="dxa"/>
            <w:tcBorders>
              <w:top w:val="single" w:sz="4" w:space="0" w:color="000000"/>
              <w:left w:val="single" w:sz="4" w:space="0" w:color="000000"/>
              <w:bottom w:val="single" w:sz="4" w:space="0" w:color="000000"/>
              <w:right w:val="single" w:sz="4" w:space="0" w:color="000000"/>
            </w:tcBorders>
          </w:tcPr>
          <w:p w14:paraId="151342FA" w14:textId="77777777" w:rsidR="007170C3" w:rsidRPr="008819AF" w:rsidRDefault="006F0418">
            <w:pPr>
              <w:pStyle w:val="Default"/>
              <w:ind w:left="-108" w:right="-108"/>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5 % zo vstupného množ-stva rozpúšťadla</w:t>
            </w:r>
          </w:p>
        </w:tc>
        <w:tc>
          <w:tcPr>
            <w:tcW w:w="993" w:type="dxa"/>
            <w:tcBorders>
              <w:top w:val="single" w:sz="4" w:space="0" w:color="000000"/>
              <w:left w:val="single" w:sz="4" w:space="0" w:color="000000"/>
              <w:bottom w:val="single" w:sz="4" w:space="0" w:color="000000"/>
              <w:right w:val="single" w:sz="4" w:space="0" w:color="000000"/>
            </w:tcBorders>
          </w:tcPr>
          <w:p w14:paraId="151342FB" w14:textId="77777777" w:rsidR="007170C3" w:rsidRPr="008819AF" w:rsidRDefault="006F0418">
            <w:pPr>
              <w:pStyle w:val="Default"/>
              <w:ind w:left="-108" w:right="-108"/>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15 % zo vstupného množstva rozpúšťadla</w:t>
            </w:r>
          </w:p>
        </w:tc>
        <w:tc>
          <w:tcPr>
            <w:tcW w:w="5972" w:type="dxa"/>
            <w:tcBorders>
              <w:top w:val="single" w:sz="4" w:space="0" w:color="000000"/>
              <w:left w:val="single" w:sz="4" w:space="0" w:color="000000"/>
              <w:bottom w:val="single" w:sz="4" w:space="0" w:color="000000"/>
              <w:right w:val="single" w:sz="4" w:space="0" w:color="000000"/>
            </w:tcBorders>
          </w:tcPr>
          <w:p w14:paraId="151342FC"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Ak sa používajú techniky, ktoré umožňujú opätovné použitie zhodnotených rozpúšťadiel, emisný limit v odpadových plynoch je 150.</w:t>
            </w:r>
          </w:p>
          <w:p w14:paraId="151342FD"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(2) Limitná hodnota fugitívnych emisií nezahŕňa rozpúšťadlo predané ako súčasť výrobkov alebo zmesí v hermeticky uzatvorenej nádobe. </w:t>
            </w:r>
          </w:p>
        </w:tc>
      </w:tr>
    </w:tbl>
    <w:p w14:paraId="151342FF" w14:textId="77777777" w:rsidR="007170C3" w:rsidRPr="008819AF" w:rsidRDefault="007170C3">
      <w:pPr>
        <w:rPr>
          <w:rFonts w:ascii="Arial" w:eastAsia="Arial" w:hAnsi="Arial" w:cs="Arial"/>
          <w:sz w:val="16"/>
          <w:szCs w:val="16"/>
          <w:lang w:bidi="cs-CZ"/>
        </w:rPr>
      </w:pPr>
    </w:p>
    <w:p w14:paraId="15134300" w14:textId="77777777" w:rsidR="00FA34E3" w:rsidRPr="008819AF" w:rsidRDefault="00FA34E3">
      <w:pPr>
        <w:rPr>
          <w:rFonts w:ascii="Arial" w:eastAsia="Arial" w:hAnsi="Arial" w:cs="Arial"/>
          <w:sz w:val="16"/>
          <w:szCs w:val="16"/>
          <w:lang w:bidi="cs-CZ"/>
        </w:rPr>
      </w:pPr>
    </w:p>
    <w:p w14:paraId="15134301" w14:textId="77777777" w:rsidR="00FA34E3" w:rsidRPr="008819AF" w:rsidRDefault="00FA34E3">
      <w:pPr>
        <w:rPr>
          <w:rFonts w:ascii="Arial" w:eastAsia="Arial" w:hAnsi="Arial" w:cs="Arial"/>
          <w:sz w:val="16"/>
          <w:szCs w:val="16"/>
          <w:lang w:bidi="cs-CZ"/>
        </w:rPr>
      </w:pPr>
    </w:p>
    <w:p w14:paraId="15134302" w14:textId="77777777" w:rsidR="00FA34E3" w:rsidRPr="008819AF" w:rsidRDefault="00FA34E3">
      <w:pPr>
        <w:rPr>
          <w:rFonts w:ascii="Arial" w:eastAsia="Arial" w:hAnsi="Arial" w:cs="Arial"/>
          <w:sz w:val="16"/>
          <w:szCs w:val="16"/>
          <w:lang w:bidi="cs-CZ"/>
        </w:rPr>
      </w:pPr>
    </w:p>
    <w:p w14:paraId="15134303" w14:textId="77777777" w:rsidR="00FA34E3" w:rsidRPr="008819AF" w:rsidRDefault="00FA34E3">
      <w:pPr>
        <w:rPr>
          <w:rFonts w:ascii="Arial" w:eastAsia="Arial" w:hAnsi="Arial" w:cs="Arial"/>
          <w:sz w:val="16"/>
          <w:szCs w:val="16"/>
          <w:lang w:bidi="cs-CZ"/>
        </w:rPr>
      </w:pPr>
    </w:p>
    <w:p w14:paraId="15134304" w14:textId="77777777" w:rsidR="00FA34E3" w:rsidRPr="008819AF" w:rsidRDefault="00FA34E3">
      <w:pPr>
        <w:rPr>
          <w:rFonts w:ascii="Arial" w:eastAsia="Arial" w:hAnsi="Arial" w:cs="Arial"/>
          <w:sz w:val="16"/>
          <w:szCs w:val="16"/>
          <w:lang w:bidi="cs-CZ"/>
        </w:rPr>
      </w:pPr>
    </w:p>
    <w:p w14:paraId="15134305" w14:textId="77777777" w:rsidR="00FA34E3" w:rsidRPr="008819AF" w:rsidRDefault="00FA34E3">
      <w:pPr>
        <w:rPr>
          <w:rFonts w:ascii="Arial" w:eastAsia="Arial" w:hAnsi="Arial" w:cs="Arial"/>
          <w:sz w:val="16"/>
          <w:szCs w:val="16"/>
          <w:lang w:bidi="cs-CZ"/>
        </w:rPr>
      </w:pPr>
    </w:p>
    <w:p w14:paraId="15134306" w14:textId="77777777" w:rsidR="00FA34E3" w:rsidRPr="008819AF" w:rsidRDefault="00FA34E3">
      <w:pPr>
        <w:rPr>
          <w:rFonts w:ascii="Arial" w:eastAsia="Arial" w:hAnsi="Arial" w:cs="Arial"/>
          <w:sz w:val="16"/>
          <w:szCs w:val="16"/>
          <w:lang w:bidi="cs-CZ"/>
        </w:rPr>
      </w:pPr>
    </w:p>
    <w:p w14:paraId="15134307" w14:textId="77777777" w:rsidR="00FA34E3" w:rsidRPr="008819AF" w:rsidRDefault="00FA34E3">
      <w:pPr>
        <w:rPr>
          <w:rFonts w:ascii="Arial" w:eastAsia="Arial" w:hAnsi="Arial" w:cs="Arial"/>
          <w:sz w:val="16"/>
          <w:szCs w:val="16"/>
          <w:lang w:bidi="cs-CZ"/>
        </w:rPr>
      </w:pPr>
    </w:p>
    <w:p w14:paraId="15134308" w14:textId="77777777" w:rsidR="00FA34E3" w:rsidRPr="008819AF" w:rsidRDefault="00FA34E3">
      <w:pPr>
        <w:rPr>
          <w:rFonts w:ascii="Arial" w:eastAsia="Arial" w:hAnsi="Arial" w:cs="Arial"/>
          <w:sz w:val="16"/>
          <w:szCs w:val="16"/>
          <w:lang w:bidi="cs-CZ"/>
        </w:rPr>
      </w:pPr>
    </w:p>
    <w:p w14:paraId="15134309" w14:textId="77777777" w:rsidR="00FA34E3" w:rsidRPr="008819AF" w:rsidRDefault="00FA34E3">
      <w:pPr>
        <w:rPr>
          <w:rFonts w:ascii="Arial" w:eastAsia="Arial" w:hAnsi="Arial" w:cs="Arial"/>
          <w:sz w:val="16"/>
          <w:szCs w:val="16"/>
          <w:lang w:bidi="cs-CZ"/>
        </w:rPr>
      </w:pPr>
    </w:p>
    <w:p w14:paraId="1513430A" w14:textId="77777777" w:rsidR="00FA34E3" w:rsidRPr="008819AF" w:rsidRDefault="00FA34E3">
      <w:pPr>
        <w:rPr>
          <w:rFonts w:ascii="Arial" w:eastAsia="Arial" w:hAnsi="Arial" w:cs="Arial"/>
          <w:sz w:val="16"/>
          <w:szCs w:val="16"/>
          <w:lang w:bidi="cs-CZ"/>
        </w:rPr>
      </w:pPr>
    </w:p>
    <w:p w14:paraId="1513430B" w14:textId="77777777" w:rsidR="00FA34E3" w:rsidRPr="008819AF" w:rsidRDefault="00FA34E3">
      <w:pPr>
        <w:rPr>
          <w:rFonts w:ascii="Arial" w:eastAsia="Arial" w:hAnsi="Arial" w:cs="Arial"/>
          <w:sz w:val="16"/>
          <w:szCs w:val="16"/>
          <w:lang w:bidi="cs-CZ"/>
        </w:rPr>
      </w:pPr>
    </w:p>
    <w:p w14:paraId="1513430C" w14:textId="77777777" w:rsidR="00FA34E3" w:rsidRPr="008819AF" w:rsidRDefault="00FA34E3">
      <w:pPr>
        <w:rPr>
          <w:rFonts w:ascii="Arial" w:eastAsia="Arial" w:hAnsi="Arial" w:cs="Arial"/>
          <w:sz w:val="16"/>
          <w:szCs w:val="16"/>
          <w:lang w:bidi="cs-CZ"/>
        </w:rPr>
      </w:pPr>
    </w:p>
    <w:p w14:paraId="1513430D" w14:textId="77777777" w:rsidR="00FA34E3" w:rsidRPr="008819AF" w:rsidRDefault="00FA34E3">
      <w:pPr>
        <w:rPr>
          <w:rFonts w:ascii="Arial" w:eastAsia="Arial" w:hAnsi="Arial" w:cs="Arial"/>
          <w:sz w:val="16"/>
          <w:szCs w:val="16"/>
          <w:lang w:bidi="cs-CZ"/>
        </w:rPr>
      </w:pPr>
    </w:p>
    <w:p w14:paraId="1513430E" w14:textId="77777777" w:rsidR="00FA34E3" w:rsidRPr="008819AF" w:rsidRDefault="00FA34E3">
      <w:pPr>
        <w:rPr>
          <w:rFonts w:ascii="Arial" w:eastAsia="Arial" w:hAnsi="Arial" w:cs="Arial"/>
          <w:sz w:val="16"/>
          <w:szCs w:val="16"/>
          <w:lang w:bidi="cs-CZ"/>
        </w:rPr>
      </w:pPr>
    </w:p>
    <w:p w14:paraId="1513430F" w14:textId="77777777" w:rsidR="00FA34E3" w:rsidRPr="008819AF" w:rsidRDefault="00FA34E3">
      <w:pPr>
        <w:rPr>
          <w:rFonts w:ascii="Arial" w:eastAsia="Arial" w:hAnsi="Arial" w:cs="Arial"/>
          <w:sz w:val="16"/>
          <w:szCs w:val="16"/>
          <w:lang w:bidi="cs-CZ"/>
        </w:rPr>
      </w:pPr>
    </w:p>
    <w:p w14:paraId="15134310" w14:textId="77777777" w:rsidR="00FA34E3" w:rsidRPr="008819AF" w:rsidRDefault="00FA34E3">
      <w:pPr>
        <w:rPr>
          <w:rFonts w:ascii="Arial" w:eastAsia="Arial" w:hAnsi="Arial" w:cs="Arial"/>
          <w:sz w:val="16"/>
          <w:szCs w:val="16"/>
          <w:lang w:bidi="cs-CZ"/>
        </w:rPr>
      </w:pPr>
    </w:p>
    <w:p w14:paraId="15134311" w14:textId="77777777" w:rsidR="00FA34E3" w:rsidRPr="008819AF" w:rsidRDefault="00FA34E3">
      <w:pPr>
        <w:rPr>
          <w:rFonts w:ascii="Arial" w:eastAsia="Arial" w:hAnsi="Arial" w:cs="Arial"/>
          <w:sz w:val="16"/>
          <w:szCs w:val="16"/>
          <w:lang w:bidi="cs-CZ"/>
        </w:rPr>
      </w:pPr>
    </w:p>
    <w:p w14:paraId="15134312" w14:textId="77777777" w:rsidR="00FA34E3" w:rsidRPr="008819AF" w:rsidRDefault="00FA34E3">
      <w:pPr>
        <w:rPr>
          <w:rFonts w:ascii="Arial" w:eastAsia="Arial" w:hAnsi="Arial" w:cs="Arial"/>
          <w:sz w:val="16"/>
          <w:szCs w:val="16"/>
          <w:lang w:bidi="cs-CZ"/>
        </w:rPr>
      </w:pPr>
    </w:p>
    <w:p w14:paraId="15134313" w14:textId="77777777" w:rsidR="00FA34E3" w:rsidRPr="008819AF" w:rsidRDefault="00FA34E3">
      <w:pPr>
        <w:rPr>
          <w:rFonts w:ascii="Arial" w:eastAsia="Arial" w:hAnsi="Arial" w:cs="Arial"/>
          <w:sz w:val="16"/>
          <w:szCs w:val="16"/>
          <w:lang w:bidi="cs-CZ"/>
        </w:rPr>
      </w:pPr>
    </w:p>
    <w:p w14:paraId="15134314" w14:textId="77777777" w:rsidR="00FA34E3" w:rsidRPr="008819AF" w:rsidRDefault="00FA34E3">
      <w:pPr>
        <w:rPr>
          <w:rFonts w:ascii="Arial" w:eastAsia="Arial" w:hAnsi="Arial" w:cs="Arial"/>
          <w:sz w:val="16"/>
          <w:szCs w:val="16"/>
          <w:lang w:bidi="cs-CZ"/>
        </w:rPr>
      </w:pPr>
    </w:p>
    <w:p w14:paraId="15134315" w14:textId="77777777" w:rsidR="00FA34E3" w:rsidRPr="008819AF" w:rsidRDefault="00FA34E3">
      <w:pPr>
        <w:rPr>
          <w:rFonts w:ascii="Arial" w:eastAsia="Arial" w:hAnsi="Arial" w:cs="Arial"/>
          <w:sz w:val="16"/>
          <w:szCs w:val="16"/>
          <w:lang w:bidi="cs-CZ"/>
        </w:rPr>
      </w:pPr>
    </w:p>
    <w:p w14:paraId="15134316" w14:textId="77777777" w:rsidR="00FA34E3" w:rsidRPr="008819AF" w:rsidRDefault="00FA34E3">
      <w:pPr>
        <w:rPr>
          <w:rFonts w:ascii="Arial" w:eastAsia="Arial" w:hAnsi="Arial" w:cs="Arial"/>
          <w:sz w:val="16"/>
          <w:szCs w:val="16"/>
          <w:lang w:bidi="cs-CZ"/>
        </w:rPr>
      </w:pPr>
    </w:p>
    <w:tbl>
      <w:tblPr>
        <w:tblpPr w:leftFromText="141" w:rightFromText="141" w:vertAnchor="text"/>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5356"/>
        <w:gridCol w:w="912"/>
        <w:gridCol w:w="608"/>
        <w:gridCol w:w="636"/>
        <w:gridCol w:w="5954"/>
        <w:gridCol w:w="709"/>
        <w:gridCol w:w="607"/>
      </w:tblGrid>
      <w:tr w:rsidR="00F80158" w:rsidRPr="008819AF" w14:paraId="1513431F" w14:textId="77777777" w:rsidTr="00FA34E3">
        <w:tc>
          <w:tcPr>
            <w:tcW w:w="496" w:type="dxa"/>
            <w:tcBorders>
              <w:top w:val="single" w:sz="4" w:space="0" w:color="000000"/>
              <w:left w:val="single" w:sz="6" w:space="0" w:color="000000"/>
              <w:bottom w:val="single" w:sz="4" w:space="0" w:color="000000"/>
              <w:right w:val="single" w:sz="6" w:space="0" w:color="000000"/>
            </w:tcBorders>
          </w:tcPr>
          <w:p w14:paraId="15134317" w14:textId="77777777" w:rsidR="007170C3" w:rsidRPr="008819AF" w:rsidRDefault="006F0418" w:rsidP="00FA34E3">
            <w:pPr>
              <w:widowControl w:val="0"/>
              <w:spacing w:before="30"/>
              <w:rPr>
                <w:rFonts w:eastAsia="Arial"/>
                <w:sz w:val="18"/>
                <w:szCs w:val="18"/>
                <w:lang w:bidi="cs-CZ"/>
              </w:rPr>
            </w:pPr>
            <w:r w:rsidRPr="008819AF">
              <w:rPr>
                <w:rFonts w:eastAsia="Arial"/>
                <w:sz w:val="18"/>
                <w:szCs w:val="18"/>
                <w:lang w:bidi="cs-CZ"/>
              </w:rPr>
              <w:lastRenderedPageBreak/>
              <w:t>Článok</w:t>
            </w:r>
          </w:p>
        </w:tc>
        <w:tc>
          <w:tcPr>
            <w:tcW w:w="5356" w:type="dxa"/>
            <w:tcBorders>
              <w:top w:val="single" w:sz="4" w:space="0" w:color="000000"/>
              <w:left w:val="single" w:sz="6" w:space="0" w:color="000000"/>
              <w:bottom w:val="single" w:sz="4" w:space="0" w:color="000000"/>
              <w:right w:val="single" w:sz="6" w:space="0" w:color="000000"/>
            </w:tcBorders>
          </w:tcPr>
          <w:p w14:paraId="15134318" w14:textId="77777777" w:rsidR="007170C3" w:rsidRPr="008819AF" w:rsidRDefault="006F0418">
            <w:pPr>
              <w:widowControl w:val="0"/>
              <w:spacing w:before="30"/>
              <w:ind w:left="215" w:hanging="215"/>
              <w:rPr>
                <w:rFonts w:eastAsia="Arial"/>
                <w:lang w:bidi="cs-CZ"/>
              </w:rPr>
            </w:pPr>
            <w:r w:rsidRPr="008819AF">
              <w:rPr>
                <w:rFonts w:eastAsia="Arial"/>
                <w:lang w:bidi="cs-CZ"/>
              </w:rPr>
              <w:t>Text</w:t>
            </w:r>
          </w:p>
        </w:tc>
        <w:tc>
          <w:tcPr>
            <w:tcW w:w="912" w:type="dxa"/>
            <w:tcBorders>
              <w:top w:val="single" w:sz="4" w:space="0" w:color="000000"/>
              <w:left w:val="single" w:sz="6" w:space="0" w:color="000000"/>
              <w:bottom w:val="single" w:sz="4" w:space="0" w:color="000000"/>
              <w:right w:val="single" w:sz="6" w:space="0" w:color="000000"/>
            </w:tcBorders>
          </w:tcPr>
          <w:p w14:paraId="15134319" w14:textId="77777777" w:rsidR="007170C3" w:rsidRPr="008819AF" w:rsidRDefault="006F0418">
            <w:pPr>
              <w:widowControl w:val="0"/>
              <w:spacing w:before="30"/>
              <w:ind w:left="215" w:hanging="215"/>
              <w:rPr>
                <w:rFonts w:eastAsia="Arial"/>
                <w:lang w:bidi="cs-CZ"/>
              </w:rPr>
            </w:pPr>
            <w:r w:rsidRPr="008819AF">
              <w:rPr>
                <w:rFonts w:eastAsia="Arial"/>
                <w:lang w:bidi="cs-CZ"/>
              </w:rPr>
              <w:t>Spôsob</w:t>
            </w:r>
          </w:p>
        </w:tc>
        <w:tc>
          <w:tcPr>
            <w:tcW w:w="608" w:type="dxa"/>
            <w:tcBorders>
              <w:top w:val="single" w:sz="4" w:space="0" w:color="000000"/>
              <w:left w:val="single" w:sz="6" w:space="0" w:color="000000"/>
              <w:bottom w:val="single" w:sz="4" w:space="0" w:color="000000"/>
              <w:right w:val="single" w:sz="6" w:space="0" w:color="000000"/>
            </w:tcBorders>
          </w:tcPr>
          <w:p w14:paraId="1513431A" w14:textId="77777777" w:rsidR="007170C3" w:rsidRPr="008819AF" w:rsidRDefault="006F0418">
            <w:pPr>
              <w:widowControl w:val="0"/>
              <w:spacing w:before="30"/>
              <w:ind w:left="215" w:hanging="215"/>
              <w:rPr>
                <w:rFonts w:eastAsia="Arial"/>
                <w:lang w:bidi="cs-CZ"/>
              </w:rPr>
            </w:pPr>
            <w:r w:rsidRPr="008819AF">
              <w:rPr>
                <w:rFonts w:eastAsia="Arial"/>
                <w:lang w:bidi="cs-CZ"/>
              </w:rPr>
              <w:t>Číslo</w:t>
            </w:r>
          </w:p>
        </w:tc>
        <w:tc>
          <w:tcPr>
            <w:tcW w:w="636" w:type="dxa"/>
            <w:tcBorders>
              <w:top w:val="single" w:sz="4" w:space="0" w:color="000000"/>
              <w:left w:val="single" w:sz="6" w:space="0" w:color="000000"/>
              <w:bottom w:val="single" w:sz="4" w:space="0" w:color="000000"/>
              <w:right w:val="single" w:sz="6" w:space="0" w:color="000000"/>
            </w:tcBorders>
          </w:tcPr>
          <w:p w14:paraId="1513431B" w14:textId="77777777" w:rsidR="007170C3" w:rsidRPr="008819AF" w:rsidRDefault="006F0418">
            <w:pPr>
              <w:pStyle w:val="BodyText21"/>
              <w:widowControl w:val="0"/>
              <w:spacing w:before="30" w:line="240" w:lineRule="auto"/>
              <w:jc w:val="left"/>
              <w:rPr>
                <w:rFonts w:ascii="Times New Roman" w:hAnsi="Times New Roman" w:cs="Times New Roman"/>
                <w:sz w:val="18"/>
                <w:szCs w:val="18"/>
              </w:rPr>
            </w:pPr>
            <w:r w:rsidRPr="008819AF">
              <w:rPr>
                <w:rFonts w:ascii="Times New Roman" w:hAnsi="Times New Roman" w:cs="Times New Roman"/>
                <w:sz w:val="18"/>
                <w:szCs w:val="18"/>
              </w:rPr>
              <w:t>Článok</w:t>
            </w:r>
          </w:p>
        </w:tc>
        <w:tc>
          <w:tcPr>
            <w:tcW w:w="5954" w:type="dxa"/>
            <w:tcBorders>
              <w:top w:val="single" w:sz="4" w:space="0" w:color="000000"/>
              <w:left w:val="single" w:sz="6" w:space="0" w:color="000000"/>
              <w:bottom w:val="single" w:sz="4" w:space="0" w:color="000000"/>
              <w:right w:val="single" w:sz="6" w:space="0" w:color="000000"/>
            </w:tcBorders>
          </w:tcPr>
          <w:p w14:paraId="1513431C" w14:textId="77777777" w:rsidR="007170C3" w:rsidRPr="008819AF" w:rsidRDefault="006F0418">
            <w:pPr>
              <w:pStyle w:val="Nadpis6"/>
              <w:widowControl w:val="0"/>
              <w:spacing w:before="30"/>
              <w:jc w:val="left"/>
              <w:rPr>
                <w:rFonts w:ascii="Times New Roman" w:hAnsi="Times New Roman" w:cs="Times New Roman"/>
                <w:b w:val="0"/>
                <w:bCs w:val="0"/>
                <w:sz w:val="20"/>
                <w:szCs w:val="20"/>
              </w:rPr>
            </w:pPr>
            <w:r w:rsidRPr="008819AF">
              <w:rPr>
                <w:rFonts w:ascii="Times New Roman" w:hAnsi="Times New Roman" w:cs="Times New Roman"/>
                <w:b w:val="0"/>
                <w:bCs w:val="0"/>
                <w:sz w:val="20"/>
                <w:szCs w:val="20"/>
              </w:rPr>
              <w:t>Text</w:t>
            </w:r>
          </w:p>
        </w:tc>
        <w:tc>
          <w:tcPr>
            <w:tcW w:w="709" w:type="dxa"/>
            <w:tcBorders>
              <w:top w:val="single" w:sz="4" w:space="0" w:color="000000"/>
              <w:left w:val="single" w:sz="6" w:space="0" w:color="000000"/>
              <w:bottom w:val="single" w:sz="4" w:space="0" w:color="000000"/>
              <w:right w:val="single" w:sz="6" w:space="0" w:color="000000"/>
            </w:tcBorders>
          </w:tcPr>
          <w:p w14:paraId="1513431D" w14:textId="77777777" w:rsidR="007170C3" w:rsidRPr="008819AF" w:rsidRDefault="006F0418">
            <w:pPr>
              <w:widowControl w:val="0"/>
              <w:spacing w:before="30"/>
              <w:ind w:left="215" w:hanging="215"/>
              <w:rPr>
                <w:rFonts w:eastAsia="Arial"/>
                <w:lang w:bidi="cs-CZ"/>
              </w:rPr>
            </w:pPr>
            <w:r w:rsidRPr="008819AF">
              <w:rPr>
                <w:rFonts w:eastAsia="Arial"/>
                <w:lang w:bidi="cs-CZ"/>
              </w:rPr>
              <w:t>Zhoda</w:t>
            </w:r>
          </w:p>
        </w:tc>
        <w:tc>
          <w:tcPr>
            <w:tcW w:w="607" w:type="dxa"/>
            <w:tcBorders>
              <w:top w:val="single" w:sz="4" w:space="0" w:color="000000"/>
              <w:left w:val="single" w:sz="6" w:space="0" w:color="000000"/>
              <w:bottom w:val="single" w:sz="4" w:space="0" w:color="000000"/>
              <w:right w:val="single" w:sz="6" w:space="0" w:color="000000"/>
            </w:tcBorders>
          </w:tcPr>
          <w:p w14:paraId="1513431E" w14:textId="77777777" w:rsidR="007170C3" w:rsidRPr="008819AF" w:rsidRDefault="006F0418" w:rsidP="00FA34E3">
            <w:pPr>
              <w:widowControl w:val="0"/>
              <w:spacing w:before="30"/>
              <w:ind w:left="-70" w:right="-30"/>
              <w:rPr>
                <w:rFonts w:eastAsia="Arial"/>
                <w:sz w:val="18"/>
                <w:szCs w:val="18"/>
              </w:rPr>
            </w:pPr>
            <w:r w:rsidRPr="008819AF">
              <w:rPr>
                <w:rFonts w:eastAsia="Arial"/>
                <w:sz w:val="18"/>
                <w:szCs w:val="18"/>
              </w:rPr>
              <w:t>Poznámky</w:t>
            </w:r>
          </w:p>
        </w:tc>
      </w:tr>
      <w:tr w:rsidR="00F80158" w:rsidRPr="008819AF" w14:paraId="1513432C" w14:textId="77777777" w:rsidTr="00FA34E3">
        <w:tc>
          <w:tcPr>
            <w:tcW w:w="496" w:type="dxa"/>
            <w:tcBorders>
              <w:top w:val="single" w:sz="4" w:space="0" w:color="000000"/>
              <w:left w:val="single" w:sz="6" w:space="0" w:color="000000"/>
              <w:bottom w:val="single" w:sz="4" w:space="0" w:color="000000"/>
              <w:right w:val="single" w:sz="6" w:space="0" w:color="000000"/>
            </w:tcBorders>
          </w:tcPr>
          <w:p w14:paraId="15134320" w14:textId="77777777" w:rsidR="007170C3" w:rsidRPr="008819AF" w:rsidRDefault="007170C3">
            <w:pPr>
              <w:widowControl w:val="0"/>
              <w:ind w:left="215" w:hanging="215"/>
              <w:rPr>
                <w:rFonts w:eastAsia="Arial"/>
                <w:lang w:bidi="cs-CZ"/>
              </w:rPr>
            </w:pPr>
          </w:p>
        </w:tc>
        <w:tc>
          <w:tcPr>
            <w:tcW w:w="5356" w:type="dxa"/>
            <w:tcBorders>
              <w:top w:val="single" w:sz="4" w:space="0" w:color="000000"/>
              <w:left w:val="single" w:sz="6" w:space="0" w:color="000000"/>
              <w:bottom w:val="single" w:sz="4" w:space="0" w:color="000000"/>
              <w:right w:val="single" w:sz="6" w:space="0" w:color="000000"/>
            </w:tcBorders>
          </w:tcPr>
          <w:p w14:paraId="15134321" w14:textId="77777777" w:rsidR="007170C3" w:rsidRPr="008819AF" w:rsidRDefault="006F0418">
            <w:pPr>
              <w:widowControl w:val="0"/>
              <w:ind w:left="215" w:hanging="215"/>
              <w:rPr>
                <w:rFonts w:eastAsia="Arial"/>
                <w:lang w:bidi="cs-CZ"/>
              </w:rPr>
            </w:pPr>
            <w:r w:rsidRPr="008819AF">
              <w:rPr>
                <w:rFonts w:eastAsia="Arial"/>
                <w:lang w:bidi="cs-CZ"/>
              </w:rPr>
              <w:t>ČASŤ 2</w:t>
            </w:r>
          </w:p>
          <w:p w14:paraId="15134322" w14:textId="77777777" w:rsidR="007170C3" w:rsidRPr="008819AF" w:rsidRDefault="006F0418">
            <w:pPr>
              <w:widowControl w:val="0"/>
              <w:ind w:left="215" w:hanging="215"/>
              <w:rPr>
                <w:rFonts w:eastAsia="Arial"/>
                <w:lang w:bidi="cs-CZ"/>
              </w:rPr>
            </w:pPr>
            <w:r w:rsidRPr="008819AF">
              <w:rPr>
                <w:rFonts w:eastAsia="Arial"/>
                <w:i/>
                <w:iCs/>
                <w:lang w:bidi="cs-CZ"/>
              </w:rPr>
              <w:t>Prahové hodnoty a emisné limity</w:t>
            </w:r>
          </w:p>
          <w:p w14:paraId="15134323" w14:textId="77777777" w:rsidR="007170C3" w:rsidRPr="008819AF" w:rsidRDefault="006F0418">
            <w:pPr>
              <w:widowControl w:val="0"/>
              <w:ind w:right="-70" w:hanging="1"/>
              <w:rPr>
                <w:rFonts w:eastAsia="Arial"/>
                <w:lang w:bidi="cs-CZ"/>
              </w:rPr>
            </w:pPr>
            <w:r w:rsidRPr="008819AF">
              <w:rPr>
                <w:rFonts w:eastAsia="Arial"/>
                <w:lang w:bidi="cs-CZ"/>
              </w:rPr>
              <w:t>Emisné limity v odpadových plynoch sa vypočítavajú pri teplote 273,15K a tlaku101,3kPa</w:t>
            </w:r>
          </w:p>
        </w:tc>
        <w:tc>
          <w:tcPr>
            <w:tcW w:w="912" w:type="dxa"/>
            <w:tcBorders>
              <w:top w:val="single" w:sz="4" w:space="0" w:color="000000"/>
              <w:left w:val="single" w:sz="6" w:space="0" w:color="000000"/>
              <w:bottom w:val="single" w:sz="4" w:space="0" w:color="000000"/>
              <w:right w:val="single" w:sz="6" w:space="0" w:color="000000"/>
            </w:tcBorders>
          </w:tcPr>
          <w:p w14:paraId="15134324" w14:textId="77777777" w:rsidR="007170C3" w:rsidRPr="008819AF" w:rsidRDefault="00257599">
            <w:pPr>
              <w:ind w:left="215" w:hanging="215"/>
              <w:rPr>
                <w:rFonts w:eastAsia="Arial"/>
                <w:lang w:bidi="cs-CZ"/>
              </w:rPr>
            </w:pPr>
            <w:r w:rsidRPr="008819AF">
              <w:rPr>
                <w:rFonts w:eastAsia="Arial"/>
                <w:lang w:bidi="cs-CZ"/>
              </w:rPr>
              <w:t>N</w:t>
            </w:r>
          </w:p>
        </w:tc>
        <w:tc>
          <w:tcPr>
            <w:tcW w:w="608" w:type="dxa"/>
            <w:tcBorders>
              <w:top w:val="single" w:sz="4" w:space="0" w:color="000000"/>
              <w:left w:val="single" w:sz="6" w:space="0" w:color="000000"/>
              <w:bottom w:val="single" w:sz="4" w:space="0" w:color="000000"/>
              <w:right w:val="single" w:sz="6" w:space="0" w:color="000000"/>
            </w:tcBorders>
          </w:tcPr>
          <w:p w14:paraId="15134325" w14:textId="77777777" w:rsidR="007170C3" w:rsidRPr="008819AF" w:rsidRDefault="006F0418">
            <w:pPr>
              <w:rPr>
                <w:rFonts w:eastAsia="Arial"/>
                <w:lang w:bidi="cs-CZ"/>
              </w:rPr>
            </w:pPr>
            <w:r w:rsidRPr="008819AF">
              <w:rPr>
                <w:rFonts w:eastAsia="Arial"/>
                <w:lang w:bidi="cs-CZ"/>
              </w:rPr>
              <w:t>NV2</w:t>
            </w:r>
          </w:p>
        </w:tc>
        <w:tc>
          <w:tcPr>
            <w:tcW w:w="636" w:type="dxa"/>
            <w:tcBorders>
              <w:top w:val="single" w:sz="4" w:space="0" w:color="000000"/>
              <w:left w:val="single" w:sz="6" w:space="0" w:color="000000"/>
              <w:bottom w:val="single" w:sz="4" w:space="0" w:color="000000"/>
              <w:right w:val="single" w:sz="6" w:space="0" w:color="000000"/>
            </w:tcBorders>
          </w:tcPr>
          <w:p w14:paraId="15134326" w14:textId="77777777" w:rsidR="00257599" w:rsidRPr="008819AF" w:rsidRDefault="00257599">
            <w:r w:rsidRPr="008819AF">
              <w:t xml:space="preserve">§2 </w:t>
            </w:r>
          </w:p>
          <w:p w14:paraId="15134327" w14:textId="77777777" w:rsidR="007170C3" w:rsidRPr="008819AF" w:rsidRDefault="00257599">
            <w:r w:rsidRPr="008819AF">
              <w:t>P k</w:t>
            </w:r>
          </w:p>
        </w:tc>
        <w:tc>
          <w:tcPr>
            <w:tcW w:w="5954" w:type="dxa"/>
            <w:tcBorders>
              <w:top w:val="single" w:sz="4" w:space="0" w:color="000000"/>
              <w:left w:val="single" w:sz="6" w:space="0" w:color="000000"/>
              <w:bottom w:val="single" w:sz="4" w:space="0" w:color="000000"/>
              <w:right w:val="single" w:sz="6" w:space="0" w:color="000000"/>
            </w:tcBorders>
          </w:tcPr>
          <w:p w14:paraId="15134328" w14:textId="77777777" w:rsidR="00257599" w:rsidRPr="008819AF" w:rsidRDefault="00257599" w:rsidP="00257599">
            <w:pPr>
              <w:jc w:val="both"/>
            </w:pPr>
            <w:r w:rsidRPr="008819AF">
              <w:t>štandardnými stavovými podmienkami - teplota 0 ºC (273,15 K) a tlak 101,3 kPa.</w:t>
            </w:r>
          </w:p>
          <w:p w14:paraId="15134329" w14:textId="77777777" w:rsidR="007170C3" w:rsidRPr="008819AF" w:rsidRDefault="007170C3">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4" w:space="0" w:color="000000"/>
              <w:right w:val="single" w:sz="6" w:space="0" w:color="000000"/>
            </w:tcBorders>
          </w:tcPr>
          <w:p w14:paraId="1513432A"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32B" w14:textId="77777777" w:rsidR="007170C3" w:rsidRPr="008819AF" w:rsidRDefault="007170C3">
            <w:pPr>
              <w:ind w:left="215" w:hanging="215"/>
              <w:rPr>
                <w:rFonts w:eastAsia="Arial"/>
              </w:rPr>
            </w:pPr>
          </w:p>
        </w:tc>
      </w:tr>
      <w:tr w:rsidR="00F80158" w:rsidRPr="008819AF" w14:paraId="15134390" w14:textId="77777777" w:rsidTr="00FA34E3">
        <w:tc>
          <w:tcPr>
            <w:tcW w:w="496" w:type="dxa"/>
            <w:tcBorders>
              <w:top w:val="single" w:sz="4" w:space="0" w:color="000000"/>
              <w:left w:val="single" w:sz="6" w:space="0" w:color="000000"/>
              <w:bottom w:val="single" w:sz="4" w:space="0" w:color="000000"/>
              <w:right w:val="single" w:sz="6" w:space="0" w:color="000000"/>
            </w:tcBorders>
          </w:tcPr>
          <w:p w14:paraId="1513432D" w14:textId="77777777" w:rsidR="007170C3" w:rsidRPr="008819AF" w:rsidRDefault="006F0418">
            <w:pPr>
              <w:widowControl w:val="0"/>
              <w:ind w:left="215" w:hanging="215"/>
              <w:rPr>
                <w:rFonts w:eastAsia="Arial"/>
                <w:lang w:bidi="cs-CZ"/>
              </w:rPr>
            </w:pPr>
            <w:r w:rsidRPr="008819AF">
              <w:rPr>
                <w:rFonts w:eastAsia="Arial"/>
              </w:rPr>
              <w:t>4 a 5</w:t>
            </w:r>
          </w:p>
        </w:tc>
        <w:tc>
          <w:tcPr>
            <w:tcW w:w="5356" w:type="dxa"/>
            <w:tcBorders>
              <w:top w:val="single" w:sz="4" w:space="0" w:color="000000"/>
              <w:left w:val="single" w:sz="6" w:space="0" w:color="000000"/>
              <w:bottom w:val="single" w:sz="4" w:space="0" w:color="000000"/>
              <w:right w:val="single" w:sz="6" w:space="0" w:color="000000"/>
            </w:tcBorders>
          </w:tcPr>
          <w:p w14:paraId="1513432E" w14:textId="77777777" w:rsidR="007170C3" w:rsidRPr="008819AF" w:rsidRDefault="006F0418">
            <w:pPr>
              <w:pStyle w:val="Default"/>
              <w:widowControl w:val="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Čistenie povrchov pomocou zlúčenín uvedených v článku 59 ods. 5</w:t>
            </w:r>
          </w:p>
          <w:p w14:paraId="1513432F" w14:textId="77777777" w:rsidR="007170C3" w:rsidRPr="008819AF" w:rsidRDefault="006F0418">
            <w:pPr>
              <w:pStyle w:val="Default"/>
              <w:widowControl w:val="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w:t>
            </w:r>
          </w:p>
          <w:p w14:paraId="15134330" w14:textId="77777777" w:rsidR="007170C3" w:rsidRPr="008819AF" w:rsidRDefault="006F0418">
            <w:pPr>
              <w:pStyle w:val="Default"/>
              <w:widowControl w:val="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 Ostatné čistenie povrchov</w:t>
            </w:r>
          </w:p>
          <w:p w14:paraId="15134331" w14:textId="77777777" w:rsidR="007170C3" w:rsidRPr="008819AF" w:rsidRDefault="006F0418">
            <w:pPr>
              <w:widowControl w:val="0"/>
              <w:ind w:left="215" w:hanging="215"/>
              <w:jc w:val="both"/>
              <w:rPr>
                <w:rFonts w:eastAsia="Arial"/>
                <w:lang w:bidi="cs-CZ"/>
              </w:rPr>
            </w:pPr>
            <w:r w:rsidRPr="008819AF">
              <w:rPr>
                <w:rFonts w:eastAsia="Arial"/>
                <w:lang w:bidi="cs-CZ"/>
              </w:rPr>
              <w:t>(&gt; 2)</w:t>
            </w:r>
          </w:p>
        </w:tc>
        <w:tc>
          <w:tcPr>
            <w:tcW w:w="912" w:type="dxa"/>
            <w:tcBorders>
              <w:top w:val="single" w:sz="4" w:space="0" w:color="000000"/>
              <w:left w:val="single" w:sz="6" w:space="0" w:color="000000"/>
              <w:bottom w:val="single" w:sz="4" w:space="0" w:color="000000"/>
              <w:right w:val="single" w:sz="6" w:space="0" w:color="000000"/>
            </w:tcBorders>
          </w:tcPr>
          <w:p w14:paraId="15134332" w14:textId="77777777" w:rsidR="007170C3" w:rsidRPr="008819AF" w:rsidRDefault="00257599">
            <w:pPr>
              <w:ind w:left="215" w:hanging="215"/>
              <w:rPr>
                <w:rFonts w:eastAsia="Arial"/>
                <w:lang w:bidi="cs-CZ"/>
              </w:rPr>
            </w:pPr>
            <w:r w:rsidRPr="008819AF">
              <w:rPr>
                <w:rFonts w:eastAsia="Arial"/>
                <w:lang w:bidi="cs-CZ"/>
              </w:rPr>
              <w:t>N</w:t>
            </w:r>
          </w:p>
        </w:tc>
        <w:tc>
          <w:tcPr>
            <w:tcW w:w="608" w:type="dxa"/>
            <w:tcBorders>
              <w:top w:val="single" w:sz="4" w:space="0" w:color="000000"/>
              <w:left w:val="single" w:sz="6" w:space="0" w:color="000000"/>
              <w:bottom w:val="single" w:sz="4" w:space="0" w:color="000000"/>
              <w:right w:val="single" w:sz="6" w:space="0" w:color="000000"/>
            </w:tcBorders>
          </w:tcPr>
          <w:p w14:paraId="15134333" w14:textId="77777777" w:rsidR="007170C3" w:rsidRPr="008819AF" w:rsidRDefault="006F0418">
            <w:pPr>
              <w:rPr>
                <w:rFonts w:eastAsia="Arial"/>
                <w:lang w:bidi="cs-CZ"/>
              </w:rPr>
            </w:pPr>
            <w:r w:rsidRPr="008819AF">
              <w:rPr>
                <w:rFonts w:eastAsia="Arial"/>
                <w:lang w:bidi="cs-CZ"/>
              </w:rPr>
              <w:t>NV2</w:t>
            </w:r>
          </w:p>
        </w:tc>
        <w:tc>
          <w:tcPr>
            <w:tcW w:w="636" w:type="dxa"/>
            <w:tcBorders>
              <w:top w:val="single" w:sz="4" w:space="0" w:color="000000"/>
              <w:left w:val="single" w:sz="6" w:space="0" w:color="000000"/>
              <w:bottom w:val="single" w:sz="4" w:space="0" w:color="000000"/>
              <w:right w:val="single" w:sz="6" w:space="0" w:color="000000"/>
            </w:tcBorders>
          </w:tcPr>
          <w:p w14:paraId="15134334" w14:textId="77777777" w:rsidR="00257599" w:rsidRPr="008819AF" w:rsidRDefault="00257599" w:rsidP="00257599">
            <w:pPr>
              <w:pStyle w:val="BodyText21"/>
              <w:spacing w:before="0" w:line="240" w:lineRule="auto"/>
              <w:jc w:val="left"/>
              <w:rPr>
                <w:rFonts w:ascii="Times New Roman" w:hAnsi="Times New Roman" w:cs="Times New Roman"/>
                <w:sz w:val="17"/>
                <w:szCs w:val="17"/>
              </w:rPr>
            </w:pPr>
            <w:r w:rsidRPr="008819AF">
              <w:rPr>
                <w:rFonts w:ascii="Times New Roman" w:hAnsi="Times New Roman" w:cs="Times New Roman"/>
                <w:sz w:val="17"/>
                <w:szCs w:val="17"/>
              </w:rPr>
              <w:t>Príl.6</w:t>
            </w:r>
          </w:p>
          <w:p w14:paraId="15134335" w14:textId="77777777" w:rsidR="00257599" w:rsidRPr="008819AF" w:rsidRDefault="00257599" w:rsidP="00257599">
            <w:pPr>
              <w:pStyle w:val="BodyText21"/>
              <w:spacing w:before="0" w:line="240" w:lineRule="auto"/>
              <w:jc w:val="left"/>
              <w:rPr>
                <w:rFonts w:ascii="Times New Roman" w:hAnsi="Times New Roman" w:cs="Times New Roman"/>
                <w:sz w:val="17"/>
                <w:szCs w:val="17"/>
              </w:rPr>
            </w:pPr>
            <w:r w:rsidRPr="008819AF">
              <w:rPr>
                <w:rFonts w:ascii="Times New Roman" w:hAnsi="Times New Roman" w:cs="Times New Roman"/>
                <w:sz w:val="17"/>
                <w:szCs w:val="17"/>
              </w:rPr>
              <w:t xml:space="preserve">Č IV </w:t>
            </w:r>
          </w:p>
          <w:p w14:paraId="15134336" w14:textId="77777777" w:rsidR="007170C3" w:rsidRPr="008819AF" w:rsidRDefault="007170C3"/>
        </w:tc>
        <w:tc>
          <w:tcPr>
            <w:tcW w:w="5954" w:type="dxa"/>
            <w:tcBorders>
              <w:top w:val="single" w:sz="4" w:space="0" w:color="000000"/>
              <w:left w:val="single" w:sz="6" w:space="0" w:color="000000"/>
              <w:bottom w:val="single" w:sz="4" w:space="0" w:color="000000"/>
              <w:right w:val="single" w:sz="6" w:space="0" w:color="000000"/>
            </w:tcBorders>
          </w:tcPr>
          <w:p w14:paraId="15134337" w14:textId="77777777" w:rsidR="00257599" w:rsidRPr="008819AF" w:rsidRDefault="00257599" w:rsidP="00257599">
            <w:pPr>
              <w:pStyle w:val="Normln"/>
              <w:keepNext/>
              <w:ind w:right="-65"/>
              <w:rPr>
                <w:sz w:val="20"/>
                <w:szCs w:val="20"/>
                <w:lang w:val="sk-SK"/>
              </w:rPr>
            </w:pPr>
            <w:r w:rsidRPr="008819AF">
              <w:rPr>
                <w:sz w:val="20"/>
                <w:szCs w:val="20"/>
              </w:rPr>
              <w:t>2.</w:t>
            </w:r>
            <w:r w:rsidRPr="008819AF">
              <w:rPr>
                <w:sz w:val="20"/>
                <w:szCs w:val="20"/>
                <w:lang w:eastAsia="cs-CZ"/>
              </w:rPr>
              <w:t xml:space="preserve"> Odmasťovanie </w:t>
            </w:r>
            <w:r w:rsidRPr="008819AF">
              <w:rPr>
                <w:sz w:val="20"/>
                <w:szCs w:val="20"/>
                <w:lang w:val="sk-SK"/>
              </w:rPr>
              <w:t xml:space="preserve"> a čistenie povrchov s použitím organických rozpúšťadiel</w:t>
            </w:r>
          </w:p>
          <w:p w14:paraId="15134338" w14:textId="77777777" w:rsidR="00257599" w:rsidRPr="008819AF" w:rsidRDefault="00257599">
            <w:pPr>
              <w:pStyle w:val="Hlavika"/>
              <w:ind w:left="72" w:hanging="1"/>
              <w:jc w:val="both"/>
              <w:rPr>
                <w:rFonts w:ascii="Times New Roman" w:hAnsi="Times New Roman" w:cs="Times New Roman"/>
              </w:rPr>
            </w:pPr>
            <w:r w:rsidRPr="008819AF">
              <w:rPr>
                <w:rFonts w:ascii="Times New Roman" w:hAnsi="Times New Roman" w:cs="Times New Roman"/>
              </w:rPr>
              <w:t>2.1.2 Použitie organických rozpúšťadiel podľa § 28 ods. 1, možno len za riadených podmienok. Odmasťovanie a čistenie povrchov týmito organickými rozpúšťadlami sa nesmie vykonávať mimo uzavretého priestoru alebo bez  odsávania odpadových plynov</w:t>
            </w:r>
          </w:p>
          <w:p w14:paraId="15134339" w14:textId="77777777" w:rsidR="00257599" w:rsidRPr="008819AF" w:rsidRDefault="00257599">
            <w:pPr>
              <w:pStyle w:val="Hlavika"/>
              <w:ind w:left="72" w:hanging="1"/>
              <w:jc w:val="both"/>
              <w:rPr>
                <w:rFonts w:ascii="Times New Roman" w:hAnsi="Times New Roman" w:cs="Times New Roman"/>
              </w:rPr>
            </w:pPr>
            <w:r w:rsidRPr="008819AF">
              <w:rPr>
                <w:rFonts w:ascii="Times New Roman" w:hAnsi="Times New Roman" w:cs="Times New Roman"/>
              </w:rPr>
              <w:t xml:space="preserve">2.2  Prahové spotreby rozpúšťadiel a emisné limity  </w:t>
            </w:r>
          </w:p>
          <w:p w14:paraId="1513433A" w14:textId="77777777" w:rsidR="00FA34E3" w:rsidRPr="008819AF" w:rsidRDefault="00FA34E3">
            <w:pPr>
              <w:pStyle w:val="Hlavika"/>
              <w:ind w:left="72" w:hanging="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236"/>
              <w:gridCol w:w="459"/>
              <w:gridCol w:w="668"/>
              <w:gridCol w:w="600"/>
              <w:gridCol w:w="1239"/>
              <w:gridCol w:w="1165"/>
            </w:tblGrid>
            <w:tr w:rsidR="00257599" w:rsidRPr="008819AF" w14:paraId="1513433D" w14:textId="77777777" w:rsidTr="00FA34E3">
              <w:tc>
                <w:tcPr>
                  <w:tcW w:w="1555" w:type="dxa"/>
                  <w:gridSpan w:val="2"/>
                  <w:vMerge w:val="restart"/>
                  <w:tcBorders>
                    <w:top w:val="single" w:sz="2" w:space="0" w:color="auto"/>
                    <w:left w:val="single" w:sz="2" w:space="0" w:color="auto"/>
                    <w:bottom w:val="single" w:sz="2" w:space="0" w:color="auto"/>
                    <w:right w:val="single" w:sz="2" w:space="0" w:color="auto"/>
                  </w:tcBorders>
                  <w:vAlign w:val="center"/>
                </w:tcPr>
                <w:p w14:paraId="1513433B" w14:textId="77777777" w:rsidR="00257599" w:rsidRPr="008819AF" w:rsidRDefault="00257599" w:rsidP="00EB6E9B">
                  <w:pPr>
                    <w:pStyle w:val="Normln"/>
                    <w:keepNext/>
                    <w:framePr w:hSpace="141" w:wrap="around" w:vAnchor="text" w:hAnchor="text"/>
                    <w:spacing w:after="120"/>
                    <w:ind w:right="-180"/>
                    <w:rPr>
                      <w:b/>
                      <w:sz w:val="16"/>
                      <w:szCs w:val="16"/>
                      <w:lang w:val="sk-SK"/>
                    </w:rPr>
                  </w:pPr>
                  <w:r w:rsidRPr="008819AF">
                    <w:rPr>
                      <w:b/>
                      <w:sz w:val="16"/>
                      <w:szCs w:val="16"/>
                      <w:lang w:val="sk-SK"/>
                    </w:rPr>
                    <w:t>Podmienky platnosti EL</w:t>
                  </w:r>
                </w:p>
              </w:tc>
              <w:tc>
                <w:tcPr>
                  <w:tcW w:w="3828" w:type="dxa"/>
                  <w:gridSpan w:val="5"/>
                  <w:tcBorders>
                    <w:top w:val="single" w:sz="2" w:space="0" w:color="auto"/>
                    <w:left w:val="single" w:sz="2" w:space="0" w:color="auto"/>
                    <w:bottom w:val="single" w:sz="2" w:space="0" w:color="auto"/>
                    <w:right w:val="single" w:sz="2" w:space="0" w:color="auto"/>
                  </w:tcBorders>
                  <w:vAlign w:val="center"/>
                </w:tcPr>
                <w:p w14:paraId="1513433C" w14:textId="77777777" w:rsidR="00257599" w:rsidRPr="008819AF" w:rsidRDefault="00257599" w:rsidP="00EB6E9B">
                  <w:pPr>
                    <w:pStyle w:val="Zkladntext2"/>
                    <w:framePr w:hSpace="141" w:wrap="around" w:vAnchor="text" w:hAnchor="text"/>
                    <w:ind w:left="0" w:firstLine="0"/>
                    <w:rPr>
                      <w:rFonts w:ascii="Times New Roman" w:hAnsi="Times New Roman" w:cs="Times New Roman"/>
                      <w:b/>
                      <w:sz w:val="16"/>
                      <w:szCs w:val="16"/>
                    </w:rPr>
                  </w:pPr>
                  <w:r w:rsidRPr="008819AF">
                    <w:rPr>
                      <w:rFonts w:ascii="Times New Roman" w:hAnsi="Times New Roman" w:cs="Times New Roman"/>
                      <w:sz w:val="16"/>
                      <w:szCs w:val="16"/>
                    </w:rPr>
                    <w:t>Štandardné stavové podmienky, vlhký plyn</w:t>
                  </w:r>
                </w:p>
              </w:tc>
            </w:tr>
            <w:tr w:rsidR="00257599" w:rsidRPr="008819AF" w14:paraId="15134340" w14:textId="77777777" w:rsidTr="00FA34E3">
              <w:tc>
                <w:tcPr>
                  <w:tcW w:w="1555" w:type="dxa"/>
                  <w:gridSpan w:val="2"/>
                  <w:vMerge/>
                  <w:tcBorders>
                    <w:top w:val="single" w:sz="2" w:space="0" w:color="auto"/>
                    <w:left w:val="single" w:sz="2" w:space="0" w:color="auto"/>
                    <w:bottom w:val="single" w:sz="2" w:space="0" w:color="auto"/>
                    <w:right w:val="single" w:sz="2" w:space="0" w:color="auto"/>
                  </w:tcBorders>
                  <w:vAlign w:val="center"/>
                </w:tcPr>
                <w:p w14:paraId="1513433E" w14:textId="77777777" w:rsidR="00257599" w:rsidRPr="008819AF" w:rsidRDefault="00257599" w:rsidP="00EB6E9B">
                  <w:pPr>
                    <w:framePr w:hSpace="141" w:wrap="around" w:vAnchor="text" w:hAnchor="text"/>
                    <w:rPr>
                      <w:sz w:val="16"/>
                      <w:szCs w:val="16"/>
                    </w:rPr>
                  </w:pPr>
                </w:p>
              </w:tc>
              <w:tc>
                <w:tcPr>
                  <w:tcW w:w="3828" w:type="dxa"/>
                  <w:gridSpan w:val="5"/>
                  <w:tcBorders>
                    <w:top w:val="single" w:sz="2" w:space="0" w:color="auto"/>
                    <w:left w:val="single" w:sz="2" w:space="0" w:color="auto"/>
                    <w:bottom w:val="single" w:sz="2" w:space="0" w:color="auto"/>
                    <w:right w:val="single" w:sz="2" w:space="0" w:color="auto"/>
                  </w:tcBorders>
                  <w:vAlign w:val="center"/>
                </w:tcPr>
                <w:p w14:paraId="1513433F" w14:textId="77777777" w:rsidR="00257599" w:rsidRPr="008819AF" w:rsidRDefault="00257599" w:rsidP="00EB6E9B">
                  <w:pPr>
                    <w:pStyle w:val="Zkladntext2"/>
                    <w:framePr w:hSpace="141" w:wrap="around" w:vAnchor="text" w:hAnchor="text"/>
                    <w:ind w:left="0" w:firstLine="0"/>
                    <w:rPr>
                      <w:rFonts w:ascii="Times New Roman" w:hAnsi="Times New Roman" w:cs="Times New Roman"/>
                      <w:sz w:val="16"/>
                      <w:szCs w:val="16"/>
                    </w:rPr>
                  </w:pPr>
                  <w:r w:rsidRPr="008819AF">
                    <w:rPr>
                      <w:rFonts w:ascii="Times New Roman" w:hAnsi="Times New Roman" w:cs="Times New Roman"/>
                      <w:sz w:val="16"/>
                      <w:szCs w:val="16"/>
                    </w:rPr>
                    <w:t xml:space="preserve">Emisný limit pre VOC zaradené podľa  § 28 ods. 1 platí pre súčet hmotností jednotlivých VOC. </w:t>
                  </w:r>
                </w:p>
              </w:tc>
            </w:tr>
            <w:tr w:rsidR="00257599" w:rsidRPr="008819AF" w14:paraId="15134347" w14:textId="77777777" w:rsidTr="00FA34E3">
              <w:tc>
                <w:tcPr>
                  <w:tcW w:w="1555" w:type="dxa"/>
                  <w:gridSpan w:val="2"/>
                  <w:vMerge w:val="restart"/>
                  <w:tcBorders>
                    <w:top w:val="single" w:sz="2" w:space="0" w:color="auto"/>
                  </w:tcBorders>
                  <w:vAlign w:val="center"/>
                </w:tcPr>
                <w:p w14:paraId="15134341" w14:textId="77777777" w:rsidR="00257599" w:rsidRPr="008819AF" w:rsidRDefault="00257599" w:rsidP="00EB6E9B">
                  <w:pPr>
                    <w:pStyle w:val="Normln"/>
                    <w:keepNext/>
                    <w:framePr w:hSpace="141" w:wrap="around" w:vAnchor="text" w:hAnchor="text"/>
                    <w:rPr>
                      <w:b/>
                      <w:sz w:val="16"/>
                      <w:szCs w:val="16"/>
                      <w:lang w:val="sk-SK"/>
                    </w:rPr>
                  </w:pPr>
                  <w:r w:rsidRPr="008819AF">
                    <w:rPr>
                      <w:b/>
                      <w:sz w:val="16"/>
                      <w:szCs w:val="16"/>
                      <w:lang w:val="sk-SK"/>
                    </w:rPr>
                    <w:t>Odmasťovanie a </w:t>
                  </w:r>
                </w:p>
                <w:p w14:paraId="15134342" w14:textId="77777777" w:rsidR="00257599" w:rsidRPr="008819AF" w:rsidRDefault="00257599" w:rsidP="00EB6E9B">
                  <w:pPr>
                    <w:pStyle w:val="Normln"/>
                    <w:keepNext/>
                    <w:framePr w:hSpace="141" w:wrap="around" w:vAnchor="text" w:hAnchor="text"/>
                    <w:rPr>
                      <w:b/>
                      <w:sz w:val="16"/>
                      <w:szCs w:val="16"/>
                      <w:lang w:val="sk-SK"/>
                    </w:rPr>
                  </w:pPr>
                  <w:r w:rsidRPr="008819AF">
                    <w:rPr>
                      <w:b/>
                      <w:sz w:val="16"/>
                      <w:szCs w:val="16"/>
                      <w:lang w:val="sk-SK"/>
                    </w:rPr>
                    <w:t>čistenie povrchov</w:t>
                  </w:r>
                </w:p>
                <w:p w14:paraId="15134343" w14:textId="77777777" w:rsidR="00257599" w:rsidRPr="008819AF" w:rsidRDefault="00257599" w:rsidP="00EB6E9B">
                  <w:pPr>
                    <w:pStyle w:val="Normln"/>
                    <w:keepNext/>
                    <w:framePr w:hSpace="141" w:wrap="around" w:vAnchor="text" w:hAnchor="text"/>
                    <w:ind w:right="-108"/>
                    <w:rPr>
                      <w:b/>
                      <w:sz w:val="16"/>
                      <w:szCs w:val="16"/>
                      <w:lang w:val="sk-SK"/>
                    </w:rPr>
                  </w:pPr>
                </w:p>
              </w:tc>
              <w:tc>
                <w:tcPr>
                  <w:tcW w:w="1600" w:type="dxa"/>
                  <w:gridSpan w:val="3"/>
                  <w:vMerge w:val="restart"/>
                  <w:tcBorders>
                    <w:top w:val="single" w:sz="2" w:space="0" w:color="auto"/>
                  </w:tcBorders>
                  <w:vAlign w:val="center"/>
                </w:tcPr>
                <w:p w14:paraId="15134344" w14:textId="77777777" w:rsidR="00257599" w:rsidRPr="008819AF" w:rsidRDefault="00257599" w:rsidP="00EB6E9B">
                  <w:pPr>
                    <w:pStyle w:val="Zkladntext2"/>
                    <w:framePr w:hSpace="141" w:wrap="around" w:vAnchor="text" w:hAnchor="text"/>
                    <w:ind w:left="0" w:firstLine="0"/>
                    <w:jc w:val="center"/>
                    <w:rPr>
                      <w:rFonts w:ascii="Times New Roman" w:hAnsi="Times New Roman" w:cs="Times New Roman"/>
                      <w:b/>
                      <w:sz w:val="16"/>
                      <w:szCs w:val="16"/>
                    </w:rPr>
                  </w:pPr>
                  <w:r w:rsidRPr="008819AF">
                    <w:rPr>
                      <w:rFonts w:ascii="Times New Roman" w:hAnsi="Times New Roman" w:cs="Times New Roman"/>
                      <w:b/>
                      <w:sz w:val="16"/>
                      <w:szCs w:val="16"/>
                    </w:rPr>
                    <w:t>Prahová spotreba rozpúšťadla</w:t>
                  </w:r>
                </w:p>
                <w:p w14:paraId="15134345" w14:textId="77777777" w:rsidR="00257599" w:rsidRPr="008819AF" w:rsidRDefault="00257599" w:rsidP="00EB6E9B">
                  <w:pPr>
                    <w:pStyle w:val="Zkladntext2"/>
                    <w:framePr w:hSpace="141" w:wrap="around" w:vAnchor="text" w:hAnchor="text"/>
                    <w:jc w:val="center"/>
                    <w:rPr>
                      <w:rFonts w:ascii="Times New Roman" w:hAnsi="Times New Roman" w:cs="Times New Roman"/>
                      <w:b/>
                      <w:sz w:val="16"/>
                      <w:szCs w:val="16"/>
                    </w:rPr>
                  </w:pPr>
                  <w:r w:rsidRPr="008819AF">
                    <w:rPr>
                      <w:rFonts w:ascii="Times New Roman" w:hAnsi="Times New Roman" w:cs="Times New Roman"/>
                      <w:b/>
                      <w:sz w:val="16"/>
                      <w:szCs w:val="16"/>
                    </w:rPr>
                    <w:sym w:font="Symbol" w:char="F05B"/>
                  </w:r>
                  <w:r w:rsidRPr="008819AF">
                    <w:rPr>
                      <w:rFonts w:ascii="Times New Roman" w:hAnsi="Times New Roman" w:cs="Times New Roman"/>
                      <w:b/>
                      <w:sz w:val="16"/>
                      <w:szCs w:val="16"/>
                    </w:rPr>
                    <w:t>t/rok</w:t>
                  </w:r>
                  <w:r w:rsidRPr="008819AF">
                    <w:rPr>
                      <w:rFonts w:ascii="Times New Roman" w:hAnsi="Times New Roman" w:cs="Times New Roman"/>
                      <w:b/>
                      <w:sz w:val="16"/>
                      <w:szCs w:val="16"/>
                    </w:rPr>
                    <w:sym w:font="Symbol" w:char="F05D"/>
                  </w:r>
                </w:p>
              </w:tc>
              <w:tc>
                <w:tcPr>
                  <w:tcW w:w="2228" w:type="dxa"/>
                  <w:gridSpan w:val="2"/>
                  <w:tcBorders>
                    <w:top w:val="single" w:sz="2" w:space="0" w:color="auto"/>
                  </w:tcBorders>
                  <w:vAlign w:val="center"/>
                </w:tcPr>
                <w:p w14:paraId="15134346" w14:textId="77777777" w:rsidR="00257599" w:rsidRPr="008819AF" w:rsidRDefault="00257599" w:rsidP="00EB6E9B">
                  <w:pPr>
                    <w:pStyle w:val="Zkladntext2"/>
                    <w:framePr w:hSpace="141" w:wrap="around" w:vAnchor="text" w:hAnchor="text"/>
                    <w:jc w:val="center"/>
                    <w:rPr>
                      <w:rFonts w:ascii="Times New Roman" w:hAnsi="Times New Roman" w:cs="Times New Roman"/>
                      <w:b/>
                      <w:sz w:val="16"/>
                      <w:szCs w:val="16"/>
                    </w:rPr>
                  </w:pPr>
                  <w:r w:rsidRPr="008819AF">
                    <w:rPr>
                      <w:rFonts w:ascii="Times New Roman" w:hAnsi="Times New Roman" w:cs="Times New Roman"/>
                      <w:b/>
                      <w:sz w:val="16"/>
                      <w:szCs w:val="16"/>
                    </w:rPr>
                    <w:t>Emisný limit</w:t>
                  </w:r>
                </w:p>
              </w:tc>
            </w:tr>
            <w:tr w:rsidR="00257599" w:rsidRPr="008819AF" w14:paraId="1513434C" w14:textId="77777777" w:rsidTr="00FA34E3">
              <w:tc>
                <w:tcPr>
                  <w:tcW w:w="1555" w:type="dxa"/>
                  <w:gridSpan w:val="2"/>
                  <w:vMerge/>
                  <w:vAlign w:val="center"/>
                </w:tcPr>
                <w:p w14:paraId="15134348" w14:textId="77777777" w:rsidR="00257599" w:rsidRPr="008819AF" w:rsidRDefault="00257599" w:rsidP="00EB6E9B">
                  <w:pPr>
                    <w:framePr w:hSpace="141" w:wrap="around" w:vAnchor="text" w:hAnchor="text"/>
                    <w:rPr>
                      <w:b/>
                      <w:sz w:val="16"/>
                      <w:szCs w:val="16"/>
                    </w:rPr>
                  </w:pPr>
                </w:p>
              </w:tc>
              <w:tc>
                <w:tcPr>
                  <w:tcW w:w="1600" w:type="dxa"/>
                  <w:gridSpan w:val="3"/>
                  <w:vMerge/>
                  <w:vAlign w:val="center"/>
                </w:tcPr>
                <w:p w14:paraId="15134349" w14:textId="77777777" w:rsidR="00257599" w:rsidRPr="008819AF" w:rsidRDefault="00257599" w:rsidP="00EB6E9B">
                  <w:pPr>
                    <w:framePr w:hSpace="141" w:wrap="around" w:vAnchor="text" w:hAnchor="text"/>
                    <w:rPr>
                      <w:b/>
                      <w:sz w:val="16"/>
                      <w:szCs w:val="16"/>
                    </w:rPr>
                  </w:pPr>
                </w:p>
              </w:tc>
              <w:tc>
                <w:tcPr>
                  <w:tcW w:w="1148" w:type="dxa"/>
                  <w:vAlign w:val="center"/>
                </w:tcPr>
                <w:p w14:paraId="1513434A" w14:textId="77777777" w:rsidR="00257599" w:rsidRPr="008819AF" w:rsidRDefault="00257599" w:rsidP="00EB6E9B">
                  <w:pPr>
                    <w:pStyle w:val="Zkladntext2"/>
                    <w:framePr w:hSpace="141" w:wrap="around" w:vAnchor="text" w:hAnchor="text"/>
                    <w:ind w:left="0" w:firstLine="0"/>
                    <w:jc w:val="center"/>
                    <w:rPr>
                      <w:rFonts w:ascii="Times New Roman" w:hAnsi="Times New Roman" w:cs="Times New Roman"/>
                      <w:b/>
                      <w:sz w:val="16"/>
                      <w:szCs w:val="16"/>
                    </w:rPr>
                  </w:pPr>
                  <w:r w:rsidRPr="008819AF">
                    <w:rPr>
                      <w:rFonts w:ascii="Times New Roman" w:hAnsi="Times New Roman" w:cs="Times New Roman"/>
                      <w:b/>
                      <w:sz w:val="16"/>
                      <w:szCs w:val="16"/>
                    </w:rPr>
                    <w:t>Odpado</w:t>
                  </w:r>
                  <w:r w:rsidR="003906A8" w:rsidRPr="008819AF">
                    <w:rPr>
                      <w:rFonts w:ascii="Times New Roman" w:hAnsi="Times New Roman" w:cs="Times New Roman"/>
                      <w:b/>
                      <w:sz w:val="16"/>
                      <w:szCs w:val="16"/>
                    </w:rPr>
                    <w:t>-vé plyny</w:t>
                  </w:r>
                </w:p>
              </w:tc>
              <w:tc>
                <w:tcPr>
                  <w:tcW w:w="1080" w:type="dxa"/>
                  <w:vAlign w:val="center"/>
                </w:tcPr>
                <w:p w14:paraId="1513434B" w14:textId="77777777" w:rsidR="00257599" w:rsidRPr="008819AF" w:rsidRDefault="00257599" w:rsidP="00EB6E9B">
                  <w:pPr>
                    <w:pStyle w:val="Zkladntext2"/>
                    <w:framePr w:hSpace="141" w:wrap="around" w:vAnchor="text" w:hAnchor="text"/>
                    <w:ind w:left="-22" w:firstLine="0"/>
                    <w:jc w:val="center"/>
                    <w:rPr>
                      <w:rFonts w:ascii="Times New Roman" w:hAnsi="Times New Roman" w:cs="Times New Roman"/>
                      <w:b/>
                      <w:sz w:val="16"/>
                      <w:szCs w:val="16"/>
                    </w:rPr>
                  </w:pPr>
                  <w:r w:rsidRPr="008819AF">
                    <w:rPr>
                      <w:rFonts w:ascii="Times New Roman" w:hAnsi="Times New Roman" w:cs="Times New Roman"/>
                      <w:b/>
                      <w:sz w:val="16"/>
                      <w:szCs w:val="16"/>
                    </w:rPr>
                    <w:t>Fugitív</w:t>
                  </w:r>
                  <w:r w:rsidR="003906A8" w:rsidRPr="008819AF">
                    <w:rPr>
                      <w:rFonts w:ascii="Times New Roman" w:hAnsi="Times New Roman" w:cs="Times New Roman"/>
                      <w:b/>
                      <w:sz w:val="16"/>
                      <w:szCs w:val="16"/>
                    </w:rPr>
                    <w:t>-</w:t>
                  </w:r>
                  <w:r w:rsidRPr="008819AF">
                    <w:rPr>
                      <w:rFonts w:ascii="Times New Roman" w:hAnsi="Times New Roman" w:cs="Times New Roman"/>
                      <w:b/>
                      <w:sz w:val="16"/>
                      <w:szCs w:val="16"/>
                    </w:rPr>
                    <w:t>ne emisie</w:t>
                  </w:r>
                </w:p>
              </w:tc>
            </w:tr>
            <w:tr w:rsidR="00257599" w:rsidRPr="008819AF" w14:paraId="15134351" w14:textId="77777777" w:rsidTr="00FA34E3">
              <w:tc>
                <w:tcPr>
                  <w:tcW w:w="1555" w:type="dxa"/>
                  <w:gridSpan w:val="2"/>
                  <w:vMerge/>
                  <w:vAlign w:val="center"/>
                </w:tcPr>
                <w:p w14:paraId="1513434D" w14:textId="77777777" w:rsidR="00257599" w:rsidRPr="008819AF" w:rsidRDefault="00257599" w:rsidP="00EB6E9B">
                  <w:pPr>
                    <w:framePr w:hSpace="141" w:wrap="around" w:vAnchor="text" w:hAnchor="text"/>
                    <w:rPr>
                      <w:b/>
                      <w:sz w:val="16"/>
                      <w:szCs w:val="16"/>
                    </w:rPr>
                  </w:pPr>
                </w:p>
              </w:tc>
              <w:tc>
                <w:tcPr>
                  <w:tcW w:w="1600" w:type="dxa"/>
                  <w:gridSpan w:val="3"/>
                  <w:vMerge/>
                  <w:vAlign w:val="center"/>
                </w:tcPr>
                <w:p w14:paraId="1513434E" w14:textId="77777777" w:rsidR="00257599" w:rsidRPr="008819AF" w:rsidRDefault="00257599" w:rsidP="00EB6E9B">
                  <w:pPr>
                    <w:framePr w:hSpace="141" w:wrap="around" w:vAnchor="text" w:hAnchor="text"/>
                    <w:rPr>
                      <w:b/>
                      <w:sz w:val="16"/>
                      <w:szCs w:val="16"/>
                    </w:rPr>
                  </w:pPr>
                </w:p>
              </w:tc>
              <w:tc>
                <w:tcPr>
                  <w:tcW w:w="1148" w:type="dxa"/>
                  <w:vAlign w:val="center"/>
                </w:tcPr>
                <w:p w14:paraId="1513434F" w14:textId="77777777" w:rsidR="00257599" w:rsidRPr="008819AF" w:rsidRDefault="00257599" w:rsidP="00EB6E9B">
                  <w:pPr>
                    <w:pStyle w:val="Zkladntext2"/>
                    <w:framePr w:hSpace="141" w:wrap="around" w:vAnchor="text" w:hAnchor="text"/>
                    <w:ind w:left="0" w:firstLine="0"/>
                    <w:jc w:val="center"/>
                    <w:rPr>
                      <w:rFonts w:ascii="Times New Roman" w:hAnsi="Times New Roman" w:cs="Times New Roman"/>
                      <w:b/>
                      <w:sz w:val="16"/>
                      <w:szCs w:val="16"/>
                    </w:rPr>
                  </w:pPr>
                  <w:r w:rsidRPr="008819AF">
                    <w:rPr>
                      <w:rFonts w:ascii="Times New Roman" w:hAnsi="Times New Roman" w:cs="Times New Roman"/>
                      <w:b/>
                      <w:sz w:val="16"/>
                      <w:szCs w:val="16"/>
                    </w:rPr>
                    <w:t xml:space="preserve">VOC </w:t>
                  </w:r>
                  <w:r w:rsidRPr="008819AF">
                    <w:rPr>
                      <w:rFonts w:ascii="Times New Roman" w:hAnsi="Times New Roman" w:cs="Times New Roman"/>
                      <w:b/>
                      <w:sz w:val="16"/>
                      <w:szCs w:val="16"/>
                    </w:rPr>
                    <w:sym w:font="Symbol" w:char="F05B"/>
                  </w:r>
                  <w:r w:rsidRPr="008819AF">
                    <w:rPr>
                      <w:rFonts w:ascii="Times New Roman" w:hAnsi="Times New Roman" w:cs="Times New Roman"/>
                      <w:b/>
                      <w:sz w:val="16"/>
                      <w:szCs w:val="16"/>
                    </w:rPr>
                    <w:t>mg/m</w:t>
                  </w:r>
                  <w:r w:rsidRPr="008819AF">
                    <w:rPr>
                      <w:rFonts w:ascii="Times New Roman" w:hAnsi="Times New Roman" w:cs="Times New Roman"/>
                      <w:b/>
                      <w:sz w:val="16"/>
                      <w:szCs w:val="16"/>
                      <w:vertAlign w:val="superscript"/>
                    </w:rPr>
                    <w:t>3</w:t>
                  </w:r>
                  <w:r w:rsidRPr="008819AF">
                    <w:rPr>
                      <w:rFonts w:ascii="Times New Roman" w:hAnsi="Times New Roman" w:cs="Times New Roman"/>
                      <w:b/>
                      <w:sz w:val="16"/>
                      <w:szCs w:val="16"/>
                    </w:rPr>
                    <w:sym w:font="Symbol" w:char="F05D"/>
                  </w:r>
                </w:p>
              </w:tc>
              <w:tc>
                <w:tcPr>
                  <w:tcW w:w="1080" w:type="dxa"/>
                  <w:vAlign w:val="center"/>
                </w:tcPr>
                <w:p w14:paraId="15134350" w14:textId="77777777" w:rsidR="00257599" w:rsidRPr="008819AF" w:rsidRDefault="00257599" w:rsidP="00EB6E9B">
                  <w:pPr>
                    <w:pStyle w:val="Zkladntext2"/>
                    <w:framePr w:hSpace="141" w:wrap="around" w:vAnchor="text" w:hAnchor="text"/>
                    <w:jc w:val="center"/>
                    <w:rPr>
                      <w:rFonts w:ascii="Times New Roman" w:hAnsi="Times New Roman" w:cs="Times New Roman"/>
                      <w:b/>
                      <w:sz w:val="16"/>
                      <w:szCs w:val="16"/>
                    </w:rPr>
                  </w:pPr>
                  <w:r w:rsidRPr="008819AF">
                    <w:rPr>
                      <w:rFonts w:ascii="Times New Roman" w:hAnsi="Times New Roman" w:cs="Times New Roman"/>
                      <w:b/>
                      <w:sz w:val="16"/>
                      <w:szCs w:val="16"/>
                    </w:rPr>
                    <w:t xml:space="preserve">VOC </w:t>
                  </w:r>
                  <w:r w:rsidRPr="008819AF">
                    <w:rPr>
                      <w:rFonts w:ascii="Times New Roman" w:hAnsi="Times New Roman" w:cs="Times New Roman"/>
                      <w:b/>
                      <w:sz w:val="16"/>
                      <w:szCs w:val="16"/>
                    </w:rPr>
                    <w:sym w:font="Symbol" w:char="F05B"/>
                  </w:r>
                  <w:r w:rsidRPr="008819AF">
                    <w:rPr>
                      <w:rFonts w:ascii="Times New Roman" w:hAnsi="Times New Roman" w:cs="Times New Roman"/>
                      <w:b/>
                      <w:sz w:val="16"/>
                      <w:szCs w:val="16"/>
                    </w:rPr>
                    <w:t>%</w:t>
                  </w:r>
                  <w:r w:rsidRPr="008819AF">
                    <w:rPr>
                      <w:rFonts w:ascii="Times New Roman" w:hAnsi="Times New Roman" w:cs="Times New Roman"/>
                      <w:b/>
                      <w:sz w:val="16"/>
                      <w:szCs w:val="16"/>
                    </w:rPr>
                    <w:sym w:font="Symbol" w:char="F05D"/>
                  </w:r>
                </w:p>
              </w:tc>
            </w:tr>
            <w:tr w:rsidR="00257599" w:rsidRPr="008819AF" w14:paraId="1513435C" w14:textId="77777777" w:rsidTr="00FA34E3">
              <w:tc>
                <w:tcPr>
                  <w:tcW w:w="409" w:type="dxa"/>
                  <w:vMerge w:val="restart"/>
                  <w:vAlign w:val="center"/>
                </w:tcPr>
                <w:p w14:paraId="15134352" w14:textId="77777777" w:rsidR="00257599" w:rsidRPr="008819AF" w:rsidRDefault="00257599" w:rsidP="00EB6E9B">
                  <w:pPr>
                    <w:pStyle w:val="Zkladntext2"/>
                    <w:framePr w:hSpace="141" w:wrap="around" w:vAnchor="text" w:hAnchor="text"/>
                    <w:rPr>
                      <w:rFonts w:ascii="Times New Roman" w:hAnsi="Times New Roman" w:cs="Times New Roman"/>
                      <w:b/>
                      <w:sz w:val="16"/>
                      <w:szCs w:val="16"/>
                    </w:rPr>
                  </w:pPr>
                </w:p>
                <w:p w14:paraId="15134353" w14:textId="77777777" w:rsidR="00257599" w:rsidRPr="008819AF" w:rsidRDefault="00257599" w:rsidP="00EB6E9B">
                  <w:pPr>
                    <w:pStyle w:val="Normln"/>
                    <w:keepNext/>
                    <w:framePr w:hSpace="141" w:wrap="around" w:vAnchor="text" w:hAnchor="text"/>
                    <w:jc w:val="both"/>
                    <w:rPr>
                      <w:sz w:val="16"/>
                      <w:szCs w:val="16"/>
                      <w:lang w:val="sk-SK"/>
                    </w:rPr>
                  </w:pPr>
                  <w:r w:rsidRPr="008819AF">
                    <w:rPr>
                      <w:b/>
                      <w:sz w:val="16"/>
                      <w:szCs w:val="16"/>
                      <w:lang w:val="sk-SK"/>
                    </w:rPr>
                    <w:t>IIa</w:t>
                  </w:r>
                </w:p>
                <w:p w14:paraId="15134354" w14:textId="77777777" w:rsidR="00257599" w:rsidRPr="008819AF" w:rsidRDefault="00257599" w:rsidP="00EB6E9B">
                  <w:pPr>
                    <w:pStyle w:val="Normln"/>
                    <w:keepNext/>
                    <w:framePr w:hSpace="141" w:wrap="around" w:vAnchor="text" w:hAnchor="text"/>
                    <w:ind w:left="90"/>
                    <w:jc w:val="both"/>
                    <w:rPr>
                      <w:b/>
                      <w:sz w:val="16"/>
                      <w:szCs w:val="16"/>
                      <w:lang w:val="sk-SK"/>
                    </w:rPr>
                  </w:pPr>
                </w:p>
              </w:tc>
              <w:tc>
                <w:tcPr>
                  <w:tcW w:w="1146" w:type="dxa"/>
                  <w:vMerge w:val="restart"/>
                  <w:vAlign w:val="center"/>
                </w:tcPr>
                <w:p w14:paraId="15134355" w14:textId="77777777" w:rsidR="003906A8" w:rsidRPr="008819AF" w:rsidRDefault="00257599" w:rsidP="00EB6E9B">
                  <w:pPr>
                    <w:pStyle w:val="Zkladntext2"/>
                    <w:framePr w:hSpace="141" w:wrap="around" w:vAnchor="text" w:hAnchor="text"/>
                    <w:ind w:left="-79" w:right="-215" w:firstLine="35"/>
                    <w:rPr>
                      <w:rFonts w:ascii="Times New Roman" w:hAnsi="Times New Roman" w:cs="Times New Roman"/>
                      <w:sz w:val="16"/>
                      <w:szCs w:val="16"/>
                    </w:rPr>
                  </w:pPr>
                  <w:r w:rsidRPr="008819AF">
                    <w:rPr>
                      <w:rFonts w:ascii="Times New Roman" w:hAnsi="Times New Roman" w:cs="Times New Roman"/>
                      <w:sz w:val="16"/>
                      <w:szCs w:val="16"/>
                    </w:rPr>
                    <w:t>Použitie organických rozpúšťadiel podľa</w:t>
                  </w:r>
                </w:p>
                <w:p w14:paraId="15134356" w14:textId="77777777" w:rsidR="00257599" w:rsidRPr="008819AF" w:rsidRDefault="00257599" w:rsidP="00EB6E9B">
                  <w:pPr>
                    <w:pStyle w:val="Zkladntext2"/>
                    <w:framePr w:hSpace="141" w:wrap="around" w:vAnchor="text" w:hAnchor="text"/>
                    <w:ind w:left="-79" w:right="-215" w:firstLine="35"/>
                    <w:rPr>
                      <w:rFonts w:ascii="Times New Roman" w:hAnsi="Times New Roman" w:cs="Times New Roman"/>
                      <w:sz w:val="16"/>
                      <w:szCs w:val="16"/>
                    </w:rPr>
                  </w:pPr>
                  <w:r w:rsidRPr="008819AF">
                    <w:rPr>
                      <w:rFonts w:ascii="Times New Roman" w:hAnsi="Times New Roman" w:cs="Times New Roman"/>
                      <w:sz w:val="16"/>
                      <w:szCs w:val="16"/>
                    </w:rPr>
                    <w:t>§ 28 ods. 1</w:t>
                  </w:r>
                </w:p>
              </w:tc>
              <w:tc>
                <w:tcPr>
                  <w:tcW w:w="425" w:type="dxa"/>
                  <w:vAlign w:val="center"/>
                </w:tcPr>
                <w:p w14:paraId="15134357"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Z</w:t>
                  </w:r>
                </w:p>
              </w:tc>
              <w:tc>
                <w:tcPr>
                  <w:tcW w:w="619" w:type="dxa"/>
                  <w:vAlign w:val="center"/>
                </w:tcPr>
                <w:p w14:paraId="15134358" w14:textId="77777777" w:rsidR="00257599" w:rsidRPr="008819AF" w:rsidRDefault="00257599" w:rsidP="00EB6E9B">
                  <w:pPr>
                    <w:pStyle w:val="Zkladntext2"/>
                    <w:framePr w:hSpace="141" w:wrap="around" w:vAnchor="text" w:hAnchor="text"/>
                    <w:rPr>
                      <w:rFonts w:ascii="Times New Roman" w:hAnsi="Times New Roman" w:cs="Times New Roman"/>
                      <w:sz w:val="16"/>
                      <w:szCs w:val="16"/>
                    </w:rPr>
                  </w:pPr>
                  <w:r w:rsidRPr="008819AF">
                    <w:rPr>
                      <w:rFonts w:ascii="Times New Roman" w:hAnsi="Times New Roman" w:cs="Times New Roman"/>
                      <w:sz w:val="16"/>
                      <w:szCs w:val="16"/>
                    </w:rPr>
                    <w:t xml:space="preserve">   ≥ 0,1   </w:t>
                  </w:r>
                </w:p>
              </w:tc>
              <w:tc>
                <w:tcPr>
                  <w:tcW w:w="556" w:type="dxa"/>
                  <w:vAlign w:val="center"/>
                </w:tcPr>
                <w:p w14:paraId="15134359"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sym w:font="Symbol" w:char="F0A3"/>
                  </w:r>
                  <w:r w:rsidRPr="008819AF">
                    <w:rPr>
                      <w:rFonts w:ascii="Times New Roman" w:hAnsi="Times New Roman" w:cs="Times New Roman"/>
                      <w:sz w:val="16"/>
                      <w:szCs w:val="16"/>
                    </w:rPr>
                    <w:t xml:space="preserve"> 1</w:t>
                  </w:r>
                </w:p>
              </w:tc>
              <w:tc>
                <w:tcPr>
                  <w:tcW w:w="1148" w:type="dxa"/>
                  <w:vAlign w:val="center"/>
                </w:tcPr>
                <w:p w14:paraId="1513435A"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20</w:t>
                  </w:r>
                </w:p>
              </w:tc>
              <w:tc>
                <w:tcPr>
                  <w:tcW w:w="1080" w:type="dxa"/>
                  <w:vAlign w:val="center"/>
                </w:tcPr>
                <w:p w14:paraId="1513435B"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15</w:t>
                  </w:r>
                </w:p>
              </w:tc>
            </w:tr>
            <w:tr w:rsidR="00257599" w:rsidRPr="008819AF" w14:paraId="15134364" w14:textId="77777777" w:rsidTr="00FA34E3">
              <w:tc>
                <w:tcPr>
                  <w:tcW w:w="409" w:type="dxa"/>
                  <w:vMerge/>
                  <w:vAlign w:val="center"/>
                </w:tcPr>
                <w:p w14:paraId="1513435D" w14:textId="77777777" w:rsidR="00257599" w:rsidRPr="008819AF" w:rsidRDefault="00257599" w:rsidP="00EB6E9B">
                  <w:pPr>
                    <w:framePr w:hSpace="141" w:wrap="around" w:vAnchor="text" w:hAnchor="text"/>
                    <w:rPr>
                      <w:b/>
                      <w:sz w:val="16"/>
                      <w:szCs w:val="16"/>
                    </w:rPr>
                  </w:pPr>
                </w:p>
              </w:tc>
              <w:tc>
                <w:tcPr>
                  <w:tcW w:w="1146" w:type="dxa"/>
                  <w:vMerge/>
                  <w:vAlign w:val="center"/>
                </w:tcPr>
                <w:p w14:paraId="1513435E" w14:textId="77777777" w:rsidR="00257599" w:rsidRPr="008819AF" w:rsidRDefault="00257599" w:rsidP="00EB6E9B">
                  <w:pPr>
                    <w:framePr w:hSpace="141" w:wrap="around" w:vAnchor="text" w:hAnchor="text"/>
                    <w:rPr>
                      <w:b/>
                      <w:sz w:val="16"/>
                      <w:szCs w:val="16"/>
                    </w:rPr>
                  </w:pPr>
                </w:p>
              </w:tc>
              <w:tc>
                <w:tcPr>
                  <w:tcW w:w="425" w:type="dxa"/>
                  <w:vAlign w:val="center"/>
                </w:tcPr>
                <w:p w14:paraId="1513435F"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Z</w:t>
                  </w:r>
                </w:p>
              </w:tc>
              <w:tc>
                <w:tcPr>
                  <w:tcW w:w="619" w:type="dxa"/>
                  <w:vAlign w:val="center"/>
                </w:tcPr>
                <w:p w14:paraId="15134360"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&gt; 1</w:t>
                  </w:r>
                </w:p>
              </w:tc>
              <w:tc>
                <w:tcPr>
                  <w:tcW w:w="556" w:type="dxa"/>
                  <w:vAlign w:val="center"/>
                </w:tcPr>
                <w:p w14:paraId="15134361"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sym w:font="Symbol" w:char="F0A3"/>
                  </w:r>
                  <w:r w:rsidRPr="008819AF">
                    <w:rPr>
                      <w:rFonts w:ascii="Times New Roman" w:hAnsi="Times New Roman" w:cs="Times New Roman"/>
                      <w:sz w:val="16"/>
                      <w:szCs w:val="16"/>
                    </w:rPr>
                    <w:t xml:space="preserve"> 5</w:t>
                  </w:r>
                </w:p>
              </w:tc>
              <w:tc>
                <w:tcPr>
                  <w:tcW w:w="1148" w:type="dxa"/>
                  <w:vAlign w:val="center"/>
                </w:tcPr>
                <w:p w14:paraId="15134362"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20</w:t>
                  </w:r>
                </w:p>
              </w:tc>
              <w:tc>
                <w:tcPr>
                  <w:tcW w:w="1080" w:type="dxa"/>
                  <w:vAlign w:val="center"/>
                </w:tcPr>
                <w:p w14:paraId="15134363"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15</w:t>
                  </w:r>
                </w:p>
              </w:tc>
            </w:tr>
            <w:tr w:rsidR="00257599" w:rsidRPr="008819AF" w14:paraId="1513436C" w14:textId="77777777" w:rsidTr="00FA34E3">
              <w:tc>
                <w:tcPr>
                  <w:tcW w:w="409" w:type="dxa"/>
                  <w:vMerge/>
                  <w:vAlign w:val="center"/>
                </w:tcPr>
                <w:p w14:paraId="15134365" w14:textId="77777777" w:rsidR="00257599" w:rsidRPr="008819AF" w:rsidRDefault="00257599" w:rsidP="00EB6E9B">
                  <w:pPr>
                    <w:framePr w:hSpace="141" w:wrap="around" w:vAnchor="text" w:hAnchor="text"/>
                    <w:rPr>
                      <w:b/>
                      <w:sz w:val="16"/>
                      <w:szCs w:val="16"/>
                    </w:rPr>
                  </w:pPr>
                </w:p>
              </w:tc>
              <w:tc>
                <w:tcPr>
                  <w:tcW w:w="1146" w:type="dxa"/>
                  <w:vMerge/>
                  <w:vAlign w:val="center"/>
                </w:tcPr>
                <w:p w14:paraId="15134366" w14:textId="77777777" w:rsidR="00257599" w:rsidRPr="008819AF" w:rsidRDefault="00257599" w:rsidP="00EB6E9B">
                  <w:pPr>
                    <w:framePr w:hSpace="141" w:wrap="around" w:vAnchor="text" w:hAnchor="text"/>
                    <w:rPr>
                      <w:b/>
                      <w:sz w:val="16"/>
                      <w:szCs w:val="16"/>
                    </w:rPr>
                  </w:pPr>
                </w:p>
              </w:tc>
              <w:tc>
                <w:tcPr>
                  <w:tcW w:w="425" w:type="dxa"/>
                  <w:vAlign w:val="center"/>
                </w:tcPr>
                <w:p w14:paraId="15134367" w14:textId="77777777" w:rsidR="00257599" w:rsidRPr="008819AF" w:rsidRDefault="00257599" w:rsidP="00EB6E9B">
                  <w:pPr>
                    <w:framePr w:hSpace="141" w:wrap="around" w:vAnchor="text" w:hAnchor="text"/>
                    <w:rPr>
                      <w:sz w:val="16"/>
                      <w:szCs w:val="16"/>
                    </w:rPr>
                  </w:pPr>
                </w:p>
              </w:tc>
              <w:tc>
                <w:tcPr>
                  <w:tcW w:w="619" w:type="dxa"/>
                  <w:vAlign w:val="center"/>
                </w:tcPr>
                <w:p w14:paraId="15134368"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&gt; 5</w:t>
                  </w:r>
                </w:p>
              </w:tc>
              <w:tc>
                <w:tcPr>
                  <w:tcW w:w="556" w:type="dxa"/>
                  <w:vAlign w:val="center"/>
                </w:tcPr>
                <w:p w14:paraId="15134369"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w:t>
                  </w:r>
                </w:p>
              </w:tc>
              <w:tc>
                <w:tcPr>
                  <w:tcW w:w="1148" w:type="dxa"/>
                  <w:vAlign w:val="center"/>
                </w:tcPr>
                <w:p w14:paraId="1513436A"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20</w:t>
                  </w:r>
                </w:p>
              </w:tc>
              <w:tc>
                <w:tcPr>
                  <w:tcW w:w="1080" w:type="dxa"/>
                  <w:vAlign w:val="center"/>
                </w:tcPr>
                <w:p w14:paraId="1513436B"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10</w:t>
                  </w:r>
                </w:p>
              </w:tc>
            </w:tr>
            <w:tr w:rsidR="00257599" w:rsidRPr="008819AF" w14:paraId="15134370" w14:textId="77777777" w:rsidTr="00FA34E3">
              <w:tc>
                <w:tcPr>
                  <w:tcW w:w="3155" w:type="dxa"/>
                  <w:gridSpan w:val="5"/>
                  <w:vAlign w:val="center"/>
                </w:tcPr>
                <w:p w14:paraId="1513436D"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p>
              </w:tc>
              <w:tc>
                <w:tcPr>
                  <w:tcW w:w="1148" w:type="dxa"/>
                  <w:vAlign w:val="center"/>
                </w:tcPr>
                <w:p w14:paraId="1513436E" w14:textId="77777777" w:rsidR="00257599" w:rsidRPr="008819AF" w:rsidRDefault="00257599" w:rsidP="00EB6E9B">
                  <w:pPr>
                    <w:pStyle w:val="Zkladntext2"/>
                    <w:framePr w:hSpace="141" w:wrap="around" w:vAnchor="text" w:hAnchor="text"/>
                    <w:ind w:left="0" w:firstLine="0"/>
                    <w:jc w:val="center"/>
                    <w:rPr>
                      <w:rFonts w:ascii="Times New Roman" w:hAnsi="Times New Roman" w:cs="Times New Roman"/>
                      <w:sz w:val="16"/>
                      <w:szCs w:val="16"/>
                    </w:rPr>
                  </w:pPr>
                  <w:r w:rsidRPr="008819AF">
                    <w:rPr>
                      <w:rFonts w:ascii="Times New Roman" w:hAnsi="Times New Roman" w:cs="Times New Roman"/>
                      <w:b/>
                      <w:sz w:val="16"/>
                      <w:szCs w:val="16"/>
                    </w:rPr>
                    <w:t xml:space="preserve">TOC </w:t>
                  </w:r>
                  <w:r w:rsidRPr="008819AF">
                    <w:rPr>
                      <w:rFonts w:ascii="Times New Roman" w:hAnsi="Times New Roman" w:cs="Times New Roman"/>
                      <w:b/>
                      <w:sz w:val="16"/>
                      <w:szCs w:val="16"/>
                    </w:rPr>
                    <w:sym w:font="Symbol" w:char="F05B"/>
                  </w:r>
                  <w:r w:rsidRPr="008819AF">
                    <w:rPr>
                      <w:rFonts w:ascii="Times New Roman" w:hAnsi="Times New Roman" w:cs="Times New Roman"/>
                      <w:b/>
                      <w:sz w:val="16"/>
                      <w:szCs w:val="16"/>
                    </w:rPr>
                    <w:t>mg/m</w:t>
                  </w:r>
                  <w:r w:rsidRPr="008819AF">
                    <w:rPr>
                      <w:rFonts w:ascii="Times New Roman" w:hAnsi="Times New Roman" w:cs="Times New Roman"/>
                      <w:b/>
                      <w:sz w:val="16"/>
                      <w:szCs w:val="16"/>
                      <w:vertAlign w:val="superscript"/>
                    </w:rPr>
                    <w:t>3</w:t>
                  </w:r>
                  <w:r w:rsidRPr="008819AF">
                    <w:rPr>
                      <w:rFonts w:ascii="Times New Roman" w:hAnsi="Times New Roman" w:cs="Times New Roman"/>
                      <w:b/>
                      <w:sz w:val="16"/>
                      <w:szCs w:val="16"/>
                    </w:rPr>
                    <w:sym w:font="Symbol" w:char="F05D"/>
                  </w:r>
                </w:p>
              </w:tc>
              <w:tc>
                <w:tcPr>
                  <w:tcW w:w="1080" w:type="dxa"/>
                  <w:vAlign w:val="center"/>
                </w:tcPr>
                <w:p w14:paraId="1513436F"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b/>
                      <w:sz w:val="16"/>
                      <w:szCs w:val="16"/>
                    </w:rPr>
                    <w:t xml:space="preserve">VOC </w:t>
                  </w:r>
                  <w:r w:rsidRPr="008819AF">
                    <w:rPr>
                      <w:rFonts w:ascii="Times New Roman" w:hAnsi="Times New Roman" w:cs="Times New Roman"/>
                      <w:b/>
                      <w:sz w:val="16"/>
                      <w:szCs w:val="16"/>
                    </w:rPr>
                    <w:sym w:font="Symbol" w:char="F05B"/>
                  </w:r>
                  <w:r w:rsidRPr="008819AF">
                    <w:rPr>
                      <w:rFonts w:ascii="Times New Roman" w:hAnsi="Times New Roman" w:cs="Times New Roman"/>
                      <w:b/>
                      <w:sz w:val="16"/>
                      <w:szCs w:val="16"/>
                    </w:rPr>
                    <w:t>%</w:t>
                  </w:r>
                  <w:r w:rsidRPr="008819AF">
                    <w:rPr>
                      <w:rFonts w:ascii="Times New Roman" w:hAnsi="Times New Roman" w:cs="Times New Roman"/>
                      <w:b/>
                      <w:sz w:val="16"/>
                      <w:szCs w:val="16"/>
                    </w:rPr>
                    <w:sym w:font="Symbol" w:char="F05D"/>
                  </w:r>
                </w:p>
              </w:tc>
            </w:tr>
            <w:tr w:rsidR="00257599" w:rsidRPr="008819AF" w14:paraId="1513437B" w14:textId="77777777" w:rsidTr="00FA34E3">
              <w:tc>
                <w:tcPr>
                  <w:tcW w:w="409" w:type="dxa"/>
                  <w:vMerge w:val="restart"/>
                  <w:vAlign w:val="center"/>
                </w:tcPr>
                <w:p w14:paraId="15134371" w14:textId="77777777" w:rsidR="00257599" w:rsidRPr="008819AF" w:rsidRDefault="00257599" w:rsidP="00EB6E9B">
                  <w:pPr>
                    <w:pStyle w:val="Zkladntext2"/>
                    <w:framePr w:hSpace="141" w:wrap="around" w:vAnchor="text" w:hAnchor="text"/>
                    <w:rPr>
                      <w:rFonts w:ascii="Times New Roman" w:hAnsi="Times New Roman" w:cs="Times New Roman"/>
                      <w:b/>
                      <w:sz w:val="16"/>
                      <w:szCs w:val="16"/>
                    </w:rPr>
                  </w:pPr>
                  <w:r w:rsidRPr="008819AF">
                    <w:rPr>
                      <w:rFonts w:ascii="Times New Roman" w:hAnsi="Times New Roman" w:cs="Times New Roman"/>
                      <w:b/>
                      <w:sz w:val="16"/>
                      <w:szCs w:val="16"/>
                    </w:rPr>
                    <w:t>II</w:t>
                  </w:r>
                  <w:r w:rsidR="003906A8" w:rsidRPr="008819AF">
                    <w:rPr>
                      <w:rFonts w:ascii="Times New Roman" w:hAnsi="Times New Roman" w:cs="Times New Roman"/>
                      <w:b/>
                      <w:sz w:val="16"/>
                      <w:szCs w:val="16"/>
                    </w:rPr>
                    <w:t>b</w:t>
                  </w:r>
                </w:p>
              </w:tc>
              <w:tc>
                <w:tcPr>
                  <w:tcW w:w="1146" w:type="dxa"/>
                  <w:vMerge w:val="restart"/>
                  <w:vAlign w:val="center"/>
                </w:tcPr>
                <w:p w14:paraId="15134372" w14:textId="77777777" w:rsidR="003906A8" w:rsidRPr="008819AF" w:rsidRDefault="00257599" w:rsidP="00EB6E9B">
                  <w:pPr>
                    <w:pStyle w:val="Zkladntext2"/>
                    <w:framePr w:hSpace="141" w:wrap="around" w:vAnchor="text" w:hAnchor="text"/>
                    <w:ind w:left="-79" w:firstLine="35"/>
                    <w:rPr>
                      <w:rFonts w:ascii="Times New Roman" w:hAnsi="Times New Roman" w:cs="Times New Roman"/>
                      <w:sz w:val="16"/>
                      <w:szCs w:val="16"/>
                    </w:rPr>
                  </w:pPr>
                  <w:r w:rsidRPr="008819AF">
                    <w:rPr>
                      <w:rFonts w:ascii="Times New Roman" w:hAnsi="Times New Roman" w:cs="Times New Roman"/>
                      <w:sz w:val="16"/>
                      <w:szCs w:val="16"/>
                    </w:rPr>
                    <w:t xml:space="preserve">Použitie organických rozpúšťadiel iných ako </w:t>
                  </w:r>
                </w:p>
                <w:p w14:paraId="15134373" w14:textId="77777777" w:rsidR="003906A8" w:rsidRPr="008819AF" w:rsidRDefault="003906A8" w:rsidP="00EB6E9B">
                  <w:pPr>
                    <w:pStyle w:val="Zkladntext2"/>
                    <w:framePr w:hSpace="141" w:wrap="around" w:vAnchor="text" w:hAnchor="text"/>
                    <w:ind w:left="-79" w:right="-215" w:firstLine="35"/>
                    <w:rPr>
                      <w:rFonts w:ascii="Times New Roman" w:hAnsi="Times New Roman" w:cs="Times New Roman"/>
                      <w:sz w:val="16"/>
                      <w:szCs w:val="16"/>
                    </w:rPr>
                  </w:pPr>
                  <w:r w:rsidRPr="008819AF">
                    <w:rPr>
                      <w:rFonts w:ascii="Times New Roman" w:hAnsi="Times New Roman" w:cs="Times New Roman"/>
                      <w:sz w:val="16"/>
                      <w:szCs w:val="16"/>
                    </w:rPr>
                    <w:t>P</w:t>
                  </w:r>
                  <w:r w:rsidR="00257599" w:rsidRPr="008819AF">
                    <w:rPr>
                      <w:rFonts w:ascii="Times New Roman" w:hAnsi="Times New Roman" w:cs="Times New Roman"/>
                      <w:sz w:val="16"/>
                      <w:szCs w:val="16"/>
                    </w:rPr>
                    <w:t>odľa</w:t>
                  </w:r>
                </w:p>
                <w:p w14:paraId="15134374" w14:textId="77777777" w:rsidR="00257599" w:rsidRPr="008819AF" w:rsidRDefault="003906A8" w:rsidP="00EB6E9B">
                  <w:pPr>
                    <w:pStyle w:val="Zkladntext2"/>
                    <w:framePr w:hSpace="141" w:wrap="around" w:vAnchor="text" w:hAnchor="text"/>
                    <w:ind w:left="-79" w:right="-215" w:firstLine="35"/>
                    <w:rPr>
                      <w:rFonts w:ascii="Times New Roman" w:hAnsi="Times New Roman" w:cs="Times New Roman"/>
                      <w:sz w:val="16"/>
                      <w:szCs w:val="16"/>
                    </w:rPr>
                  </w:pPr>
                  <w:r w:rsidRPr="008819AF">
                    <w:rPr>
                      <w:rFonts w:ascii="Times New Roman" w:hAnsi="Times New Roman" w:cs="Times New Roman"/>
                      <w:sz w:val="16"/>
                      <w:szCs w:val="16"/>
                    </w:rPr>
                    <w:t xml:space="preserve"> </w:t>
                  </w:r>
                  <w:r w:rsidR="00257599" w:rsidRPr="008819AF">
                    <w:rPr>
                      <w:rFonts w:ascii="Times New Roman" w:hAnsi="Times New Roman" w:cs="Times New Roman"/>
                      <w:sz w:val="16"/>
                      <w:szCs w:val="16"/>
                    </w:rPr>
                    <w:t>§ 28 ods. 1</w:t>
                  </w:r>
                </w:p>
              </w:tc>
              <w:tc>
                <w:tcPr>
                  <w:tcW w:w="425" w:type="dxa"/>
                  <w:vAlign w:val="center"/>
                </w:tcPr>
                <w:p w14:paraId="15134375"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Z</w:t>
                  </w:r>
                </w:p>
              </w:tc>
              <w:tc>
                <w:tcPr>
                  <w:tcW w:w="619" w:type="dxa"/>
                  <w:vAlign w:val="center"/>
                </w:tcPr>
                <w:p w14:paraId="15134376" w14:textId="77777777" w:rsidR="003906A8"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 xml:space="preserve"> ≥ </w:t>
                  </w:r>
                </w:p>
                <w:p w14:paraId="15134377"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 xml:space="preserve">0,6  </w:t>
                  </w:r>
                </w:p>
              </w:tc>
              <w:tc>
                <w:tcPr>
                  <w:tcW w:w="556" w:type="dxa"/>
                  <w:vAlign w:val="center"/>
                </w:tcPr>
                <w:p w14:paraId="15134378"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sym w:font="Symbol" w:char="F0A3"/>
                  </w:r>
                  <w:r w:rsidRPr="008819AF">
                    <w:rPr>
                      <w:rFonts w:ascii="Times New Roman" w:hAnsi="Times New Roman" w:cs="Times New Roman"/>
                      <w:sz w:val="16"/>
                      <w:szCs w:val="16"/>
                    </w:rPr>
                    <w:t xml:space="preserve"> 2</w:t>
                  </w:r>
                </w:p>
              </w:tc>
              <w:tc>
                <w:tcPr>
                  <w:tcW w:w="1148" w:type="dxa"/>
                  <w:vAlign w:val="center"/>
                </w:tcPr>
                <w:p w14:paraId="15134379"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120</w:t>
                  </w:r>
                  <w:r w:rsidRPr="008819AF">
                    <w:rPr>
                      <w:rFonts w:ascii="Times New Roman" w:hAnsi="Times New Roman" w:cs="Times New Roman"/>
                      <w:sz w:val="16"/>
                      <w:szCs w:val="16"/>
                      <w:vertAlign w:val="superscript"/>
                    </w:rPr>
                    <w:t>1</w:t>
                  </w:r>
                  <w:r w:rsidRPr="008819AF">
                    <w:rPr>
                      <w:rFonts w:ascii="Times New Roman" w:hAnsi="Times New Roman" w:cs="Times New Roman"/>
                      <w:sz w:val="16"/>
                      <w:szCs w:val="16"/>
                    </w:rPr>
                    <w:t>)</w:t>
                  </w:r>
                </w:p>
              </w:tc>
              <w:tc>
                <w:tcPr>
                  <w:tcW w:w="1080" w:type="dxa"/>
                  <w:vAlign w:val="center"/>
                </w:tcPr>
                <w:p w14:paraId="1513437A"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20</w:t>
                  </w:r>
                  <w:r w:rsidRPr="008819AF">
                    <w:rPr>
                      <w:rFonts w:ascii="Times New Roman" w:hAnsi="Times New Roman" w:cs="Times New Roman"/>
                      <w:sz w:val="16"/>
                      <w:szCs w:val="16"/>
                      <w:vertAlign w:val="superscript"/>
                    </w:rPr>
                    <w:t>1</w:t>
                  </w:r>
                  <w:r w:rsidRPr="008819AF">
                    <w:rPr>
                      <w:rFonts w:ascii="Times New Roman" w:hAnsi="Times New Roman" w:cs="Times New Roman"/>
                      <w:sz w:val="16"/>
                      <w:szCs w:val="16"/>
                    </w:rPr>
                    <w:t>)</w:t>
                  </w:r>
                </w:p>
              </w:tc>
            </w:tr>
            <w:tr w:rsidR="00257599" w:rsidRPr="008819AF" w14:paraId="15134383" w14:textId="77777777" w:rsidTr="00FA34E3">
              <w:tc>
                <w:tcPr>
                  <w:tcW w:w="409" w:type="dxa"/>
                  <w:vMerge/>
                  <w:vAlign w:val="center"/>
                </w:tcPr>
                <w:p w14:paraId="1513437C" w14:textId="77777777" w:rsidR="00257599" w:rsidRPr="008819AF" w:rsidRDefault="00257599" w:rsidP="00EB6E9B">
                  <w:pPr>
                    <w:framePr w:hSpace="141" w:wrap="around" w:vAnchor="text" w:hAnchor="text"/>
                    <w:rPr>
                      <w:b/>
                      <w:sz w:val="16"/>
                      <w:szCs w:val="16"/>
                    </w:rPr>
                  </w:pPr>
                </w:p>
              </w:tc>
              <w:tc>
                <w:tcPr>
                  <w:tcW w:w="1146" w:type="dxa"/>
                  <w:vMerge/>
                  <w:vAlign w:val="center"/>
                </w:tcPr>
                <w:p w14:paraId="1513437D" w14:textId="77777777" w:rsidR="00257599" w:rsidRPr="008819AF" w:rsidRDefault="00257599" w:rsidP="00EB6E9B">
                  <w:pPr>
                    <w:framePr w:hSpace="141" w:wrap="around" w:vAnchor="text" w:hAnchor="text"/>
                    <w:rPr>
                      <w:b/>
                      <w:sz w:val="16"/>
                      <w:szCs w:val="16"/>
                    </w:rPr>
                  </w:pPr>
                </w:p>
              </w:tc>
              <w:tc>
                <w:tcPr>
                  <w:tcW w:w="425" w:type="dxa"/>
                  <w:vAlign w:val="center"/>
                </w:tcPr>
                <w:p w14:paraId="1513437E"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Z</w:t>
                  </w:r>
                </w:p>
              </w:tc>
              <w:tc>
                <w:tcPr>
                  <w:tcW w:w="619" w:type="dxa"/>
                  <w:vAlign w:val="center"/>
                </w:tcPr>
                <w:p w14:paraId="1513437F"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&gt; 2</w:t>
                  </w:r>
                </w:p>
              </w:tc>
              <w:tc>
                <w:tcPr>
                  <w:tcW w:w="556" w:type="dxa"/>
                  <w:vAlign w:val="center"/>
                </w:tcPr>
                <w:p w14:paraId="15134380"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sym w:font="Symbol" w:char="F0A3"/>
                  </w:r>
                  <w:r w:rsidRPr="008819AF">
                    <w:rPr>
                      <w:rFonts w:ascii="Times New Roman" w:hAnsi="Times New Roman" w:cs="Times New Roman"/>
                      <w:sz w:val="16"/>
                      <w:szCs w:val="16"/>
                    </w:rPr>
                    <w:t xml:space="preserve"> 10</w:t>
                  </w:r>
                </w:p>
              </w:tc>
              <w:tc>
                <w:tcPr>
                  <w:tcW w:w="1148" w:type="dxa"/>
                  <w:vAlign w:val="center"/>
                </w:tcPr>
                <w:p w14:paraId="15134381"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75</w:t>
                  </w:r>
                  <w:r w:rsidRPr="008819AF">
                    <w:rPr>
                      <w:rFonts w:ascii="Times New Roman" w:hAnsi="Times New Roman" w:cs="Times New Roman"/>
                      <w:sz w:val="16"/>
                      <w:szCs w:val="16"/>
                      <w:vertAlign w:val="superscript"/>
                    </w:rPr>
                    <w:t>1</w:t>
                  </w:r>
                  <w:r w:rsidRPr="008819AF">
                    <w:rPr>
                      <w:rFonts w:ascii="Times New Roman" w:hAnsi="Times New Roman" w:cs="Times New Roman"/>
                      <w:sz w:val="16"/>
                      <w:szCs w:val="16"/>
                    </w:rPr>
                    <w:t>)</w:t>
                  </w:r>
                </w:p>
              </w:tc>
              <w:tc>
                <w:tcPr>
                  <w:tcW w:w="1080" w:type="dxa"/>
                  <w:vAlign w:val="center"/>
                </w:tcPr>
                <w:p w14:paraId="15134382"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20</w:t>
                  </w:r>
                  <w:r w:rsidRPr="008819AF">
                    <w:rPr>
                      <w:rFonts w:ascii="Times New Roman" w:hAnsi="Times New Roman" w:cs="Times New Roman"/>
                      <w:sz w:val="16"/>
                      <w:szCs w:val="16"/>
                      <w:vertAlign w:val="superscript"/>
                    </w:rPr>
                    <w:t>1</w:t>
                  </w:r>
                  <w:r w:rsidRPr="008819AF">
                    <w:rPr>
                      <w:rFonts w:ascii="Times New Roman" w:hAnsi="Times New Roman" w:cs="Times New Roman"/>
                      <w:sz w:val="16"/>
                      <w:szCs w:val="16"/>
                    </w:rPr>
                    <w:t>)</w:t>
                  </w:r>
                </w:p>
              </w:tc>
            </w:tr>
            <w:tr w:rsidR="00257599" w:rsidRPr="008819AF" w14:paraId="1513438B" w14:textId="77777777" w:rsidTr="00FA34E3">
              <w:tc>
                <w:tcPr>
                  <w:tcW w:w="409" w:type="dxa"/>
                  <w:vMerge/>
                  <w:vAlign w:val="center"/>
                </w:tcPr>
                <w:p w14:paraId="15134384" w14:textId="77777777" w:rsidR="00257599" w:rsidRPr="008819AF" w:rsidRDefault="00257599" w:rsidP="00EB6E9B">
                  <w:pPr>
                    <w:framePr w:hSpace="141" w:wrap="around" w:vAnchor="text" w:hAnchor="text"/>
                    <w:rPr>
                      <w:b/>
                      <w:sz w:val="16"/>
                      <w:szCs w:val="16"/>
                    </w:rPr>
                  </w:pPr>
                </w:p>
              </w:tc>
              <w:tc>
                <w:tcPr>
                  <w:tcW w:w="1146" w:type="dxa"/>
                  <w:vMerge/>
                  <w:vAlign w:val="center"/>
                </w:tcPr>
                <w:p w14:paraId="15134385" w14:textId="77777777" w:rsidR="00257599" w:rsidRPr="008819AF" w:rsidRDefault="00257599" w:rsidP="00EB6E9B">
                  <w:pPr>
                    <w:framePr w:hSpace="141" w:wrap="around" w:vAnchor="text" w:hAnchor="text"/>
                    <w:rPr>
                      <w:b/>
                      <w:sz w:val="16"/>
                      <w:szCs w:val="16"/>
                    </w:rPr>
                  </w:pPr>
                </w:p>
              </w:tc>
              <w:tc>
                <w:tcPr>
                  <w:tcW w:w="425" w:type="dxa"/>
                  <w:vAlign w:val="center"/>
                </w:tcPr>
                <w:p w14:paraId="15134386"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p>
              </w:tc>
              <w:tc>
                <w:tcPr>
                  <w:tcW w:w="619" w:type="dxa"/>
                  <w:vAlign w:val="center"/>
                </w:tcPr>
                <w:p w14:paraId="15134387"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&gt; 10</w:t>
                  </w:r>
                </w:p>
              </w:tc>
              <w:tc>
                <w:tcPr>
                  <w:tcW w:w="556" w:type="dxa"/>
                  <w:vAlign w:val="center"/>
                </w:tcPr>
                <w:p w14:paraId="15134388"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w:t>
                  </w:r>
                </w:p>
              </w:tc>
              <w:tc>
                <w:tcPr>
                  <w:tcW w:w="1148" w:type="dxa"/>
                  <w:vAlign w:val="center"/>
                </w:tcPr>
                <w:p w14:paraId="15134389"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75</w:t>
                  </w:r>
                  <w:r w:rsidRPr="008819AF">
                    <w:rPr>
                      <w:rFonts w:ascii="Times New Roman" w:hAnsi="Times New Roman" w:cs="Times New Roman"/>
                      <w:sz w:val="16"/>
                      <w:szCs w:val="16"/>
                      <w:vertAlign w:val="superscript"/>
                    </w:rPr>
                    <w:t>1</w:t>
                  </w:r>
                  <w:r w:rsidRPr="008819AF">
                    <w:rPr>
                      <w:rFonts w:ascii="Times New Roman" w:hAnsi="Times New Roman" w:cs="Times New Roman"/>
                      <w:sz w:val="16"/>
                      <w:szCs w:val="16"/>
                    </w:rPr>
                    <w:t>)</w:t>
                  </w:r>
                </w:p>
              </w:tc>
              <w:tc>
                <w:tcPr>
                  <w:tcW w:w="1080" w:type="dxa"/>
                  <w:vAlign w:val="center"/>
                </w:tcPr>
                <w:p w14:paraId="1513438A" w14:textId="77777777" w:rsidR="00257599" w:rsidRPr="008819AF" w:rsidRDefault="00257599" w:rsidP="00EB6E9B">
                  <w:pPr>
                    <w:pStyle w:val="Zkladntext2"/>
                    <w:framePr w:hSpace="141" w:wrap="around" w:vAnchor="text" w:hAnchor="text"/>
                    <w:jc w:val="center"/>
                    <w:rPr>
                      <w:rFonts w:ascii="Times New Roman" w:hAnsi="Times New Roman" w:cs="Times New Roman"/>
                      <w:sz w:val="16"/>
                      <w:szCs w:val="16"/>
                    </w:rPr>
                  </w:pPr>
                  <w:r w:rsidRPr="008819AF">
                    <w:rPr>
                      <w:rFonts w:ascii="Times New Roman" w:hAnsi="Times New Roman" w:cs="Times New Roman"/>
                      <w:sz w:val="16"/>
                      <w:szCs w:val="16"/>
                    </w:rPr>
                    <w:t>15</w:t>
                  </w:r>
                  <w:r w:rsidRPr="008819AF">
                    <w:rPr>
                      <w:rFonts w:ascii="Times New Roman" w:hAnsi="Times New Roman" w:cs="Times New Roman"/>
                      <w:sz w:val="16"/>
                      <w:szCs w:val="16"/>
                      <w:vertAlign w:val="superscript"/>
                    </w:rPr>
                    <w:t>1</w:t>
                  </w:r>
                  <w:r w:rsidRPr="008819AF">
                    <w:rPr>
                      <w:rFonts w:ascii="Times New Roman" w:hAnsi="Times New Roman" w:cs="Times New Roman"/>
                      <w:sz w:val="16"/>
                      <w:szCs w:val="16"/>
                    </w:rPr>
                    <w:t>)</w:t>
                  </w:r>
                </w:p>
              </w:tc>
            </w:tr>
          </w:tbl>
          <w:p w14:paraId="1513438C" w14:textId="77777777" w:rsidR="003906A8" w:rsidRPr="008819AF" w:rsidRDefault="003906A8" w:rsidP="003906A8">
            <w:pPr>
              <w:pStyle w:val="Zkladntext2"/>
              <w:spacing w:before="60"/>
              <w:ind w:left="284" w:hanging="284"/>
              <w:rPr>
                <w:rFonts w:ascii="Times New Roman" w:hAnsi="Times New Roman" w:cs="Times New Roman"/>
                <w:sz w:val="18"/>
                <w:szCs w:val="18"/>
              </w:rPr>
            </w:pPr>
            <w:r w:rsidRPr="008819AF">
              <w:rPr>
                <w:rFonts w:ascii="Times New Roman" w:hAnsi="Times New Roman" w:cs="Times New Roman"/>
                <w:sz w:val="18"/>
                <w:szCs w:val="18"/>
                <w:vertAlign w:val="superscript"/>
              </w:rPr>
              <w:t>1</w:t>
            </w:r>
            <w:r w:rsidRPr="008819AF">
              <w:rPr>
                <w:rFonts w:ascii="Times New Roman" w:hAnsi="Times New Roman" w:cs="Times New Roman"/>
                <w:sz w:val="18"/>
                <w:szCs w:val="18"/>
              </w:rPr>
              <w:t xml:space="preserve">)  Ak prevádzkovateľ preukáže, že priemerný obsah organických rozpúšťadiel v používaných čistiacich materiáloch nepresiahne 30 % hmotnosti môže  správny orgán povoliť výnimku z uvedených emisných limitov. </w:t>
            </w:r>
          </w:p>
          <w:p w14:paraId="1513438D" w14:textId="77777777" w:rsidR="007170C3" w:rsidRPr="008819AF" w:rsidRDefault="007170C3" w:rsidP="003906A8">
            <w:pPr>
              <w:pStyle w:val="Hlavika"/>
              <w:jc w:val="both"/>
              <w:rPr>
                <w:rFonts w:ascii="Times New Roman" w:hAnsi="Times New Roman" w:cs="Times New Roman"/>
                <w:lang w:bidi="cs-CZ"/>
              </w:rPr>
            </w:pPr>
          </w:p>
        </w:tc>
        <w:tc>
          <w:tcPr>
            <w:tcW w:w="709" w:type="dxa"/>
            <w:tcBorders>
              <w:top w:val="single" w:sz="4" w:space="0" w:color="000000"/>
              <w:left w:val="single" w:sz="6" w:space="0" w:color="000000"/>
              <w:bottom w:val="single" w:sz="4" w:space="0" w:color="000000"/>
              <w:right w:val="single" w:sz="6" w:space="0" w:color="000000"/>
            </w:tcBorders>
          </w:tcPr>
          <w:p w14:paraId="1513438E"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38F" w14:textId="77777777" w:rsidR="007170C3" w:rsidRPr="008819AF" w:rsidRDefault="007170C3">
            <w:pPr>
              <w:ind w:left="215" w:hanging="215"/>
              <w:rPr>
                <w:rFonts w:eastAsia="Arial"/>
              </w:rPr>
            </w:pPr>
          </w:p>
        </w:tc>
      </w:tr>
    </w:tbl>
    <w:p w14:paraId="15134391" w14:textId="77777777" w:rsidR="007170C3" w:rsidRPr="008819AF" w:rsidRDefault="007170C3">
      <w:pPr>
        <w:rPr>
          <w:rFonts w:ascii="Arial" w:eastAsia="Arial" w:hAnsi="Arial" w:cs="Arial"/>
          <w:sz w:val="16"/>
          <w:szCs w:val="16"/>
        </w:rPr>
      </w:pPr>
    </w:p>
    <w:p w14:paraId="15134392" w14:textId="77777777" w:rsidR="00FA34E3" w:rsidRPr="008819AF" w:rsidRDefault="00FA34E3">
      <w:pPr>
        <w:rPr>
          <w:rFonts w:ascii="Arial" w:eastAsia="Arial" w:hAnsi="Arial" w:cs="Arial"/>
          <w:sz w:val="16"/>
          <w:szCs w:val="16"/>
        </w:rPr>
      </w:pPr>
    </w:p>
    <w:p w14:paraId="15134393" w14:textId="77777777" w:rsidR="00FA34E3" w:rsidRPr="008819AF" w:rsidRDefault="00FA34E3">
      <w:pPr>
        <w:rPr>
          <w:rFonts w:ascii="Arial" w:eastAsia="Arial" w:hAnsi="Arial" w:cs="Arial"/>
          <w:sz w:val="16"/>
          <w:szCs w:val="16"/>
        </w:rPr>
      </w:pPr>
    </w:p>
    <w:p w14:paraId="15134394" w14:textId="77777777" w:rsidR="00FA34E3" w:rsidRPr="008819AF" w:rsidRDefault="00FA34E3">
      <w:pPr>
        <w:rPr>
          <w:rFonts w:ascii="Arial" w:eastAsia="Arial" w:hAnsi="Arial" w:cs="Arial"/>
          <w:sz w:val="16"/>
          <w:szCs w:val="16"/>
        </w:rPr>
      </w:pPr>
    </w:p>
    <w:p w14:paraId="15134395" w14:textId="77777777" w:rsidR="00FA34E3" w:rsidRPr="008819AF" w:rsidRDefault="00FA34E3">
      <w:pPr>
        <w:rPr>
          <w:rFonts w:ascii="Arial" w:eastAsia="Arial" w:hAnsi="Arial" w:cs="Arial"/>
          <w:sz w:val="16"/>
          <w:szCs w:val="16"/>
        </w:rPr>
      </w:pPr>
    </w:p>
    <w:p w14:paraId="15134396" w14:textId="77777777" w:rsidR="00FA34E3" w:rsidRPr="008819AF" w:rsidRDefault="00FA34E3">
      <w:pPr>
        <w:rPr>
          <w:rFonts w:ascii="Arial" w:eastAsia="Arial" w:hAnsi="Arial" w:cs="Arial"/>
          <w:sz w:val="16"/>
          <w:szCs w:val="16"/>
        </w:rPr>
      </w:pPr>
    </w:p>
    <w:p w14:paraId="15134397" w14:textId="77777777" w:rsidR="00FA34E3" w:rsidRPr="008819AF" w:rsidRDefault="00FA34E3">
      <w:pPr>
        <w:rPr>
          <w:rFonts w:ascii="Arial" w:eastAsia="Arial" w:hAnsi="Arial" w:cs="Arial"/>
          <w:sz w:val="16"/>
          <w:szCs w:val="16"/>
        </w:rPr>
      </w:pPr>
    </w:p>
    <w:p w14:paraId="15134398" w14:textId="77777777" w:rsidR="00FA34E3" w:rsidRPr="008819AF" w:rsidRDefault="00FA34E3">
      <w:pPr>
        <w:rPr>
          <w:rFonts w:ascii="Arial" w:eastAsia="Arial" w:hAnsi="Arial" w:cs="Arial"/>
          <w:sz w:val="16"/>
          <w:szCs w:val="16"/>
        </w:rPr>
      </w:pPr>
    </w:p>
    <w:p w14:paraId="15134399" w14:textId="77777777" w:rsidR="00FA34E3" w:rsidRPr="008819AF" w:rsidRDefault="00FA34E3">
      <w:pPr>
        <w:rPr>
          <w:rFonts w:ascii="Arial" w:eastAsia="Arial" w:hAnsi="Arial" w:cs="Arial"/>
          <w:sz w:val="16"/>
          <w:szCs w:val="16"/>
        </w:rPr>
      </w:pPr>
    </w:p>
    <w:p w14:paraId="1513439A" w14:textId="77777777" w:rsidR="00FA34E3" w:rsidRPr="008819AF" w:rsidRDefault="00FA34E3">
      <w:pPr>
        <w:rPr>
          <w:rFonts w:ascii="Arial" w:eastAsia="Arial" w:hAnsi="Arial" w:cs="Arial"/>
          <w:sz w:val="16"/>
          <w:szCs w:val="16"/>
        </w:rPr>
      </w:pPr>
    </w:p>
    <w:p w14:paraId="1513439B" w14:textId="77777777" w:rsidR="00FA34E3" w:rsidRPr="008819AF" w:rsidRDefault="00FA34E3">
      <w:pPr>
        <w:rPr>
          <w:rFonts w:ascii="Arial" w:eastAsia="Arial" w:hAnsi="Arial" w:cs="Arial"/>
          <w:sz w:val="16"/>
          <w:szCs w:val="16"/>
        </w:rPr>
      </w:pPr>
    </w:p>
    <w:tbl>
      <w:tblPr>
        <w:tblpPr w:leftFromText="141" w:rightFromText="141" w:vertAnchor="text"/>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5"/>
        <w:gridCol w:w="37"/>
        <w:gridCol w:w="5349"/>
        <w:gridCol w:w="882"/>
        <w:gridCol w:w="678"/>
        <w:gridCol w:w="567"/>
        <w:gridCol w:w="5954"/>
        <w:gridCol w:w="709"/>
        <w:gridCol w:w="607"/>
      </w:tblGrid>
      <w:tr w:rsidR="00F80158" w:rsidRPr="008819AF" w14:paraId="151343D1" w14:textId="77777777" w:rsidTr="008C2883">
        <w:tc>
          <w:tcPr>
            <w:tcW w:w="532" w:type="dxa"/>
            <w:gridSpan w:val="2"/>
            <w:tcBorders>
              <w:top w:val="single" w:sz="4" w:space="0" w:color="000000"/>
              <w:left w:val="single" w:sz="6" w:space="0" w:color="000000"/>
              <w:bottom w:val="single" w:sz="4" w:space="0" w:color="000000"/>
              <w:right w:val="single" w:sz="6" w:space="0" w:color="000000"/>
            </w:tcBorders>
          </w:tcPr>
          <w:p w14:paraId="1513439C" w14:textId="77777777" w:rsidR="007170C3" w:rsidRPr="008819AF" w:rsidRDefault="006F0418">
            <w:pPr>
              <w:pStyle w:val="Default"/>
              <w:widowControl w:val="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6</w:t>
            </w:r>
          </w:p>
        </w:tc>
        <w:tc>
          <w:tcPr>
            <w:tcW w:w="5349" w:type="dxa"/>
            <w:tcBorders>
              <w:top w:val="single" w:sz="4" w:space="0" w:color="000000"/>
              <w:left w:val="single" w:sz="6" w:space="0" w:color="000000"/>
              <w:bottom w:val="single" w:sz="4" w:space="0" w:color="000000"/>
              <w:right w:val="single" w:sz="6" w:space="0" w:color="000000"/>
            </w:tcBorders>
          </w:tcPr>
          <w:p w14:paraId="1513439D" w14:textId="77777777" w:rsidR="007170C3" w:rsidRPr="008819AF" w:rsidRDefault="006F0418">
            <w:pPr>
              <w:pStyle w:val="Default"/>
              <w:widowControl w:val="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Natieranie vozidiel (&lt; 15) a následná povrchová úprava vozidiel</w:t>
            </w:r>
          </w:p>
        </w:tc>
        <w:tc>
          <w:tcPr>
            <w:tcW w:w="882" w:type="dxa"/>
            <w:tcBorders>
              <w:top w:val="single" w:sz="4" w:space="0" w:color="000000"/>
              <w:left w:val="single" w:sz="6" w:space="0" w:color="000000"/>
              <w:bottom w:val="single" w:sz="4" w:space="0" w:color="000000"/>
              <w:right w:val="single" w:sz="6" w:space="0" w:color="000000"/>
            </w:tcBorders>
          </w:tcPr>
          <w:p w14:paraId="1513439E" w14:textId="77777777" w:rsidR="007170C3" w:rsidRPr="008819AF" w:rsidRDefault="00D823B3">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39F"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3A0" w14:textId="77777777" w:rsidR="00D823B3" w:rsidRPr="008819AF" w:rsidRDefault="00D823B3" w:rsidP="00D823B3">
            <w:pPr>
              <w:pStyle w:val="BodyText21"/>
              <w:spacing w:before="0" w:line="240" w:lineRule="auto"/>
              <w:jc w:val="left"/>
              <w:rPr>
                <w:rFonts w:ascii="Times New Roman" w:hAnsi="Times New Roman" w:cs="Times New Roman"/>
              </w:rPr>
            </w:pPr>
            <w:r w:rsidRPr="008819AF">
              <w:rPr>
                <w:rFonts w:ascii="Times New Roman" w:hAnsi="Times New Roman" w:cs="Times New Roman"/>
              </w:rPr>
              <w:t>Príl.6</w:t>
            </w:r>
          </w:p>
          <w:p w14:paraId="151343A1" w14:textId="77777777" w:rsidR="007170C3" w:rsidRPr="008819AF" w:rsidRDefault="00D823B3" w:rsidP="00D823B3">
            <w:r w:rsidRPr="008819AF">
              <w:t xml:space="preserve">Č IV </w:t>
            </w:r>
          </w:p>
        </w:tc>
        <w:tc>
          <w:tcPr>
            <w:tcW w:w="5954" w:type="dxa"/>
            <w:tcBorders>
              <w:top w:val="single" w:sz="4" w:space="0" w:color="000000"/>
              <w:left w:val="single" w:sz="6" w:space="0" w:color="000000"/>
              <w:bottom w:val="single" w:sz="4" w:space="0" w:color="000000"/>
              <w:right w:val="single" w:sz="6" w:space="0" w:color="000000"/>
            </w:tcBorders>
          </w:tcPr>
          <w:p w14:paraId="151343A2" w14:textId="77777777" w:rsidR="00D823B3" w:rsidRPr="008819AF" w:rsidRDefault="00D823B3" w:rsidP="00FA34E3">
            <w:pPr>
              <w:pStyle w:val="Hlavika"/>
              <w:spacing w:after="120"/>
              <w:ind w:left="72" w:hanging="1"/>
              <w:jc w:val="both"/>
              <w:rPr>
                <w:rFonts w:ascii="Times New Roman" w:hAnsi="Times New Roman" w:cs="Times New Roman"/>
              </w:rPr>
            </w:pPr>
            <w:r w:rsidRPr="008819AF">
              <w:rPr>
                <w:rFonts w:ascii="Times New Roman" w:hAnsi="Times New Roman" w:cs="Times New Roman"/>
              </w:rPr>
              <w:t>5.2  Povrchová úprava cestných vozidiel (Vb)</w:t>
            </w:r>
          </w:p>
          <w:p w14:paraId="151343A3" w14:textId="77777777" w:rsidR="00D823B3" w:rsidRPr="008819AF" w:rsidRDefault="00D823B3" w:rsidP="00FA34E3">
            <w:pPr>
              <w:spacing w:after="120"/>
              <w:ind w:left="709" w:hanging="709"/>
              <w:jc w:val="both"/>
            </w:pPr>
            <w:r w:rsidRPr="008819AF">
              <w:t xml:space="preserve">5.2.1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4"/>
              <w:gridCol w:w="1612"/>
              <w:gridCol w:w="588"/>
              <w:gridCol w:w="669"/>
              <w:gridCol w:w="637"/>
              <w:gridCol w:w="718"/>
              <w:gridCol w:w="1186"/>
            </w:tblGrid>
            <w:tr w:rsidR="00FA34E3" w:rsidRPr="008819AF" w14:paraId="151343A6" w14:textId="77777777" w:rsidTr="00FA313C">
              <w:trPr>
                <w:trHeight w:val="340"/>
                <w:jc w:val="center"/>
              </w:trPr>
              <w:tc>
                <w:tcPr>
                  <w:tcW w:w="3263" w:type="dxa"/>
                  <w:gridSpan w:val="4"/>
                  <w:tcBorders>
                    <w:top w:val="single" w:sz="4" w:space="0" w:color="auto"/>
                    <w:bottom w:val="single" w:sz="4" w:space="0" w:color="auto"/>
                    <w:right w:val="single" w:sz="4" w:space="0" w:color="auto"/>
                  </w:tcBorders>
                  <w:vAlign w:val="center"/>
                </w:tcPr>
                <w:p w14:paraId="151343A4" w14:textId="77777777" w:rsidR="00FA34E3" w:rsidRPr="008819AF" w:rsidRDefault="00FA34E3" w:rsidP="00EB6E9B">
                  <w:pPr>
                    <w:pStyle w:val="Normln"/>
                    <w:keepNext/>
                    <w:framePr w:hSpace="141" w:wrap="around" w:vAnchor="text" w:hAnchor="text"/>
                    <w:rPr>
                      <w:b/>
                      <w:sz w:val="18"/>
                      <w:szCs w:val="18"/>
                      <w:lang w:val="sk-SK"/>
                    </w:rPr>
                  </w:pPr>
                  <w:r w:rsidRPr="008819AF">
                    <w:rPr>
                      <w:b/>
                      <w:sz w:val="18"/>
                      <w:szCs w:val="18"/>
                      <w:lang w:val="sk-SK"/>
                    </w:rPr>
                    <w:t>Podmienky platnosti EL</w:t>
                  </w:r>
                </w:p>
              </w:tc>
              <w:tc>
                <w:tcPr>
                  <w:tcW w:w="2541" w:type="dxa"/>
                  <w:gridSpan w:val="3"/>
                  <w:tcBorders>
                    <w:top w:val="single" w:sz="4" w:space="0" w:color="auto"/>
                    <w:left w:val="single" w:sz="4" w:space="0" w:color="auto"/>
                    <w:bottom w:val="single" w:sz="4" w:space="0" w:color="auto"/>
                  </w:tcBorders>
                  <w:vAlign w:val="center"/>
                </w:tcPr>
                <w:p w14:paraId="151343A5" w14:textId="77777777" w:rsidR="00FA34E3" w:rsidRPr="008819AF" w:rsidRDefault="00FA34E3" w:rsidP="00EB6E9B">
                  <w:pPr>
                    <w:pStyle w:val="Zkladntext2"/>
                    <w:framePr w:hSpace="141" w:wrap="around" w:vAnchor="text" w:hAnchor="text"/>
                    <w:rPr>
                      <w:rFonts w:ascii="Times New Roman" w:hAnsi="Times New Roman" w:cs="Times New Roman"/>
                      <w:b/>
                      <w:sz w:val="18"/>
                      <w:szCs w:val="18"/>
                    </w:rPr>
                  </w:pPr>
                  <w:r w:rsidRPr="008819AF">
                    <w:rPr>
                      <w:rFonts w:ascii="Times New Roman" w:hAnsi="Times New Roman" w:cs="Times New Roman"/>
                      <w:sz w:val="18"/>
                      <w:szCs w:val="18"/>
                    </w:rPr>
                    <w:t>Štandardné stavové podmienky, vlhký plyn</w:t>
                  </w:r>
                </w:p>
              </w:tc>
            </w:tr>
            <w:tr w:rsidR="00FA34E3" w:rsidRPr="008819AF" w14:paraId="151343AC" w14:textId="77777777" w:rsidTr="00FA313C">
              <w:trPr>
                <w:cantSplit/>
                <w:trHeight w:val="340"/>
                <w:jc w:val="center"/>
              </w:trPr>
              <w:tc>
                <w:tcPr>
                  <w:tcW w:w="2006" w:type="dxa"/>
                  <w:gridSpan w:val="2"/>
                  <w:vMerge w:val="restart"/>
                  <w:tcBorders>
                    <w:top w:val="nil"/>
                    <w:right w:val="single" w:sz="4" w:space="0" w:color="auto"/>
                  </w:tcBorders>
                  <w:tcMar>
                    <w:top w:w="0" w:type="dxa"/>
                    <w:left w:w="70" w:type="dxa"/>
                    <w:bottom w:w="0" w:type="dxa"/>
                    <w:right w:w="70" w:type="dxa"/>
                  </w:tcMar>
                </w:tcPr>
                <w:p w14:paraId="151343A7" w14:textId="77777777" w:rsidR="00FA34E3" w:rsidRPr="008819AF" w:rsidRDefault="00FA34E3" w:rsidP="00EB6E9B">
                  <w:pPr>
                    <w:pStyle w:val="Zkladntext2"/>
                    <w:framePr w:hSpace="141" w:wrap="around" w:vAnchor="text" w:hAnchor="text"/>
                    <w:rPr>
                      <w:rFonts w:ascii="Times New Roman" w:hAnsi="Times New Roman" w:cs="Times New Roman"/>
                      <w:sz w:val="18"/>
                      <w:szCs w:val="18"/>
                    </w:rPr>
                  </w:pPr>
                </w:p>
                <w:p w14:paraId="151343A8" w14:textId="77777777" w:rsidR="00FA34E3" w:rsidRPr="008819AF" w:rsidRDefault="00FA34E3" w:rsidP="00EB6E9B">
                  <w:pPr>
                    <w:framePr w:hSpace="141" w:wrap="around" w:vAnchor="text" w:hAnchor="text"/>
                    <w:jc w:val="center"/>
                    <w:rPr>
                      <w:sz w:val="18"/>
                      <w:szCs w:val="18"/>
                    </w:rPr>
                  </w:pPr>
                  <w:r w:rsidRPr="008819AF">
                    <w:rPr>
                      <w:sz w:val="18"/>
                      <w:szCs w:val="18"/>
                    </w:rPr>
                    <w:t xml:space="preserve">Činnosť </w:t>
                  </w:r>
                </w:p>
                <w:p w14:paraId="151343A9" w14:textId="77777777" w:rsidR="00FA34E3" w:rsidRPr="008819AF" w:rsidRDefault="00FA34E3" w:rsidP="00EB6E9B">
                  <w:pPr>
                    <w:framePr w:hSpace="141" w:wrap="around" w:vAnchor="text" w:hAnchor="text"/>
                    <w:jc w:val="center"/>
                    <w:rPr>
                      <w:b/>
                      <w:sz w:val="18"/>
                      <w:szCs w:val="18"/>
                    </w:rPr>
                  </w:pPr>
                  <w:r w:rsidRPr="008819AF">
                    <w:rPr>
                      <w:sz w:val="18"/>
                      <w:szCs w:val="18"/>
                    </w:rPr>
                    <w:t>Povrchová úprava vozidiel</w:t>
                  </w:r>
                </w:p>
              </w:tc>
              <w:tc>
                <w:tcPr>
                  <w:tcW w:w="1257"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151343AA" w14:textId="77777777" w:rsidR="00FA34E3" w:rsidRPr="008819AF" w:rsidRDefault="00FA34E3" w:rsidP="00EB6E9B">
                  <w:pPr>
                    <w:pStyle w:val="Zkladntext2"/>
                    <w:framePr w:hSpace="141" w:wrap="around" w:vAnchor="text" w:hAnchor="text"/>
                    <w:ind w:left="0" w:firstLine="0"/>
                    <w:jc w:val="center"/>
                    <w:rPr>
                      <w:rFonts w:ascii="Times New Roman" w:hAnsi="Times New Roman" w:cs="Times New Roman"/>
                      <w:sz w:val="18"/>
                      <w:szCs w:val="18"/>
                    </w:rPr>
                  </w:pPr>
                  <w:r w:rsidRPr="008819AF">
                    <w:rPr>
                      <w:rFonts w:ascii="Times New Roman" w:hAnsi="Times New Roman" w:cs="Times New Roman"/>
                      <w:b/>
                      <w:sz w:val="18"/>
                      <w:szCs w:val="18"/>
                    </w:rPr>
                    <w:t xml:space="preserve">Prahová spotreba rozpúšťadla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t/rok</w:t>
                  </w:r>
                  <w:r w:rsidRPr="008819AF">
                    <w:rPr>
                      <w:rFonts w:ascii="Times New Roman" w:hAnsi="Times New Roman" w:cs="Times New Roman"/>
                      <w:b/>
                      <w:sz w:val="18"/>
                      <w:szCs w:val="18"/>
                    </w:rPr>
                    <w:sym w:font="Symbol" w:char="F05D"/>
                  </w:r>
                </w:p>
              </w:tc>
              <w:tc>
                <w:tcPr>
                  <w:tcW w:w="2541"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3AB" w14:textId="77777777" w:rsidR="00FA34E3" w:rsidRPr="008819AF" w:rsidRDefault="00FA34E3" w:rsidP="00EB6E9B">
                  <w:pPr>
                    <w:pStyle w:val="Zkladntext2"/>
                    <w:framePr w:hSpace="141" w:wrap="around" w:vAnchor="text" w:hAnchor="text"/>
                    <w:jc w:val="center"/>
                    <w:rPr>
                      <w:rFonts w:ascii="Times New Roman" w:hAnsi="Times New Roman" w:cs="Times New Roman"/>
                      <w:b/>
                      <w:sz w:val="18"/>
                      <w:szCs w:val="18"/>
                    </w:rPr>
                  </w:pPr>
                  <w:r w:rsidRPr="008819AF">
                    <w:rPr>
                      <w:rFonts w:ascii="Times New Roman" w:hAnsi="Times New Roman" w:cs="Times New Roman"/>
                      <w:b/>
                      <w:sz w:val="18"/>
                      <w:szCs w:val="18"/>
                    </w:rPr>
                    <w:t>Emisný limit</w:t>
                  </w:r>
                </w:p>
              </w:tc>
            </w:tr>
            <w:tr w:rsidR="00FA34E3" w:rsidRPr="008819AF" w14:paraId="151343B1" w14:textId="77777777" w:rsidTr="00FA313C">
              <w:trPr>
                <w:cantSplit/>
                <w:trHeight w:val="340"/>
                <w:jc w:val="center"/>
              </w:trPr>
              <w:tc>
                <w:tcPr>
                  <w:tcW w:w="2006" w:type="dxa"/>
                  <w:gridSpan w:val="2"/>
                  <w:vMerge/>
                  <w:tcBorders>
                    <w:right w:val="single" w:sz="4" w:space="0" w:color="auto"/>
                  </w:tcBorders>
                  <w:vAlign w:val="center"/>
                </w:tcPr>
                <w:p w14:paraId="151343AD" w14:textId="77777777" w:rsidR="00FA34E3" w:rsidRPr="008819AF" w:rsidRDefault="00FA34E3" w:rsidP="00EB6E9B">
                  <w:pPr>
                    <w:framePr w:hSpace="141" w:wrap="around" w:vAnchor="text" w:hAnchor="text"/>
                    <w:rPr>
                      <w:b/>
                      <w:sz w:val="18"/>
                      <w:szCs w:val="18"/>
                    </w:rPr>
                  </w:pPr>
                </w:p>
              </w:tc>
              <w:tc>
                <w:tcPr>
                  <w:tcW w:w="1257" w:type="dxa"/>
                  <w:gridSpan w:val="2"/>
                  <w:vMerge/>
                  <w:tcBorders>
                    <w:left w:val="single" w:sz="4" w:space="0" w:color="auto"/>
                    <w:bottom w:val="single" w:sz="4" w:space="0" w:color="auto"/>
                    <w:right w:val="single" w:sz="4" w:space="0" w:color="auto"/>
                  </w:tcBorders>
                  <w:vAlign w:val="center"/>
                </w:tcPr>
                <w:p w14:paraId="151343AE" w14:textId="77777777" w:rsidR="00FA34E3" w:rsidRPr="008819AF" w:rsidRDefault="00FA34E3" w:rsidP="00EB6E9B">
                  <w:pPr>
                    <w:framePr w:hSpace="141" w:wrap="around" w:vAnchor="text" w:hAnchor="text"/>
                    <w:rPr>
                      <w:sz w:val="18"/>
                      <w:szCs w:val="18"/>
                    </w:rPr>
                  </w:pPr>
                </w:p>
              </w:tc>
              <w:tc>
                <w:tcPr>
                  <w:tcW w:w="13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AF" w14:textId="77777777" w:rsidR="00FA34E3" w:rsidRPr="008819AF" w:rsidRDefault="00FA34E3" w:rsidP="00EB6E9B">
                  <w:pPr>
                    <w:pStyle w:val="Zkladntext2"/>
                    <w:framePr w:hSpace="141" w:wrap="around" w:vAnchor="text" w:hAnchor="text"/>
                    <w:ind w:left="0" w:firstLine="0"/>
                    <w:jc w:val="center"/>
                    <w:rPr>
                      <w:rFonts w:ascii="Times New Roman" w:hAnsi="Times New Roman" w:cs="Times New Roman"/>
                      <w:b/>
                      <w:sz w:val="18"/>
                      <w:szCs w:val="18"/>
                    </w:rPr>
                  </w:pPr>
                  <w:r w:rsidRPr="008819AF">
                    <w:rPr>
                      <w:rFonts w:ascii="Times New Roman" w:hAnsi="Times New Roman" w:cs="Times New Roman"/>
                      <w:b/>
                      <w:sz w:val="18"/>
                      <w:szCs w:val="18"/>
                    </w:rPr>
                    <w:t>Odpadové plyny</w:t>
                  </w:r>
                </w:p>
              </w:tc>
              <w:tc>
                <w:tcPr>
                  <w:tcW w:w="1186"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3B0" w14:textId="77777777" w:rsidR="00FA34E3" w:rsidRPr="008819AF" w:rsidRDefault="00FA34E3" w:rsidP="00EB6E9B">
                  <w:pPr>
                    <w:pStyle w:val="Zkladntext2"/>
                    <w:framePr w:hSpace="141" w:wrap="around" w:vAnchor="text" w:hAnchor="text"/>
                    <w:ind w:left="0" w:firstLine="0"/>
                    <w:jc w:val="center"/>
                    <w:rPr>
                      <w:rFonts w:ascii="Times New Roman" w:hAnsi="Times New Roman" w:cs="Times New Roman"/>
                      <w:b/>
                      <w:sz w:val="18"/>
                      <w:szCs w:val="18"/>
                    </w:rPr>
                  </w:pPr>
                  <w:r w:rsidRPr="008819AF">
                    <w:rPr>
                      <w:rFonts w:ascii="Times New Roman" w:hAnsi="Times New Roman" w:cs="Times New Roman"/>
                      <w:b/>
                      <w:sz w:val="18"/>
                      <w:szCs w:val="18"/>
                    </w:rPr>
                    <w:t>Fugitívne  emisie</w:t>
                  </w:r>
                </w:p>
              </w:tc>
            </w:tr>
            <w:tr w:rsidR="00FA34E3" w:rsidRPr="008819AF" w14:paraId="151343BB" w14:textId="77777777" w:rsidTr="00FA313C">
              <w:trPr>
                <w:cantSplit/>
                <w:trHeight w:val="340"/>
                <w:jc w:val="center"/>
              </w:trPr>
              <w:tc>
                <w:tcPr>
                  <w:tcW w:w="2006" w:type="dxa"/>
                  <w:gridSpan w:val="2"/>
                  <w:vMerge/>
                  <w:tcBorders>
                    <w:bottom w:val="single" w:sz="4" w:space="0" w:color="auto"/>
                    <w:right w:val="single" w:sz="4" w:space="0" w:color="auto"/>
                  </w:tcBorders>
                  <w:vAlign w:val="center"/>
                </w:tcPr>
                <w:p w14:paraId="151343B2" w14:textId="77777777" w:rsidR="00FA34E3" w:rsidRPr="008819AF" w:rsidRDefault="00FA34E3" w:rsidP="00EB6E9B">
                  <w:pPr>
                    <w:framePr w:hSpace="141" w:wrap="around" w:vAnchor="text" w:hAnchor="text"/>
                    <w:rPr>
                      <w:b/>
                      <w:sz w:val="18"/>
                      <w:szCs w:val="18"/>
                    </w:rPr>
                  </w:pPr>
                </w:p>
              </w:tc>
              <w:tc>
                <w:tcPr>
                  <w:tcW w:w="588" w:type="dxa"/>
                  <w:tcBorders>
                    <w:top w:val="single" w:sz="4" w:space="0" w:color="auto"/>
                    <w:left w:val="single" w:sz="4" w:space="0" w:color="auto"/>
                    <w:bottom w:val="single" w:sz="4" w:space="0" w:color="auto"/>
                    <w:right w:val="single" w:sz="4" w:space="0" w:color="auto"/>
                  </w:tcBorders>
                  <w:vAlign w:val="center"/>
                </w:tcPr>
                <w:p w14:paraId="151343B3" w14:textId="77777777" w:rsidR="00FA34E3" w:rsidRPr="008819AF" w:rsidRDefault="00FA34E3" w:rsidP="00EB6E9B">
                  <w:pPr>
                    <w:framePr w:hSpace="141" w:wrap="around" w:vAnchor="text" w:hAnchor="text"/>
                    <w:jc w:val="center"/>
                    <w:rPr>
                      <w:sz w:val="18"/>
                      <w:szCs w:val="18"/>
                    </w:rPr>
                  </w:pPr>
                  <w:r w:rsidRPr="008819AF">
                    <w:rPr>
                      <w:sz w:val="18"/>
                      <w:szCs w:val="18"/>
                    </w:rPr>
                    <w:t>od</w:t>
                  </w:r>
                </w:p>
              </w:tc>
              <w:tc>
                <w:tcPr>
                  <w:tcW w:w="669" w:type="dxa"/>
                  <w:tcBorders>
                    <w:top w:val="single" w:sz="4" w:space="0" w:color="auto"/>
                    <w:left w:val="single" w:sz="4" w:space="0" w:color="auto"/>
                    <w:bottom w:val="single" w:sz="4" w:space="0" w:color="auto"/>
                    <w:right w:val="single" w:sz="4" w:space="0" w:color="auto"/>
                  </w:tcBorders>
                  <w:vAlign w:val="center"/>
                </w:tcPr>
                <w:p w14:paraId="151343B4" w14:textId="77777777" w:rsidR="00FA34E3" w:rsidRPr="008819AF" w:rsidRDefault="00FA34E3" w:rsidP="00EB6E9B">
                  <w:pPr>
                    <w:framePr w:hSpace="141" w:wrap="around" w:vAnchor="text" w:hAnchor="text"/>
                    <w:jc w:val="center"/>
                    <w:rPr>
                      <w:sz w:val="18"/>
                      <w:szCs w:val="18"/>
                    </w:rPr>
                  </w:pPr>
                  <w:r w:rsidRPr="008819AF">
                    <w:rPr>
                      <w:sz w:val="18"/>
                      <w:szCs w:val="18"/>
                    </w:rPr>
                    <w:t>do</w:t>
                  </w:r>
                </w:p>
              </w:tc>
              <w:tc>
                <w:tcPr>
                  <w:tcW w:w="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1343B5" w14:textId="77777777" w:rsidR="00FA34E3" w:rsidRPr="008819AF" w:rsidRDefault="00FA34E3" w:rsidP="00EB6E9B">
                  <w:pPr>
                    <w:pStyle w:val="Zkladntext2"/>
                    <w:framePr w:hSpace="141" w:wrap="around" w:vAnchor="text" w:hAnchor="text"/>
                    <w:ind w:left="0" w:right="-134" w:firstLine="0"/>
                    <w:jc w:val="center"/>
                    <w:rPr>
                      <w:rFonts w:ascii="Times New Roman" w:hAnsi="Times New Roman" w:cs="Times New Roman"/>
                      <w:sz w:val="18"/>
                      <w:szCs w:val="18"/>
                    </w:rPr>
                  </w:pPr>
                  <w:r w:rsidRPr="008819AF">
                    <w:rPr>
                      <w:rFonts w:ascii="Times New Roman" w:hAnsi="Times New Roman" w:cs="Times New Roman"/>
                      <w:sz w:val="18"/>
                      <w:szCs w:val="18"/>
                    </w:rPr>
                    <w:t>TZL</w:t>
                  </w:r>
                  <w:r w:rsidRPr="008819AF">
                    <w:rPr>
                      <w:rFonts w:ascii="Times New Roman" w:hAnsi="Times New Roman" w:cs="Times New Roman"/>
                      <w:sz w:val="18"/>
                      <w:szCs w:val="18"/>
                      <w:vertAlign w:val="superscript"/>
                    </w:rPr>
                    <w:t>1</w:t>
                  </w:r>
                  <w:r w:rsidRPr="008819AF">
                    <w:rPr>
                      <w:rFonts w:ascii="Times New Roman" w:hAnsi="Times New Roman" w:cs="Times New Roman"/>
                      <w:sz w:val="18"/>
                      <w:szCs w:val="18"/>
                    </w:rPr>
                    <w:t>)</w:t>
                  </w:r>
                </w:p>
                <w:p w14:paraId="151343B6" w14:textId="77777777" w:rsidR="00FA34E3" w:rsidRPr="008819AF" w:rsidRDefault="00FA34E3" w:rsidP="00EB6E9B">
                  <w:pPr>
                    <w:pStyle w:val="Zkladntext2"/>
                    <w:framePr w:hSpace="141" w:wrap="around" w:vAnchor="text" w:hAnchor="text"/>
                    <w:ind w:left="-77" w:right="-134"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5B"/>
                  </w:r>
                  <w:r w:rsidRPr="008819AF">
                    <w:rPr>
                      <w:rFonts w:ascii="Times New Roman" w:hAnsi="Times New Roman" w:cs="Times New Roman"/>
                      <w:sz w:val="18"/>
                      <w:szCs w:val="18"/>
                    </w:rPr>
                    <w:t>mg/m</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sym w:font="Symbol" w:char="F05D"/>
                  </w:r>
                </w:p>
              </w:tc>
              <w:tc>
                <w:tcPr>
                  <w:tcW w:w="7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1343B7" w14:textId="77777777" w:rsidR="00FA34E3" w:rsidRPr="008819AF" w:rsidRDefault="00FA34E3" w:rsidP="00EB6E9B">
                  <w:pPr>
                    <w:pStyle w:val="Zkladntext2"/>
                    <w:framePr w:hSpace="141" w:wrap="around" w:vAnchor="text" w:hAnchor="text"/>
                    <w:ind w:left="0" w:right="-70" w:firstLine="0"/>
                    <w:jc w:val="center"/>
                    <w:rPr>
                      <w:rFonts w:ascii="Times New Roman" w:hAnsi="Times New Roman" w:cs="Times New Roman"/>
                      <w:sz w:val="18"/>
                      <w:szCs w:val="18"/>
                    </w:rPr>
                  </w:pPr>
                  <w:r w:rsidRPr="008819AF">
                    <w:rPr>
                      <w:rFonts w:ascii="Times New Roman" w:hAnsi="Times New Roman" w:cs="Times New Roman"/>
                      <w:sz w:val="18"/>
                      <w:szCs w:val="18"/>
                    </w:rPr>
                    <w:t>TOC</w:t>
                  </w:r>
                </w:p>
                <w:p w14:paraId="151343B8" w14:textId="77777777" w:rsidR="00FA34E3" w:rsidRPr="008819AF" w:rsidRDefault="00FA34E3" w:rsidP="00EB6E9B">
                  <w:pPr>
                    <w:pStyle w:val="Zkladntext2"/>
                    <w:framePr w:hSpace="141" w:wrap="around" w:vAnchor="text" w:hAnchor="text"/>
                    <w:ind w:left="0" w:right="-70"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5B"/>
                  </w:r>
                  <w:r w:rsidRPr="008819AF">
                    <w:rPr>
                      <w:rFonts w:ascii="Times New Roman" w:hAnsi="Times New Roman" w:cs="Times New Roman"/>
                      <w:sz w:val="18"/>
                      <w:szCs w:val="18"/>
                    </w:rPr>
                    <w:t>mg/m</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sym w:font="Symbol" w:char="F05D"/>
                  </w:r>
                </w:p>
              </w:tc>
              <w:tc>
                <w:tcPr>
                  <w:tcW w:w="1186"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3B9" w14:textId="77777777" w:rsidR="00FA34E3" w:rsidRPr="008819AF" w:rsidRDefault="00FA34E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VOC</w:t>
                  </w:r>
                </w:p>
                <w:p w14:paraId="151343BA" w14:textId="77777777" w:rsidR="00FA34E3" w:rsidRPr="008819AF" w:rsidRDefault="00FA34E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sym w:font="Symbol" w:char="F05B"/>
                  </w:r>
                  <w:r w:rsidRPr="008819AF">
                    <w:rPr>
                      <w:rFonts w:ascii="Times New Roman" w:hAnsi="Times New Roman" w:cs="Times New Roman"/>
                      <w:sz w:val="18"/>
                      <w:szCs w:val="18"/>
                    </w:rPr>
                    <w:t>%</w:t>
                  </w:r>
                  <w:r w:rsidRPr="008819AF">
                    <w:rPr>
                      <w:rFonts w:ascii="Times New Roman" w:hAnsi="Times New Roman" w:cs="Times New Roman"/>
                      <w:sz w:val="18"/>
                      <w:szCs w:val="18"/>
                    </w:rPr>
                    <w:sym w:font="Symbol" w:char="F05D"/>
                  </w:r>
                </w:p>
              </w:tc>
            </w:tr>
            <w:tr w:rsidR="00FA34E3" w:rsidRPr="008819AF" w14:paraId="151343C3" w14:textId="77777777" w:rsidTr="00FA313C">
              <w:trPr>
                <w:trHeight w:val="340"/>
                <w:jc w:val="center"/>
              </w:trPr>
              <w:tc>
                <w:tcPr>
                  <w:tcW w:w="394" w:type="dxa"/>
                  <w:vMerge w:val="restart"/>
                  <w:tcBorders>
                    <w:top w:val="single" w:sz="4" w:space="0" w:color="auto"/>
                    <w:right w:val="single" w:sz="4" w:space="0" w:color="auto"/>
                  </w:tcBorders>
                  <w:tcMar>
                    <w:top w:w="0" w:type="dxa"/>
                    <w:left w:w="70" w:type="dxa"/>
                    <w:bottom w:w="0" w:type="dxa"/>
                    <w:right w:w="70" w:type="dxa"/>
                  </w:tcMar>
                  <w:vAlign w:val="center"/>
                </w:tcPr>
                <w:p w14:paraId="151343BC" w14:textId="77777777" w:rsidR="00FA34E3" w:rsidRPr="008819AF" w:rsidRDefault="00FA34E3" w:rsidP="00EB6E9B">
                  <w:pPr>
                    <w:pStyle w:val="Zkladntext2"/>
                    <w:framePr w:hSpace="141" w:wrap="around" w:vAnchor="text" w:hAnchor="text"/>
                    <w:ind w:left="0" w:right="-70" w:firstLine="0"/>
                    <w:jc w:val="center"/>
                    <w:rPr>
                      <w:rFonts w:ascii="Times New Roman" w:hAnsi="Times New Roman" w:cs="Times New Roman"/>
                      <w:b/>
                      <w:sz w:val="18"/>
                      <w:szCs w:val="18"/>
                    </w:rPr>
                  </w:pPr>
                  <w:r w:rsidRPr="008819AF">
                    <w:rPr>
                      <w:rFonts w:ascii="Times New Roman" w:hAnsi="Times New Roman" w:cs="Times New Roman"/>
                      <w:b/>
                      <w:sz w:val="18"/>
                      <w:szCs w:val="18"/>
                    </w:rPr>
                    <w:t>Vb</w:t>
                  </w:r>
                </w:p>
              </w:tc>
              <w:tc>
                <w:tcPr>
                  <w:tcW w:w="1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BD" w14:textId="77777777" w:rsidR="00FA34E3" w:rsidRPr="008819AF" w:rsidRDefault="00FA34E3" w:rsidP="00EB6E9B">
                  <w:pPr>
                    <w:pStyle w:val="Zkladntext2"/>
                    <w:framePr w:hSpace="141" w:wrap="around" w:vAnchor="text" w:hAnchor="text"/>
                    <w:ind w:left="0" w:right="-70"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Priem. výroba automobilov </w:t>
                  </w:r>
                </w:p>
              </w:tc>
              <w:tc>
                <w:tcPr>
                  <w:tcW w:w="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BE" w14:textId="77777777" w:rsidR="00FA34E3" w:rsidRPr="008819AF" w:rsidRDefault="00FA34E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&gt; 0,5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BF" w14:textId="77777777" w:rsidR="00FA34E3" w:rsidRPr="008819AF" w:rsidRDefault="00FA34E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 xml:space="preserve">&lt; 15 </w:t>
                  </w:r>
                </w:p>
              </w:tc>
              <w:tc>
                <w:tcPr>
                  <w:tcW w:w="637"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151343C0" w14:textId="77777777" w:rsidR="00FA34E3" w:rsidRPr="008819AF" w:rsidRDefault="00FA34E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718"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151343C1" w14:textId="77777777" w:rsidR="00FA34E3" w:rsidRPr="008819AF" w:rsidRDefault="00FA34E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50</w:t>
                  </w:r>
                  <w:r w:rsidRPr="008819AF">
                    <w:rPr>
                      <w:rFonts w:ascii="Times New Roman" w:hAnsi="Times New Roman" w:cs="Times New Roman"/>
                      <w:sz w:val="18"/>
                      <w:szCs w:val="18"/>
                      <w:vertAlign w:val="superscript"/>
                    </w:rPr>
                    <w:t>2</w:t>
                  </w:r>
                  <w:r w:rsidRPr="008819AF">
                    <w:rPr>
                      <w:rFonts w:ascii="Times New Roman" w:hAnsi="Times New Roman" w:cs="Times New Roman"/>
                      <w:sz w:val="18"/>
                      <w:szCs w:val="18"/>
                    </w:rPr>
                    <w:t>)</w:t>
                  </w:r>
                </w:p>
              </w:tc>
              <w:tc>
                <w:tcPr>
                  <w:tcW w:w="1186" w:type="dxa"/>
                  <w:vMerge w:val="restart"/>
                  <w:tcBorders>
                    <w:top w:val="single" w:sz="4" w:space="0" w:color="auto"/>
                    <w:left w:val="single" w:sz="4" w:space="0" w:color="auto"/>
                  </w:tcBorders>
                  <w:tcMar>
                    <w:top w:w="0" w:type="dxa"/>
                    <w:left w:w="70" w:type="dxa"/>
                    <w:bottom w:w="0" w:type="dxa"/>
                    <w:right w:w="70" w:type="dxa"/>
                  </w:tcMar>
                  <w:vAlign w:val="center"/>
                </w:tcPr>
                <w:p w14:paraId="151343C2" w14:textId="77777777" w:rsidR="00FA34E3" w:rsidRPr="008819AF" w:rsidRDefault="00FA34E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25</w:t>
                  </w:r>
                </w:p>
              </w:tc>
            </w:tr>
            <w:tr w:rsidR="00FA34E3" w:rsidRPr="008819AF" w14:paraId="151343CB" w14:textId="77777777" w:rsidTr="00FA313C">
              <w:trPr>
                <w:trHeight w:hRule="exact" w:val="703"/>
                <w:jc w:val="center"/>
              </w:trPr>
              <w:tc>
                <w:tcPr>
                  <w:tcW w:w="394" w:type="dxa"/>
                  <w:vMerge/>
                  <w:tcBorders>
                    <w:bottom w:val="single" w:sz="4" w:space="0" w:color="auto"/>
                    <w:right w:val="single" w:sz="4" w:space="0" w:color="auto"/>
                  </w:tcBorders>
                  <w:tcMar>
                    <w:top w:w="0" w:type="dxa"/>
                    <w:left w:w="70" w:type="dxa"/>
                    <w:bottom w:w="0" w:type="dxa"/>
                    <w:right w:w="70" w:type="dxa"/>
                  </w:tcMar>
                  <w:vAlign w:val="center"/>
                </w:tcPr>
                <w:p w14:paraId="151343C4" w14:textId="77777777" w:rsidR="00FA34E3" w:rsidRPr="008819AF" w:rsidRDefault="00FA34E3" w:rsidP="00EB6E9B">
                  <w:pPr>
                    <w:pStyle w:val="Zkladntext2"/>
                    <w:framePr w:hSpace="141" w:wrap="around" w:vAnchor="text" w:hAnchor="text"/>
                    <w:ind w:left="72"/>
                    <w:rPr>
                      <w:rFonts w:ascii="Times New Roman" w:hAnsi="Times New Roman" w:cs="Times New Roman"/>
                      <w:b/>
                      <w:sz w:val="18"/>
                      <w:szCs w:val="18"/>
                    </w:rPr>
                  </w:pPr>
                </w:p>
              </w:tc>
              <w:tc>
                <w:tcPr>
                  <w:tcW w:w="1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C5" w14:textId="77777777" w:rsidR="00FA34E3" w:rsidRPr="008819AF" w:rsidRDefault="00FA34E3" w:rsidP="00EB6E9B">
                  <w:pPr>
                    <w:pStyle w:val="Zkladntext2"/>
                    <w:framePr w:hSpace="141" w:wrap="around" w:vAnchor="text" w:hAnchor="text"/>
                    <w:ind w:left="0" w:right="-70" w:firstLine="0"/>
                    <w:jc w:val="center"/>
                    <w:rPr>
                      <w:rFonts w:ascii="Times New Roman" w:hAnsi="Times New Roman" w:cs="Times New Roman"/>
                      <w:sz w:val="18"/>
                      <w:szCs w:val="18"/>
                    </w:rPr>
                  </w:pPr>
                  <w:r w:rsidRPr="008819AF">
                    <w:rPr>
                      <w:rFonts w:ascii="Times New Roman" w:hAnsi="Times New Roman" w:cs="Times New Roman"/>
                      <w:sz w:val="18"/>
                      <w:szCs w:val="18"/>
                    </w:rPr>
                    <w:t>Povrchová úprava vozidiel podľa bodov 2  a  3</w:t>
                  </w:r>
                </w:p>
              </w:tc>
              <w:tc>
                <w:tcPr>
                  <w:tcW w:w="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C6" w14:textId="77777777" w:rsidR="00FA34E3" w:rsidRPr="008819AF" w:rsidRDefault="00FA34E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&gt; 0,5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C7" w14:textId="77777777" w:rsidR="00FA34E3" w:rsidRPr="008819AF" w:rsidRDefault="00FA34E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637"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151343C8" w14:textId="77777777" w:rsidR="00FA34E3" w:rsidRPr="008819AF" w:rsidRDefault="00FA34E3" w:rsidP="00EB6E9B">
                  <w:pPr>
                    <w:pStyle w:val="Zkladntext2"/>
                    <w:framePr w:hSpace="141" w:wrap="around" w:vAnchor="text" w:hAnchor="text"/>
                    <w:jc w:val="center"/>
                    <w:rPr>
                      <w:rFonts w:ascii="Times New Roman" w:hAnsi="Times New Roman" w:cs="Times New Roman"/>
                      <w:sz w:val="18"/>
                      <w:szCs w:val="18"/>
                    </w:rPr>
                  </w:pPr>
                </w:p>
              </w:tc>
              <w:tc>
                <w:tcPr>
                  <w:tcW w:w="718"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151343C9" w14:textId="77777777" w:rsidR="00FA34E3" w:rsidRPr="008819AF" w:rsidRDefault="00FA34E3" w:rsidP="00EB6E9B">
                  <w:pPr>
                    <w:pStyle w:val="Zkladntext2"/>
                    <w:framePr w:hSpace="141" w:wrap="around" w:vAnchor="text" w:hAnchor="text"/>
                    <w:jc w:val="center"/>
                    <w:rPr>
                      <w:rFonts w:ascii="Times New Roman" w:hAnsi="Times New Roman" w:cs="Times New Roman"/>
                      <w:sz w:val="18"/>
                      <w:szCs w:val="18"/>
                    </w:rPr>
                  </w:pPr>
                </w:p>
              </w:tc>
              <w:tc>
                <w:tcPr>
                  <w:tcW w:w="1186" w:type="dxa"/>
                  <w:vMerge/>
                  <w:tcBorders>
                    <w:left w:val="single" w:sz="4" w:space="0" w:color="auto"/>
                    <w:bottom w:val="single" w:sz="4" w:space="0" w:color="auto"/>
                  </w:tcBorders>
                  <w:tcMar>
                    <w:top w:w="0" w:type="dxa"/>
                    <w:left w:w="70" w:type="dxa"/>
                    <w:bottom w:w="0" w:type="dxa"/>
                    <w:right w:w="70" w:type="dxa"/>
                  </w:tcMar>
                  <w:vAlign w:val="center"/>
                </w:tcPr>
                <w:p w14:paraId="151343CA" w14:textId="77777777" w:rsidR="00FA34E3" w:rsidRPr="008819AF" w:rsidRDefault="00FA34E3" w:rsidP="00EB6E9B">
                  <w:pPr>
                    <w:pStyle w:val="Zkladntext2"/>
                    <w:framePr w:hSpace="141" w:wrap="around" w:vAnchor="text" w:hAnchor="text"/>
                    <w:jc w:val="center"/>
                    <w:rPr>
                      <w:rFonts w:ascii="Times New Roman" w:hAnsi="Times New Roman" w:cs="Times New Roman"/>
                      <w:sz w:val="18"/>
                      <w:szCs w:val="18"/>
                    </w:rPr>
                  </w:pPr>
                </w:p>
              </w:tc>
            </w:tr>
          </w:tbl>
          <w:p w14:paraId="151343CC" w14:textId="77777777" w:rsidR="00FA313C" w:rsidRPr="008819AF" w:rsidRDefault="00FA313C" w:rsidP="00FA313C">
            <w:pPr>
              <w:spacing w:before="60"/>
            </w:pPr>
            <w:r w:rsidRPr="008819AF">
              <w:rPr>
                <w:vertAlign w:val="superscript"/>
              </w:rPr>
              <w:t>1</w:t>
            </w:r>
            <w:r w:rsidRPr="008819AF">
              <w:t>) Emisný limit pre TZL platí iba pre proces striekania.</w:t>
            </w:r>
          </w:p>
          <w:p w14:paraId="151343CD" w14:textId="77777777" w:rsidR="00FA313C" w:rsidRPr="008819AF" w:rsidRDefault="00FA313C" w:rsidP="00FA313C">
            <w:pPr>
              <w:pStyle w:val="Zkladntext2"/>
              <w:spacing w:before="60"/>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2</w:t>
            </w:r>
            <w:r w:rsidRPr="008819AF">
              <w:rPr>
                <w:rFonts w:ascii="Times New Roman" w:hAnsi="Times New Roman" w:cs="Times New Roman"/>
                <w:sz w:val="20"/>
                <w:szCs w:val="20"/>
              </w:rPr>
              <w:t>) Emisný limit platí ako 15-minutová priemerná hodnota.</w:t>
            </w:r>
          </w:p>
          <w:p w14:paraId="151343CE" w14:textId="77777777" w:rsidR="007170C3" w:rsidRPr="008819AF" w:rsidRDefault="006F0418">
            <w:pPr>
              <w:pStyle w:val="Hlavika"/>
              <w:ind w:left="72" w:hanging="1"/>
              <w:jc w:val="both"/>
              <w:rPr>
                <w:rFonts w:ascii="Times New Roman" w:hAnsi="Times New Roman" w:cs="Times New Roman"/>
                <w:lang w:bidi="cs-CZ"/>
              </w:rPr>
            </w:pPr>
            <w:r w:rsidRPr="008819AF">
              <w:rPr>
                <w:rFonts w:ascii="Times New Roman" w:hAnsi="Times New Roman" w:cs="Times New Roman"/>
              </w:rPr>
              <w:t>.</w:t>
            </w:r>
          </w:p>
        </w:tc>
        <w:tc>
          <w:tcPr>
            <w:tcW w:w="709" w:type="dxa"/>
            <w:tcBorders>
              <w:top w:val="single" w:sz="4" w:space="0" w:color="000000"/>
              <w:left w:val="single" w:sz="6" w:space="0" w:color="000000"/>
              <w:bottom w:val="single" w:sz="4" w:space="0" w:color="000000"/>
              <w:right w:val="single" w:sz="6" w:space="0" w:color="000000"/>
            </w:tcBorders>
          </w:tcPr>
          <w:p w14:paraId="151343CF"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3D0" w14:textId="77777777" w:rsidR="007170C3" w:rsidRPr="008819AF" w:rsidRDefault="007170C3">
            <w:pPr>
              <w:ind w:left="215" w:hanging="215"/>
              <w:rPr>
                <w:rFonts w:eastAsia="Arial"/>
              </w:rPr>
            </w:pPr>
          </w:p>
        </w:tc>
      </w:tr>
      <w:tr w:rsidR="00F80158" w:rsidRPr="008819AF" w14:paraId="1513440C" w14:textId="77777777" w:rsidTr="008C2883">
        <w:tc>
          <w:tcPr>
            <w:tcW w:w="495" w:type="dxa"/>
            <w:tcBorders>
              <w:top w:val="single" w:sz="4" w:space="0" w:color="000000"/>
              <w:left w:val="single" w:sz="6" w:space="0" w:color="000000"/>
              <w:bottom w:val="single" w:sz="4" w:space="0" w:color="000000"/>
              <w:right w:val="single" w:sz="6" w:space="0" w:color="000000"/>
            </w:tcBorders>
          </w:tcPr>
          <w:p w14:paraId="151343D2" w14:textId="77777777" w:rsidR="007170C3" w:rsidRPr="008819AF" w:rsidRDefault="006F0418">
            <w:pPr>
              <w:pStyle w:val="Default"/>
              <w:widowControl w:val="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7</w:t>
            </w:r>
          </w:p>
        </w:tc>
        <w:tc>
          <w:tcPr>
            <w:tcW w:w="5386" w:type="dxa"/>
            <w:gridSpan w:val="2"/>
            <w:tcBorders>
              <w:top w:val="single" w:sz="4" w:space="0" w:color="000000"/>
              <w:left w:val="single" w:sz="6" w:space="0" w:color="000000"/>
              <w:bottom w:val="single" w:sz="4" w:space="0" w:color="000000"/>
              <w:right w:val="single" w:sz="6" w:space="0" w:color="000000"/>
            </w:tcBorders>
          </w:tcPr>
          <w:p w14:paraId="151343D3" w14:textId="77777777" w:rsidR="007170C3" w:rsidRPr="008819AF" w:rsidRDefault="006F0418">
            <w:pPr>
              <w:pStyle w:val="Default"/>
              <w:widowControl w:val="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Natieranie zvitkov </w:t>
            </w:r>
          </w:p>
          <w:p w14:paraId="151343D4" w14:textId="77777777" w:rsidR="007170C3" w:rsidRPr="008819AF" w:rsidRDefault="006F0418">
            <w:pPr>
              <w:pStyle w:val="Default"/>
              <w:widowControl w:val="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25)</w:t>
            </w:r>
          </w:p>
        </w:tc>
        <w:tc>
          <w:tcPr>
            <w:tcW w:w="882" w:type="dxa"/>
            <w:tcBorders>
              <w:top w:val="single" w:sz="4" w:space="0" w:color="000000"/>
              <w:left w:val="single" w:sz="6" w:space="0" w:color="000000"/>
              <w:bottom w:val="single" w:sz="4" w:space="0" w:color="000000"/>
              <w:right w:val="single" w:sz="6" w:space="0" w:color="000000"/>
            </w:tcBorders>
          </w:tcPr>
          <w:p w14:paraId="151343D5" w14:textId="77777777" w:rsidR="007170C3" w:rsidRPr="008819AF" w:rsidRDefault="00FA313C">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3D6"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3D7" w14:textId="77777777" w:rsidR="00FA313C" w:rsidRPr="008819AF" w:rsidRDefault="00FA313C" w:rsidP="00FA313C">
            <w:pPr>
              <w:pStyle w:val="BodyText21"/>
              <w:spacing w:before="0" w:line="240" w:lineRule="auto"/>
              <w:jc w:val="left"/>
              <w:rPr>
                <w:rFonts w:ascii="Times New Roman" w:hAnsi="Times New Roman" w:cs="Times New Roman"/>
              </w:rPr>
            </w:pPr>
            <w:r w:rsidRPr="008819AF">
              <w:rPr>
                <w:rFonts w:ascii="Times New Roman" w:hAnsi="Times New Roman" w:cs="Times New Roman"/>
              </w:rPr>
              <w:t>Príl.6</w:t>
            </w:r>
          </w:p>
          <w:p w14:paraId="151343D8" w14:textId="77777777" w:rsidR="007170C3" w:rsidRPr="008819AF" w:rsidRDefault="00FA313C" w:rsidP="00FA313C">
            <w:r w:rsidRPr="008819AF">
              <w:t>Č IV</w:t>
            </w:r>
          </w:p>
        </w:tc>
        <w:tc>
          <w:tcPr>
            <w:tcW w:w="5954" w:type="dxa"/>
            <w:tcBorders>
              <w:top w:val="single" w:sz="4" w:space="0" w:color="000000"/>
              <w:left w:val="single" w:sz="6" w:space="0" w:color="000000"/>
              <w:bottom w:val="single" w:sz="4" w:space="0" w:color="000000"/>
              <w:right w:val="single" w:sz="6" w:space="0" w:color="000000"/>
            </w:tcBorders>
          </w:tcPr>
          <w:p w14:paraId="151343D9" w14:textId="77777777" w:rsidR="00FA313C" w:rsidRPr="008819AF" w:rsidRDefault="00FA313C" w:rsidP="00FA313C">
            <w:pPr>
              <w:pStyle w:val="Hlavika"/>
              <w:ind w:left="72" w:hanging="1"/>
              <w:jc w:val="both"/>
              <w:rPr>
                <w:rFonts w:ascii="Times New Roman" w:hAnsi="Times New Roman" w:cs="Times New Roman"/>
              </w:rPr>
            </w:pPr>
            <w:r w:rsidRPr="008819AF">
              <w:rPr>
                <w:rFonts w:ascii="Times New Roman" w:hAnsi="Times New Roman" w:cs="Times New Roman"/>
                <w:b/>
              </w:rPr>
              <w:t>6. NANÁŠANIE NÁTEROV NA NAVÍJANÉ PÁSY Z KOVOVÝCH MATERIÁLOV (VI)</w:t>
            </w:r>
          </w:p>
          <w:p w14:paraId="151343DA" w14:textId="77777777" w:rsidR="00FA313C" w:rsidRPr="008819AF" w:rsidRDefault="00FA313C" w:rsidP="00FA313C">
            <w:pPr>
              <w:spacing w:after="120"/>
            </w:pPr>
            <w:r w:rsidRPr="008819AF">
              <w:t xml:space="preserve">6.1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2"/>
              <w:gridCol w:w="1065"/>
              <w:gridCol w:w="585"/>
              <w:gridCol w:w="665"/>
              <w:gridCol w:w="603"/>
              <w:gridCol w:w="743"/>
              <w:gridCol w:w="713"/>
              <w:gridCol w:w="1068"/>
            </w:tblGrid>
            <w:tr w:rsidR="00FA313C" w:rsidRPr="008819AF" w14:paraId="151343DD" w14:textId="77777777" w:rsidTr="00620437">
              <w:trPr>
                <w:trHeight w:val="535"/>
                <w:jc w:val="center"/>
              </w:trPr>
              <w:tc>
                <w:tcPr>
                  <w:tcW w:w="4111" w:type="dxa"/>
                  <w:gridSpan w:val="4"/>
                  <w:tcBorders>
                    <w:top w:val="single" w:sz="4" w:space="0" w:color="auto"/>
                    <w:bottom w:val="single" w:sz="4" w:space="0" w:color="auto"/>
                    <w:right w:val="single" w:sz="4" w:space="0" w:color="auto"/>
                  </w:tcBorders>
                  <w:vAlign w:val="center"/>
                </w:tcPr>
                <w:p w14:paraId="151343DB" w14:textId="77777777" w:rsidR="00FA313C" w:rsidRPr="008819AF" w:rsidRDefault="00FA313C" w:rsidP="00EB6E9B">
                  <w:pPr>
                    <w:pStyle w:val="Normln"/>
                    <w:keepNext/>
                    <w:framePr w:hSpace="141" w:wrap="around" w:vAnchor="text" w:hAnchor="text"/>
                    <w:rPr>
                      <w:b/>
                      <w:sz w:val="18"/>
                      <w:szCs w:val="18"/>
                      <w:lang w:val="sk-SK"/>
                    </w:rPr>
                  </w:pPr>
                  <w:r w:rsidRPr="008819AF">
                    <w:rPr>
                      <w:b/>
                      <w:sz w:val="18"/>
                      <w:szCs w:val="18"/>
                      <w:lang w:val="sk-SK"/>
                    </w:rPr>
                    <w:t>Podmienky platnosti EL</w:t>
                  </w:r>
                </w:p>
              </w:tc>
              <w:tc>
                <w:tcPr>
                  <w:tcW w:w="4961" w:type="dxa"/>
                  <w:gridSpan w:val="4"/>
                  <w:tcBorders>
                    <w:top w:val="single" w:sz="4" w:space="0" w:color="auto"/>
                    <w:left w:val="single" w:sz="4" w:space="0" w:color="auto"/>
                    <w:bottom w:val="single" w:sz="4" w:space="0" w:color="auto"/>
                  </w:tcBorders>
                  <w:vAlign w:val="center"/>
                </w:tcPr>
                <w:p w14:paraId="151343DC" w14:textId="77777777" w:rsidR="00FA313C" w:rsidRPr="008819AF" w:rsidRDefault="00FA313C" w:rsidP="00EB6E9B">
                  <w:pPr>
                    <w:pStyle w:val="Zkladntext2"/>
                    <w:framePr w:hSpace="141" w:wrap="around" w:vAnchor="text" w:hAnchor="text"/>
                    <w:rPr>
                      <w:rFonts w:ascii="Times New Roman" w:hAnsi="Times New Roman" w:cs="Times New Roman"/>
                      <w:b/>
                      <w:sz w:val="18"/>
                      <w:szCs w:val="18"/>
                    </w:rPr>
                  </w:pPr>
                  <w:r w:rsidRPr="008819AF">
                    <w:rPr>
                      <w:rFonts w:ascii="Times New Roman" w:hAnsi="Times New Roman" w:cs="Times New Roman"/>
                      <w:sz w:val="18"/>
                      <w:szCs w:val="18"/>
                    </w:rPr>
                    <w:t>Štandardné stavové podmienky, vlhký plyn</w:t>
                  </w:r>
                </w:p>
              </w:tc>
            </w:tr>
            <w:tr w:rsidR="00FA313C" w:rsidRPr="008819AF" w14:paraId="151343E3" w14:textId="77777777" w:rsidTr="00620437">
              <w:trPr>
                <w:cantSplit/>
                <w:trHeight w:val="300"/>
                <w:jc w:val="center"/>
              </w:trPr>
              <w:tc>
                <w:tcPr>
                  <w:tcW w:w="2268" w:type="dxa"/>
                  <w:gridSpan w:val="2"/>
                  <w:vMerge w:val="restart"/>
                  <w:tcBorders>
                    <w:top w:val="nil"/>
                    <w:bottom w:val="single" w:sz="4" w:space="0" w:color="auto"/>
                    <w:right w:val="single" w:sz="4" w:space="0" w:color="auto"/>
                  </w:tcBorders>
                  <w:tcMar>
                    <w:top w:w="0" w:type="dxa"/>
                    <w:left w:w="70" w:type="dxa"/>
                    <w:bottom w:w="0" w:type="dxa"/>
                    <w:right w:w="70" w:type="dxa"/>
                  </w:tcMar>
                  <w:vAlign w:val="center"/>
                </w:tcPr>
                <w:p w14:paraId="151343DE"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  Činnosť</w:t>
                  </w:r>
                </w:p>
              </w:tc>
              <w:tc>
                <w:tcPr>
                  <w:tcW w:w="1843"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151343DF"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b/>
                      <w:sz w:val="18"/>
                      <w:szCs w:val="18"/>
                    </w:rPr>
                  </w:pPr>
                  <w:r w:rsidRPr="008819AF">
                    <w:rPr>
                      <w:rFonts w:ascii="Times New Roman" w:hAnsi="Times New Roman" w:cs="Times New Roman"/>
                      <w:b/>
                      <w:sz w:val="18"/>
                      <w:szCs w:val="18"/>
                    </w:rPr>
                    <w:t>Prahová spotreba rozpúšťadla</w:t>
                  </w:r>
                </w:p>
                <w:p w14:paraId="151343E0"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t/rok</w:t>
                  </w:r>
                  <w:r w:rsidRPr="008819AF">
                    <w:rPr>
                      <w:rFonts w:ascii="Times New Roman" w:hAnsi="Times New Roman" w:cs="Times New Roman"/>
                      <w:b/>
                      <w:sz w:val="18"/>
                      <w:szCs w:val="18"/>
                    </w:rPr>
                    <w:sym w:font="Symbol" w:char="F05D"/>
                  </w:r>
                </w:p>
              </w:tc>
              <w:tc>
                <w:tcPr>
                  <w:tcW w:w="3260"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3E1"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b/>
                      <w:sz w:val="18"/>
                      <w:szCs w:val="18"/>
                    </w:rPr>
                  </w:pPr>
                  <w:r w:rsidRPr="008819AF">
                    <w:rPr>
                      <w:rFonts w:ascii="Times New Roman" w:hAnsi="Times New Roman" w:cs="Times New Roman"/>
                      <w:b/>
                      <w:sz w:val="18"/>
                      <w:szCs w:val="18"/>
                    </w:rPr>
                    <w:t>Emisný limit</w:t>
                  </w:r>
                </w:p>
              </w:tc>
              <w:tc>
                <w:tcPr>
                  <w:tcW w:w="1701" w:type="dxa"/>
                  <w:vMerge w:val="restart"/>
                  <w:tcBorders>
                    <w:top w:val="single" w:sz="4" w:space="0" w:color="auto"/>
                    <w:left w:val="single" w:sz="4" w:space="0" w:color="auto"/>
                  </w:tcBorders>
                  <w:vAlign w:val="center"/>
                </w:tcPr>
                <w:p w14:paraId="151343E2" w14:textId="77777777" w:rsidR="00FA313C" w:rsidRPr="008819AF" w:rsidRDefault="00FA313C" w:rsidP="00EB6E9B">
                  <w:pPr>
                    <w:pStyle w:val="Zkladntext2"/>
                    <w:framePr w:hSpace="141" w:wrap="around" w:vAnchor="text" w:hAnchor="text"/>
                    <w:ind w:left="-48" w:firstLine="19"/>
                    <w:jc w:val="center"/>
                    <w:rPr>
                      <w:rFonts w:ascii="Times New Roman" w:hAnsi="Times New Roman" w:cs="Times New Roman"/>
                      <w:b/>
                      <w:sz w:val="18"/>
                      <w:szCs w:val="18"/>
                    </w:rPr>
                  </w:pPr>
                  <w:r w:rsidRPr="008819AF">
                    <w:rPr>
                      <w:rFonts w:ascii="Times New Roman" w:hAnsi="Times New Roman" w:cs="Times New Roman"/>
                      <w:b/>
                      <w:sz w:val="18"/>
                      <w:szCs w:val="18"/>
                    </w:rPr>
                    <w:t>Emisný faktor pre RP</w:t>
                  </w:r>
                </w:p>
              </w:tc>
            </w:tr>
            <w:tr w:rsidR="00FA313C" w:rsidRPr="008819AF" w14:paraId="151343E9" w14:textId="77777777" w:rsidTr="00620437">
              <w:trPr>
                <w:cantSplit/>
                <w:trHeight w:val="514"/>
                <w:jc w:val="center"/>
              </w:trPr>
              <w:tc>
                <w:tcPr>
                  <w:tcW w:w="2268" w:type="dxa"/>
                  <w:gridSpan w:val="2"/>
                  <w:vMerge/>
                  <w:tcBorders>
                    <w:top w:val="nil"/>
                    <w:bottom w:val="single" w:sz="4" w:space="0" w:color="auto"/>
                    <w:right w:val="single" w:sz="4" w:space="0" w:color="auto"/>
                  </w:tcBorders>
                  <w:vAlign w:val="center"/>
                </w:tcPr>
                <w:p w14:paraId="151343E4" w14:textId="77777777" w:rsidR="00FA313C" w:rsidRPr="008819AF" w:rsidRDefault="00FA313C" w:rsidP="00EB6E9B">
                  <w:pPr>
                    <w:framePr w:hSpace="141" w:wrap="around" w:vAnchor="text" w:hAnchor="text"/>
                    <w:rPr>
                      <w:b/>
                      <w:sz w:val="18"/>
                      <w:szCs w:val="18"/>
                    </w:rPr>
                  </w:pPr>
                </w:p>
              </w:tc>
              <w:tc>
                <w:tcPr>
                  <w:tcW w:w="1843" w:type="dxa"/>
                  <w:gridSpan w:val="2"/>
                  <w:vMerge/>
                  <w:tcBorders>
                    <w:left w:val="single" w:sz="4" w:space="0" w:color="auto"/>
                    <w:bottom w:val="single" w:sz="4" w:space="0" w:color="auto"/>
                    <w:right w:val="single" w:sz="4" w:space="0" w:color="auto"/>
                  </w:tcBorders>
                  <w:vAlign w:val="center"/>
                </w:tcPr>
                <w:p w14:paraId="151343E5" w14:textId="77777777" w:rsidR="00FA313C" w:rsidRPr="008819AF" w:rsidRDefault="00FA313C" w:rsidP="00EB6E9B">
                  <w:pPr>
                    <w:framePr w:hSpace="141" w:wrap="around" w:vAnchor="text" w:hAnchor="text"/>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E6"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b/>
                      <w:sz w:val="18"/>
                      <w:szCs w:val="18"/>
                    </w:rPr>
                  </w:pPr>
                  <w:r w:rsidRPr="008819AF">
                    <w:rPr>
                      <w:rFonts w:ascii="Times New Roman" w:hAnsi="Times New Roman" w:cs="Times New Roman"/>
                      <w:b/>
                      <w:sz w:val="18"/>
                      <w:szCs w:val="18"/>
                    </w:rPr>
                    <w:t>Odpadové plyny</w:t>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3E7"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b/>
                      <w:sz w:val="18"/>
                      <w:szCs w:val="18"/>
                    </w:rPr>
                  </w:pPr>
                  <w:r w:rsidRPr="008819AF">
                    <w:rPr>
                      <w:rFonts w:ascii="Times New Roman" w:hAnsi="Times New Roman" w:cs="Times New Roman"/>
                      <w:b/>
                      <w:sz w:val="18"/>
                      <w:szCs w:val="18"/>
                    </w:rPr>
                    <w:t>Fugitívne  emisie</w:t>
                  </w:r>
                </w:p>
              </w:tc>
              <w:tc>
                <w:tcPr>
                  <w:tcW w:w="1701" w:type="dxa"/>
                  <w:vMerge/>
                  <w:tcBorders>
                    <w:left w:val="single" w:sz="4" w:space="0" w:color="auto"/>
                    <w:bottom w:val="single" w:sz="4" w:space="0" w:color="auto"/>
                  </w:tcBorders>
                  <w:vAlign w:val="center"/>
                </w:tcPr>
                <w:p w14:paraId="151343E8" w14:textId="77777777" w:rsidR="00FA313C" w:rsidRPr="008819AF" w:rsidRDefault="00FA313C" w:rsidP="00EB6E9B">
                  <w:pPr>
                    <w:pStyle w:val="Zkladntext2"/>
                    <w:framePr w:hSpace="141" w:wrap="around" w:vAnchor="text" w:hAnchor="text"/>
                    <w:ind w:left="-48"/>
                    <w:jc w:val="center"/>
                    <w:rPr>
                      <w:rFonts w:ascii="Times New Roman" w:hAnsi="Times New Roman" w:cs="Times New Roman"/>
                      <w:b/>
                      <w:sz w:val="18"/>
                      <w:szCs w:val="18"/>
                    </w:rPr>
                  </w:pPr>
                </w:p>
              </w:tc>
            </w:tr>
            <w:tr w:rsidR="00FA313C" w:rsidRPr="008819AF" w14:paraId="151343F4" w14:textId="77777777" w:rsidTr="00620437">
              <w:trPr>
                <w:cantSplit/>
                <w:jc w:val="center"/>
              </w:trPr>
              <w:tc>
                <w:tcPr>
                  <w:tcW w:w="2268" w:type="dxa"/>
                  <w:gridSpan w:val="2"/>
                  <w:vMerge/>
                  <w:tcBorders>
                    <w:top w:val="nil"/>
                    <w:bottom w:val="single" w:sz="4" w:space="0" w:color="auto"/>
                    <w:right w:val="single" w:sz="4" w:space="0" w:color="auto"/>
                  </w:tcBorders>
                  <w:vAlign w:val="center"/>
                </w:tcPr>
                <w:p w14:paraId="151343EA" w14:textId="77777777" w:rsidR="00FA313C" w:rsidRPr="008819AF" w:rsidRDefault="00FA313C" w:rsidP="00EB6E9B">
                  <w:pPr>
                    <w:framePr w:hSpace="141" w:wrap="around" w:vAnchor="text" w:hAnchor="text"/>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1343EB" w14:textId="77777777" w:rsidR="00FA313C" w:rsidRPr="008819AF" w:rsidRDefault="00FA313C" w:rsidP="00EB6E9B">
                  <w:pPr>
                    <w:framePr w:hSpace="141" w:wrap="around" w:vAnchor="text" w:hAnchor="text"/>
                    <w:jc w:val="center"/>
                    <w:rPr>
                      <w:sz w:val="18"/>
                      <w:szCs w:val="18"/>
                    </w:rPr>
                  </w:pPr>
                  <w:r w:rsidRPr="008819AF">
                    <w:rPr>
                      <w:sz w:val="18"/>
                      <w:szCs w:val="18"/>
                    </w:rPr>
                    <w:t>od</w:t>
                  </w:r>
                </w:p>
              </w:tc>
              <w:tc>
                <w:tcPr>
                  <w:tcW w:w="992" w:type="dxa"/>
                  <w:tcBorders>
                    <w:top w:val="single" w:sz="4" w:space="0" w:color="auto"/>
                    <w:left w:val="single" w:sz="4" w:space="0" w:color="auto"/>
                    <w:bottom w:val="single" w:sz="4" w:space="0" w:color="auto"/>
                    <w:right w:val="single" w:sz="4" w:space="0" w:color="auto"/>
                  </w:tcBorders>
                  <w:vAlign w:val="center"/>
                </w:tcPr>
                <w:p w14:paraId="151343EC" w14:textId="77777777" w:rsidR="00FA313C" w:rsidRPr="008819AF" w:rsidRDefault="00FA313C" w:rsidP="00EB6E9B">
                  <w:pPr>
                    <w:framePr w:hSpace="141" w:wrap="around" w:vAnchor="text" w:hAnchor="text"/>
                    <w:jc w:val="center"/>
                    <w:rPr>
                      <w:sz w:val="18"/>
                      <w:szCs w:val="18"/>
                    </w:rPr>
                  </w:pPr>
                  <w:r w:rsidRPr="008819AF">
                    <w:rPr>
                      <w:sz w:val="18"/>
                      <w:szCs w:val="18"/>
                    </w:rPr>
                    <w:t>do</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ED"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sz w:val="18"/>
                      <w:szCs w:val="18"/>
                    </w:rPr>
                  </w:pPr>
                  <w:r w:rsidRPr="008819AF">
                    <w:rPr>
                      <w:rFonts w:ascii="Times New Roman" w:hAnsi="Times New Roman" w:cs="Times New Roman"/>
                      <w:sz w:val="18"/>
                      <w:szCs w:val="18"/>
                    </w:rPr>
                    <w:t>TZL</w:t>
                  </w:r>
                  <w:r w:rsidRPr="008819AF">
                    <w:rPr>
                      <w:rFonts w:ascii="Times New Roman" w:hAnsi="Times New Roman" w:cs="Times New Roman"/>
                      <w:sz w:val="18"/>
                      <w:szCs w:val="18"/>
                      <w:vertAlign w:val="superscript"/>
                    </w:rPr>
                    <w:t>1</w:t>
                  </w:r>
                  <w:r w:rsidRPr="008819AF">
                    <w:rPr>
                      <w:rFonts w:ascii="Times New Roman" w:hAnsi="Times New Roman" w:cs="Times New Roman"/>
                      <w:sz w:val="18"/>
                      <w:szCs w:val="18"/>
                    </w:rPr>
                    <w:t>)</w:t>
                  </w:r>
                </w:p>
                <w:p w14:paraId="151343EE"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5B"/>
                  </w:r>
                  <w:r w:rsidRPr="008819AF">
                    <w:rPr>
                      <w:rFonts w:ascii="Times New Roman" w:hAnsi="Times New Roman" w:cs="Times New Roman"/>
                      <w:sz w:val="18"/>
                      <w:szCs w:val="18"/>
                    </w:rPr>
                    <w:t>mg/m3</w:t>
                  </w:r>
                  <w:r w:rsidRPr="008819AF">
                    <w:rPr>
                      <w:rFonts w:ascii="Times New Roman" w:hAnsi="Times New Roman" w:cs="Times New Roman"/>
                      <w:sz w:val="18"/>
                      <w:szCs w:val="18"/>
                    </w:rPr>
                    <w:sym w:font="Symbol" w:char="F05D"/>
                  </w:r>
                </w:p>
              </w:tc>
              <w:tc>
                <w:tcPr>
                  <w:tcW w:w="1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EF"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TOC </w:t>
                  </w:r>
                  <w:r w:rsidRPr="008819AF">
                    <w:rPr>
                      <w:rFonts w:ascii="Times New Roman" w:hAnsi="Times New Roman" w:cs="Times New Roman"/>
                      <w:sz w:val="18"/>
                      <w:szCs w:val="18"/>
                    </w:rPr>
                    <w:sym w:font="Symbol" w:char="F05B"/>
                  </w:r>
                  <w:r w:rsidRPr="008819AF">
                    <w:rPr>
                      <w:rFonts w:ascii="Times New Roman" w:hAnsi="Times New Roman" w:cs="Times New Roman"/>
                      <w:sz w:val="18"/>
                      <w:szCs w:val="18"/>
                    </w:rPr>
                    <w:t>mg/m</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sym w:font="Symbol" w:char="F05D"/>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3F0"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VOC </w:t>
                  </w:r>
                </w:p>
                <w:p w14:paraId="151343F1"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5B"/>
                  </w:r>
                  <w:r w:rsidRPr="008819AF">
                    <w:rPr>
                      <w:rFonts w:ascii="Times New Roman" w:hAnsi="Times New Roman" w:cs="Times New Roman"/>
                      <w:sz w:val="18"/>
                      <w:szCs w:val="18"/>
                    </w:rPr>
                    <w:t>%</w:t>
                  </w:r>
                  <w:r w:rsidRPr="008819AF">
                    <w:rPr>
                      <w:rFonts w:ascii="Times New Roman" w:hAnsi="Times New Roman" w:cs="Times New Roman"/>
                      <w:sz w:val="18"/>
                      <w:szCs w:val="18"/>
                    </w:rPr>
                    <w:sym w:font="Symbol" w:char="F05D"/>
                  </w:r>
                </w:p>
              </w:tc>
              <w:tc>
                <w:tcPr>
                  <w:tcW w:w="1701" w:type="dxa"/>
                  <w:tcBorders>
                    <w:top w:val="single" w:sz="4" w:space="0" w:color="auto"/>
                    <w:left w:val="single" w:sz="4" w:space="0" w:color="auto"/>
                    <w:bottom w:val="single" w:sz="4" w:space="0" w:color="auto"/>
                  </w:tcBorders>
                  <w:vAlign w:val="center"/>
                </w:tcPr>
                <w:p w14:paraId="151343F2"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sz w:val="18"/>
                      <w:szCs w:val="18"/>
                    </w:rPr>
                  </w:pPr>
                  <w:r w:rsidRPr="008819AF">
                    <w:rPr>
                      <w:rFonts w:ascii="Times New Roman" w:hAnsi="Times New Roman" w:cs="Times New Roman"/>
                      <w:sz w:val="18"/>
                      <w:szCs w:val="18"/>
                    </w:rPr>
                    <w:t>VOC</w:t>
                  </w:r>
                </w:p>
                <w:p w14:paraId="151343F3"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5B"/>
                  </w:r>
                  <w:r w:rsidRPr="008819AF">
                    <w:rPr>
                      <w:rFonts w:ascii="Times New Roman" w:hAnsi="Times New Roman" w:cs="Times New Roman"/>
                      <w:sz w:val="18"/>
                      <w:szCs w:val="18"/>
                    </w:rPr>
                    <w:t>kg/kg sušiny</w:t>
                  </w:r>
                  <w:r w:rsidRPr="008819AF">
                    <w:rPr>
                      <w:rFonts w:ascii="Times New Roman" w:hAnsi="Times New Roman" w:cs="Times New Roman"/>
                      <w:sz w:val="18"/>
                      <w:szCs w:val="18"/>
                    </w:rPr>
                    <w:sym w:font="Symbol" w:char="F05D"/>
                  </w:r>
                </w:p>
              </w:tc>
            </w:tr>
            <w:tr w:rsidR="00FA313C" w:rsidRPr="008819AF" w14:paraId="151343FD" w14:textId="77777777" w:rsidTr="00620437">
              <w:trPr>
                <w:cantSplit/>
                <w:trHeight w:val="575"/>
                <w:jc w:val="center"/>
              </w:trPr>
              <w:tc>
                <w:tcPr>
                  <w:tcW w:w="515" w:type="dxa"/>
                  <w:vMerge w:val="restart"/>
                  <w:tcBorders>
                    <w:top w:val="single" w:sz="4" w:space="0" w:color="auto"/>
                    <w:right w:val="single" w:sz="4" w:space="0" w:color="auto"/>
                  </w:tcBorders>
                  <w:tcMar>
                    <w:top w:w="0" w:type="dxa"/>
                    <w:left w:w="70" w:type="dxa"/>
                    <w:bottom w:w="0" w:type="dxa"/>
                    <w:right w:w="70" w:type="dxa"/>
                  </w:tcMar>
                  <w:vAlign w:val="center"/>
                </w:tcPr>
                <w:p w14:paraId="151343F5"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sz w:val="18"/>
                      <w:szCs w:val="18"/>
                    </w:rPr>
                  </w:pPr>
                  <w:r w:rsidRPr="008819AF">
                    <w:rPr>
                      <w:rFonts w:ascii="Times New Roman" w:hAnsi="Times New Roman" w:cs="Times New Roman"/>
                      <w:b/>
                      <w:sz w:val="18"/>
                      <w:szCs w:val="18"/>
                    </w:rPr>
                    <w:t>VI</w:t>
                  </w:r>
                </w:p>
              </w:tc>
              <w:tc>
                <w:tcPr>
                  <w:tcW w:w="1753" w:type="dxa"/>
                  <w:vMerge w:val="restart"/>
                  <w:tcBorders>
                    <w:top w:val="single" w:sz="4" w:space="0" w:color="auto"/>
                    <w:right w:val="single" w:sz="4" w:space="0" w:color="auto"/>
                  </w:tcBorders>
                  <w:tcMar>
                    <w:top w:w="0" w:type="dxa"/>
                    <w:left w:w="70" w:type="dxa"/>
                    <w:bottom w:w="0" w:type="dxa"/>
                    <w:right w:w="70" w:type="dxa"/>
                  </w:tcMar>
                  <w:vAlign w:val="center"/>
                </w:tcPr>
                <w:p w14:paraId="151343F6" w14:textId="77777777" w:rsidR="00FA313C" w:rsidRPr="008819AF" w:rsidRDefault="00FA313C" w:rsidP="00EB6E9B">
                  <w:pPr>
                    <w:pStyle w:val="Zkladntext2"/>
                    <w:framePr w:hSpace="141" w:wrap="around" w:vAnchor="text" w:hAnchor="text"/>
                    <w:ind w:left="0" w:firstLine="0"/>
                    <w:jc w:val="center"/>
                    <w:rPr>
                      <w:rFonts w:ascii="Times New Roman" w:hAnsi="Times New Roman" w:cs="Times New Roman"/>
                      <w:sz w:val="18"/>
                      <w:szCs w:val="18"/>
                    </w:rPr>
                  </w:pPr>
                  <w:r w:rsidRPr="008819AF">
                    <w:rPr>
                      <w:rFonts w:ascii="Times New Roman" w:hAnsi="Times New Roman" w:cs="Times New Roman"/>
                      <w:sz w:val="18"/>
                      <w:szCs w:val="18"/>
                    </w:rPr>
                    <w:t>Kontinuálne natieranie pásov  z kovových materiálov</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F7" w14:textId="77777777" w:rsidR="00FA313C" w:rsidRPr="008819AF" w:rsidRDefault="00FA313C" w:rsidP="00EB6E9B">
                  <w:pPr>
                    <w:keepNext/>
                    <w:framePr w:hSpace="141" w:wrap="around" w:vAnchor="text" w:hAnchor="text"/>
                    <w:jc w:val="center"/>
                    <w:rPr>
                      <w:b/>
                      <w:sz w:val="18"/>
                      <w:szCs w:val="18"/>
                    </w:rPr>
                  </w:pPr>
                  <w:r w:rsidRPr="008819AF">
                    <w:rPr>
                      <w:sz w:val="18"/>
                      <w:szCs w:val="18"/>
                    </w:rPr>
                    <w:t xml:space="preserve">&gt; 0,6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F8" w14:textId="77777777" w:rsidR="00FA313C" w:rsidRPr="008819AF" w:rsidRDefault="00FA313C" w:rsidP="00EB6E9B">
                  <w:pPr>
                    <w:keepNext/>
                    <w:framePr w:hSpace="141" w:wrap="around" w:vAnchor="text" w:hAnchor="text"/>
                    <w:jc w:val="center"/>
                    <w:rPr>
                      <w:sz w:val="18"/>
                      <w:szCs w:val="18"/>
                    </w:rPr>
                  </w:pPr>
                  <w:r w:rsidRPr="008819AF">
                    <w:rPr>
                      <w:sz w:val="18"/>
                      <w:szCs w:val="18"/>
                    </w:rPr>
                    <w:t>≤ 25</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F9" w14:textId="77777777" w:rsidR="00FA313C" w:rsidRPr="008819AF" w:rsidRDefault="00FA313C" w:rsidP="00EB6E9B">
                  <w:pPr>
                    <w:keepNext/>
                    <w:framePr w:hSpace="141" w:wrap="around" w:vAnchor="text" w:hAnchor="text"/>
                    <w:jc w:val="center"/>
                    <w:rPr>
                      <w:sz w:val="18"/>
                      <w:szCs w:val="18"/>
                    </w:rPr>
                  </w:pPr>
                  <w:r w:rsidRPr="008819AF">
                    <w:rPr>
                      <w:sz w:val="18"/>
                      <w:szCs w:val="18"/>
                    </w:rPr>
                    <w:t>3</w:t>
                  </w:r>
                </w:p>
              </w:tc>
              <w:tc>
                <w:tcPr>
                  <w:tcW w:w="1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3FA" w14:textId="77777777" w:rsidR="00FA313C" w:rsidRPr="008819AF" w:rsidRDefault="00FA313C" w:rsidP="00EB6E9B">
                  <w:pPr>
                    <w:keepNext/>
                    <w:framePr w:hSpace="141" w:wrap="around" w:vAnchor="text" w:hAnchor="text"/>
                    <w:jc w:val="center"/>
                    <w:rPr>
                      <w:sz w:val="18"/>
                      <w:szCs w:val="18"/>
                    </w:rPr>
                  </w:pPr>
                  <w:r w:rsidRPr="008819AF">
                    <w:rPr>
                      <w:sz w:val="18"/>
                      <w:szCs w:val="18"/>
                    </w:rPr>
                    <w:t>50, 150</w:t>
                  </w:r>
                  <w:r w:rsidRPr="008819AF">
                    <w:rPr>
                      <w:sz w:val="18"/>
                      <w:szCs w:val="18"/>
                      <w:vertAlign w:val="superscript"/>
                    </w:rPr>
                    <w:t>2</w:t>
                  </w:r>
                  <w:r w:rsidRPr="008819AF">
                    <w:rPr>
                      <w:sz w:val="18"/>
                      <w:szCs w:val="18"/>
                    </w:rPr>
                    <w:t>)</w:t>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3FB" w14:textId="77777777" w:rsidR="00FA313C" w:rsidRPr="008819AF" w:rsidRDefault="00FA313C" w:rsidP="00EB6E9B">
                  <w:pPr>
                    <w:keepNext/>
                    <w:framePr w:hSpace="141" w:wrap="around" w:vAnchor="text" w:hAnchor="text"/>
                    <w:jc w:val="center"/>
                    <w:rPr>
                      <w:sz w:val="18"/>
                      <w:szCs w:val="18"/>
                    </w:rPr>
                  </w:pPr>
                  <w:r w:rsidRPr="008819AF">
                    <w:rPr>
                      <w:sz w:val="18"/>
                      <w:szCs w:val="18"/>
                    </w:rPr>
                    <w:t>10</w:t>
                  </w:r>
                </w:p>
              </w:tc>
              <w:tc>
                <w:tcPr>
                  <w:tcW w:w="1701" w:type="dxa"/>
                  <w:tcBorders>
                    <w:top w:val="single" w:sz="4" w:space="0" w:color="auto"/>
                    <w:left w:val="single" w:sz="4" w:space="0" w:color="auto"/>
                    <w:bottom w:val="single" w:sz="4" w:space="0" w:color="auto"/>
                  </w:tcBorders>
                  <w:vAlign w:val="center"/>
                </w:tcPr>
                <w:p w14:paraId="151343FC" w14:textId="77777777" w:rsidR="00FA313C" w:rsidRPr="008819AF" w:rsidRDefault="00FA313C" w:rsidP="00EB6E9B">
                  <w:pPr>
                    <w:keepNext/>
                    <w:framePr w:hSpace="141" w:wrap="around" w:vAnchor="text" w:hAnchor="text"/>
                    <w:jc w:val="center"/>
                    <w:rPr>
                      <w:sz w:val="18"/>
                      <w:szCs w:val="18"/>
                    </w:rPr>
                  </w:pPr>
                  <w:r w:rsidRPr="008819AF">
                    <w:rPr>
                      <w:sz w:val="18"/>
                      <w:szCs w:val="18"/>
                    </w:rPr>
                    <w:t>0,45</w:t>
                  </w:r>
                </w:p>
              </w:tc>
            </w:tr>
            <w:tr w:rsidR="00FA313C" w:rsidRPr="008819AF" w14:paraId="15134406" w14:textId="77777777" w:rsidTr="00620437">
              <w:trPr>
                <w:cantSplit/>
                <w:trHeight w:val="70"/>
                <w:jc w:val="center"/>
              </w:trPr>
              <w:tc>
                <w:tcPr>
                  <w:tcW w:w="515" w:type="dxa"/>
                  <w:vMerge/>
                  <w:tcBorders>
                    <w:bottom w:val="single" w:sz="4" w:space="0" w:color="auto"/>
                    <w:right w:val="single" w:sz="4" w:space="0" w:color="auto"/>
                  </w:tcBorders>
                  <w:vAlign w:val="center"/>
                </w:tcPr>
                <w:p w14:paraId="151343FE" w14:textId="77777777" w:rsidR="00FA313C" w:rsidRPr="008819AF" w:rsidRDefault="00FA313C" w:rsidP="00EB6E9B">
                  <w:pPr>
                    <w:keepNext/>
                    <w:framePr w:hSpace="141" w:wrap="around" w:vAnchor="text" w:hAnchor="text"/>
                    <w:spacing w:after="60"/>
                    <w:ind w:right="72"/>
                    <w:jc w:val="both"/>
                    <w:rPr>
                      <w:b/>
                      <w:sz w:val="18"/>
                      <w:szCs w:val="18"/>
                    </w:rPr>
                  </w:pPr>
                </w:p>
              </w:tc>
              <w:tc>
                <w:tcPr>
                  <w:tcW w:w="1753" w:type="dxa"/>
                  <w:vMerge/>
                  <w:tcBorders>
                    <w:bottom w:val="single" w:sz="4" w:space="0" w:color="auto"/>
                    <w:right w:val="single" w:sz="4" w:space="0" w:color="auto"/>
                  </w:tcBorders>
                  <w:vAlign w:val="center"/>
                </w:tcPr>
                <w:p w14:paraId="151343FF" w14:textId="77777777" w:rsidR="00FA313C" w:rsidRPr="008819AF" w:rsidRDefault="00FA313C" w:rsidP="00EB6E9B">
                  <w:pPr>
                    <w:keepNext/>
                    <w:framePr w:hSpace="141" w:wrap="around" w:vAnchor="text" w:hAnchor="text"/>
                    <w:spacing w:after="60"/>
                    <w:ind w:right="72"/>
                    <w:jc w:val="both"/>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134400" w14:textId="77777777" w:rsidR="00FA313C" w:rsidRPr="008819AF" w:rsidRDefault="00FA313C" w:rsidP="00EB6E9B">
                  <w:pPr>
                    <w:keepNext/>
                    <w:framePr w:hSpace="141" w:wrap="around" w:vAnchor="text" w:hAnchor="text"/>
                    <w:jc w:val="center"/>
                    <w:rPr>
                      <w:sz w:val="18"/>
                      <w:szCs w:val="18"/>
                    </w:rPr>
                  </w:pPr>
                  <w:r w:rsidRPr="008819AF">
                    <w:rPr>
                      <w:sz w:val="18"/>
                      <w:szCs w:val="18"/>
                    </w:rPr>
                    <w:t>&gt; 25</w:t>
                  </w:r>
                </w:p>
              </w:tc>
              <w:tc>
                <w:tcPr>
                  <w:tcW w:w="992" w:type="dxa"/>
                  <w:tcBorders>
                    <w:top w:val="single" w:sz="4" w:space="0" w:color="auto"/>
                    <w:left w:val="single" w:sz="4" w:space="0" w:color="auto"/>
                    <w:bottom w:val="single" w:sz="4" w:space="0" w:color="auto"/>
                    <w:right w:val="single" w:sz="4" w:space="0" w:color="auto"/>
                  </w:tcBorders>
                  <w:vAlign w:val="center"/>
                </w:tcPr>
                <w:p w14:paraId="15134401" w14:textId="77777777" w:rsidR="00FA313C" w:rsidRPr="008819AF" w:rsidRDefault="00FA313C" w:rsidP="00EB6E9B">
                  <w:pPr>
                    <w:keepNext/>
                    <w:framePr w:hSpace="141" w:wrap="around" w:vAnchor="text" w:hAnchor="text"/>
                    <w:jc w:val="center"/>
                    <w:rPr>
                      <w:sz w:val="18"/>
                      <w:szCs w:val="18"/>
                    </w:rPr>
                  </w:pPr>
                  <w:r w:rsidRPr="008819AF">
                    <w:rPr>
                      <w:sz w:val="18"/>
                      <w:szCs w:val="18"/>
                    </w:rPr>
                    <w:t>-</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402" w14:textId="77777777" w:rsidR="00FA313C" w:rsidRPr="008819AF" w:rsidRDefault="00FA313C" w:rsidP="00EB6E9B">
                  <w:pPr>
                    <w:keepNext/>
                    <w:framePr w:hSpace="141" w:wrap="around" w:vAnchor="text" w:hAnchor="text"/>
                    <w:jc w:val="center"/>
                    <w:rPr>
                      <w:sz w:val="18"/>
                      <w:szCs w:val="18"/>
                    </w:rPr>
                  </w:pPr>
                  <w:r w:rsidRPr="008819AF">
                    <w:rPr>
                      <w:sz w:val="18"/>
                      <w:szCs w:val="18"/>
                    </w:rPr>
                    <w:t>3</w:t>
                  </w:r>
                </w:p>
              </w:tc>
              <w:tc>
                <w:tcPr>
                  <w:tcW w:w="1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403" w14:textId="77777777" w:rsidR="00FA313C" w:rsidRPr="008819AF" w:rsidRDefault="00FA313C" w:rsidP="00EB6E9B">
                  <w:pPr>
                    <w:keepNext/>
                    <w:framePr w:hSpace="141" w:wrap="around" w:vAnchor="text" w:hAnchor="text"/>
                    <w:jc w:val="center"/>
                    <w:rPr>
                      <w:sz w:val="18"/>
                      <w:szCs w:val="18"/>
                    </w:rPr>
                  </w:pPr>
                  <w:r w:rsidRPr="008819AF">
                    <w:rPr>
                      <w:sz w:val="18"/>
                      <w:szCs w:val="18"/>
                    </w:rPr>
                    <w:t>50, 150</w:t>
                  </w:r>
                  <w:r w:rsidRPr="008819AF">
                    <w:rPr>
                      <w:sz w:val="18"/>
                      <w:szCs w:val="18"/>
                      <w:vertAlign w:val="superscript"/>
                    </w:rPr>
                    <w:t>2</w:t>
                  </w:r>
                  <w:r w:rsidRPr="008819AF">
                    <w:rPr>
                      <w:sz w:val="18"/>
                      <w:szCs w:val="18"/>
                    </w:rPr>
                    <w:t>)</w:t>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404" w14:textId="77777777" w:rsidR="00FA313C" w:rsidRPr="008819AF" w:rsidRDefault="00FA313C" w:rsidP="00EB6E9B">
                  <w:pPr>
                    <w:keepNext/>
                    <w:framePr w:hSpace="141" w:wrap="around" w:vAnchor="text" w:hAnchor="text"/>
                    <w:jc w:val="center"/>
                    <w:rPr>
                      <w:sz w:val="18"/>
                      <w:szCs w:val="18"/>
                    </w:rPr>
                  </w:pPr>
                  <w:r w:rsidRPr="008819AF">
                    <w:rPr>
                      <w:sz w:val="18"/>
                      <w:szCs w:val="18"/>
                    </w:rPr>
                    <w:t xml:space="preserve">5, </w:t>
                  </w:r>
                </w:p>
              </w:tc>
              <w:tc>
                <w:tcPr>
                  <w:tcW w:w="1701" w:type="dxa"/>
                  <w:tcBorders>
                    <w:top w:val="single" w:sz="4" w:space="0" w:color="auto"/>
                    <w:left w:val="single" w:sz="4" w:space="0" w:color="auto"/>
                    <w:bottom w:val="single" w:sz="4" w:space="0" w:color="auto"/>
                  </w:tcBorders>
                  <w:vAlign w:val="center"/>
                </w:tcPr>
                <w:p w14:paraId="15134405" w14:textId="77777777" w:rsidR="00FA313C" w:rsidRPr="008819AF" w:rsidRDefault="00FA313C" w:rsidP="00EB6E9B">
                  <w:pPr>
                    <w:keepNext/>
                    <w:framePr w:hSpace="141" w:wrap="around" w:vAnchor="text" w:hAnchor="text"/>
                    <w:jc w:val="center"/>
                    <w:rPr>
                      <w:sz w:val="18"/>
                      <w:szCs w:val="18"/>
                    </w:rPr>
                  </w:pPr>
                  <w:r w:rsidRPr="008819AF">
                    <w:rPr>
                      <w:sz w:val="18"/>
                      <w:szCs w:val="18"/>
                    </w:rPr>
                    <w:t>0,3</w:t>
                  </w:r>
                </w:p>
              </w:tc>
            </w:tr>
          </w:tbl>
          <w:p w14:paraId="15134407" w14:textId="77777777" w:rsidR="00FA313C" w:rsidRPr="008819AF" w:rsidRDefault="00FA313C" w:rsidP="00FA313C">
            <w:pPr>
              <w:spacing w:before="60"/>
            </w:pPr>
            <w:r w:rsidRPr="008819AF">
              <w:rPr>
                <w:vertAlign w:val="superscript"/>
              </w:rPr>
              <w:t>1</w:t>
            </w:r>
            <w:r w:rsidRPr="008819AF">
              <w:t>) Emisný limit pre TZL platí iba pre proces striekania.</w:t>
            </w:r>
          </w:p>
          <w:p w14:paraId="15134408" w14:textId="77777777" w:rsidR="00FA313C" w:rsidRPr="008819AF" w:rsidRDefault="00FA313C" w:rsidP="00FA313C">
            <w:pPr>
              <w:ind w:left="284" w:hanging="284"/>
              <w:jc w:val="both"/>
            </w:pPr>
            <w:r w:rsidRPr="008819AF">
              <w:rPr>
                <w:vertAlign w:val="superscript"/>
              </w:rPr>
              <w:t>2</w:t>
            </w:r>
            <w:r w:rsidRPr="008819AF">
              <w:t>) Platí pre zariadenia používajúce technológie na opätovné využitie regenerovaných organických rozpúšťadiel.</w:t>
            </w:r>
          </w:p>
          <w:p w14:paraId="15134409" w14:textId="77777777" w:rsidR="00FA313C" w:rsidRPr="008819AF" w:rsidRDefault="00FA313C" w:rsidP="00FA313C">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1513440A"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1513440B" w14:textId="77777777" w:rsidR="007170C3" w:rsidRPr="008819AF" w:rsidRDefault="007170C3">
            <w:pPr>
              <w:ind w:left="215" w:hanging="215"/>
              <w:rPr>
                <w:rFonts w:eastAsia="Arial"/>
              </w:rPr>
            </w:pPr>
          </w:p>
        </w:tc>
      </w:tr>
    </w:tbl>
    <w:p w14:paraId="1513440D" w14:textId="77777777" w:rsidR="008C2883" w:rsidRPr="008819AF" w:rsidRDefault="008C2883">
      <w:pPr>
        <w:rPr>
          <w:rFonts w:eastAsia="Arial"/>
        </w:rPr>
      </w:pPr>
    </w:p>
    <w:tbl>
      <w:tblPr>
        <w:tblpPr w:leftFromText="141" w:rightFromText="141" w:vertAnchor="text"/>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5386"/>
        <w:gridCol w:w="881"/>
        <w:gridCol w:w="678"/>
        <w:gridCol w:w="567"/>
        <w:gridCol w:w="5954"/>
        <w:gridCol w:w="709"/>
        <w:gridCol w:w="607"/>
      </w:tblGrid>
      <w:tr w:rsidR="008C2883" w:rsidRPr="008819AF" w14:paraId="151344D1" w14:textId="77777777" w:rsidTr="00620437">
        <w:tc>
          <w:tcPr>
            <w:tcW w:w="496" w:type="dxa"/>
            <w:tcBorders>
              <w:top w:val="single" w:sz="4" w:space="0" w:color="000000"/>
              <w:left w:val="single" w:sz="6" w:space="0" w:color="000000"/>
              <w:bottom w:val="single" w:sz="4" w:space="0" w:color="000000"/>
              <w:right w:val="single" w:sz="6" w:space="0" w:color="000000"/>
            </w:tcBorders>
          </w:tcPr>
          <w:p w14:paraId="1513440E" w14:textId="77777777" w:rsidR="008C2883" w:rsidRPr="008819AF" w:rsidRDefault="008C2883" w:rsidP="008C2883">
            <w:pPr>
              <w:pStyle w:val="Default"/>
              <w:widowControl w:val="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8</w:t>
            </w:r>
          </w:p>
        </w:tc>
        <w:tc>
          <w:tcPr>
            <w:tcW w:w="5386" w:type="dxa"/>
            <w:tcBorders>
              <w:top w:val="single" w:sz="4" w:space="0" w:color="000000"/>
              <w:left w:val="single" w:sz="6" w:space="0" w:color="000000"/>
              <w:bottom w:val="single" w:sz="4" w:space="0" w:color="000000"/>
              <w:right w:val="single" w:sz="6" w:space="0" w:color="000000"/>
            </w:tcBorders>
          </w:tcPr>
          <w:p w14:paraId="1513440F" w14:textId="77777777" w:rsidR="008C2883" w:rsidRPr="008819AF" w:rsidRDefault="008C2883" w:rsidP="008C2883">
            <w:pPr>
              <w:pStyle w:val="Default"/>
              <w:widowControl w:val="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Ostatné druhy povrchovej úpravy vrátane kovov, plastov, textílií (5), tkanív, fólií a papierov</w:t>
            </w:r>
          </w:p>
          <w:p w14:paraId="15134410" w14:textId="77777777" w:rsidR="008C2883" w:rsidRPr="008819AF" w:rsidRDefault="008C2883" w:rsidP="008C2883">
            <w:pPr>
              <w:pStyle w:val="Default"/>
              <w:widowControl w:val="0"/>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w:t>
            </w:r>
          </w:p>
          <w:p w14:paraId="15134411" w14:textId="77777777" w:rsidR="008C2883" w:rsidRPr="008819AF" w:rsidRDefault="008C2883" w:rsidP="008C2883">
            <w:pPr>
              <w:pStyle w:val="Default"/>
              <w:widowControl w:val="0"/>
              <w:rPr>
                <w:rFonts w:ascii="Times New Roman" w:eastAsia="Arial" w:hAnsi="Times New Roman" w:cs="Times New Roman"/>
                <w:color w:val="auto"/>
                <w:sz w:val="20"/>
                <w:szCs w:val="20"/>
              </w:rPr>
            </w:pPr>
          </w:p>
        </w:tc>
        <w:tc>
          <w:tcPr>
            <w:tcW w:w="881" w:type="dxa"/>
            <w:tcBorders>
              <w:top w:val="single" w:sz="4" w:space="0" w:color="000000"/>
              <w:left w:val="single" w:sz="6" w:space="0" w:color="000000"/>
              <w:bottom w:val="single" w:sz="4" w:space="0" w:color="000000"/>
              <w:right w:val="single" w:sz="6" w:space="0" w:color="000000"/>
            </w:tcBorders>
          </w:tcPr>
          <w:p w14:paraId="15134412" w14:textId="77777777" w:rsidR="008C2883" w:rsidRPr="008819AF" w:rsidRDefault="008C2883" w:rsidP="008C2883">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413" w14:textId="77777777" w:rsidR="008C2883" w:rsidRPr="008819AF" w:rsidRDefault="008C2883" w:rsidP="008C2883">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414" w14:textId="77777777" w:rsidR="008C2883" w:rsidRPr="008819AF" w:rsidRDefault="008C2883" w:rsidP="008C2883">
            <w:pPr>
              <w:pStyle w:val="BodyText21"/>
              <w:spacing w:before="0" w:line="240" w:lineRule="auto"/>
              <w:jc w:val="left"/>
              <w:rPr>
                <w:rFonts w:ascii="Times New Roman" w:hAnsi="Times New Roman" w:cs="Times New Roman"/>
              </w:rPr>
            </w:pPr>
            <w:r w:rsidRPr="008819AF">
              <w:rPr>
                <w:rFonts w:ascii="Times New Roman" w:hAnsi="Times New Roman" w:cs="Times New Roman"/>
              </w:rPr>
              <w:t>Príl.6</w:t>
            </w:r>
          </w:p>
          <w:p w14:paraId="15134415" w14:textId="77777777" w:rsidR="008C2883" w:rsidRPr="008819AF" w:rsidRDefault="008C2883" w:rsidP="008C2883">
            <w:r w:rsidRPr="008819AF">
              <w:t>Č IV</w:t>
            </w:r>
          </w:p>
        </w:tc>
        <w:tc>
          <w:tcPr>
            <w:tcW w:w="5954" w:type="dxa"/>
            <w:tcBorders>
              <w:top w:val="single" w:sz="4" w:space="0" w:color="000000"/>
              <w:left w:val="single" w:sz="6" w:space="0" w:color="000000"/>
              <w:bottom w:val="single" w:sz="4" w:space="0" w:color="000000"/>
              <w:right w:val="single" w:sz="6" w:space="0" w:color="000000"/>
            </w:tcBorders>
          </w:tcPr>
          <w:p w14:paraId="15134416" w14:textId="77777777" w:rsidR="008C2883" w:rsidRPr="008819AF" w:rsidRDefault="008C2883" w:rsidP="008C2883">
            <w:pPr>
              <w:jc w:val="both"/>
              <w:rPr>
                <w:b/>
              </w:rPr>
            </w:pPr>
            <w:r w:rsidRPr="008819AF">
              <w:rPr>
                <w:b/>
              </w:rPr>
              <w:t>4.   NANÁŠANIE NÁTEROV (IV)</w:t>
            </w:r>
          </w:p>
          <w:p w14:paraId="15134417" w14:textId="77777777" w:rsidR="008C2883" w:rsidRPr="008819AF" w:rsidRDefault="008C2883" w:rsidP="008C2883">
            <w:pPr>
              <w:pStyle w:val="Zkladntext2"/>
              <w:rPr>
                <w:rFonts w:ascii="Times New Roman" w:hAnsi="Times New Roman" w:cs="Times New Roman"/>
                <w:b/>
                <w:sz w:val="20"/>
                <w:szCs w:val="20"/>
              </w:rPr>
            </w:pPr>
            <w:r w:rsidRPr="008819AF">
              <w:rPr>
                <w:rFonts w:ascii="Times New Roman" w:hAnsi="Times New Roman" w:cs="Times New Roman"/>
                <w:b/>
                <w:sz w:val="20"/>
                <w:szCs w:val="20"/>
              </w:rPr>
              <w:t>4.2 Prahové spotreby rozpúšťadiel a emisné limity pre procesy nanášania na určité povrchy</w:t>
            </w:r>
          </w:p>
          <w:p w14:paraId="15134418" w14:textId="77777777" w:rsidR="008C2883" w:rsidRPr="008819AF" w:rsidRDefault="008C2883" w:rsidP="008C2883">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747"/>
              <w:gridCol w:w="464"/>
              <w:gridCol w:w="464"/>
              <w:gridCol w:w="464"/>
              <w:gridCol w:w="699"/>
              <w:gridCol w:w="699"/>
              <w:gridCol w:w="699"/>
              <w:gridCol w:w="1203"/>
            </w:tblGrid>
            <w:tr w:rsidR="008C2883" w:rsidRPr="008819AF" w14:paraId="1513441B" w14:textId="77777777" w:rsidTr="00620437">
              <w:trPr>
                <w:trHeight w:val="141"/>
                <w:jc w:val="center"/>
              </w:trPr>
              <w:tc>
                <w:tcPr>
                  <w:tcW w:w="1701" w:type="dxa"/>
                  <w:gridSpan w:val="2"/>
                  <w:vMerge w:val="restart"/>
                  <w:tcBorders>
                    <w:top w:val="single" w:sz="2" w:space="0" w:color="auto"/>
                    <w:left w:val="single" w:sz="2" w:space="0" w:color="auto"/>
                    <w:bottom w:val="single" w:sz="2" w:space="0" w:color="auto"/>
                    <w:right w:val="single" w:sz="2" w:space="0" w:color="auto"/>
                  </w:tcBorders>
                  <w:vAlign w:val="center"/>
                </w:tcPr>
                <w:p w14:paraId="15134419" w14:textId="77777777" w:rsidR="008C2883" w:rsidRPr="008819AF" w:rsidRDefault="008C2883" w:rsidP="00EB6E9B">
                  <w:pPr>
                    <w:pStyle w:val="Normln"/>
                    <w:keepNext/>
                    <w:framePr w:hSpace="141" w:wrap="around" w:vAnchor="text" w:hAnchor="text"/>
                    <w:rPr>
                      <w:b/>
                      <w:sz w:val="18"/>
                      <w:szCs w:val="18"/>
                      <w:lang w:val="sk-SK"/>
                    </w:rPr>
                  </w:pPr>
                  <w:r w:rsidRPr="008819AF">
                    <w:rPr>
                      <w:b/>
                      <w:sz w:val="18"/>
                      <w:szCs w:val="18"/>
                      <w:lang w:val="sk-SK"/>
                    </w:rPr>
                    <w:t>Podmienky platnosti EL</w:t>
                  </w: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1513441A" w14:textId="77777777" w:rsidR="008C2883" w:rsidRPr="008819AF" w:rsidRDefault="008C2883" w:rsidP="00EB6E9B">
                  <w:pPr>
                    <w:pStyle w:val="Zkladntext2"/>
                    <w:framePr w:hSpace="141" w:wrap="around" w:vAnchor="text" w:hAnchor="text"/>
                    <w:ind w:left="-93" w:firstLine="0"/>
                    <w:rPr>
                      <w:rFonts w:ascii="Times New Roman" w:hAnsi="Times New Roman" w:cs="Times New Roman"/>
                      <w:b/>
                      <w:sz w:val="18"/>
                      <w:szCs w:val="18"/>
                    </w:rPr>
                  </w:pPr>
                  <w:r w:rsidRPr="008819AF">
                    <w:rPr>
                      <w:rFonts w:ascii="Times New Roman" w:hAnsi="Times New Roman" w:cs="Times New Roman"/>
                      <w:sz w:val="18"/>
                      <w:szCs w:val="18"/>
                    </w:rPr>
                    <w:t>Štandardné stavové podmienky, vlhký plyn</w:t>
                  </w:r>
                </w:p>
              </w:tc>
            </w:tr>
            <w:tr w:rsidR="008C2883" w:rsidRPr="008819AF" w14:paraId="1513441E" w14:textId="77777777" w:rsidTr="00620437">
              <w:trPr>
                <w:trHeight w:val="756"/>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1513441C" w14:textId="77777777" w:rsidR="008C2883" w:rsidRPr="008819AF" w:rsidRDefault="008C2883" w:rsidP="00EB6E9B">
                  <w:pPr>
                    <w:framePr w:hSpace="141" w:wrap="around" w:vAnchor="text" w:hAnchor="text"/>
                    <w:rPr>
                      <w:b/>
                      <w:sz w:val="18"/>
                      <w:szCs w:val="18"/>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1513441D" w14:textId="77777777" w:rsidR="008C2883" w:rsidRPr="008819AF" w:rsidRDefault="008C2883" w:rsidP="00EB6E9B">
                  <w:pPr>
                    <w:pStyle w:val="Zkladntext2"/>
                    <w:framePr w:hSpace="141" w:wrap="around" w:vAnchor="text" w:hAnchor="text"/>
                    <w:ind w:left="-93" w:firstLine="0"/>
                    <w:rPr>
                      <w:rFonts w:ascii="Times New Roman" w:hAnsi="Times New Roman" w:cs="Times New Roman"/>
                      <w:sz w:val="18"/>
                      <w:szCs w:val="18"/>
                    </w:rPr>
                  </w:pPr>
                  <w:r w:rsidRPr="008819AF">
                    <w:rPr>
                      <w:rFonts w:ascii="Times New Roman" w:hAnsi="Times New Roman" w:cs="Times New Roman"/>
                      <w:sz w:val="18"/>
                      <w:szCs w:val="18"/>
                    </w:rPr>
                    <w:t>Pre nanášanie náterových látok, ktoré nemožno vykonávať za riadených podmienok, ako napr. pri stavbe a údržbe lodí alebo lietadiel možno uplatniť § 27 ods. 7.</w:t>
                  </w:r>
                </w:p>
              </w:tc>
            </w:tr>
            <w:tr w:rsidR="008C2883" w:rsidRPr="008819AF" w14:paraId="15134421" w14:textId="77777777" w:rsidTr="00620437">
              <w:trPr>
                <w:trHeight w:val="138"/>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1513441F" w14:textId="77777777" w:rsidR="008C2883" w:rsidRPr="008819AF" w:rsidRDefault="008C2883" w:rsidP="00EB6E9B">
                  <w:pPr>
                    <w:framePr w:hSpace="141" w:wrap="around" w:vAnchor="text" w:hAnchor="text"/>
                    <w:rPr>
                      <w:b/>
                      <w:sz w:val="18"/>
                      <w:szCs w:val="18"/>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15134420" w14:textId="77777777" w:rsidR="008C2883" w:rsidRPr="008819AF" w:rsidRDefault="008C2883" w:rsidP="00EB6E9B">
                  <w:pPr>
                    <w:pStyle w:val="Zkladntext2"/>
                    <w:framePr w:hSpace="141" w:wrap="around" w:vAnchor="text" w:hAnchor="text"/>
                    <w:ind w:left="-93" w:firstLine="0"/>
                    <w:rPr>
                      <w:rFonts w:ascii="Times New Roman" w:hAnsi="Times New Roman" w:cs="Times New Roman"/>
                      <w:sz w:val="18"/>
                      <w:szCs w:val="18"/>
                    </w:rPr>
                  </w:pPr>
                  <w:r w:rsidRPr="008819AF">
                    <w:rPr>
                      <w:rFonts w:ascii="Times New Roman" w:hAnsi="Times New Roman" w:cs="Times New Roman"/>
                      <w:sz w:val="18"/>
                      <w:szCs w:val="18"/>
                    </w:rPr>
                    <w:t>Pre rotačnú sieťotlač na potlač textilu sa uplatňujú emisné limity pre polygrafiu ustanovené v prvom bode.</w:t>
                  </w:r>
                </w:p>
              </w:tc>
            </w:tr>
            <w:tr w:rsidR="008C2883" w:rsidRPr="008819AF" w14:paraId="15134427" w14:textId="77777777" w:rsidTr="00620437">
              <w:trPr>
                <w:trHeight w:hRule="exac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22"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Činnosť</w:t>
                  </w:r>
                </w:p>
                <w:p w14:paraId="15134423"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Nanášanie náterov na povrchy</w:t>
                  </w:r>
                </w:p>
              </w:tc>
              <w:tc>
                <w:tcPr>
                  <w:tcW w:w="2127" w:type="dxa"/>
                  <w:gridSpan w:val="3"/>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24"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Prahová spotreba rozpúšťadla </w:t>
                  </w:r>
                  <w:r w:rsidRPr="008819AF">
                    <w:rPr>
                      <w:rFonts w:ascii="Times New Roman" w:hAnsi="Times New Roman" w:cs="Times New Roman"/>
                      <w:sz w:val="18"/>
                      <w:szCs w:val="18"/>
                    </w:rPr>
                    <w:sym w:font="Symbol" w:char="F05B"/>
                  </w:r>
                  <w:r w:rsidRPr="008819AF">
                    <w:rPr>
                      <w:rFonts w:ascii="Times New Roman" w:hAnsi="Times New Roman" w:cs="Times New Roman"/>
                      <w:sz w:val="18"/>
                      <w:szCs w:val="18"/>
                    </w:rPr>
                    <w:t>t/rok</w:t>
                  </w:r>
                  <w:r w:rsidRPr="008819AF">
                    <w:rPr>
                      <w:rFonts w:ascii="Times New Roman" w:hAnsi="Times New Roman" w:cs="Times New Roman"/>
                      <w:sz w:val="18"/>
                      <w:szCs w:val="18"/>
                    </w:rPr>
                    <w:sym w:font="Symbol" w:char="F05D"/>
                  </w:r>
                </w:p>
              </w:tc>
              <w:tc>
                <w:tcPr>
                  <w:tcW w:w="340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25"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Emisný limit  </w:t>
                  </w:r>
                </w:p>
              </w:tc>
              <w:tc>
                <w:tcPr>
                  <w:tcW w:w="1984" w:type="dxa"/>
                  <w:vMerge w:val="restart"/>
                  <w:tcBorders>
                    <w:top w:val="single" w:sz="2" w:space="0" w:color="auto"/>
                    <w:left w:val="single" w:sz="2" w:space="0" w:color="auto"/>
                    <w:bottom w:val="single" w:sz="2" w:space="0" w:color="auto"/>
                    <w:right w:val="single" w:sz="2" w:space="0" w:color="auto"/>
                  </w:tcBorders>
                  <w:vAlign w:val="center"/>
                </w:tcPr>
                <w:p w14:paraId="15134426"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Emisný faktor pre RP</w:t>
                  </w:r>
                </w:p>
              </w:tc>
            </w:tr>
            <w:tr w:rsidR="008C2883" w:rsidRPr="008819AF" w14:paraId="1513442D" w14:textId="77777777" w:rsidTr="00620437">
              <w:trPr>
                <w:trHeight w:val="452"/>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15134428" w14:textId="77777777" w:rsidR="008C2883" w:rsidRPr="008819AF" w:rsidRDefault="008C2883" w:rsidP="00EB6E9B">
                  <w:pPr>
                    <w:framePr w:hSpace="141" w:wrap="around" w:vAnchor="text" w:hAnchor="text"/>
                    <w:rPr>
                      <w:b/>
                      <w:sz w:val="18"/>
                      <w:szCs w:val="18"/>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15134429" w14:textId="77777777" w:rsidR="008C2883" w:rsidRPr="008819AF" w:rsidRDefault="008C2883" w:rsidP="00EB6E9B">
                  <w:pPr>
                    <w:framePr w:hSpace="141" w:wrap="around" w:vAnchor="text" w:hAnchor="text"/>
                    <w:rPr>
                      <w:sz w:val="18"/>
                      <w:szCs w:val="18"/>
                    </w:rPr>
                  </w:pPr>
                </w:p>
              </w:tc>
              <w:tc>
                <w:tcPr>
                  <w:tcW w:w="2268"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2A"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Odpadové plyny </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2B"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Fugitív</w:t>
                  </w:r>
                  <w:r w:rsidR="00D23E60" w:rsidRPr="008819AF">
                    <w:rPr>
                      <w:rFonts w:ascii="Times New Roman" w:hAnsi="Times New Roman" w:cs="Times New Roman"/>
                      <w:b/>
                      <w:sz w:val="18"/>
                      <w:szCs w:val="18"/>
                    </w:rPr>
                    <w:t>.</w:t>
                  </w:r>
                  <w:r w:rsidRPr="008819AF">
                    <w:rPr>
                      <w:rFonts w:ascii="Times New Roman" w:hAnsi="Times New Roman" w:cs="Times New Roman"/>
                      <w:b/>
                      <w:sz w:val="18"/>
                      <w:szCs w:val="18"/>
                    </w:rPr>
                    <w:t xml:space="preserve">  emisie</w:t>
                  </w:r>
                </w:p>
              </w:tc>
              <w:tc>
                <w:tcPr>
                  <w:tcW w:w="1984" w:type="dxa"/>
                  <w:vMerge/>
                  <w:tcBorders>
                    <w:top w:val="single" w:sz="2" w:space="0" w:color="auto"/>
                    <w:left w:val="single" w:sz="2" w:space="0" w:color="auto"/>
                    <w:bottom w:val="single" w:sz="2" w:space="0" w:color="auto"/>
                    <w:right w:val="single" w:sz="2" w:space="0" w:color="auto"/>
                  </w:tcBorders>
                  <w:vAlign w:val="center"/>
                </w:tcPr>
                <w:p w14:paraId="1513442C"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p>
              </w:tc>
            </w:tr>
            <w:tr w:rsidR="008C2883" w:rsidRPr="008819AF" w14:paraId="15134437" w14:textId="77777777" w:rsidTr="00620437">
              <w:trPr>
                <w:trHeight w:val="331"/>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1513442E" w14:textId="77777777" w:rsidR="008C2883" w:rsidRPr="008819AF" w:rsidRDefault="008C2883" w:rsidP="00EB6E9B">
                  <w:pPr>
                    <w:framePr w:hSpace="141" w:wrap="around" w:vAnchor="text" w:hAnchor="text"/>
                    <w:rPr>
                      <w:b/>
                      <w:sz w:val="18"/>
                      <w:szCs w:val="18"/>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1513442F" w14:textId="77777777" w:rsidR="008C2883" w:rsidRPr="008819AF" w:rsidRDefault="008C2883" w:rsidP="00EB6E9B">
                  <w:pPr>
                    <w:framePr w:hSpace="141" w:wrap="around" w:vAnchor="text" w:hAnchor="text"/>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30"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TZL</w:t>
                  </w:r>
                  <w:r w:rsidRPr="008819AF">
                    <w:rPr>
                      <w:rFonts w:ascii="Times New Roman" w:hAnsi="Times New Roman" w:cs="Times New Roman"/>
                      <w:b/>
                      <w:sz w:val="18"/>
                      <w:szCs w:val="18"/>
                      <w:vertAlign w:val="superscript"/>
                    </w:rPr>
                    <w:t>1</w:t>
                  </w:r>
                  <w:r w:rsidRPr="008819AF">
                    <w:rPr>
                      <w:rFonts w:ascii="Times New Roman" w:hAnsi="Times New Roman" w:cs="Times New Roman"/>
                      <w:b/>
                      <w:sz w:val="18"/>
                      <w:szCs w:val="18"/>
                    </w:rPr>
                    <w:t>)</w:t>
                  </w:r>
                </w:p>
                <w:p w14:paraId="15134431"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mg/m3</w:t>
                  </w:r>
                  <w:r w:rsidRPr="008819AF">
                    <w:rPr>
                      <w:rFonts w:ascii="Times New Roman" w:hAnsi="Times New Roman" w:cs="Times New Roman"/>
                      <w:b/>
                      <w:sz w:val="18"/>
                      <w:szCs w:val="18"/>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32" w14:textId="77777777" w:rsidR="008C2883" w:rsidRPr="008819AF" w:rsidRDefault="008C2883" w:rsidP="00EB6E9B">
                  <w:pPr>
                    <w:pStyle w:val="Zkladntext2"/>
                    <w:framePr w:hSpace="141" w:wrap="around" w:vAnchor="text" w:hAnchor="text"/>
                    <w:ind w:left="-93" w:right="-70"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TOC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mg/m3</w:t>
                  </w:r>
                  <w:r w:rsidRPr="008819AF">
                    <w:rPr>
                      <w:rFonts w:ascii="Times New Roman" w:hAnsi="Times New Roman" w:cs="Times New Roman"/>
                      <w:b/>
                      <w:sz w:val="18"/>
                      <w:szCs w:val="18"/>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33"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p>
                <w:p w14:paraId="15134434"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c>
                <w:tcPr>
                  <w:tcW w:w="1984" w:type="dxa"/>
                  <w:tcBorders>
                    <w:top w:val="single" w:sz="2" w:space="0" w:color="auto"/>
                    <w:left w:val="single" w:sz="2" w:space="0" w:color="auto"/>
                    <w:bottom w:val="single" w:sz="2" w:space="0" w:color="auto"/>
                    <w:right w:val="single" w:sz="2" w:space="0" w:color="auto"/>
                  </w:tcBorders>
                  <w:vAlign w:val="center"/>
                </w:tcPr>
                <w:p w14:paraId="15134435"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VOC</w:t>
                  </w:r>
                </w:p>
                <w:p w14:paraId="15134436"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kg/kg sušiny</w:t>
                  </w:r>
                  <w:r w:rsidRPr="008819AF">
                    <w:rPr>
                      <w:rFonts w:ascii="Times New Roman" w:hAnsi="Times New Roman" w:cs="Times New Roman"/>
                      <w:b/>
                      <w:sz w:val="18"/>
                      <w:szCs w:val="18"/>
                    </w:rPr>
                    <w:sym w:font="Symbol" w:char="F05D"/>
                  </w:r>
                </w:p>
              </w:tc>
            </w:tr>
            <w:tr w:rsidR="008C2883" w:rsidRPr="008819AF" w14:paraId="15134441" w14:textId="77777777" w:rsidTr="00620437">
              <w:trPr>
                <w:trHeight w:val="283"/>
                <w:jc w:val="center"/>
              </w:trPr>
              <w:tc>
                <w:tcPr>
                  <w:tcW w:w="540"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15134438" w14:textId="77777777" w:rsidR="008C2883" w:rsidRPr="008819AF" w:rsidRDefault="008C2883" w:rsidP="00EB6E9B">
                  <w:pPr>
                    <w:pStyle w:val="Zkladntext2"/>
                    <w:framePr w:hSpace="141" w:wrap="around" w:vAnchor="text" w:hAnchor="text"/>
                    <w:ind w:right="-70"/>
                    <w:rPr>
                      <w:rFonts w:ascii="Times New Roman" w:hAnsi="Times New Roman" w:cs="Times New Roman"/>
                      <w:b/>
                      <w:sz w:val="18"/>
                      <w:szCs w:val="18"/>
                    </w:rPr>
                  </w:pPr>
                  <w:r w:rsidRPr="008819AF">
                    <w:rPr>
                      <w:rFonts w:ascii="Times New Roman" w:hAnsi="Times New Roman" w:cs="Times New Roman"/>
                      <w:b/>
                      <w:sz w:val="18"/>
                      <w:szCs w:val="18"/>
                    </w:rPr>
                    <w:t>I</w:t>
                  </w:r>
                  <w:r w:rsidR="00D23E60" w:rsidRPr="008819AF">
                    <w:rPr>
                      <w:rFonts w:ascii="Times New Roman" w:hAnsi="Times New Roman" w:cs="Times New Roman"/>
                      <w:b/>
                      <w:sz w:val="18"/>
                      <w:szCs w:val="18"/>
                    </w:rPr>
                    <w:t>V</w:t>
                  </w:r>
                  <w:r w:rsidRPr="008819AF">
                    <w:rPr>
                      <w:rFonts w:ascii="Times New Roman" w:hAnsi="Times New Roman" w:cs="Times New Roman"/>
                      <w:b/>
                      <w:sz w:val="18"/>
                      <w:szCs w:val="18"/>
                    </w:rPr>
                    <w:t>a</w:t>
                  </w:r>
                </w:p>
              </w:tc>
              <w:tc>
                <w:tcPr>
                  <w:tcW w:w="1161"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15134439"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kovov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3A"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3B"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3C"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3D"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3E"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100 </w:t>
                  </w:r>
                  <w:r w:rsidRPr="008819AF">
                    <w:rPr>
                      <w:rFonts w:ascii="Times New Roman" w:hAnsi="Times New Roman" w:cs="Times New Roman"/>
                      <w:sz w:val="18"/>
                      <w:szCs w:val="18"/>
                      <w:vertAlign w:val="superscript"/>
                    </w:rPr>
                    <w:t>2</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3F"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15134440"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0,6 </w:t>
                  </w:r>
                </w:p>
              </w:tc>
            </w:tr>
            <w:tr w:rsidR="008C2883" w:rsidRPr="008819AF" w14:paraId="1513444B" w14:textId="77777777" w:rsidTr="00620437">
              <w:trPr>
                <w:trHeight w:val="283"/>
                <w:jc w:val="center"/>
              </w:trPr>
              <w:tc>
                <w:tcPr>
                  <w:tcW w:w="540" w:type="dxa"/>
                  <w:vMerge/>
                  <w:tcBorders>
                    <w:left w:val="single" w:sz="2" w:space="0" w:color="auto"/>
                    <w:right w:val="single" w:sz="2" w:space="0" w:color="auto"/>
                  </w:tcBorders>
                  <w:vAlign w:val="center"/>
                </w:tcPr>
                <w:p w14:paraId="15134442" w14:textId="77777777" w:rsidR="008C2883" w:rsidRPr="008819AF" w:rsidRDefault="008C2883" w:rsidP="00EB6E9B">
                  <w:pPr>
                    <w:framePr w:hSpace="141" w:wrap="around" w:vAnchor="text" w:hAnchor="text"/>
                    <w:jc w:val="center"/>
                    <w:rPr>
                      <w:sz w:val="18"/>
                      <w:szCs w:val="18"/>
                    </w:rPr>
                  </w:pPr>
                </w:p>
              </w:tc>
              <w:tc>
                <w:tcPr>
                  <w:tcW w:w="1161" w:type="dxa"/>
                  <w:vMerge/>
                  <w:tcBorders>
                    <w:left w:val="single" w:sz="2" w:space="0" w:color="auto"/>
                    <w:right w:val="single" w:sz="2" w:space="0" w:color="auto"/>
                  </w:tcBorders>
                  <w:vAlign w:val="center"/>
                </w:tcPr>
                <w:p w14:paraId="15134443"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44"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45"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46"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47"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48"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49"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44A"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0,375,  0,5825</w:t>
                  </w:r>
                  <w:r w:rsidRPr="008819AF">
                    <w:rPr>
                      <w:rFonts w:ascii="Times New Roman" w:hAnsi="Times New Roman" w:cs="Times New Roman"/>
                      <w:sz w:val="18"/>
                      <w:szCs w:val="18"/>
                      <w:vertAlign w:val="superscript"/>
                    </w:rPr>
                    <w:t>4</w:t>
                  </w:r>
                  <w:r w:rsidRPr="008819AF">
                    <w:rPr>
                      <w:rFonts w:ascii="Times New Roman" w:hAnsi="Times New Roman" w:cs="Times New Roman"/>
                      <w:sz w:val="18"/>
                      <w:szCs w:val="18"/>
                    </w:rPr>
                    <w:t>)</w:t>
                  </w:r>
                </w:p>
              </w:tc>
            </w:tr>
            <w:tr w:rsidR="008C2883" w:rsidRPr="008819AF" w14:paraId="15134455" w14:textId="77777777" w:rsidTr="00620437">
              <w:trPr>
                <w:trHeight w:val="283"/>
                <w:jc w:val="center"/>
              </w:trPr>
              <w:tc>
                <w:tcPr>
                  <w:tcW w:w="540" w:type="dxa"/>
                  <w:vMerge/>
                  <w:tcBorders>
                    <w:left w:val="single" w:sz="2" w:space="0" w:color="auto"/>
                    <w:right w:val="single" w:sz="2" w:space="0" w:color="auto"/>
                  </w:tcBorders>
                  <w:vAlign w:val="center"/>
                </w:tcPr>
                <w:p w14:paraId="1513444C" w14:textId="77777777" w:rsidR="008C2883" w:rsidRPr="008819AF" w:rsidRDefault="008C2883" w:rsidP="00EB6E9B">
                  <w:pPr>
                    <w:framePr w:hSpace="141" w:wrap="around" w:vAnchor="text" w:hAnchor="text"/>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1513444D"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4E"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4F"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50"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51"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52"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53"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454"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0,33,  0,5825</w:t>
                  </w:r>
                  <w:r w:rsidRPr="008819AF">
                    <w:rPr>
                      <w:rFonts w:ascii="Times New Roman" w:hAnsi="Times New Roman" w:cs="Times New Roman"/>
                      <w:sz w:val="18"/>
                      <w:szCs w:val="18"/>
                      <w:vertAlign w:val="superscript"/>
                    </w:rPr>
                    <w:t>4</w:t>
                  </w:r>
                  <w:r w:rsidRPr="008819AF">
                    <w:rPr>
                      <w:rFonts w:ascii="Times New Roman" w:hAnsi="Times New Roman" w:cs="Times New Roman"/>
                      <w:sz w:val="18"/>
                      <w:szCs w:val="18"/>
                    </w:rPr>
                    <w:t>)</w:t>
                  </w:r>
                </w:p>
              </w:tc>
            </w:tr>
            <w:tr w:rsidR="008C2883" w:rsidRPr="008819AF" w14:paraId="1513445F" w14:textId="77777777" w:rsidTr="00620437">
              <w:trPr>
                <w:trHeight w:val="283"/>
                <w:jc w:val="center"/>
              </w:trPr>
              <w:tc>
                <w:tcPr>
                  <w:tcW w:w="540" w:type="dxa"/>
                  <w:vMerge/>
                  <w:tcBorders>
                    <w:left w:val="single" w:sz="2" w:space="0" w:color="auto"/>
                    <w:right w:val="single" w:sz="2" w:space="0" w:color="auto"/>
                  </w:tcBorders>
                  <w:vAlign w:val="center"/>
                </w:tcPr>
                <w:p w14:paraId="15134456" w14:textId="77777777" w:rsidR="008C2883" w:rsidRPr="008819AF" w:rsidRDefault="008C2883" w:rsidP="00EB6E9B">
                  <w:pPr>
                    <w:framePr w:hSpace="141" w:wrap="around" w:vAnchor="text" w:hAnchor="text"/>
                    <w:jc w:val="center"/>
                    <w:rPr>
                      <w:sz w:val="18"/>
                      <w:szCs w:val="18"/>
                    </w:rPr>
                  </w:pPr>
                </w:p>
              </w:tc>
              <w:tc>
                <w:tcPr>
                  <w:tcW w:w="1161" w:type="dxa"/>
                  <w:vMerge w:val="restart"/>
                  <w:tcBorders>
                    <w:top w:val="single" w:sz="2" w:space="0" w:color="auto"/>
                    <w:left w:val="single" w:sz="2" w:space="0" w:color="auto"/>
                    <w:right w:val="single" w:sz="2" w:space="0" w:color="auto"/>
                  </w:tcBorders>
                  <w:vAlign w:val="center"/>
                </w:tcPr>
                <w:p w14:paraId="15134457"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plastov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58" w14:textId="77777777" w:rsidR="008C2883" w:rsidRPr="008819AF" w:rsidRDefault="008C288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59" w14:textId="77777777" w:rsidR="008C2883" w:rsidRPr="008819AF" w:rsidRDefault="008C288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5A" w14:textId="77777777" w:rsidR="008C2883" w:rsidRPr="008819AF" w:rsidRDefault="008C288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5B" w14:textId="77777777" w:rsidR="008C2883" w:rsidRPr="008819AF" w:rsidRDefault="008C288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5C" w14:textId="77777777" w:rsidR="008C2883" w:rsidRPr="008819AF" w:rsidRDefault="008C288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 xml:space="preserve">100 </w:t>
                  </w:r>
                  <w:r w:rsidRPr="008819AF">
                    <w:rPr>
                      <w:rFonts w:ascii="Times New Roman" w:hAnsi="Times New Roman" w:cs="Times New Roman"/>
                      <w:sz w:val="18"/>
                      <w:szCs w:val="18"/>
                      <w:vertAlign w:val="superscript"/>
                    </w:rPr>
                    <w:t>2</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5D" w14:textId="77777777" w:rsidR="008C2883" w:rsidRPr="008819AF" w:rsidRDefault="008C288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1513445E" w14:textId="77777777" w:rsidR="008C2883" w:rsidRPr="008819AF" w:rsidRDefault="008C2883" w:rsidP="00EB6E9B">
                  <w:pPr>
                    <w:pStyle w:val="Zkladntext2"/>
                    <w:framePr w:hSpace="141" w:wrap="around" w:vAnchor="text" w:hAnchor="text"/>
                    <w:jc w:val="center"/>
                    <w:rPr>
                      <w:rFonts w:ascii="Times New Roman" w:hAnsi="Times New Roman" w:cs="Times New Roman"/>
                      <w:sz w:val="18"/>
                      <w:szCs w:val="18"/>
                    </w:rPr>
                  </w:pPr>
                  <w:r w:rsidRPr="008819AF">
                    <w:rPr>
                      <w:rFonts w:ascii="Times New Roman" w:hAnsi="Times New Roman" w:cs="Times New Roman"/>
                      <w:sz w:val="18"/>
                      <w:szCs w:val="18"/>
                    </w:rPr>
                    <w:t xml:space="preserve">0,6 </w:t>
                  </w:r>
                </w:p>
              </w:tc>
            </w:tr>
            <w:tr w:rsidR="008C2883" w:rsidRPr="008819AF" w14:paraId="1513446A" w14:textId="77777777" w:rsidTr="00620437">
              <w:trPr>
                <w:trHeight w:val="283"/>
                <w:jc w:val="center"/>
              </w:trPr>
              <w:tc>
                <w:tcPr>
                  <w:tcW w:w="540" w:type="dxa"/>
                  <w:vMerge/>
                  <w:tcBorders>
                    <w:left w:val="single" w:sz="2" w:space="0" w:color="auto"/>
                    <w:right w:val="single" w:sz="2" w:space="0" w:color="auto"/>
                  </w:tcBorders>
                  <w:vAlign w:val="center"/>
                </w:tcPr>
                <w:p w14:paraId="15134460" w14:textId="77777777" w:rsidR="008C2883" w:rsidRPr="008819AF" w:rsidRDefault="008C2883" w:rsidP="00EB6E9B">
                  <w:pPr>
                    <w:framePr w:hSpace="141" w:wrap="around" w:vAnchor="text" w:hAnchor="text"/>
                    <w:jc w:val="center"/>
                    <w:rPr>
                      <w:sz w:val="18"/>
                      <w:szCs w:val="18"/>
                    </w:rPr>
                  </w:pPr>
                </w:p>
              </w:tc>
              <w:tc>
                <w:tcPr>
                  <w:tcW w:w="1161" w:type="dxa"/>
                  <w:vMerge/>
                  <w:tcBorders>
                    <w:left w:val="single" w:sz="2" w:space="0" w:color="auto"/>
                    <w:right w:val="single" w:sz="2" w:space="0" w:color="auto"/>
                  </w:tcBorders>
                  <w:vAlign w:val="center"/>
                </w:tcPr>
                <w:p w14:paraId="15134461"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62"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63"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64"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65"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66"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p w14:paraId="15134467"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68"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469"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0,375</w:t>
                  </w:r>
                </w:p>
              </w:tc>
            </w:tr>
            <w:tr w:rsidR="008C2883" w:rsidRPr="008819AF" w14:paraId="15134474" w14:textId="77777777" w:rsidTr="00620437">
              <w:trPr>
                <w:trHeight w:val="283"/>
                <w:jc w:val="center"/>
              </w:trPr>
              <w:tc>
                <w:tcPr>
                  <w:tcW w:w="540" w:type="dxa"/>
                  <w:vMerge/>
                  <w:tcBorders>
                    <w:left w:val="single" w:sz="2" w:space="0" w:color="auto"/>
                    <w:right w:val="single" w:sz="2" w:space="0" w:color="auto"/>
                  </w:tcBorders>
                  <w:vAlign w:val="center"/>
                </w:tcPr>
                <w:p w14:paraId="1513446B" w14:textId="77777777" w:rsidR="008C2883" w:rsidRPr="008819AF" w:rsidRDefault="008C2883" w:rsidP="00EB6E9B">
                  <w:pPr>
                    <w:framePr w:hSpace="141" w:wrap="around" w:vAnchor="text" w:hAnchor="text"/>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1513446C"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6D"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6E"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6F"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70"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71"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72"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473"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0,35</w:t>
                  </w:r>
                </w:p>
              </w:tc>
            </w:tr>
            <w:tr w:rsidR="008C2883" w:rsidRPr="008819AF" w14:paraId="1513447E" w14:textId="77777777" w:rsidTr="00620437">
              <w:trPr>
                <w:trHeight w:val="283"/>
                <w:jc w:val="center"/>
              </w:trPr>
              <w:tc>
                <w:tcPr>
                  <w:tcW w:w="540" w:type="dxa"/>
                  <w:vMerge/>
                  <w:tcBorders>
                    <w:left w:val="single" w:sz="2" w:space="0" w:color="auto"/>
                    <w:right w:val="single" w:sz="2" w:space="0" w:color="auto"/>
                  </w:tcBorders>
                  <w:vAlign w:val="center"/>
                </w:tcPr>
                <w:p w14:paraId="15134475" w14:textId="77777777" w:rsidR="008C2883" w:rsidRPr="008819AF" w:rsidRDefault="008C2883" w:rsidP="00EB6E9B">
                  <w:pPr>
                    <w:framePr w:hSpace="141" w:wrap="around" w:vAnchor="text" w:hAnchor="text"/>
                    <w:jc w:val="center"/>
                    <w:rPr>
                      <w:sz w:val="18"/>
                      <w:szCs w:val="18"/>
                    </w:rPr>
                  </w:pPr>
                </w:p>
              </w:tc>
              <w:tc>
                <w:tcPr>
                  <w:tcW w:w="1161" w:type="dxa"/>
                  <w:vMerge w:val="restart"/>
                  <w:tcBorders>
                    <w:top w:val="single" w:sz="2" w:space="0" w:color="auto"/>
                    <w:left w:val="single" w:sz="2" w:space="0" w:color="auto"/>
                    <w:right w:val="single" w:sz="2" w:space="0" w:color="auto"/>
                  </w:tcBorders>
                  <w:vAlign w:val="center"/>
                </w:tcPr>
                <w:p w14:paraId="15134476"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textílií, tkanín,</w:t>
                  </w:r>
                  <w:r w:rsidR="00D23E60" w:rsidRPr="008819AF">
                    <w:rPr>
                      <w:rFonts w:ascii="Times New Roman" w:hAnsi="Times New Roman" w:cs="Times New Roman"/>
                      <w:sz w:val="18"/>
                      <w:szCs w:val="18"/>
                    </w:rPr>
                    <w:t xml:space="preserve"> </w:t>
                  </w:r>
                  <w:r w:rsidRPr="008819AF">
                    <w:rPr>
                      <w:rFonts w:ascii="Times New Roman" w:hAnsi="Times New Roman" w:cs="Times New Roman"/>
                      <w:sz w:val="18"/>
                      <w:szCs w:val="18"/>
                    </w:rPr>
                    <w:t>fólií, papiera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77"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78"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79"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7A"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7B"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100 </w:t>
                  </w:r>
                  <w:r w:rsidRPr="008819AF">
                    <w:rPr>
                      <w:rFonts w:ascii="Times New Roman" w:hAnsi="Times New Roman" w:cs="Times New Roman"/>
                      <w:sz w:val="18"/>
                      <w:szCs w:val="18"/>
                      <w:vertAlign w:val="superscript"/>
                    </w:rPr>
                    <w:t>2</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7C"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1513447D"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1,6 </w:t>
                  </w:r>
                </w:p>
              </w:tc>
            </w:tr>
            <w:tr w:rsidR="008C2883" w:rsidRPr="008819AF" w14:paraId="15134489" w14:textId="77777777" w:rsidTr="00620437">
              <w:trPr>
                <w:trHeight w:val="283"/>
                <w:jc w:val="center"/>
              </w:trPr>
              <w:tc>
                <w:tcPr>
                  <w:tcW w:w="540" w:type="dxa"/>
                  <w:vMerge/>
                  <w:tcBorders>
                    <w:left w:val="single" w:sz="2" w:space="0" w:color="auto"/>
                    <w:bottom w:val="single" w:sz="2" w:space="0" w:color="auto"/>
                    <w:right w:val="single" w:sz="2" w:space="0" w:color="auto"/>
                  </w:tcBorders>
                  <w:vAlign w:val="center"/>
                </w:tcPr>
                <w:p w14:paraId="1513447F" w14:textId="77777777" w:rsidR="008C2883" w:rsidRPr="008819AF" w:rsidRDefault="008C2883" w:rsidP="00EB6E9B">
                  <w:pPr>
                    <w:framePr w:hSpace="141" w:wrap="around" w:vAnchor="text" w:hAnchor="text"/>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15134480" w14:textId="77777777" w:rsidR="008C2883" w:rsidRPr="008819AF" w:rsidRDefault="008C2883" w:rsidP="00EB6E9B">
                  <w:pPr>
                    <w:framePr w:hSpace="141" w:wrap="around" w:vAnchor="text" w:hAnchor="text"/>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81"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82"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83"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84"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85"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p w14:paraId="15134486"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150</w:t>
                  </w:r>
                  <w:r w:rsidRPr="008819AF">
                    <w:rPr>
                      <w:rFonts w:ascii="Times New Roman" w:hAnsi="Times New Roman" w:cs="Times New Roman"/>
                      <w:sz w:val="18"/>
                      <w:szCs w:val="18"/>
                      <w:vertAlign w:val="superscript"/>
                    </w:rPr>
                    <w:t>5</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87"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488"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1</w:t>
                  </w:r>
                </w:p>
              </w:tc>
            </w:tr>
            <w:tr w:rsidR="008C2883" w:rsidRPr="008819AF" w14:paraId="15134493" w14:textId="77777777" w:rsidTr="00620437">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8A" w14:textId="77777777" w:rsidR="008C2883" w:rsidRPr="008819AF" w:rsidRDefault="008C2883" w:rsidP="00EB6E9B">
                  <w:pPr>
                    <w:pStyle w:val="Zkladntext2"/>
                    <w:framePr w:hSpace="141" w:wrap="around" w:vAnchor="text" w:hAnchor="text"/>
                    <w:ind w:right="-97"/>
                    <w:rPr>
                      <w:rFonts w:ascii="Times New Roman" w:hAnsi="Times New Roman" w:cs="Times New Roman"/>
                      <w:sz w:val="18"/>
                      <w:szCs w:val="18"/>
                    </w:rPr>
                  </w:pPr>
                  <w:r w:rsidRPr="008819AF">
                    <w:rPr>
                      <w:rFonts w:ascii="Times New Roman" w:hAnsi="Times New Roman" w:cs="Times New Roman"/>
                      <w:b/>
                      <w:sz w:val="18"/>
                      <w:szCs w:val="18"/>
                    </w:rPr>
                    <w:t>IVb</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8B" w14:textId="77777777" w:rsidR="008C2883" w:rsidRPr="008819AF" w:rsidRDefault="008C2883" w:rsidP="00EB6E9B">
                  <w:pPr>
                    <w:pStyle w:val="Zkladntext2"/>
                    <w:framePr w:hSpace="141" w:wrap="around" w:vAnchor="text" w:hAnchor="text"/>
                    <w:rPr>
                      <w:rFonts w:ascii="Times New Roman" w:hAnsi="Times New Roman" w:cs="Times New Roman"/>
                      <w:sz w:val="18"/>
                      <w:szCs w:val="18"/>
                    </w:rPr>
                  </w:pPr>
                  <w:r w:rsidRPr="008819AF">
                    <w:rPr>
                      <w:rFonts w:ascii="Times New Roman" w:hAnsi="Times New Roman" w:cs="Times New Roman"/>
                      <w:sz w:val="18"/>
                      <w:szCs w:val="18"/>
                    </w:rPr>
                    <w:t>z dreva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8C"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8D"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8E"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8F"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90"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100</w:t>
                  </w:r>
                  <w:r w:rsidRPr="008819AF">
                    <w:rPr>
                      <w:rFonts w:ascii="Times New Roman" w:hAnsi="Times New Roman" w:cs="Times New Roman"/>
                      <w:sz w:val="18"/>
                      <w:szCs w:val="18"/>
                      <w:vertAlign w:val="superscript"/>
                    </w:rPr>
                    <w:t>2</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91"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15134492"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1,6</w:t>
                  </w:r>
                </w:p>
              </w:tc>
            </w:tr>
            <w:tr w:rsidR="008C2883" w:rsidRPr="008819AF" w14:paraId="1513449D" w14:textId="77777777" w:rsidTr="00620437">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15134494" w14:textId="77777777" w:rsidR="008C2883" w:rsidRPr="008819AF" w:rsidRDefault="008C2883" w:rsidP="00EB6E9B">
                  <w:pPr>
                    <w:framePr w:hSpace="141" w:wrap="around" w:vAnchor="text" w:hAnchor="text"/>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15134495" w14:textId="77777777" w:rsidR="008C2883" w:rsidRPr="008819AF" w:rsidRDefault="008C2883" w:rsidP="00EB6E9B">
                  <w:pPr>
                    <w:framePr w:hSpace="141" w:wrap="around" w:vAnchor="text" w:hAnchor="text"/>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96"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97"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98"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99"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9A"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9B"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49C"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1</w:t>
                  </w:r>
                </w:p>
              </w:tc>
            </w:tr>
            <w:tr w:rsidR="008C2883" w:rsidRPr="008819AF" w14:paraId="151344A7" w14:textId="77777777" w:rsidTr="00620437">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1513449E" w14:textId="77777777" w:rsidR="008C2883" w:rsidRPr="008819AF" w:rsidRDefault="008C2883" w:rsidP="00EB6E9B">
                  <w:pPr>
                    <w:framePr w:hSpace="141" w:wrap="around" w:vAnchor="text" w:hAnchor="text"/>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1513449F" w14:textId="77777777" w:rsidR="008C2883" w:rsidRPr="008819AF" w:rsidRDefault="008C2883" w:rsidP="00EB6E9B">
                  <w:pPr>
                    <w:framePr w:hSpace="141" w:wrap="around" w:vAnchor="text" w:hAnchor="text"/>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A0"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A1"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A2"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A3"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A4"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A5"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15</w:t>
                  </w:r>
                </w:p>
              </w:tc>
              <w:tc>
                <w:tcPr>
                  <w:tcW w:w="1984" w:type="dxa"/>
                  <w:tcBorders>
                    <w:top w:val="single" w:sz="2" w:space="0" w:color="auto"/>
                    <w:left w:val="single" w:sz="2" w:space="0" w:color="auto"/>
                    <w:bottom w:val="single" w:sz="2" w:space="0" w:color="auto"/>
                    <w:right w:val="single" w:sz="2" w:space="0" w:color="auto"/>
                  </w:tcBorders>
                  <w:vAlign w:val="center"/>
                </w:tcPr>
                <w:p w14:paraId="151344A6"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0,75</w:t>
                  </w:r>
                </w:p>
              </w:tc>
            </w:tr>
            <w:tr w:rsidR="008C2883" w:rsidRPr="008819AF" w14:paraId="151344AE" w14:textId="77777777" w:rsidTr="00620437">
              <w:trPr>
                <w:trHeigh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A8" w14:textId="77777777" w:rsidR="008C2883" w:rsidRPr="008819AF" w:rsidRDefault="008C2883" w:rsidP="00EB6E9B">
                  <w:pPr>
                    <w:pStyle w:val="Zkladntext2"/>
                    <w:framePr w:hSpace="141" w:wrap="around" w:vAnchor="text" w:hAnchor="text"/>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A9" w14:textId="77777777" w:rsidR="008C2883" w:rsidRPr="008819AF" w:rsidRDefault="008C2883" w:rsidP="00EB6E9B">
                  <w:pPr>
                    <w:pStyle w:val="Zkladntext2"/>
                    <w:framePr w:hSpace="141" w:wrap="around" w:vAnchor="text" w:hAnchor="text"/>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AA" w14:textId="77777777" w:rsidR="008C2883" w:rsidRPr="008819AF" w:rsidRDefault="008C2883" w:rsidP="00EB6E9B">
                  <w:pPr>
                    <w:pStyle w:val="Zkladntext2"/>
                    <w:framePr w:hSpace="141" w:wrap="around" w:vAnchor="text" w:hAnchor="text"/>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AB" w14:textId="77777777" w:rsidR="008C2883" w:rsidRPr="008819AF" w:rsidRDefault="008C2883" w:rsidP="00EB6E9B">
                  <w:pPr>
                    <w:pStyle w:val="Zkladntext2"/>
                    <w:framePr w:hSpace="141" w:wrap="around" w:vAnchor="text" w:hAnchor="text"/>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AC"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Odpad</w:t>
                  </w:r>
                  <w:r w:rsidR="00D23E60" w:rsidRPr="008819AF">
                    <w:rPr>
                      <w:rFonts w:ascii="Times New Roman" w:hAnsi="Times New Roman" w:cs="Times New Roman"/>
                      <w:b/>
                      <w:sz w:val="18"/>
                      <w:szCs w:val="18"/>
                    </w:rPr>
                    <w:t>.</w:t>
                  </w:r>
                  <w:r w:rsidRPr="008819AF">
                    <w:rPr>
                      <w:rFonts w:ascii="Times New Roman" w:hAnsi="Times New Roman" w:cs="Times New Roman"/>
                      <w:b/>
                      <w:sz w:val="18"/>
                      <w:szCs w:val="18"/>
                    </w:rPr>
                    <w:t xml:space="preserve"> plyny</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AD"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Celkové emisie</w:t>
                  </w:r>
                  <w:r w:rsidRPr="008819AF">
                    <w:rPr>
                      <w:rFonts w:ascii="Times New Roman" w:hAnsi="Times New Roman" w:cs="Times New Roman"/>
                      <w:b/>
                      <w:sz w:val="18"/>
                      <w:szCs w:val="18"/>
                      <w:vertAlign w:val="superscript"/>
                    </w:rPr>
                    <w:t>6</w:t>
                  </w:r>
                  <w:r w:rsidRPr="008819AF">
                    <w:rPr>
                      <w:rFonts w:ascii="Times New Roman" w:hAnsi="Times New Roman" w:cs="Times New Roman"/>
                      <w:b/>
                      <w:sz w:val="18"/>
                      <w:szCs w:val="18"/>
                    </w:rPr>
                    <w:t>)</w:t>
                  </w:r>
                </w:p>
              </w:tc>
            </w:tr>
            <w:tr w:rsidR="008C2883" w:rsidRPr="008819AF" w14:paraId="151344B6" w14:textId="77777777" w:rsidTr="00620437">
              <w:trPr>
                <w:trHeight w:val="397"/>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151344AF" w14:textId="77777777" w:rsidR="008C2883" w:rsidRPr="008819AF" w:rsidRDefault="008C2883" w:rsidP="00EB6E9B">
                  <w:pPr>
                    <w:framePr w:hSpace="141" w:wrap="around" w:vAnchor="text" w:hAnchor="text"/>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151344B0" w14:textId="77777777" w:rsidR="008C2883" w:rsidRPr="008819AF" w:rsidRDefault="008C2883" w:rsidP="00EB6E9B">
                  <w:pPr>
                    <w:framePr w:hSpace="141" w:wrap="around" w:vAnchor="text" w:hAnchor="text"/>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151344B1" w14:textId="77777777" w:rsidR="008C2883" w:rsidRPr="008819AF" w:rsidRDefault="008C2883" w:rsidP="00EB6E9B">
                  <w:pPr>
                    <w:framePr w:hSpace="141" w:wrap="around" w:vAnchor="text" w:hAnchor="text"/>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151344B2" w14:textId="77777777" w:rsidR="008C2883" w:rsidRPr="008819AF" w:rsidRDefault="008C2883" w:rsidP="00EB6E9B">
                  <w:pPr>
                    <w:framePr w:hSpace="141" w:wrap="around" w:vAnchor="text" w:hAnchor="tex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B3"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TZL</w:t>
                  </w:r>
                  <w:r w:rsidRPr="008819AF">
                    <w:rPr>
                      <w:rFonts w:ascii="Times New Roman" w:hAnsi="Times New Roman" w:cs="Times New Roman"/>
                      <w:b/>
                      <w:sz w:val="18"/>
                      <w:szCs w:val="18"/>
                      <w:vertAlign w:val="superscript"/>
                    </w:rPr>
                    <w:t>1</w:t>
                  </w:r>
                  <w:r w:rsidRPr="008819AF">
                    <w:rPr>
                      <w:rFonts w:ascii="Times New Roman" w:hAnsi="Times New Roman" w:cs="Times New Roman"/>
                      <w:b/>
                      <w:sz w:val="18"/>
                      <w:szCs w:val="18"/>
                    </w:rPr>
                    <w:t>)</w:t>
                  </w:r>
                </w:p>
                <w:p w14:paraId="151344B4"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mg/m3</w:t>
                  </w:r>
                  <w:r w:rsidRPr="008819AF">
                    <w:rPr>
                      <w:rFonts w:ascii="Times New Roman" w:hAnsi="Times New Roman" w:cs="Times New Roman"/>
                      <w:b/>
                      <w:sz w:val="18"/>
                      <w:szCs w:val="18"/>
                    </w:rPr>
                    <w:sym w:font="Symbol" w:char="F05D"/>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B5"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g/m2</w:t>
                  </w:r>
                  <w:r w:rsidRPr="008819AF">
                    <w:rPr>
                      <w:rFonts w:ascii="Times New Roman" w:hAnsi="Times New Roman" w:cs="Times New Roman"/>
                      <w:b/>
                      <w:sz w:val="18"/>
                      <w:szCs w:val="18"/>
                    </w:rPr>
                    <w:sym w:font="Symbol" w:char="F05D"/>
                  </w:r>
                </w:p>
              </w:tc>
            </w:tr>
            <w:tr w:rsidR="008C2883" w:rsidRPr="008819AF" w14:paraId="151344BE" w14:textId="77777777" w:rsidTr="00620437">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B7" w14:textId="77777777" w:rsidR="008C2883" w:rsidRPr="008819AF" w:rsidRDefault="008C2883" w:rsidP="00EB6E9B">
                  <w:pPr>
                    <w:pStyle w:val="Zkladntext2"/>
                    <w:framePr w:hSpace="141" w:wrap="around" w:vAnchor="text" w:hAnchor="text"/>
                    <w:rPr>
                      <w:rFonts w:ascii="Times New Roman" w:hAnsi="Times New Roman" w:cs="Times New Roman"/>
                      <w:b/>
                      <w:sz w:val="18"/>
                      <w:szCs w:val="18"/>
                    </w:rPr>
                  </w:pPr>
                  <w:r w:rsidRPr="008819AF">
                    <w:rPr>
                      <w:rFonts w:ascii="Times New Roman" w:hAnsi="Times New Roman" w:cs="Times New Roman"/>
                      <w:b/>
                      <w:sz w:val="18"/>
                      <w:szCs w:val="18"/>
                    </w:rPr>
                    <w:t>IVc</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B8" w14:textId="77777777" w:rsidR="008C2883" w:rsidRPr="008819AF" w:rsidRDefault="008C2883" w:rsidP="00EB6E9B">
                  <w:pPr>
                    <w:pStyle w:val="Zkladntext2"/>
                    <w:framePr w:hSpace="141" w:wrap="around" w:vAnchor="text" w:hAnchor="text"/>
                    <w:rPr>
                      <w:rFonts w:ascii="Times New Roman" w:hAnsi="Times New Roman" w:cs="Times New Roman"/>
                      <w:sz w:val="18"/>
                      <w:szCs w:val="18"/>
                    </w:rPr>
                  </w:pPr>
                  <w:r w:rsidRPr="008819AF">
                    <w:rPr>
                      <w:rFonts w:ascii="Times New Roman" w:hAnsi="Times New Roman" w:cs="Times New Roman"/>
                      <w:sz w:val="18"/>
                      <w:szCs w:val="18"/>
                    </w:rPr>
                    <w:t>na kožu</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B9"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BA"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BB"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BC"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BD"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85, 150</w:t>
                  </w:r>
                  <w:r w:rsidRPr="008819AF">
                    <w:rPr>
                      <w:rFonts w:ascii="Times New Roman" w:hAnsi="Times New Roman" w:cs="Times New Roman"/>
                      <w:sz w:val="18"/>
                      <w:szCs w:val="18"/>
                      <w:vertAlign w:val="superscript"/>
                    </w:rPr>
                    <w:t>7</w:t>
                  </w:r>
                  <w:r w:rsidRPr="008819AF">
                    <w:rPr>
                      <w:rFonts w:ascii="Times New Roman" w:hAnsi="Times New Roman" w:cs="Times New Roman"/>
                      <w:sz w:val="18"/>
                      <w:szCs w:val="18"/>
                    </w:rPr>
                    <w:t>)</w:t>
                  </w:r>
                </w:p>
              </w:tc>
            </w:tr>
            <w:tr w:rsidR="008C2883" w:rsidRPr="008819AF" w14:paraId="151344C6" w14:textId="77777777" w:rsidTr="00620437">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151344BF" w14:textId="77777777" w:rsidR="008C2883" w:rsidRPr="008819AF" w:rsidRDefault="008C2883" w:rsidP="00EB6E9B">
                  <w:pPr>
                    <w:framePr w:hSpace="141" w:wrap="around" w:vAnchor="text" w:hAnchor="text"/>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151344C0" w14:textId="77777777" w:rsidR="008C2883" w:rsidRPr="008819AF" w:rsidRDefault="008C2883" w:rsidP="00EB6E9B">
                  <w:pPr>
                    <w:framePr w:hSpace="141" w:wrap="around" w:vAnchor="text" w:hAnchor="text"/>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C1"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C2"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C3"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C4"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4C5" w14:textId="77777777" w:rsidR="008C2883" w:rsidRPr="008819AF" w:rsidRDefault="008C2883" w:rsidP="00EB6E9B">
                  <w:pPr>
                    <w:pStyle w:val="Zkladntext2"/>
                    <w:framePr w:hSpace="141" w:wrap="around" w:vAnchor="text" w:hAnchor="text"/>
                    <w:ind w:left="-93" w:firstLine="0"/>
                    <w:jc w:val="center"/>
                    <w:rPr>
                      <w:rFonts w:ascii="Times New Roman" w:hAnsi="Times New Roman" w:cs="Times New Roman"/>
                      <w:sz w:val="18"/>
                      <w:szCs w:val="18"/>
                    </w:rPr>
                  </w:pPr>
                  <w:r w:rsidRPr="008819AF">
                    <w:rPr>
                      <w:rFonts w:ascii="Times New Roman" w:hAnsi="Times New Roman" w:cs="Times New Roman"/>
                      <w:sz w:val="18"/>
                      <w:szCs w:val="18"/>
                    </w:rPr>
                    <w:t>75, 150</w:t>
                  </w:r>
                  <w:r w:rsidRPr="008819AF">
                    <w:rPr>
                      <w:rFonts w:ascii="Times New Roman" w:hAnsi="Times New Roman" w:cs="Times New Roman"/>
                      <w:sz w:val="18"/>
                      <w:szCs w:val="18"/>
                      <w:vertAlign w:val="superscript"/>
                    </w:rPr>
                    <w:t>7</w:t>
                  </w:r>
                  <w:r w:rsidRPr="008819AF">
                    <w:rPr>
                      <w:rFonts w:ascii="Times New Roman" w:hAnsi="Times New Roman" w:cs="Times New Roman"/>
                      <w:sz w:val="18"/>
                      <w:szCs w:val="18"/>
                    </w:rPr>
                    <w:t>)</w:t>
                  </w:r>
                </w:p>
              </w:tc>
            </w:tr>
          </w:tbl>
          <w:p w14:paraId="151344C7" w14:textId="77777777" w:rsidR="008C2883" w:rsidRPr="008819AF" w:rsidRDefault="008C2883" w:rsidP="008C2883">
            <w:pPr>
              <w:pStyle w:val="Zkladntext2"/>
              <w:spacing w:before="60"/>
              <w:rPr>
                <w:rFonts w:ascii="Times New Roman" w:hAnsi="Times New Roman" w:cs="Times New Roman"/>
                <w:sz w:val="20"/>
                <w:szCs w:val="20"/>
              </w:rPr>
            </w:pPr>
            <w:r w:rsidRPr="008819AF">
              <w:rPr>
                <w:rFonts w:ascii="Times New Roman" w:hAnsi="Times New Roman" w:cs="Times New Roman"/>
                <w:sz w:val="20"/>
                <w:szCs w:val="20"/>
                <w:vertAlign w:val="superscript"/>
              </w:rPr>
              <w:t>1</w:t>
            </w:r>
            <w:r w:rsidRPr="008819AF">
              <w:rPr>
                <w:rFonts w:ascii="Times New Roman" w:hAnsi="Times New Roman" w:cs="Times New Roman"/>
                <w:sz w:val="20"/>
                <w:szCs w:val="20"/>
              </w:rPr>
              <w:t>) Emisný limit pre TZL platí iba pre proces striekania.</w:t>
            </w:r>
          </w:p>
          <w:p w14:paraId="151344C8" w14:textId="77777777" w:rsidR="008C2883" w:rsidRPr="008819AF" w:rsidRDefault="008C2883" w:rsidP="008C2883">
            <w:pPr>
              <w:pStyle w:val="Zkladntext2"/>
              <w:ind w:left="270" w:hanging="270"/>
              <w:rPr>
                <w:rFonts w:ascii="Times New Roman" w:hAnsi="Times New Roman" w:cs="Times New Roman"/>
                <w:sz w:val="20"/>
                <w:szCs w:val="20"/>
                <w:vertAlign w:val="superscript"/>
              </w:rPr>
            </w:pPr>
            <w:r w:rsidRPr="008819AF">
              <w:rPr>
                <w:rFonts w:ascii="Times New Roman" w:hAnsi="Times New Roman" w:cs="Times New Roman"/>
                <w:sz w:val="20"/>
                <w:szCs w:val="20"/>
                <w:vertAlign w:val="superscript"/>
              </w:rPr>
              <w:t>2</w:t>
            </w:r>
            <w:r w:rsidRPr="008819AF">
              <w:rPr>
                <w:rFonts w:ascii="Times New Roman" w:hAnsi="Times New Roman" w:cs="Times New Roman"/>
                <w:sz w:val="20"/>
                <w:szCs w:val="20"/>
              </w:rPr>
              <w:t>) Emisný limit pre TOC v odpadovom plyne platí pre procesy nanášania a sušenia prevádzkované za riadených  podmienok.</w:t>
            </w:r>
          </w:p>
          <w:p w14:paraId="151344C9" w14:textId="77777777" w:rsidR="008C2883" w:rsidRPr="008819AF" w:rsidRDefault="008C2883" w:rsidP="008C2883">
            <w:pPr>
              <w:pStyle w:val="Zkladntext2"/>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lastRenderedPageBreak/>
              <w:t>3</w:t>
            </w:r>
            <w:r w:rsidRPr="008819AF">
              <w:rPr>
                <w:rFonts w:ascii="Times New Roman" w:hAnsi="Times New Roman" w:cs="Times New Roman"/>
                <w:sz w:val="20"/>
                <w:szCs w:val="20"/>
              </w:rPr>
              <w:t>) Prvý emisný limit platí pre procesy sušenia, druhý pre procesy nanášania.</w:t>
            </w:r>
          </w:p>
          <w:p w14:paraId="151344CA" w14:textId="77777777" w:rsidR="008C2883" w:rsidRPr="008819AF" w:rsidRDefault="008C2883" w:rsidP="008C2883">
            <w:pPr>
              <w:ind w:left="284" w:hanging="284"/>
              <w:jc w:val="both"/>
            </w:pPr>
            <w:r w:rsidRPr="008819AF">
              <w:rPr>
                <w:vertAlign w:val="superscript"/>
              </w:rPr>
              <w:t>4</w:t>
            </w:r>
            <w:r w:rsidRPr="008819AF">
              <w:t>) Platí pri nanášaní náterov na povrchy kovov pre styk s potravinami.</w:t>
            </w:r>
          </w:p>
          <w:p w14:paraId="151344CB" w14:textId="77777777" w:rsidR="008C2883" w:rsidRPr="008819AF" w:rsidRDefault="008C2883" w:rsidP="008C2883">
            <w:pPr>
              <w:pStyle w:val="Zkladntext2"/>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5</w:t>
            </w:r>
            <w:r w:rsidRPr="008819AF">
              <w:rPr>
                <w:rFonts w:ascii="Times New Roman" w:hAnsi="Times New Roman" w:cs="Times New Roman"/>
                <w:sz w:val="20"/>
                <w:szCs w:val="20"/>
              </w:rPr>
              <w:t>) Platí spoločne pre proces nanášania a proces sušenia pre zariadenia na nanášanie náterových látok na textil používajúce techniky na opätovné využitie regenerovaných organických rozpúšťadiel.</w:t>
            </w:r>
          </w:p>
          <w:p w14:paraId="151344CC" w14:textId="77777777" w:rsidR="008C2883" w:rsidRPr="008819AF" w:rsidRDefault="008C2883" w:rsidP="008C2883">
            <w:pPr>
              <w:pStyle w:val="Zkladntext2"/>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6</w:t>
            </w:r>
            <w:r w:rsidRPr="008819AF">
              <w:rPr>
                <w:rFonts w:ascii="Times New Roman" w:hAnsi="Times New Roman" w:cs="Times New Roman"/>
                <w:sz w:val="20"/>
                <w:szCs w:val="20"/>
              </w:rPr>
              <w:t>) Podiel hmotnosti celkových emisií VOC a celkovej plochy produktu.</w:t>
            </w:r>
          </w:p>
          <w:p w14:paraId="151344CD" w14:textId="77777777" w:rsidR="008C2883" w:rsidRPr="008819AF" w:rsidRDefault="008C2883" w:rsidP="008C2883">
            <w:pPr>
              <w:pStyle w:val="Zkladntext2"/>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7</w:t>
            </w:r>
            <w:r w:rsidRPr="008819AF">
              <w:rPr>
                <w:rFonts w:ascii="Times New Roman" w:hAnsi="Times New Roman" w:cs="Times New Roman"/>
                <w:sz w:val="20"/>
                <w:szCs w:val="20"/>
              </w:rPr>
              <w:t>) Platí, ak ide o výrobu koženého nábytku a drobných kožených predmetov ako sú tašky, peňaženky, opasky a pod.</w:t>
            </w:r>
          </w:p>
          <w:p w14:paraId="151344CE" w14:textId="77777777" w:rsidR="008C2883" w:rsidRPr="008819AF" w:rsidRDefault="008C2883" w:rsidP="008C2883">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151344CF" w14:textId="77777777" w:rsidR="008C2883" w:rsidRPr="008819AF" w:rsidRDefault="008C2883" w:rsidP="008C288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151344D0" w14:textId="77777777" w:rsidR="008C2883" w:rsidRPr="008819AF" w:rsidRDefault="008C2883" w:rsidP="008C2883">
            <w:pPr>
              <w:ind w:left="215" w:hanging="215"/>
              <w:rPr>
                <w:rFonts w:eastAsia="Arial"/>
              </w:rPr>
            </w:pPr>
          </w:p>
        </w:tc>
      </w:tr>
    </w:tbl>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5386"/>
        <w:gridCol w:w="881"/>
        <w:gridCol w:w="678"/>
        <w:gridCol w:w="567"/>
        <w:gridCol w:w="5954"/>
        <w:gridCol w:w="709"/>
        <w:gridCol w:w="607"/>
      </w:tblGrid>
      <w:tr w:rsidR="00F80158" w:rsidRPr="008819AF" w14:paraId="1513457E" w14:textId="77777777" w:rsidTr="002A6DD8">
        <w:trPr>
          <w:trHeight w:val="768"/>
        </w:trPr>
        <w:tc>
          <w:tcPr>
            <w:tcW w:w="496" w:type="dxa"/>
            <w:tcBorders>
              <w:top w:val="single" w:sz="4" w:space="0" w:color="000000"/>
              <w:left w:val="single" w:sz="6" w:space="0" w:color="000000"/>
              <w:bottom w:val="single" w:sz="4" w:space="0" w:color="000000"/>
              <w:right w:val="single" w:sz="6" w:space="0" w:color="000000"/>
            </w:tcBorders>
          </w:tcPr>
          <w:p w14:paraId="151344D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3 </w:t>
            </w:r>
          </w:p>
        </w:tc>
        <w:tc>
          <w:tcPr>
            <w:tcW w:w="5386" w:type="dxa"/>
            <w:tcBorders>
              <w:top w:val="single" w:sz="4" w:space="0" w:color="000000"/>
              <w:left w:val="single" w:sz="6" w:space="0" w:color="000000"/>
              <w:bottom w:val="single" w:sz="4" w:space="0" w:color="000000"/>
              <w:right w:val="single" w:sz="6" w:space="0" w:color="000000"/>
            </w:tcBorders>
          </w:tcPr>
          <w:p w14:paraId="151344D3"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Ostatná rotačná hĺbkotlač, flexografia, rotačná sieťotlač, laminovacie alebo lakovacie jednotky (&gt;15 ) rotačná sieťotlač na textil a lepenku </w:t>
            </w:r>
          </w:p>
        </w:tc>
        <w:tc>
          <w:tcPr>
            <w:tcW w:w="881" w:type="dxa"/>
            <w:tcBorders>
              <w:top w:val="single" w:sz="4" w:space="0" w:color="000000"/>
              <w:left w:val="single" w:sz="6" w:space="0" w:color="000000"/>
              <w:bottom w:val="single" w:sz="4" w:space="0" w:color="000000"/>
              <w:right w:val="single" w:sz="6" w:space="0" w:color="000000"/>
            </w:tcBorders>
          </w:tcPr>
          <w:p w14:paraId="151344D4" w14:textId="77777777" w:rsidR="007170C3" w:rsidRPr="008819AF" w:rsidRDefault="00DE3834">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4D5"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4D6" w14:textId="77777777" w:rsidR="007170C3" w:rsidRPr="008819AF" w:rsidRDefault="008220C5">
            <w:r w:rsidRPr="008819AF">
              <w:t>Pr.6</w:t>
            </w:r>
          </w:p>
          <w:p w14:paraId="151344D7" w14:textId="77777777" w:rsidR="008220C5" w:rsidRPr="008819AF" w:rsidRDefault="008220C5">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4D8" w14:textId="77777777" w:rsidR="008220C5" w:rsidRPr="008819AF" w:rsidRDefault="008220C5">
            <w:pPr>
              <w:pStyle w:val="Hlavika"/>
              <w:ind w:left="72" w:hanging="1"/>
              <w:jc w:val="both"/>
              <w:rPr>
                <w:rFonts w:ascii="Times New Roman" w:hAnsi="Times New Roman" w:cs="Times New Roman"/>
              </w:rPr>
            </w:pPr>
            <w:r w:rsidRPr="008819AF">
              <w:rPr>
                <w:rFonts w:ascii="Times New Roman" w:hAnsi="Times New Roman" w:cs="Times New Roman"/>
                <w:b/>
              </w:rPr>
              <w:t>1.  POLYGRAFIA (I)</w:t>
            </w:r>
          </w:p>
          <w:p w14:paraId="151344D9" w14:textId="77777777" w:rsidR="008220C5" w:rsidRPr="008819AF" w:rsidRDefault="008220C5">
            <w:pPr>
              <w:pStyle w:val="Hlavika"/>
              <w:ind w:left="72" w:hanging="1"/>
              <w:jc w:val="both"/>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8"/>
              <w:gridCol w:w="1777"/>
              <w:gridCol w:w="337"/>
              <w:gridCol w:w="565"/>
              <w:gridCol w:w="564"/>
              <w:gridCol w:w="716"/>
              <w:gridCol w:w="25"/>
              <w:gridCol w:w="708"/>
              <w:gridCol w:w="778"/>
            </w:tblGrid>
            <w:tr w:rsidR="008220C5" w:rsidRPr="008819AF" w14:paraId="151344DC" w14:textId="77777777" w:rsidTr="008220C5">
              <w:trPr>
                <w:trHeight w:val="397"/>
                <w:jc w:val="center"/>
              </w:trPr>
              <w:tc>
                <w:tcPr>
                  <w:tcW w:w="2115" w:type="dxa"/>
                  <w:gridSpan w:val="2"/>
                  <w:vAlign w:val="center"/>
                </w:tcPr>
                <w:p w14:paraId="151344DA"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Podmienky platnosti EL</w:t>
                  </w:r>
                </w:p>
              </w:tc>
              <w:tc>
                <w:tcPr>
                  <w:tcW w:w="3693" w:type="dxa"/>
                  <w:gridSpan w:val="7"/>
                  <w:vAlign w:val="center"/>
                </w:tcPr>
                <w:p w14:paraId="151344DB" w14:textId="77777777" w:rsidR="008220C5" w:rsidRPr="008819AF" w:rsidRDefault="008220C5" w:rsidP="008220C5">
                  <w:pPr>
                    <w:pStyle w:val="Zkladntext2"/>
                    <w:ind w:left="-93" w:firstLine="0"/>
                    <w:rPr>
                      <w:rFonts w:ascii="Times New Roman" w:hAnsi="Times New Roman" w:cs="Times New Roman"/>
                      <w:sz w:val="18"/>
                      <w:szCs w:val="18"/>
                    </w:rPr>
                  </w:pPr>
                  <w:r w:rsidRPr="008819AF">
                    <w:rPr>
                      <w:rFonts w:ascii="Times New Roman" w:hAnsi="Times New Roman" w:cs="Times New Roman"/>
                      <w:sz w:val="18"/>
                      <w:szCs w:val="18"/>
                    </w:rPr>
                    <w:t>Štandardné stavové podmienky, vlhký plyn</w:t>
                  </w:r>
                </w:p>
              </w:tc>
            </w:tr>
            <w:tr w:rsidR="008220C5" w:rsidRPr="008819AF" w14:paraId="151344E3" w14:textId="77777777" w:rsidTr="008220C5">
              <w:trPr>
                <w:trHeight w:val="281"/>
                <w:jc w:val="center"/>
              </w:trPr>
              <w:tc>
                <w:tcPr>
                  <w:tcW w:w="2115" w:type="dxa"/>
                  <w:gridSpan w:val="2"/>
                  <w:vMerge w:val="restart"/>
                  <w:vAlign w:val="center"/>
                </w:tcPr>
                <w:p w14:paraId="151344DD"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Činnosť</w:t>
                  </w:r>
                </w:p>
              </w:tc>
              <w:tc>
                <w:tcPr>
                  <w:tcW w:w="1466" w:type="dxa"/>
                  <w:gridSpan w:val="3"/>
                  <w:vMerge w:val="restart"/>
                  <w:vAlign w:val="center"/>
                </w:tcPr>
                <w:p w14:paraId="151344DE"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Prahová spotreba rozpúšťadla</w:t>
                  </w:r>
                </w:p>
                <w:p w14:paraId="151344DF"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t/rok</w:t>
                  </w:r>
                  <w:r w:rsidRPr="008819AF">
                    <w:rPr>
                      <w:rFonts w:ascii="Times New Roman" w:hAnsi="Times New Roman" w:cs="Times New Roman"/>
                      <w:b/>
                      <w:sz w:val="18"/>
                      <w:szCs w:val="18"/>
                    </w:rPr>
                    <w:sym w:font="Symbol" w:char="F05D"/>
                  </w:r>
                </w:p>
              </w:tc>
              <w:tc>
                <w:tcPr>
                  <w:tcW w:w="1449" w:type="dxa"/>
                  <w:gridSpan w:val="3"/>
                  <w:vAlign w:val="center"/>
                </w:tcPr>
                <w:p w14:paraId="151344E0"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Emisný limit</w:t>
                  </w:r>
                </w:p>
              </w:tc>
              <w:tc>
                <w:tcPr>
                  <w:tcW w:w="778" w:type="dxa"/>
                  <w:vMerge w:val="restart"/>
                  <w:vAlign w:val="center"/>
                </w:tcPr>
                <w:p w14:paraId="151344E1" w14:textId="77777777" w:rsidR="008220C5" w:rsidRPr="008819AF" w:rsidRDefault="008220C5" w:rsidP="008220C5">
                  <w:pPr>
                    <w:pStyle w:val="Zkladntext2"/>
                    <w:ind w:left="-93" w:right="-70" w:firstLine="0"/>
                    <w:jc w:val="center"/>
                    <w:rPr>
                      <w:rFonts w:ascii="Times New Roman" w:hAnsi="Times New Roman" w:cs="Times New Roman"/>
                      <w:b/>
                      <w:sz w:val="18"/>
                      <w:szCs w:val="18"/>
                    </w:rPr>
                  </w:pPr>
                  <w:r w:rsidRPr="008819AF">
                    <w:rPr>
                      <w:rFonts w:ascii="Times New Roman" w:hAnsi="Times New Roman" w:cs="Times New Roman"/>
                      <w:b/>
                      <w:sz w:val="18"/>
                      <w:szCs w:val="18"/>
                    </w:rPr>
                    <w:t>Emisný faktor</w:t>
                  </w:r>
                </w:p>
                <w:p w14:paraId="151344E2"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pre RP</w:t>
                  </w:r>
                </w:p>
              </w:tc>
            </w:tr>
            <w:tr w:rsidR="008220C5" w:rsidRPr="008819AF" w14:paraId="151344E9" w14:textId="77777777" w:rsidTr="008220C5">
              <w:trPr>
                <w:trHeight w:val="499"/>
                <w:jc w:val="center"/>
              </w:trPr>
              <w:tc>
                <w:tcPr>
                  <w:tcW w:w="2115" w:type="dxa"/>
                  <w:gridSpan w:val="2"/>
                  <w:vMerge/>
                  <w:vAlign w:val="center"/>
                </w:tcPr>
                <w:p w14:paraId="151344E4" w14:textId="77777777" w:rsidR="008220C5" w:rsidRPr="008819AF" w:rsidRDefault="008220C5" w:rsidP="00445A6C">
                  <w:pPr>
                    <w:rPr>
                      <w:b/>
                      <w:sz w:val="18"/>
                      <w:szCs w:val="18"/>
                    </w:rPr>
                  </w:pPr>
                </w:p>
              </w:tc>
              <w:tc>
                <w:tcPr>
                  <w:tcW w:w="1466" w:type="dxa"/>
                  <w:gridSpan w:val="3"/>
                  <w:vMerge/>
                  <w:vAlign w:val="center"/>
                </w:tcPr>
                <w:p w14:paraId="151344E5" w14:textId="77777777" w:rsidR="008220C5" w:rsidRPr="008819AF" w:rsidRDefault="008220C5" w:rsidP="008220C5">
                  <w:pPr>
                    <w:pStyle w:val="Zkladntext2"/>
                    <w:ind w:left="-93" w:firstLine="0"/>
                    <w:jc w:val="center"/>
                    <w:rPr>
                      <w:rFonts w:ascii="Times New Roman" w:hAnsi="Times New Roman" w:cs="Times New Roman"/>
                      <w:b/>
                      <w:sz w:val="18"/>
                      <w:szCs w:val="18"/>
                    </w:rPr>
                  </w:pPr>
                </w:p>
              </w:tc>
              <w:tc>
                <w:tcPr>
                  <w:tcW w:w="741" w:type="dxa"/>
                  <w:gridSpan w:val="2"/>
                  <w:vAlign w:val="center"/>
                </w:tcPr>
                <w:p w14:paraId="151344E6"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Odpadové plyny</w:t>
                  </w:r>
                </w:p>
              </w:tc>
              <w:tc>
                <w:tcPr>
                  <w:tcW w:w="708" w:type="dxa"/>
                  <w:vAlign w:val="center"/>
                </w:tcPr>
                <w:p w14:paraId="151344E7"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Fugitívne emisie</w:t>
                  </w:r>
                </w:p>
              </w:tc>
              <w:tc>
                <w:tcPr>
                  <w:tcW w:w="778" w:type="dxa"/>
                  <w:vMerge/>
                  <w:vAlign w:val="center"/>
                </w:tcPr>
                <w:p w14:paraId="151344E8" w14:textId="77777777" w:rsidR="008220C5" w:rsidRPr="008819AF" w:rsidRDefault="008220C5" w:rsidP="008220C5">
                  <w:pPr>
                    <w:pStyle w:val="Zkladntext2"/>
                    <w:ind w:left="-93" w:firstLine="0"/>
                    <w:jc w:val="center"/>
                    <w:rPr>
                      <w:rFonts w:ascii="Times New Roman" w:hAnsi="Times New Roman" w:cs="Times New Roman"/>
                      <w:b/>
                      <w:sz w:val="18"/>
                      <w:szCs w:val="18"/>
                    </w:rPr>
                  </w:pPr>
                </w:p>
              </w:tc>
            </w:tr>
            <w:tr w:rsidR="008220C5" w:rsidRPr="008819AF" w14:paraId="151344F1" w14:textId="77777777" w:rsidTr="008220C5">
              <w:trPr>
                <w:trHeight w:val="378"/>
                <w:jc w:val="center"/>
              </w:trPr>
              <w:tc>
                <w:tcPr>
                  <w:tcW w:w="2115" w:type="dxa"/>
                  <w:gridSpan w:val="2"/>
                  <w:vMerge/>
                  <w:vAlign w:val="center"/>
                </w:tcPr>
                <w:p w14:paraId="151344EA" w14:textId="77777777" w:rsidR="008220C5" w:rsidRPr="008819AF" w:rsidRDefault="008220C5" w:rsidP="00445A6C">
                  <w:pPr>
                    <w:rPr>
                      <w:b/>
                      <w:sz w:val="18"/>
                      <w:szCs w:val="18"/>
                    </w:rPr>
                  </w:pPr>
                </w:p>
              </w:tc>
              <w:tc>
                <w:tcPr>
                  <w:tcW w:w="1466" w:type="dxa"/>
                  <w:gridSpan w:val="3"/>
                  <w:vMerge/>
                  <w:vAlign w:val="center"/>
                </w:tcPr>
                <w:p w14:paraId="151344EB" w14:textId="77777777" w:rsidR="008220C5" w:rsidRPr="008819AF" w:rsidRDefault="008220C5" w:rsidP="008220C5">
                  <w:pPr>
                    <w:pStyle w:val="Zkladntext2"/>
                    <w:ind w:left="-93" w:firstLine="0"/>
                    <w:jc w:val="center"/>
                    <w:rPr>
                      <w:rFonts w:ascii="Times New Roman" w:hAnsi="Times New Roman" w:cs="Times New Roman"/>
                      <w:b/>
                      <w:sz w:val="18"/>
                      <w:szCs w:val="18"/>
                    </w:rPr>
                  </w:pPr>
                </w:p>
              </w:tc>
              <w:tc>
                <w:tcPr>
                  <w:tcW w:w="741" w:type="dxa"/>
                  <w:gridSpan w:val="2"/>
                  <w:vAlign w:val="center"/>
                </w:tcPr>
                <w:p w14:paraId="151344EC"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TOC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w:t>
                  </w:r>
                  <w:r w:rsidRPr="008819AF">
                    <w:rPr>
                      <w:rFonts w:ascii="Times New Roman" w:hAnsi="Times New Roman" w:cs="Times New Roman"/>
                      <w:b/>
                      <w:sz w:val="18"/>
                      <w:szCs w:val="18"/>
                      <w:vertAlign w:val="superscript"/>
                    </w:rPr>
                    <w:t>3</w:t>
                  </w:r>
                  <w:r w:rsidRPr="008819AF">
                    <w:rPr>
                      <w:rFonts w:ascii="Times New Roman" w:hAnsi="Times New Roman" w:cs="Times New Roman"/>
                      <w:b/>
                      <w:sz w:val="18"/>
                      <w:szCs w:val="18"/>
                    </w:rPr>
                    <w:sym w:font="Symbol" w:char="F05D"/>
                  </w:r>
                </w:p>
              </w:tc>
              <w:tc>
                <w:tcPr>
                  <w:tcW w:w="708" w:type="dxa"/>
                  <w:vAlign w:val="center"/>
                </w:tcPr>
                <w:p w14:paraId="151344ED"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p>
                <w:p w14:paraId="151344EE"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c>
                <w:tcPr>
                  <w:tcW w:w="778" w:type="dxa"/>
                  <w:vAlign w:val="center"/>
                </w:tcPr>
                <w:p w14:paraId="151344EF"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VOC</w:t>
                  </w:r>
                </w:p>
                <w:p w14:paraId="151344F0"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kg/kg sušiny</w:t>
                  </w:r>
                  <w:r w:rsidRPr="008819AF">
                    <w:rPr>
                      <w:rFonts w:ascii="Times New Roman" w:hAnsi="Times New Roman" w:cs="Times New Roman"/>
                      <w:b/>
                      <w:sz w:val="18"/>
                      <w:szCs w:val="18"/>
                    </w:rPr>
                    <w:sym w:font="Symbol" w:char="F05D"/>
                  </w:r>
                </w:p>
              </w:tc>
            </w:tr>
            <w:tr w:rsidR="008220C5" w:rsidRPr="008819AF" w14:paraId="151344FA" w14:textId="77777777" w:rsidTr="008220C5">
              <w:trPr>
                <w:trHeight w:val="340"/>
                <w:jc w:val="center"/>
              </w:trPr>
              <w:tc>
                <w:tcPr>
                  <w:tcW w:w="338" w:type="dxa"/>
                  <w:vMerge w:val="restart"/>
                  <w:vAlign w:val="center"/>
                </w:tcPr>
                <w:p w14:paraId="151344F2"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 Ia</w:t>
                  </w:r>
                </w:p>
              </w:tc>
              <w:tc>
                <w:tcPr>
                  <w:tcW w:w="1777" w:type="dxa"/>
                  <w:vMerge w:val="restart"/>
                  <w:vAlign w:val="center"/>
                </w:tcPr>
                <w:p w14:paraId="151344F3"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Tepelný rotačný  ofset</w:t>
                  </w:r>
                </w:p>
              </w:tc>
              <w:tc>
                <w:tcPr>
                  <w:tcW w:w="337" w:type="dxa"/>
                  <w:vAlign w:val="center"/>
                </w:tcPr>
                <w:p w14:paraId="151344F4"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565" w:type="dxa"/>
                  <w:vAlign w:val="center"/>
                </w:tcPr>
                <w:p w14:paraId="151344F5"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 0,6</w:t>
                  </w:r>
                </w:p>
              </w:tc>
              <w:tc>
                <w:tcPr>
                  <w:tcW w:w="564" w:type="dxa"/>
                  <w:vAlign w:val="center"/>
                </w:tcPr>
                <w:p w14:paraId="151344F6"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15</w:t>
                  </w:r>
                </w:p>
              </w:tc>
              <w:tc>
                <w:tcPr>
                  <w:tcW w:w="741" w:type="dxa"/>
                  <w:gridSpan w:val="2"/>
                  <w:vAlign w:val="center"/>
                </w:tcPr>
                <w:p w14:paraId="151344F7"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120</w:t>
                  </w:r>
                </w:p>
              </w:tc>
              <w:tc>
                <w:tcPr>
                  <w:tcW w:w="708" w:type="dxa"/>
                  <w:vAlign w:val="center"/>
                </w:tcPr>
                <w:p w14:paraId="151344F8"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30</w:t>
                  </w:r>
                  <w:r w:rsidRPr="008819AF">
                    <w:rPr>
                      <w:rFonts w:ascii="Times New Roman" w:hAnsi="Times New Roman" w:cs="Times New Roman"/>
                      <w:sz w:val="18"/>
                      <w:szCs w:val="18"/>
                      <w:vertAlign w:val="superscript"/>
                    </w:rPr>
                    <w:t>1</w:t>
                  </w:r>
                  <w:r w:rsidRPr="008819AF">
                    <w:rPr>
                      <w:rFonts w:ascii="Times New Roman" w:hAnsi="Times New Roman" w:cs="Times New Roman"/>
                      <w:sz w:val="18"/>
                      <w:szCs w:val="18"/>
                    </w:rPr>
                    <w:t>)</w:t>
                  </w:r>
                </w:p>
              </w:tc>
              <w:tc>
                <w:tcPr>
                  <w:tcW w:w="778" w:type="dxa"/>
                  <w:vAlign w:val="center"/>
                </w:tcPr>
                <w:p w14:paraId="151344F9" w14:textId="77777777" w:rsidR="008220C5" w:rsidRPr="008819AF" w:rsidRDefault="008220C5" w:rsidP="008220C5">
                  <w:pPr>
                    <w:pStyle w:val="Zkladntext2"/>
                    <w:ind w:left="-93" w:firstLine="0"/>
                    <w:jc w:val="center"/>
                    <w:rPr>
                      <w:rFonts w:ascii="Times New Roman" w:hAnsi="Times New Roman" w:cs="Times New Roman"/>
                      <w:sz w:val="18"/>
                      <w:szCs w:val="18"/>
                    </w:rPr>
                  </w:pPr>
                </w:p>
              </w:tc>
            </w:tr>
            <w:tr w:rsidR="008220C5" w:rsidRPr="008819AF" w14:paraId="15134503" w14:textId="77777777" w:rsidTr="008220C5">
              <w:trPr>
                <w:trHeight w:val="340"/>
                <w:jc w:val="center"/>
              </w:trPr>
              <w:tc>
                <w:tcPr>
                  <w:tcW w:w="338" w:type="dxa"/>
                  <w:vMerge/>
                  <w:vAlign w:val="center"/>
                </w:tcPr>
                <w:p w14:paraId="151344FB" w14:textId="77777777" w:rsidR="008220C5" w:rsidRPr="008819AF"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151344FC" w14:textId="77777777" w:rsidR="008220C5" w:rsidRPr="008819AF" w:rsidRDefault="008220C5" w:rsidP="008220C5">
                  <w:pPr>
                    <w:pStyle w:val="Zkladntext2"/>
                    <w:ind w:left="-93" w:firstLine="0"/>
                    <w:rPr>
                      <w:rFonts w:ascii="Times New Roman" w:hAnsi="Times New Roman" w:cs="Times New Roman"/>
                      <w:sz w:val="18"/>
                      <w:szCs w:val="18"/>
                    </w:rPr>
                  </w:pPr>
                </w:p>
              </w:tc>
              <w:tc>
                <w:tcPr>
                  <w:tcW w:w="337" w:type="dxa"/>
                  <w:vAlign w:val="center"/>
                </w:tcPr>
                <w:p w14:paraId="151344FD"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565" w:type="dxa"/>
                  <w:vAlign w:val="center"/>
                </w:tcPr>
                <w:p w14:paraId="151344FE"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15</w:t>
                  </w:r>
                </w:p>
              </w:tc>
              <w:tc>
                <w:tcPr>
                  <w:tcW w:w="564" w:type="dxa"/>
                  <w:vAlign w:val="center"/>
                </w:tcPr>
                <w:p w14:paraId="151344FF"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25</w:t>
                  </w:r>
                </w:p>
              </w:tc>
              <w:tc>
                <w:tcPr>
                  <w:tcW w:w="741" w:type="dxa"/>
                  <w:gridSpan w:val="2"/>
                  <w:vAlign w:val="center"/>
                </w:tcPr>
                <w:p w14:paraId="15134500"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100</w:t>
                  </w:r>
                </w:p>
              </w:tc>
              <w:tc>
                <w:tcPr>
                  <w:tcW w:w="708" w:type="dxa"/>
                  <w:vAlign w:val="center"/>
                </w:tcPr>
                <w:p w14:paraId="15134501"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30</w:t>
                  </w:r>
                  <w:r w:rsidRPr="008819AF">
                    <w:rPr>
                      <w:rFonts w:ascii="Times New Roman" w:hAnsi="Times New Roman" w:cs="Times New Roman"/>
                      <w:sz w:val="18"/>
                      <w:szCs w:val="18"/>
                      <w:vertAlign w:val="superscript"/>
                    </w:rPr>
                    <w:t>1</w:t>
                  </w:r>
                  <w:r w:rsidRPr="008819AF">
                    <w:rPr>
                      <w:rFonts w:ascii="Times New Roman" w:hAnsi="Times New Roman" w:cs="Times New Roman"/>
                      <w:sz w:val="18"/>
                      <w:szCs w:val="18"/>
                    </w:rPr>
                    <w:t>)</w:t>
                  </w:r>
                </w:p>
              </w:tc>
              <w:tc>
                <w:tcPr>
                  <w:tcW w:w="778" w:type="dxa"/>
                  <w:vAlign w:val="center"/>
                </w:tcPr>
                <w:p w14:paraId="15134502" w14:textId="77777777" w:rsidR="008220C5" w:rsidRPr="008819AF" w:rsidRDefault="008220C5" w:rsidP="008220C5">
                  <w:pPr>
                    <w:pStyle w:val="Zkladntext2"/>
                    <w:ind w:left="-93" w:firstLine="0"/>
                    <w:jc w:val="center"/>
                    <w:rPr>
                      <w:rFonts w:ascii="Times New Roman" w:hAnsi="Times New Roman" w:cs="Times New Roman"/>
                      <w:sz w:val="18"/>
                      <w:szCs w:val="18"/>
                    </w:rPr>
                  </w:pPr>
                </w:p>
              </w:tc>
            </w:tr>
            <w:tr w:rsidR="008220C5" w:rsidRPr="008819AF" w14:paraId="1513450C" w14:textId="77777777" w:rsidTr="008220C5">
              <w:trPr>
                <w:trHeight w:val="296"/>
                <w:jc w:val="center"/>
              </w:trPr>
              <w:tc>
                <w:tcPr>
                  <w:tcW w:w="338" w:type="dxa"/>
                  <w:vMerge/>
                  <w:vAlign w:val="center"/>
                </w:tcPr>
                <w:p w14:paraId="15134504" w14:textId="77777777" w:rsidR="008220C5" w:rsidRPr="008819AF"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15134505" w14:textId="77777777" w:rsidR="008220C5" w:rsidRPr="008819AF" w:rsidRDefault="008220C5" w:rsidP="008220C5">
                  <w:pPr>
                    <w:pStyle w:val="Zkladntext2"/>
                    <w:ind w:left="-93" w:firstLine="0"/>
                    <w:rPr>
                      <w:rFonts w:ascii="Times New Roman" w:hAnsi="Times New Roman" w:cs="Times New Roman"/>
                      <w:sz w:val="18"/>
                      <w:szCs w:val="18"/>
                    </w:rPr>
                  </w:pPr>
                </w:p>
              </w:tc>
              <w:tc>
                <w:tcPr>
                  <w:tcW w:w="337" w:type="dxa"/>
                  <w:vAlign w:val="center"/>
                </w:tcPr>
                <w:p w14:paraId="15134506" w14:textId="77777777" w:rsidR="008220C5" w:rsidRPr="008819AF"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15134507"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25</w:t>
                  </w:r>
                </w:p>
              </w:tc>
              <w:tc>
                <w:tcPr>
                  <w:tcW w:w="564" w:type="dxa"/>
                  <w:vAlign w:val="center"/>
                </w:tcPr>
                <w:p w14:paraId="15134508"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200</w:t>
                  </w:r>
                </w:p>
              </w:tc>
              <w:tc>
                <w:tcPr>
                  <w:tcW w:w="741" w:type="dxa"/>
                  <w:gridSpan w:val="2"/>
                  <w:vAlign w:val="center"/>
                </w:tcPr>
                <w:p w14:paraId="15134509"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708" w:type="dxa"/>
                  <w:vAlign w:val="center"/>
                </w:tcPr>
                <w:p w14:paraId="1513450A"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30</w:t>
                  </w:r>
                  <w:r w:rsidRPr="008819AF">
                    <w:rPr>
                      <w:rFonts w:ascii="Times New Roman" w:hAnsi="Times New Roman" w:cs="Times New Roman"/>
                      <w:sz w:val="18"/>
                      <w:szCs w:val="18"/>
                      <w:vertAlign w:val="superscript"/>
                    </w:rPr>
                    <w:t>1</w:t>
                  </w:r>
                  <w:r w:rsidRPr="008819AF">
                    <w:rPr>
                      <w:rFonts w:ascii="Times New Roman" w:hAnsi="Times New Roman" w:cs="Times New Roman"/>
                      <w:sz w:val="18"/>
                      <w:szCs w:val="18"/>
                    </w:rPr>
                    <w:t>)</w:t>
                  </w:r>
                </w:p>
              </w:tc>
              <w:tc>
                <w:tcPr>
                  <w:tcW w:w="778" w:type="dxa"/>
                  <w:vAlign w:val="center"/>
                </w:tcPr>
                <w:p w14:paraId="1513450B" w14:textId="77777777" w:rsidR="008220C5" w:rsidRPr="008819AF" w:rsidRDefault="008220C5" w:rsidP="008220C5">
                  <w:pPr>
                    <w:pStyle w:val="Zkladntext2"/>
                    <w:ind w:left="-93" w:firstLine="0"/>
                    <w:jc w:val="center"/>
                    <w:rPr>
                      <w:rFonts w:ascii="Times New Roman" w:hAnsi="Times New Roman" w:cs="Times New Roman"/>
                      <w:sz w:val="18"/>
                      <w:szCs w:val="18"/>
                    </w:rPr>
                  </w:pPr>
                </w:p>
              </w:tc>
            </w:tr>
            <w:tr w:rsidR="008220C5" w:rsidRPr="008819AF" w14:paraId="15134515" w14:textId="77777777" w:rsidTr="008220C5">
              <w:trPr>
                <w:trHeight w:val="553"/>
                <w:jc w:val="center"/>
              </w:trPr>
              <w:tc>
                <w:tcPr>
                  <w:tcW w:w="338" w:type="dxa"/>
                  <w:vMerge/>
                  <w:vAlign w:val="center"/>
                </w:tcPr>
                <w:p w14:paraId="1513450D" w14:textId="77777777" w:rsidR="008220C5" w:rsidRPr="008819AF"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1513450E" w14:textId="77777777" w:rsidR="008220C5" w:rsidRPr="008819AF" w:rsidRDefault="008220C5" w:rsidP="008220C5">
                  <w:pPr>
                    <w:pStyle w:val="Zkladntext2"/>
                    <w:ind w:left="-93" w:firstLine="0"/>
                    <w:rPr>
                      <w:rFonts w:ascii="Times New Roman" w:hAnsi="Times New Roman" w:cs="Times New Roman"/>
                      <w:sz w:val="18"/>
                      <w:szCs w:val="18"/>
                    </w:rPr>
                  </w:pPr>
                </w:p>
              </w:tc>
              <w:tc>
                <w:tcPr>
                  <w:tcW w:w="337" w:type="dxa"/>
                  <w:vMerge w:val="restart"/>
                  <w:vAlign w:val="center"/>
                </w:tcPr>
                <w:p w14:paraId="1513450F" w14:textId="77777777" w:rsidR="008220C5" w:rsidRPr="008819AF" w:rsidRDefault="008220C5" w:rsidP="008220C5">
                  <w:pPr>
                    <w:pStyle w:val="Zkladntext2"/>
                    <w:ind w:left="-93" w:firstLine="0"/>
                    <w:jc w:val="center"/>
                    <w:rPr>
                      <w:rFonts w:ascii="Times New Roman" w:hAnsi="Times New Roman" w:cs="Times New Roman"/>
                      <w:sz w:val="18"/>
                      <w:szCs w:val="18"/>
                    </w:rPr>
                  </w:pPr>
                </w:p>
              </w:tc>
              <w:tc>
                <w:tcPr>
                  <w:tcW w:w="565" w:type="dxa"/>
                  <w:vMerge w:val="restart"/>
                  <w:vAlign w:val="center"/>
                </w:tcPr>
                <w:p w14:paraId="15134510"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200</w:t>
                  </w:r>
                </w:p>
              </w:tc>
              <w:tc>
                <w:tcPr>
                  <w:tcW w:w="564" w:type="dxa"/>
                  <w:vMerge w:val="restart"/>
                  <w:vAlign w:val="center"/>
                </w:tcPr>
                <w:p w14:paraId="15134511"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449" w:type="dxa"/>
                  <w:gridSpan w:val="3"/>
                  <w:vAlign w:val="center"/>
                </w:tcPr>
                <w:p w14:paraId="15134512"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Celkové emisie2)</w:t>
                  </w:r>
                </w:p>
                <w:p w14:paraId="15134513"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c>
                <w:tcPr>
                  <w:tcW w:w="778" w:type="dxa"/>
                  <w:vAlign w:val="center"/>
                </w:tcPr>
                <w:p w14:paraId="15134514" w14:textId="77777777" w:rsidR="008220C5" w:rsidRPr="008819AF" w:rsidRDefault="008220C5" w:rsidP="00445A6C">
                  <w:pPr>
                    <w:pStyle w:val="Zkladntext2"/>
                    <w:jc w:val="center"/>
                    <w:rPr>
                      <w:rFonts w:ascii="Times New Roman" w:hAnsi="Times New Roman" w:cs="Times New Roman"/>
                      <w:sz w:val="18"/>
                      <w:szCs w:val="18"/>
                    </w:rPr>
                  </w:pPr>
                </w:p>
              </w:tc>
            </w:tr>
            <w:tr w:rsidR="008220C5" w:rsidRPr="008819AF" w14:paraId="1513451D" w14:textId="77777777" w:rsidTr="008220C5">
              <w:trPr>
                <w:trHeight w:val="195"/>
                <w:jc w:val="center"/>
              </w:trPr>
              <w:tc>
                <w:tcPr>
                  <w:tcW w:w="338" w:type="dxa"/>
                  <w:vMerge/>
                  <w:vAlign w:val="center"/>
                </w:tcPr>
                <w:p w14:paraId="15134516" w14:textId="77777777" w:rsidR="008220C5" w:rsidRPr="008819AF"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15134517" w14:textId="77777777" w:rsidR="008220C5" w:rsidRPr="008819AF" w:rsidRDefault="008220C5" w:rsidP="008220C5">
                  <w:pPr>
                    <w:pStyle w:val="Zkladntext2"/>
                    <w:ind w:left="-93" w:firstLine="0"/>
                    <w:rPr>
                      <w:rFonts w:ascii="Times New Roman" w:hAnsi="Times New Roman" w:cs="Times New Roman"/>
                      <w:sz w:val="18"/>
                      <w:szCs w:val="18"/>
                    </w:rPr>
                  </w:pPr>
                </w:p>
              </w:tc>
              <w:tc>
                <w:tcPr>
                  <w:tcW w:w="337" w:type="dxa"/>
                  <w:vMerge/>
                  <w:vAlign w:val="center"/>
                </w:tcPr>
                <w:p w14:paraId="15134518" w14:textId="77777777" w:rsidR="008220C5" w:rsidRPr="008819AF" w:rsidRDefault="008220C5" w:rsidP="00445A6C">
                  <w:pPr>
                    <w:jc w:val="center"/>
                    <w:rPr>
                      <w:sz w:val="18"/>
                      <w:szCs w:val="18"/>
                    </w:rPr>
                  </w:pPr>
                </w:p>
              </w:tc>
              <w:tc>
                <w:tcPr>
                  <w:tcW w:w="565" w:type="dxa"/>
                  <w:vMerge/>
                  <w:vAlign w:val="center"/>
                </w:tcPr>
                <w:p w14:paraId="15134519" w14:textId="77777777" w:rsidR="008220C5" w:rsidRPr="008819AF" w:rsidRDefault="008220C5" w:rsidP="00445A6C">
                  <w:pPr>
                    <w:pStyle w:val="Zkladntext2"/>
                    <w:jc w:val="center"/>
                    <w:rPr>
                      <w:rFonts w:ascii="Times New Roman" w:hAnsi="Times New Roman" w:cs="Times New Roman"/>
                      <w:sz w:val="18"/>
                      <w:szCs w:val="18"/>
                    </w:rPr>
                  </w:pPr>
                </w:p>
              </w:tc>
              <w:tc>
                <w:tcPr>
                  <w:tcW w:w="564" w:type="dxa"/>
                  <w:vMerge/>
                  <w:vAlign w:val="center"/>
                </w:tcPr>
                <w:p w14:paraId="1513451A" w14:textId="77777777" w:rsidR="008220C5" w:rsidRPr="008819AF" w:rsidRDefault="008220C5" w:rsidP="00445A6C">
                  <w:pPr>
                    <w:pStyle w:val="Zkladntext2"/>
                    <w:jc w:val="center"/>
                    <w:rPr>
                      <w:rFonts w:ascii="Times New Roman" w:hAnsi="Times New Roman" w:cs="Times New Roman"/>
                      <w:sz w:val="18"/>
                      <w:szCs w:val="18"/>
                    </w:rPr>
                  </w:pPr>
                </w:p>
              </w:tc>
              <w:tc>
                <w:tcPr>
                  <w:tcW w:w="1449" w:type="dxa"/>
                  <w:gridSpan w:val="3"/>
                  <w:vAlign w:val="center"/>
                </w:tcPr>
                <w:p w14:paraId="1513451B" w14:textId="77777777" w:rsidR="008220C5" w:rsidRPr="008819AF" w:rsidRDefault="008220C5"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10,  15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778" w:type="dxa"/>
                  <w:vAlign w:val="center"/>
                </w:tcPr>
                <w:p w14:paraId="1513451C" w14:textId="77777777" w:rsidR="008220C5" w:rsidRPr="008819AF" w:rsidRDefault="008220C5" w:rsidP="00445A6C">
                  <w:pPr>
                    <w:pStyle w:val="Zkladntext2"/>
                    <w:jc w:val="center"/>
                    <w:rPr>
                      <w:rFonts w:ascii="Times New Roman" w:hAnsi="Times New Roman" w:cs="Times New Roman"/>
                      <w:sz w:val="18"/>
                      <w:szCs w:val="18"/>
                    </w:rPr>
                  </w:pPr>
                </w:p>
              </w:tc>
            </w:tr>
            <w:tr w:rsidR="008220C5" w:rsidRPr="008819AF" w14:paraId="15134526" w14:textId="77777777" w:rsidTr="008220C5">
              <w:trPr>
                <w:trHeight w:val="337"/>
                <w:jc w:val="center"/>
              </w:trPr>
              <w:tc>
                <w:tcPr>
                  <w:tcW w:w="338" w:type="dxa"/>
                  <w:vMerge w:val="restart"/>
                  <w:vAlign w:val="center"/>
                </w:tcPr>
                <w:p w14:paraId="1513451E"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Ib</w:t>
                  </w:r>
                </w:p>
              </w:tc>
              <w:tc>
                <w:tcPr>
                  <w:tcW w:w="1777" w:type="dxa"/>
                  <w:vMerge w:val="restart"/>
                  <w:vAlign w:val="center"/>
                </w:tcPr>
                <w:p w14:paraId="1513451F"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Publikačná rotačná hĺbkotlač vrátane kníhtlače</w:t>
                  </w:r>
                </w:p>
              </w:tc>
              <w:tc>
                <w:tcPr>
                  <w:tcW w:w="337" w:type="dxa"/>
                  <w:vAlign w:val="center"/>
                </w:tcPr>
                <w:p w14:paraId="15134520" w14:textId="77777777" w:rsidR="008220C5" w:rsidRPr="008819AF"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15134521"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 0,6</w:t>
                  </w:r>
                </w:p>
              </w:tc>
              <w:tc>
                <w:tcPr>
                  <w:tcW w:w="564" w:type="dxa"/>
                  <w:vAlign w:val="center"/>
                </w:tcPr>
                <w:p w14:paraId="15134522"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25</w:t>
                  </w:r>
                </w:p>
              </w:tc>
              <w:tc>
                <w:tcPr>
                  <w:tcW w:w="716" w:type="dxa"/>
                  <w:vAlign w:val="center"/>
                </w:tcPr>
                <w:p w14:paraId="15134523"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120</w:t>
                  </w:r>
                </w:p>
              </w:tc>
              <w:tc>
                <w:tcPr>
                  <w:tcW w:w="733" w:type="dxa"/>
                  <w:gridSpan w:val="2"/>
                  <w:vAlign w:val="center"/>
                </w:tcPr>
                <w:p w14:paraId="15134524"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10,  15</w:t>
                  </w:r>
                  <w:r w:rsidRPr="008819AF">
                    <w:rPr>
                      <w:rFonts w:ascii="Times New Roman" w:hAnsi="Times New Roman" w:cs="Times New Roman"/>
                      <w:sz w:val="18"/>
                      <w:szCs w:val="18"/>
                      <w:vertAlign w:val="superscript"/>
                    </w:rPr>
                    <w:t>4</w:t>
                  </w:r>
                  <w:r w:rsidRPr="008819AF">
                    <w:rPr>
                      <w:rFonts w:ascii="Times New Roman" w:hAnsi="Times New Roman" w:cs="Times New Roman"/>
                      <w:sz w:val="18"/>
                      <w:szCs w:val="18"/>
                    </w:rPr>
                    <w:t>)</w:t>
                  </w:r>
                </w:p>
              </w:tc>
              <w:tc>
                <w:tcPr>
                  <w:tcW w:w="778" w:type="dxa"/>
                  <w:vAlign w:val="center"/>
                </w:tcPr>
                <w:p w14:paraId="15134525" w14:textId="77777777" w:rsidR="008220C5" w:rsidRPr="008819AF" w:rsidRDefault="008220C5" w:rsidP="008220C5">
                  <w:pPr>
                    <w:pStyle w:val="Zkladntext2"/>
                    <w:ind w:left="-93" w:firstLine="0"/>
                    <w:jc w:val="center"/>
                    <w:rPr>
                      <w:rFonts w:ascii="Times New Roman" w:hAnsi="Times New Roman" w:cs="Times New Roman"/>
                      <w:sz w:val="18"/>
                      <w:szCs w:val="18"/>
                    </w:rPr>
                  </w:pPr>
                </w:p>
              </w:tc>
            </w:tr>
            <w:tr w:rsidR="008220C5" w:rsidRPr="008819AF" w14:paraId="1513452F" w14:textId="77777777" w:rsidTr="008220C5">
              <w:trPr>
                <w:trHeight w:val="340"/>
                <w:jc w:val="center"/>
              </w:trPr>
              <w:tc>
                <w:tcPr>
                  <w:tcW w:w="338" w:type="dxa"/>
                  <w:vMerge/>
                  <w:vAlign w:val="center"/>
                </w:tcPr>
                <w:p w14:paraId="15134527" w14:textId="77777777" w:rsidR="008220C5" w:rsidRPr="008819AF" w:rsidRDefault="008220C5" w:rsidP="00445A6C">
                  <w:pPr>
                    <w:rPr>
                      <w:b/>
                      <w:sz w:val="18"/>
                      <w:szCs w:val="18"/>
                    </w:rPr>
                  </w:pPr>
                </w:p>
              </w:tc>
              <w:tc>
                <w:tcPr>
                  <w:tcW w:w="1777" w:type="dxa"/>
                  <w:vMerge/>
                  <w:vAlign w:val="center"/>
                </w:tcPr>
                <w:p w14:paraId="15134528" w14:textId="77777777" w:rsidR="008220C5" w:rsidRPr="008819AF" w:rsidRDefault="008220C5" w:rsidP="00445A6C">
                  <w:pPr>
                    <w:rPr>
                      <w:b/>
                      <w:sz w:val="18"/>
                      <w:szCs w:val="18"/>
                    </w:rPr>
                  </w:pPr>
                </w:p>
              </w:tc>
              <w:tc>
                <w:tcPr>
                  <w:tcW w:w="337" w:type="dxa"/>
                  <w:vAlign w:val="center"/>
                </w:tcPr>
                <w:p w14:paraId="15134529" w14:textId="77777777" w:rsidR="008220C5" w:rsidRPr="008819AF"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1513452A"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25</w:t>
                  </w:r>
                </w:p>
              </w:tc>
              <w:tc>
                <w:tcPr>
                  <w:tcW w:w="564" w:type="dxa"/>
                  <w:vAlign w:val="center"/>
                </w:tcPr>
                <w:p w14:paraId="1513452B"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200</w:t>
                  </w:r>
                </w:p>
              </w:tc>
              <w:tc>
                <w:tcPr>
                  <w:tcW w:w="716" w:type="dxa"/>
                  <w:vAlign w:val="center"/>
                </w:tcPr>
                <w:p w14:paraId="1513452C"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75</w:t>
                  </w:r>
                </w:p>
              </w:tc>
              <w:tc>
                <w:tcPr>
                  <w:tcW w:w="733" w:type="dxa"/>
                  <w:gridSpan w:val="2"/>
                  <w:vAlign w:val="center"/>
                </w:tcPr>
                <w:p w14:paraId="1513452D"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10,  15</w:t>
                  </w:r>
                  <w:r w:rsidRPr="008819AF">
                    <w:rPr>
                      <w:rFonts w:ascii="Times New Roman" w:hAnsi="Times New Roman" w:cs="Times New Roman"/>
                      <w:sz w:val="18"/>
                      <w:szCs w:val="18"/>
                      <w:vertAlign w:val="superscript"/>
                    </w:rPr>
                    <w:t>4</w:t>
                  </w:r>
                  <w:r w:rsidRPr="008819AF">
                    <w:rPr>
                      <w:rFonts w:ascii="Times New Roman" w:hAnsi="Times New Roman" w:cs="Times New Roman"/>
                      <w:sz w:val="18"/>
                      <w:szCs w:val="18"/>
                    </w:rPr>
                    <w:t>)</w:t>
                  </w:r>
                </w:p>
              </w:tc>
              <w:tc>
                <w:tcPr>
                  <w:tcW w:w="778" w:type="dxa"/>
                  <w:vAlign w:val="center"/>
                </w:tcPr>
                <w:p w14:paraId="1513452E"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0,6,  0,8</w:t>
                  </w:r>
                  <w:r w:rsidRPr="008819AF">
                    <w:rPr>
                      <w:rFonts w:ascii="Times New Roman" w:hAnsi="Times New Roman" w:cs="Times New Roman"/>
                      <w:sz w:val="18"/>
                      <w:szCs w:val="18"/>
                      <w:vertAlign w:val="superscript"/>
                    </w:rPr>
                    <w:t>4</w:t>
                  </w:r>
                  <w:r w:rsidRPr="008819AF">
                    <w:rPr>
                      <w:rFonts w:ascii="Times New Roman" w:hAnsi="Times New Roman" w:cs="Times New Roman"/>
                      <w:sz w:val="18"/>
                      <w:szCs w:val="18"/>
                    </w:rPr>
                    <w:t>)</w:t>
                  </w:r>
                </w:p>
              </w:tc>
            </w:tr>
            <w:tr w:rsidR="008220C5" w:rsidRPr="008819AF" w14:paraId="15134538" w14:textId="77777777" w:rsidTr="008220C5">
              <w:trPr>
                <w:trHeight w:val="283"/>
                <w:jc w:val="center"/>
              </w:trPr>
              <w:tc>
                <w:tcPr>
                  <w:tcW w:w="338" w:type="dxa"/>
                  <w:vMerge/>
                  <w:vAlign w:val="center"/>
                </w:tcPr>
                <w:p w14:paraId="15134530" w14:textId="77777777" w:rsidR="008220C5" w:rsidRPr="008819AF" w:rsidRDefault="008220C5" w:rsidP="00445A6C">
                  <w:pPr>
                    <w:rPr>
                      <w:b/>
                      <w:sz w:val="18"/>
                      <w:szCs w:val="18"/>
                    </w:rPr>
                  </w:pPr>
                </w:p>
              </w:tc>
              <w:tc>
                <w:tcPr>
                  <w:tcW w:w="1777" w:type="dxa"/>
                  <w:vMerge/>
                  <w:vAlign w:val="center"/>
                </w:tcPr>
                <w:p w14:paraId="15134531" w14:textId="77777777" w:rsidR="008220C5" w:rsidRPr="008819AF" w:rsidRDefault="008220C5" w:rsidP="00445A6C">
                  <w:pPr>
                    <w:rPr>
                      <w:b/>
                      <w:sz w:val="18"/>
                      <w:szCs w:val="18"/>
                    </w:rPr>
                  </w:pPr>
                </w:p>
              </w:tc>
              <w:tc>
                <w:tcPr>
                  <w:tcW w:w="337" w:type="dxa"/>
                  <w:vAlign w:val="center"/>
                </w:tcPr>
                <w:p w14:paraId="15134532" w14:textId="77777777" w:rsidR="008220C5" w:rsidRPr="008819AF" w:rsidRDefault="008220C5" w:rsidP="00445A6C">
                  <w:pPr>
                    <w:jc w:val="center"/>
                    <w:rPr>
                      <w:sz w:val="18"/>
                      <w:szCs w:val="18"/>
                    </w:rPr>
                  </w:pPr>
                </w:p>
              </w:tc>
              <w:tc>
                <w:tcPr>
                  <w:tcW w:w="565" w:type="dxa"/>
                  <w:vAlign w:val="center"/>
                </w:tcPr>
                <w:p w14:paraId="15134533" w14:textId="77777777" w:rsidR="008220C5" w:rsidRPr="008819AF" w:rsidRDefault="008220C5" w:rsidP="00445A6C">
                  <w:pPr>
                    <w:pStyle w:val="Zkladntext2"/>
                    <w:jc w:val="center"/>
                    <w:rPr>
                      <w:rFonts w:ascii="Times New Roman" w:hAnsi="Times New Roman" w:cs="Times New Roman"/>
                      <w:sz w:val="18"/>
                      <w:szCs w:val="18"/>
                    </w:rPr>
                  </w:pPr>
                </w:p>
              </w:tc>
              <w:tc>
                <w:tcPr>
                  <w:tcW w:w="564" w:type="dxa"/>
                  <w:vAlign w:val="center"/>
                </w:tcPr>
                <w:p w14:paraId="15134534" w14:textId="77777777" w:rsidR="008220C5" w:rsidRPr="008819AF" w:rsidRDefault="008220C5" w:rsidP="00445A6C">
                  <w:pPr>
                    <w:pStyle w:val="Zkladntext2"/>
                    <w:jc w:val="center"/>
                    <w:rPr>
                      <w:rFonts w:ascii="Times New Roman" w:hAnsi="Times New Roman" w:cs="Times New Roman"/>
                      <w:sz w:val="18"/>
                      <w:szCs w:val="18"/>
                    </w:rPr>
                  </w:pPr>
                </w:p>
              </w:tc>
              <w:tc>
                <w:tcPr>
                  <w:tcW w:w="1449" w:type="dxa"/>
                  <w:gridSpan w:val="3"/>
                  <w:vAlign w:val="center"/>
                </w:tcPr>
                <w:p w14:paraId="15134535"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Celkové emisie5)</w:t>
                  </w:r>
                </w:p>
                <w:p w14:paraId="15134536"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c>
                <w:tcPr>
                  <w:tcW w:w="778" w:type="dxa"/>
                  <w:vAlign w:val="center"/>
                </w:tcPr>
                <w:p w14:paraId="15134537" w14:textId="77777777" w:rsidR="008220C5" w:rsidRPr="008819AF" w:rsidRDefault="008220C5" w:rsidP="00445A6C">
                  <w:pPr>
                    <w:pStyle w:val="Zkladntext2"/>
                    <w:jc w:val="center"/>
                    <w:rPr>
                      <w:rFonts w:ascii="Times New Roman" w:hAnsi="Times New Roman" w:cs="Times New Roman"/>
                      <w:sz w:val="18"/>
                      <w:szCs w:val="18"/>
                    </w:rPr>
                  </w:pPr>
                </w:p>
              </w:tc>
            </w:tr>
            <w:tr w:rsidR="008220C5" w:rsidRPr="008819AF" w14:paraId="15134540" w14:textId="77777777" w:rsidTr="008220C5">
              <w:trPr>
                <w:trHeight w:val="245"/>
                <w:jc w:val="center"/>
              </w:trPr>
              <w:tc>
                <w:tcPr>
                  <w:tcW w:w="338" w:type="dxa"/>
                  <w:vMerge/>
                  <w:vAlign w:val="center"/>
                </w:tcPr>
                <w:p w14:paraId="15134539" w14:textId="77777777" w:rsidR="008220C5" w:rsidRPr="008819AF" w:rsidRDefault="008220C5" w:rsidP="00445A6C">
                  <w:pPr>
                    <w:rPr>
                      <w:b/>
                      <w:sz w:val="18"/>
                      <w:szCs w:val="18"/>
                    </w:rPr>
                  </w:pPr>
                </w:p>
              </w:tc>
              <w:tc>
                <w:tcPr>
                  <w:tcW w:w="1777" w:type="dxa"/>
                  <w:vMerge/>
                  <w:vAlign w:val="center"/>
                </w:tcPr>
                <w:p w14:paraId="1513453A" w14:textId="77777777" w:rsidR="008220C5" w:rsidRPr="008819AF" w:rsidRDefault="008220C5" w:rsidP="00445A6C">
                  <w:pPr>
                    <w:rPr>
                      <w:b/>
                      <w:sz w:val="18"/>
                      <w:szCs w:val="18"/>
                    </w:rPr>
                  </w:pPr>
                </w:p>
              </w:tc>
              <w:tc>
                <w:tcPr>
                  <w:tcW w:w="337" w:type="dxa"/>
                  <w:vAlign w:val="center"/>
                </w:tcPr>
                <w:p w14:paraId="1513453B" w14:textId="77777777" w:rsidR="008220C5" w:rsidRPr="008819AF"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1513453C"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200</w:t>
                  </w:r>
                </w:p>
              </w:tc>
              <w:tc>
                <w:tcPr>
                  <w:tcW w:w="564" w:type="dxa"/>
                  <w:vAlign w:val="center"/>
                </w:tcPr>
                <w:p w14:paraId="1513453D" w14:textId="77777777" w:rsidR="008220C5" w:rsidRPr="008819AF" w:rsidRDefault="008220C5" w:rsidP="008220C5">
                  <w:pPr>
                    <w:pStyle w:val="Zkladntext2"/>
                    <w:ind w:left="-93" w:firstLine="0"/>
                    <w:jc w:val="center"/>
                    <w:rPr>
                      <w:rFonts w:ascii="Times New Roman" w:hAnsi="Times New Roman" w:cs="Times New Roman"/>
                      <w:sz w:val="18"/>
                      <w:szCs w:val="18"/>
                    </w:rPr>
                  </w:pPr>
                </w:p>
              </w:tc>
              <w:tc>
                <w:tcPr>
                  <w:tcW w:w="1449" w:type="dxa"/>
                  <w:gridSpan w:val="3"/>
                  <w:vAlign w:val="center"/>
                </w:tcPr>
                <w:p w14:paraId="1513453E"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5,  73)</w:t>
                  </w:r>
                </w:p>
              </w:tc>
              <w:tc>
                <w:tcPr>
                  <w:tcW w:w="778" w:type="dxa"/>
                  <w:vAlign w:val="center"/>
                </w:tcPr>
                <w:p w14:paraId="1513453F" w14:textId="77777777" w:rsidR="008220C5" w:rsidRPr="008819AF" w:rsidRDefault="008220C5" w:rsidP="008220C5">
                  <w:pPr>
                    <w:pStyle w:val="Zkladntext2"/>
                    <w:ind w:left="-93" w:firstLine="0"/>
                    <w:jc w:val="center"/>
                    <w:rPr>
                      <w:rFonts w:ascii="Times New Roman" w:hAnsi="Times New Roman" w:cs="Times New Roman"/>
                      <w:sz w:val="18"/>
                      <w:szCs w:val="18"/>
                    </w:rPr>
                  </w:pPr>
                </w:p>
              </w:tc>
            </w:tr>
            <w:tr w:rsidR="008220C5" w:rsidRPr="008819AF" w14:paraId="15134553" w14:textId="77777777" w:rsidTr="008220C5">
              <w:trPr>
                <w:trHeight w:val="546"/>
                <w:jc w:val="center"/>
              </w:trPr>
              <w:tc>
                <w:tcPr>
                  <w:tcW w:w="338" w:type="dxa"/>
                  <w:vMerge w:val="restart"/>
                </w:tcPr>
                <w:p w14:paraId="15134541"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Ic</w:t>
                  </w:r>
                </w:p>
                <w:p w14:paraId="15134542" w14:textId="77777777" w:rsidR="008220C5" w:rsidRPr="008819AF" w:rsidRDefault="008220C5" w:rsidP="008220C5">
                  <w:pPr>
                    <w:pStyle w:val="Zkladntext2"/>
                    <w:ind w:left="-93" w:firstLine="0"/>
                    <w:jc w:val="center"/>
                    <w:rPr>
                      <w:rFonts w:ascii="Times New Roman" w:hAnsi="Times New Roman" w:cs="Times New Roman"/>
                      <w:b/>
                      <w:sz w:val="18"/>
                      <w:szCs w:val="18"/>
                    </w:rPr>
                  </w:pPr>
                </w:p>
                <w:p w14:paraId="15134543"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Id</w:t>
                  </w:r>
                </w:p>
                <w:p w14:paraId="15134544"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Ie</w:t>
                  </w:r>
                </w:p>
                <w:p w14:paraId="15134545" w14:textId="77777777" w:rsidR="008220C5" w:rsidRPr="008819AF" w:rsidRDefault="008220C5" w:rsidP="008220C5">
                  <w:pPr>
                    <w:pStyle w:val="Zkladntext2"/>
                    <w:ind w:left="-93" w:firstLine="0"/>
                    <w:jc w:val="center"/>
                    <w:rPr>
                      <w:rFonts w:ascii="Times New Roman" w:hAnsi="Times New Roman" w:cs="Times New Roman"/>
                      <w:b/>
                      <w:sz w:val="18"/>
                      <w:szCs w:val="18"/>
                    </w:rPr>
                  </w:pPr>
                </w:p>
                <w:p w14:paraId="15134546"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If</w:t>
                  </w:r>
                </w:p>
                <w:p w14:paraId="15134547"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Ig</w:t>
                  </w:r>
                </w:p>
              </w:tc>
              <w:tc>
                <w:tcPr>
                  <w:tcW w:w="1777" w:type="dxa"/>
                  <w:vMerge w:val="restart"/>
                </w:tcPr>
                <w:p w14:paraId="15134548"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Ostatné rotačná hĺbkotlač (≤ 200 t/rok)</w:t>
                  </w:r>
                </w:p>
                <w:p w14:paraId="15134549"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Flexografia (≤ 200 t/rok)</w:t>
                  </w:r>
                </w:p>
                <w:p w14:paraId="1513454A"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Rotačná sieťotlač na textil,  kartón, lepenku</w:t>
                  </w:r>
                </w:p>
                <w:p w14:paraId="1513454B"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Lakovanie, lepenie</w:t>
                  </w:r>
                </w:p>
                <w:p w14:paraId="1513454C"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lastRenderedPageBreak/>
                    <w:t>Laminovanie</w:t>
                  </w:r>
                </w:p>
              </w:tc>
              <w:tc>
                <w:tcPr>
                  <w:tcW w:w="337" w:type="dxa"/>
                  <w:vAlign w:val="center"/>
                </w:tcPr>
                <w:p w14:paraId="1513454D"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lastRenderedPageBreak/>
                    <w:t>Z</w:t>
                  </w:r>
                </w:p>
              </w:tc>
              <w:tc>
                <w:tcPr>
                  <w:tcW w:w="565" w:type="dxa"/>
                  <w:vAlign w:val="center"/>
                </w:tcPr>
                <w:p w14:paraId="1513454E"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 0,6</w:t>
                  </w:r>
                </w:p>
              </w:tc>
              <w:tc>
                <w:tcPr>
                  <w:tcW w:w="564" w:type="dxa"/>
                  <w:vAlign w:val="center"/>
                </w:tcPr>
                <w:p w14:paraId="1513454F"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15</w:t>
                  </w:r>
                </w:p>
              </w:tc>
              <w:tc>
                <w:tcPr>
                  <w:tcW w:w="716" w:type="dxa"/>
                  <w:vAlign w:val="center"/>
                </w:tcPr>
                <w:p w14:paraId="15134550"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120</w:t>
                  </w:r>
                </w:p>
              </w:tc>
              <w:tc>
                <w:tcPr>
                  <w:tcW w:w="733" w:type="dxa"/>
                  <w:gridSpan w:val="2"/>
                  <w:vAlign w:val="center"/>
                </w:tcPr>
                <w:p w14:paraId="15134551"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25</w:t>
                  </w:r>
                </w:p>
              </w:tc>
              <w:tc>
                <w:tcPr>
                  <w:tcW w:w="778" w:type="dxa"/>
                  <w:vAlign w:val="center"/>
                </w:tcPr>
                <w:p w14:paraId="15134552"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1,2</w:t>
                  </w:r>
                </w:p>
              </w:tc>
            </w:tr>
            <w:tr w:rsidR="008220C5" w:rsidRPr="008819AF" w14:paraId="1513455C" w14:textId="77777777" w:rsidTr="008220C5">
              <w:trPr>
                <w:trHeight w:val="426"/>
                <w:jc w:val="center"/>
              </w:trPr>
              <w:tc>
                <w:tcPr>
                  <w:tcW w:w="338" w:type="dxa"/>
                  <w:vMerge/>
                  <w:vAlign w:val="center"/>
                </w:tcPr>
                <w:p w14:paraId="15134554" w14:textId="77777777" w:rsidR="008220C5" w:rsidRPr="008819AF"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15134555" w14:textId="77777777" w:rsidR="008220C5" w:rsidRPr="008819AF" w:rsidRDefault="008220C5" w:rsidP="008220C5">
                  <w:pPr>
                    <w:pStyle w:val="Zkladntext2"/>
                    <w:ind w:left="-93" w:firstLine="0"/>
                    <w:jc w:val="center"/>
                    <w:rPr>
                      <w:rFonts w:ascii="Times New Roman" w:hAnsi="Times New Roman" w:cs="Times New Roman"/>
                      <w:sz w:val="18"/>
                      <w:szCs w:val="18"/>
                    </w:rPr>
                  </w:pPr>
                </w:p>
              </w:tc>
              <w:tc>
                <w:tcPr>
                  <w:tcW w:w="337" w:type="dxa"/>
                  <w:vAlign w:val="center"/>
                </w:tcPr>
                <w:p w14:paraId="15134556"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565" w:type="dxa"/>
                  <w:vAlign w:val="center"/>
                </w:tcPr>
                <w:p w14:paraId="15134557"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15</w:t>
                  </w:r>
                </w:p>
              </w:tc>
              <w:tc>
                <w:tcPr>
                  <w:tcW w:w="564" w:type="dxa"/>
                  <w:vAlign w:val="center"/>
                </w:tcPr>
                <w:p w14:paraId="15134558"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25</w:t>
                  </w:r>
                </w:p>
              </w:tc>
              <w:tc>
                <w:tcPr>
                  <w:tcW w:w="716" w:type="dxa"/>
                  <w:vAlign w:val="center"/>
                </w:tcPr>
                <w:p w14:paraId="15134559"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100</w:t>
                  </w:r>
                </w:p>
              </w:tc>
              <w:tc>
                <w:tcPr>
                  <w:tcW w:w="733" w:type="dxa"/>
                  <w:gridSpan w:val="2"/>
                  <w:vAlign w:val="center"/>
                </w:tcPr>
                <w:p w14:paraId="1513455A"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25</w:t>
                  </w:r>
                </w:p>
              </w:tc>
              <w:tc>
                <w:tcPr>
                  <w:tcW w:w="778" w:type="dxa"/>
                  <w:vAlign w:val="center"/>
                </w:tcPr>
                <w:p w14:paraId="1513455B"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1,2</w:t>
                  </w:r>
                </w:p>
              </w:tc>
            </w:tr>
            <w:tr w:rsidR="008220C5" w:rsidRPr="008819AF" w14:paraId="15134565" w14:textId="77777777" w:rsidTr="008220C5">
              <w:trPr>
                <w:trHeight w:val="560"/>
                <w:jc w:val="center"/>
              </w:trPr>
              <w:tc>
                <w:tcPr>
                  <w:tcW w:w="338" w:type="dxa"/>
                  <w:vMerge/>
                  <w:vAlign w:val="center"/>
                </w:tcPr>
                <w:p w14:paraId="1513455D" w14:textId="77777777" w:rsidR="008220C5" w:rsidRPr="008819AF"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1513455E" w14:textId="77777777" w:rsidR="008220C5" w:rsidRPr="008819AF" w:rsidRDefault="008220C5" w:rsidP="008220C5">
                  <w:pPr>
                    <w:pStyle w:val="Zkladntext2"/>
                    <w:ind w:left="-93" w:firstLine="0"/>
                    <w:jc w:val="center"/>
                    <w:rPr>
                      <w:rFonts w:ascii="Times New Roman" w:hAnsi="Times New Roman" w:cs="Times New Roman"/>
                      <w:sz w:val="18"/>
                      <w:szCs w:val="18"/>
                    </w:rPr>
                  </w:pPr>
                </w:p>
              </w:tc>
              <w:tc>
                <w:tcPr>
                  <w:tcW w:w="337" w:type="dxa"/>
                  <w:vAlign w:val="center"/>
                </w:tcPr>
                <w:p w14:paraId="1513455F" w14:textId="77777777" w:rsidR="008220C5" w:rsidRPr="008819AF"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15134560"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25</w:t>
                  </w:r>
                </w:p>
              </w:tc>
              <w:tc>
                <w:tcPr>
                  <w:tcW w:w="564" w:type="dxa"/>
                  <w:vAlign w:val="center"/>
                </w:tcPr>
                <w:p w14:paraId="15134561"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716" w:type="dxa"/>
                  <w:vAlign w:val="center"/>
                </w:tcPr>
                <w:p w14:paraId="15134562"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100</w:t>
                  </w:r>
                </w:p>
              </w:tc>
              <w:tc>
                <w:tcPr>
                  <w:tcW w:w="733" w:type="dxa"/>
                  <w:gridSpan w:val="2"/>
                  <w:vAlign w:val="center"/>
                </w:tcPr>
                <w:p w14:paraId="15134563"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778" w:type="dxa"/>
                  <w:vAlign w:val="center"/>
                </w:tcPr>
                <w:p w14:paraId="15134564"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w:t>
                  </w:r>
                </w:p>
              </w:tc>
            </w:tr>
            <w:tr w:rsidR="008220C5" w:rsidRPr="008819AF" w14:paraId="15134571" w14:textId="77777777" w:rsidTr="008220C5">
              <w:trPr>
                <w:trHeight w:val="340"/>
                <w:jc w:val="center"/>
              </w:trPr>
              <w:tc>
                <w:tcPr>
                  <w:tcW w:w="338" w:type="dxa"/>
                </w:tcPr>
                <w:p w14:paraId="15134566"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 Ic</w:t>
                  </w:r>
                </w:p>
                <w:p w14:paraId="15134567" w14:textId="77777777" w:rsidR="008220C5" w:rsidRPr="008819AF" w:rsidRDefault="008220C5" w:rsidP="008220C5">
                  <w:pPr>
                    <w:pStyle w:val="Zkladntext2"/>
                    <w:ind w:left="-93" w:firstLine="0"/>
                    <w:jc w:val="center"/>
                    <w:rPr>
                      <w:rFonts w:ascii="Times New Roman" w:hAnsi="Times New Roman" w:cs="Times New Roman"/>
                      <w:b/>
                      <w:sz w:val="18"/>
                      <w:szCs w:val="18"/>
                    </w:rPr>
                  </w:pPr>
                </w:p>
                <w:p w14:paraId="15134568" w14:textId="77777777" w:rsidR="008220C5" w:rsidRPr="008819AF" w:rsidRDefault="008220C5" w:rsidP="008220C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Id</w:t>
                  </w:r>
                </w:p>
              </w:tc>
              <w:tc>
                <w:tcPr>
                  <w:tcW w:w="1777" w:type="dxa"/>
                </w:tcPr>
                <w:p w14:paraId="15134569"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Rotačná hĺbkotlač (potlač obalových materiálov) </w:t>
                  </w:r>
                </w:p>
                <w:p w14:paraId="1513456A" w14:textId="77777777" w:rsidR="008220C5" w:rsidRPr="008819AF" w:rsidRDefault="008220C5" w:rsidP="008220C5">
                  <w:pPr>
                    <w:pStyle w:val="Zkladntext2"/>
                    <w:ind w:left="-93" w:right="-108" w:firstLine="0"/>
                    <w:jc w:val="center"/>
                    <w:rPr>
                      <w:rFonts w:ascii="Times New Roman" w:hAnsi="Times New Roman" w:cs="Times New Roman"/>
                      <w:sz w:val="18"/>
                      <w:szCs w:val="18"/>
                    </w:rPr>
                  </w:pPr>
                  <w:r w:rsidRPr="008819AF">
                    <w:rPr>
                      <w:rFonts w:ascii="Times New Roman" w:hAnsi="Times New Roman" w:cs="Times New Roman"/>
                      <w:sz w:val="18"/>
                      <w:szCs w:val="18"/>
                    </w:rPr>
                    <w:t>Flexografia (&gt; 200 t/rok)</w:t>
                  </w:r>
                </w:p>
              </w:tc>
              <w:tc>
                <w:tcPr>
                  <w:tcW w:w="337" w:type="dxa"/>
                  <w:vAlign w:val="center"/>
                </w:tcPr>
                <w:p w14:paraId="1513456B" w14:textId="77777777" w:rsidR="008220C5" w:rsidRPr="008819AF"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1513456C"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200</w:t>
                  </w:r>
                </w:p>
              </w:tc>
              <w:tc>
                <w:tcPr>
                  <w:tcW w:w="564" w:type="dxa"/>
                  <w:vAlign w:val="center"/>
                </w:tcPr>
                <w:p w14:paraId="1513456D"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716" w:type="dxa"/>
                  <w:vAlign w:val="center"/>
                </w:tcPr>
                <w:p w14:paraId="1513456E"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100</w:t>
                  </w:r>
                </w:p>
              </w:tc>
              <w:tc>
                <w:tcPr>
                  <w:tcW w:w="733" w:type="dxa"/>
                  <w:gridSpan w:val="2"/>
                  <w:vAlign w:val="center"/>
                </w:tcPr>
                <w:p w14:paraId="1513456F"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778" w:type="dxa"/>
                  <w:vAlign w:val="center"/>
                </w:tcPr>
                <w:p w14:paraId="15134570" w14:textId="77777777" w:rsidR="008220C5" w:rsidRPr="008819AF" w:rsidRDefault="008220C5" w:rsidP="008220C5">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0,5</w:t>
                  </w:r>
                  <w:r w:rsidRPr="008819AF">
                    <w:rPr>
                      <w:rFonts w:ascii="Times New Roman" w:hAnsi="Times New Roman" w:cs="Times New Roman"/>
                      <w:sz w:val="18"/>
                      <w:szCs w:val="18"/>
                      <w:vertAlign w:val="superscript"/>
                    </w:rPr>
                    <w:t>6</w:t>
                  </w:r>
                  <w:r w:rsidRPr="008819AF">
                    <w:rPr>
                      <w:rFonts w:ascii="Times New Roman" w:hAnsi="Times New Roman" w:cs="Times New Roman"/>
                      <w:sz w:val="18"/>
                      <w:szCs w:val="18"/>
                    </w:rPr>
                    <w:t>),  0,6</w:t>
                  </w:r>
                  <w:r w:rsidRPr="008819AF">
                    <w:rPr>
                      <w:rFonts w:ascii="Times New Roman" w:hAnsi="Times New Roman" w:cs="Times New Roman"/>
                      <w:sz w:val="18"/>
                      <w:szCs w:val="18"/>
                      <w:vertAlign w:val="superscript"/>
                    </w:rPr>
                    <w:t>7</w:t>
                  </w:r>
                  <w:r w:rsidRPr="008819AF">
                    <w:rPr>
                      <w:rFonts w:ascii="Times New Roman" w:hAnsi="Times New Roman" w:cs="Times New Roman"/>
                      <w:sz w:val="18"/>
                      <w:szCs w:val="18"/>
                    </w:rPr>
                    <w:t>), 1</w:t>
                  </w:r>
                  <w:r w:rsidRPr="008819AF">
                    <w:rPr>
                      <w:rFonts w:ascii="Times New Roman" w:hAnsi="Times New Roman" w:cs="Times New Roman"/>
                      <w:sz w:val="18"/>
                      <w:szCs w:val="18"/>
                      <w:vertAlign w:val="superscript"/>
                    </w:rPr>
                    <w:t>8</w:t>
                  </w:r>
                  <w:r w:rsidRPr="008819AF">
                    <w:rPr>
                      <w:rFonts w:ascii="Times New Roman" w:hAnsi="Times New Roman" w:cs="Times New Roman"/>
                      <w:sz w:val="18"/>
                      <w:szCs w:val="18"/>
                    </w:rPr>
                    <w:t>)</w:t>
                  </w:r>
                </w:p>
              </w:tc>
            </w:tr>
          </w:tbl>
          <w:p w14:paraId="15134572" w14:textId="77777777" w:rsidR="004A0AED" w:rsidRPr="008819AF" w:rsidRDefault="004A0AED" w:rsidP="004A0AED">
            <w:pPr>
              <w:pStyle w:val="Zkladntext2"/>
              <w:spacing w:before="60"/>
              <w:ind w:left="425" w:hanging="425"/>
              <w:rPr>
                <w:rFonts w:ascii="Times New Roman" w:hAnsi="Times New Roman" w:cs="Times New Roman"/>
                <w:sz w:val="20"/>
                <w:szCs w:val="20"/>
              </w:rPr>
            </w:pPr>
            <w:r w:rsidRPr="008819AF">
              <w:rPr>
                <w:rFonts w:ascii="Times New Roman" w:hAnsi="Times New Roman" w:cs="Times New Roman"/>
                <w:sz w:val="20"/>
                <w:szCs w:val="20"/>
              </w:rPr>
              <w:t>Z - označenie určenej kapacity zariadenia, pre ktoré podstatná zmena zodpovedá  požiadavke § 29 ods. 1 písm. a).</w:t>
            </w:r>
          </w:p>
          <w:p w14:paraId="15134573" w14:textId="77777777" w:rsidR="004A0AED" w:rsidRPr="008819AF" w:rsidRDefault="004A0AED" w:rsidP="004A0AED">
            <w:pPr>
              <w:pStyle w:val="Zkladntext2"/>
              <w:rPr>
                <w:rFonts w:ascii="Times New Roman" w:hAnsi="Times New Roman" w:cs="Times New Roman"/>
                <w:sz w:val="20"/>
                <w:szCs w:val="20"/>
              </w:rPr>
            </w:pPr>
            <w:r w:rsidRPr="008819AF">
              <w:rPr>
                <w:rFonts w:ascii="Times New Roman" w:hAnsi="Times New Roman" w:cs="Times New Roman"/>
                <w:sz w:val="20"/>
                <w:szCs w:val="20"/>
                <w:vertAlign w:val="superscript"/>
              </w:rPr>
              <w:t>1</w:t>
            </w:r>
            <w:r w:rsidRPr="008819AF">
              <w:rPr>
                <w:rFonts w:ascii="Times New Roman" w:hAnsi="Times New Roman" w:cs="Times New Roman"/>
                <w:sz w:val="20"/>
                <w:szCs w:val="20"/>
              </w:rPr>
              <w:t>) Zvyšky rozpúšťadiel v konečnom výrobku sa nepovažujú za súčasť fugitívnych emisií.</w:t>
            </w:r>
          </w:p>
          <w:p w14:paraId="15134574" w14:textId="77777777" w:rsidR="004A0AED" w:rsidRPr="008819AF" w:rsidRDefault="004A0AED" w:rsidP="004A0AED">
            <w:pPr>
              <w:pStyle w:val="Zkladntext2"/>
              <w:ind w:left="270" w:hanging="270"/>
              <w:rPr>
                <w:rFonts w:ascii="Times New Roman" w:hAnsi="Times New Roman" w:cs="Times New Roman"/>
                <w:sz w:val="20"/>
                <w:szCs w:val="20"/>
              </w:rPr>
            </w:pPr>
            <w:r w:rsidRPr="008819AF">
              <w:rPr>
                <w:rFonts w:ascii="Times New Roman" w:hAnsi="Times New Roman" w:cs="Times New Roman"/>
                <w:sz w:val="20"/>
                <w:szCs w:val="20"/>
                <w:vertAlign w:val="superscript"/>
              </w:rPr>
              <w:t>2</w:t>
            </w:r>
            <w:r w:rsidRPr="008819AF">
              <w:rPr>
                <w:rFonts w:ascii="Times New Roman" w:hAnsi="Times New Roman" w:cs="Times New Roman"/>
                <w:sz w:val="20"/>
                <w:szCs w:val="20"/>
              </w:rPr>
              <w:t>) Podiel hmotnosti celkových emisií VOC a celkovej spotreby tlačiarenských farieb vyjadrených v %.</w:t>
            </w:r>
          </w:p>
          <w:p w14:paraId="15134575" w14:textId="77777777" w:rsidR="004A0AED" w:rsidRPr="008819AF" w:rsidRDefault="004A0AED" w:rsidP="004A0AED">
            <w:pPr>
              <w:pStyle w:val="Zkladntext2"/>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3</w:t>
            </w:r>
            <w:r w:rsidRPr="008819AF">
              <w:rPr>
                <w:rFonts w:ascii="Times New Roman" w:hAnsi="Times New Roman" w:cs="Times New Roman"/>
                <w:sz w:val="20"/>
                <w:szCs w:val="20"/>
              </w:rPr>
              <w:t xml:space="preserve">) Platí pre zariadenia povolené do 31. decembra 2013. </w:t>
            </w:r>
          </w:p>
          <w:p w14:paraId="15134576" w14:textId="77777777" w:rsidR="004A0AED" w:rsidRPr="008819AF" w:rsidRDefault="004A0AED" w:rsidP="004A0AED">
            <w:pPr>
              <w:pStyle w:val="Zkladntext2"/>
              <w:rPr>
                <w:rFonts w:ascii="Times New Roman" w:hAnsi="Times New Roman" w:cs="Times New Roman"/>
                <w:sz w:val="20"/>
                <w:szCs w:val="20"/>
              </w:rPr>
            </w:pPr>
            <w:r w:rsidRPr="008819AF">
              <w:rPr>
                <w:rFonts w:ascii="Times New Roman" w:hAnsi="Times New Roman" w:cs="Times New Roman"/>
                <w:sz w:val="20"/>
                <w:szCs w:val="20"/>
                <w:vertAlign w:val="superscript"/>
              </w:rPr>
              <w:t>4</w:t>
            </w:r>
            <w:r w:rsidRPr="008819AF">
              <w:rPr>
                <w:rFonts w:ascii="Times New Roman" w:hAnsi="Times New Roman" w:cs="Times New Roman"/>
                <w:sz w:val="20"/>
                <w:szCs w:val="20"/>
              </w:rPr>
              <w:t xml:space="preserve">) Platí pre jestvujúce zariadenia. </w:t>
            </w:r>
          </w:p>
          <w:p w14:paraId="15134577" w14:textId="77777777" w:rsidR="004A0AED" w:rsidRPr="008819AF" w:rsidRDefault="004A0AED" w:rsidP="004A0AED">
            <w:pPr>
              <w:ind w:left="284" w:hanging="284"/>
              <w:jc w:val="both"/>
            </w:pPr>
            <w:r w:rsidRPr="008819AF">
              <w:rPr>
                <w:vertAlign w:val="superscript"/>
              </w:rPr>
              <w:t>5</w:t>
            </w:r>
            <w:r w:rsidRPr="008819AF">
              <w:t xml:space="preserve">) Podiel hmotnosti celkových emisií VOC a celkovej hmotnosti vstupu organických   rozpúšťadiel vyjadrených v %. </w:t>
            </w:r>
          </w:p>
          <w:p w14:paraId="15134578" w14:textId="77777777" w:rsidR="004A0AED" w:rsidRPr="008819AF" w:rsidRDefault="004A0AED" w:rsidP="004A0AED">
            <w:pPr>
              <w:ind w:left="284" w:hanging="284"/>
              <w:jc w:val="both"/>
            </w:pPr>
            <w:r w:rsidRPr="008819AF">
              <w:rPr>
                <w:vertAlign w:val="superscript"/>
              </w:rPr>
              <w:t>6</w:t>
            </w:r>
            <w:r w:rsidRPr="008819AF">
              <w:t>) Platí pre zariadenia, ktorých odpadové plyny sú odvádzané na oxidáciu; pre kombinované zariadenia povolené do 31. decembra 2013 tento emisný faktor platí pre stroje, ktorých odpadové plyny sú odvádzané na oxidáciu.</w:t>
            </w:r>
          </w:p>
          <w:p w14:paraId="15134579" w14:textId="77777777" w:rsidR="004A0AED" w:rsidRPr="008819AF" w:rsidRDefault="004A0AED" w:rsidP="004A0AED">
            <w:pPr>
              <w:ind w:left="284"/>
              <w:jc w:val="both"/>
            </w:pPr>
            <w:r w:rsidRPr="008819AF">
              <w:t xml:space="preserve">Kombinované zariadenie je zariadenie, ktorého niektoré stroje nie sú napojené na spaľovacie zariadenie alebo regeneračné zariadenie. </w:t>
            </w:r>
          </w:p>
          <w:p w14:paraId="1513457A" w14:textId="77777777" w:rsidR="004A0AED" w:rsidRPr="008819AF" w:rsidRDefault="004A0AED" w:rsidP="004A0AED">
            <w:pPr>
              <w:ind w:left="360" w:hanging="360"/>
              <w:jc w:val="both"/>
            </w:pPr>
            <w:r w:rsidRPr="008819AF">
              <w:rPr>
                <w:vertAlign w:val="superscript"/>
              </w:rPr>
              <w:t>7</w:t>
            </w:r>
            <w:r w:rsidRPr="008819AF">
              <w:t>) Platí pre zariadenia, ktorých odpadové plyny sú odvádzané na adsorpciu na aktívnom uhlí; pre kombinované zariadenia povolené do 31. decembra 2013 tento emisný faktor platí pre stroje, ktorých odpadové plyny sú odvádzané na adsorpciu.</w:t>
            </w:r>
          </w:p>
          <w:p w14:paraId="1513457B" w14:textId="77777777" w:rsidR="007170C3" w:rsidRPr="008819AF" w:rsidRDefault="004A0AED" w:rsidP="004A0AED">
            <w:pPr>
              <w:pStyle w:val="Zkladntext2"/>
              <w:ind w:left="360" w:hanging="360"/>
              <w:rPr>
                <w:rFonts w:ascii="Times New Roman" w:hAnsi="Times New Roman" w:cs="Times New Roman"/>
              </w:rPr>
            </w:pPr>
            <w:r w:rsidRPr="008819AF">
              <w:rPr>
                <w:rFonts w:ascii="Times New Roman" w:hAnsi="Times New Roman" w:cs="Times New Roman"/>
                <w:sz w:val="20"/>
                <w:szCs w:val="20"/>
                <w:vertAlign w:val="superscript"/>
              </w:rPr>
              <w:t>8</w:t>
            </w:r>
            <w:r w:rsidRPr="008819AF">
              <w:rPr>
                <w:rFonts w:ascii="Times New Roman" w:hAnsi="Times New Roman" w:cs="Times New Roman"/>
                <w:sz w:val="20"/>
                <w:szCs w:val="20"/>
              </w:rPr>
              <w:t xml:space="preserve">) Platí pre stroje, ktoré sú súčasťou kombinovaného zariadenia povoleného do 31. decembra 2013 a nie sú napojené na spracovávanie odpadových plynov, pričom tieto stroje treba využívať pre tlač s nízkym obsahom organických rozpúšťadiel alebo bez rozpúšťadiel alebo treba ich pripojiť na odlučovacie zariadenie, ak nie je plne využitá jeho kapacita;  pre výrobu s vysokým obsahom organických rozpúšťadiel treba prednostne využívať stroje pripojené na odlučovacie zariadenie. </w:t>
            </w:r>
          </w:p>
        </w:tc>
        <w:tc>
          <w:tcPr>
            <w:tcW w:w="709" w:type="dxa"/>
            <w:tcBorders>
              <w:top w:val="single" w:sz="4" w:space="0" w:color="000000"/>
              <w:left w:val="single" w:sz="6" w:space="0" w:color="000000"/>
              <w:bottom w:val="single" w:sz="6" w:space="0" w:color="000000"/>
              <w:right w:val="single" w:sz="6" w:space="0" w:color="000000"/>
            </w:tcBorders>
          </w:tcPr>
          <w:p w14:paraId="1513457C"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1513457D" w14:textId="77777777" w:rsidR="007170C3" w:rsidRPr="008819AF" w:rsidRDefault="007170C3">
            <w:pPr>
              <w:ind w:left="215" w:hanging="215"/>
              <w:rPr>
                <w:rFonts w:eastAsia="Arial"/>
              </w:rPr>
            </w:pPr>
          </w:p>
        </w:tc>
      </w:tr>
      <w:tr w:rsidR="007170C3" w:rsidRPr="008819AF" w14:paraId="151345BC" w14:textId="77777777" w:rsidTr="002A6DD8">
        <w:trPr>
          <w:trHeight w:val="703"/>
        </w:trPr>
        <w:tc>
          <w:tcPr>
            <w:tcW w:w="496" w:type="dxa"/>
            <w:tcBorders>
              <w:top w:val="single" w:sz="4" w:space="0" w:color="000000"/>
              <w:left w:val="single" w:sz="6" w:space="0" w:color="000000"/>
              <w:bottom w:val="single" w:sz="4" w:space="0" w:color="000000"/>
              <w:right w:val="single" w:sz="6" w:space="0" w:color="000000"/>
            </w:tcBorders>
          </w:tcPr>
          <w:p w14:paraId="1513457F"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w:t>
            </w:r>
          </w:p>
        </w:tc>
        <w:tc>
          <w:tcPr>
            <w:tcW w:w="5386" w:type="dxa"/>
            <w:tcBorders>
              <w:top w:val="single" w:sz="4" w:space="0" w:color="000000"/>
              <w:left w:val="single" w:sz="6" w:space="0" w:color="000000"/>
              <w:bottom w:val="single" w:sz="4" w:space="0" w:color="000000"/>
              <w:right w:val="single" w:sz="6" w:space="0" w:color="000000"/>
            </w:tcBorders>
          </w:tcPr>
          <w:p w14:paraId="15134580"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Čistenie povrchov  pomocou  zlúčenín  uvedených  v článku 59ods. 5</w:t>
            </w:r>
          </w:p>
        </w:tc>
        <w:tc>
          <w:tcPr>
            <w:tcW w:w="881" w:type="dxa"/>
            <w:tcBorders>
              <w:top w:val="single" w:sz="4" w:space="0" w:color="000000"/>
              <w:left w:val="single" w:sz="6" w:space="0" w:color="000000"/>
              <w:bottom w:val="single" w:sz="4" w:space="0" w:color="000000"/>
              <w:right w:val="single" w:sz="6" w:space="0" w:color="000000"/>
            </w:tcBorders>
          </w:tcPr>
          <w:p w14:paraId="15134581" w14:textId="77777777" w:rsidR="007170C3" w:rsidRPr="008819AF" w:rsidRDefault="004A0AED">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582"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583" w14:textId="77777777" w:rsidR="007170C3" w:rsidRPr="008819AF" w:rsidRDefault="004A0AED">
            <w:r w:rsidRPr="008819AF">
              <w:t>Pr.6</w:t>
            </w:r>
          </w:p>
          <w:p w14:paraId="15134584" w14:textId="77777777" w:rsidR="004A0AED" w:rsidRPr="008819AF" w:rsidRDefault="004A0AED">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585" w14:textId="77777777" w:rsidR="004A0AED" w:rsidRPr="008819AF" w:rsidRDefault="004A0AED" w:rsidP="004A0AED">
            <w:pPr>
              <w:jc w:val="both"/>
              <w:rPr>
                <w:b/>
              </w:rPr>
            </w:pPr>
            <w:r w:rsidRPr="008819AF">
              <w:rPr>
                <w:b/>
              </w:rPr>
              <w:t>2.   ODMASŤOVANIE A ČISTENIE POVRCHOV (II)</w:t>
            </w:r>
          </w:p>
          <w:p w14:paraId="15134586" w14:textId="77777777" w:rsidR="004A0AED" w:rsidRPr="008819AF" w:rsidRDefault="004A0AED" w:rsidP="004A0AED">
            <w:pPr>
              <w:pStyle w:val="Zkladntext2"/>
              <w:keepNext/>
              <w:spacing w:after="120"/>
              <w:ind w:left="709" w:hanging="709"/>
              <w:rPr>
                <w:rFonts w:ascii="Times New Roman" w:hAnsi="Times New Roman" w:cs="Times New Roman"/>
                <w:b/>
                <w:strike/>
                <w:sz w:val="20"/>
                <w:szCs w:val="20"/>
              </w:rPr>
            </w:pPr>
            <w:r w:rsidRPr="008819AF">
              <w:rPr>
                <w:rFonts w:ascii="Times New Roman" w:hAnsi="Times New Roman" w:cs="Times New Roman"/>
                <w:b/>
                <w:sz w:val="20"/>
                <w:szCs w:val="20"/>
              </w:rPr>
              <w:t xml:space="preserve">2.2  Prahové spotreby rozpúšťadiel a emisné limity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1279"/>
              <w:gridCol w:w="419"/>
              <w:gridCol w:w="652"/>
              <w:gridCol w:w="575"/>
              <w:gridCol w:w="1282"/>
              <w:gridCol w:w="1201"/>
            </w:tblGrid>
            <w:tr w:rsidR="004A0AED" w:rsidRPr="008819AF" w14:paraId="15134589" w14:textId="77777777" w:rsidTr="004A0AED">
              <w:trPr>
                <w:trHeight w:val="294"/>
                <w:jc w:val="center"/>
              </w:trPr>
              <w:tc>
                <w:tcPr>
                  <w:tcW w:w="1679" w:type="dxa"/>
                  <w:gridSpan w:val="2"/>
                  <w:vMerge w:val="restart"/>
                  <w:tcBorders>
                    <w:top w:val="single" w:sz="2" w:space="0" w:color="auto"/>
                    <w:left w:val="single" w:sz="2" w:space="0" w:color="auto"/>
                    <w:bottom w:val="single" w:sz="2" w:space="0" w:color="auto"/>
                    <w:right w:val="single" w:sz="2" w:space="0" w:color="auto"/>
                  </w:tcBorders>
                  <w:vAlign w:val="center"/>
                </w:tcPr>
                <w:p w14:paraId="15134587" w14:textId="77777777" w:rsidR="004A0AED" w:rsidRPr="008819AF" w:rsidRDefault="004A0AED" w:rsidP="004A0AED">
                  <w:pPr>
                    <w:pStyle w:val="Zkladntext2"/>
                    <w:ind w:left="-93" w:firstLine="0"/>
                    <w:rPr>
                      <w:rFonts w:ascii="Times New Roman" w:hAnsi="Times New Roman" w:cs="Times New Roman"/>
                      <w:b/>
                      <w:sz w:val="18"/>
                      <w:szCs w:val="18"/>
                    </w:rPr>
                  </w:pPr>
                  <w:r w:rsidRPr="008819AF">
                    <w:rPr>
                      <w:rFonts w:ascii="Times New Roman" w:hAnsi="Times New Roman" w:cs="Times New Roman"/>
                      <w:b/>
                      <w:sz w:val="18"/>
                      <w:szCs w:val="18"/>
                    </w:rPr>
                    <w:t>Podmienky platnosti EL</w:t>
                  </w:r>
                </w:p>
              </w:tc>
              <w:tc>
                <w:tcPr>
                  <w:tcW w:w="4129" w:type="dxa"/>
                  <w:gridSpan w:val="5"/>
                  <w:tcBorders>
                    <w:top w:val="single" w:sz="2" w:space="0" w:color="auto"/>
                    <w:left w:val="single" w:sz="2" w:space="0" w:color="auto"/>
                    <w:bottom w:val="single" w:sz="2" w:space="0" w:color="auto"/>
                    <w:right w:val="single" w:sz="2" w:space="0" w:color="auto"/>
                  </w:tcBorders>
                  <w:vAlign w:val="center"/>
                </w:tcPr>
                <w:p w14:paraId="15134588" w14:textId="77777777" w:rsidR="004A0AED" w:rsidRPr="008819AF" w:rsidRDefault="004A0AED" w:rsidP="004A0AED">
                  <w:pPr>
                    <w:pStyle w:val="Zkladntext2"/>
                    <w:ind w:left="-93" w:firstLine="0"/>
                    <w:rPr>
                      <w:rFonts w:ascii="Times New Roman" w:hAnsi="Times New Roman" w:cs="Times New Roman"/>
                      <w:sz w:val="18"/>
                      <w:szCs w:val="18"/>
                    </w:rPr>
                  </w:pPr>
                  <w:r w:rsidRPr="008819AF">
                    <w:rPr>
                      <w:rFonts w:ascii="Times New Roman" w:hAnsi="Times New Roman" w:cs="Times New Roman"/>
                      <w:sz w:val="18"/>
                      <w:szCs w:val="18"/>
                    </w:rPr>
                    <w:t>Štandardné stavové podmienky, vlhký plyn</w:t>
                  </w:r>
                </w:p>
              </w:tc>
            </w:tr>
            <w:tr w:rsidR="004A0AED" w:rsidRPr="008819AF" w14:paraId="1513458C" w14:textId="77777777" w:rsidTr="004A0AED">
              <w:trPr>
                <w:trHeight w:val="583"/>
                <w:jc w:val="center"/>
              </w:trPr>
              <w:tc>
                <w:tcPr>
                  <w:tcW w:w="1679" w:type="dxa"/>
                  <w:gridSpan w:val="2"/>
                  <w:vMerge/>
                  <w:tcBorders>
                    <w:top w:val="single" w:sz="2" w:space="0" w:color="auto"/>
                    <w:left w:val="single" w:sz="2" w:space="0" w:color="auto"/>
                    <w:bottom w:val="single" w:sz="2" w:space="0" w:color="auto"/>
                    <w:right w:val="single" w:sz="2" w:space="0" w:color="auto"/>
                  </w:tcBorders>
                  <w:vAlign w:val="center"/>
                </w:tcPr>
                <w:p w14:paraId="1513458A" w14:textId="77777777" w:rsidR="004A0AED" w:rsidRPr="008819AF" w:rsidRDefault="004A0AED" w:rsidP="004A0AED">
                  <w:pPr>
                    <w:pStyle w:val="Zkladntext2"/>
                    <w:ind w:left="-93" w:firstLine="0"/>
                    <w:rPr>
                      <w:rFonts w:ascii="Times New Roman" w:hAnsi="Times New Roman" w:cs="Times New Roman"/>
                      <w:b/>
                      <w:sz w:val="18"/>
                      <w:szCs w:val="18"/>
                    </w:rPr>
                  </w:pPr>
                </w:p>
              </w:tc>
              <w:tc>
                <w:tcPr>
                  <w:tcW w:w="4129" w:type="dxa"/>
                  <w:gridSpan w:val="5"/>
                  <w:tcBorders>
                    <w:top w:val="single" w:sz="2" w:space="0" w:color="auto"/>
                    <w:left w:val="single" w:sz="2" w:space="0" w:color="auto"/>
                    <w:bottom w:val="single" w:sz="2" w:space="0" w:color="auto"/>
                    <w:right w:val="single" w:sz="2" w:space="0" w:color="auto"/>
                  </w:tcBorders>
                  <w:vAlign w:val="center"/>
                </w:tcPr>
                <w:p w14:paraId="1513458B" w14:textId="77777777" w:rsidR="004A0AED" w:rsidRPr="008819AF" w:rsidRDefault="004A0AED" w:rsidP="004A0AED">
                  <w:pPr>
                    <w:pStyle w:val="Zkladntext2"/>
                    <w:ind w:left="-93" w:firstLine="0"/>
                    <w:rPr>
                      <w:rFonts w:ascii="Times New Roman" w:hAnsi="Times New Roman" w:cs="Times New Roman"/>
                      <w:sz w:val="18"/>
                      <w:szCs w:val="18"/>
                    </w:rPr>
                  </w:pPr>
                  <w:r w:rsidRPr="008819AF">
                    <w:rPr>
                      <w:rFonts w:ascii="Times New Roman" w:hAnsi="Times New Roman" w:cs="Times New Roman"/>
                      <w:sz w:val="18"/>
                      <w:szCs w:val="18"/>
                    </w:rPr>
                    <w:t xml:space="preserve">Emisný limit pre VOC zaradené podľa  § 28 ods. 1 platí pre súčet hmotností jednotlivých VOC. </w:t>
                  </w:r>
                </w:p>
              </w:tc>
            </w:tr>
            <w:tr w:rsidR="004A0AED" w:rsidRPr="008819AF" w14:paraId="15134593" w14:textId="77777777" w:rsidTr="004A0AED">
              <w:trPr>
                <w:trHeight w:val="430"/>
                <w:jc w:val="center"/>
              </w:trPr>
              <w:tc>
                <w:tcPr>
                  <w:tcW w:w="1679" w:type="dxa"/>
                  <w:gridSpan w:val="2"/>
                  <w:vMerge w:val="restart"/>
                  <w:tcBorders>
                    <w:top w:val="single" w:sz="2" w:space="0" w:color="auto"/>
                  </w:tcBorders>
                  <w:vAlign w:val="center"/>
                </w:tcPr>
                <w:p w14:paraId="1513458D" w14:textId="77777777" w:rsidR="004A0AED" w:rsidRPr="008819AF" w:rsidRDefault="004A0AED" w:rsidP="004A0AED">
                  <w:pPr>
                    <w:pStyle w:val="Zkladntext2"/>
                    <w:ind w:left="-93" w:firstLine="0"/>
                    <w:rPr>
                      <w:rFonts w:ascii="Times New Roman" w:hAnsi="Times New Roman" w:cs="Times New Roman"/>
                      <w:b/>
                      <w:sz w:val="18"/>
                      <w:szCs w:val="18"/>
                    </w:rPr>
                  </w:pPr>
                  <w:r w:rsidRPr="008819AF">
                    <w:rPr>
                      <w:rFonts w:ascii="Times New Roman" w:hAnsi="Times New Roman" w:cs="Times New Roman"/>
                      <w:b/>
                      <w:sz w:val="18"/>
                      <w:szCs w:val="18"/>
                    </w:rPr>
                    <w:lastRenderedPageBreak/>
                    <w:t>Odmasťovanie a </w:t>
                  </w:r>
                </w:p>
                <w:p w14:paraId="1513458E" w14:textId="77777777" w:rsidR="004A0AED" w:rsidRPr="008819AF" w:rsidRDefault="004A0AED" w:rsidP="004A0AED">
                  <w:pPr>
                    <w:pStyle w:val="Zkladntext2"/>
                    <w:ind w:left="-93" w:firstLine="0"/>
                    <w:rPr>
                      <w:rFonts w:ascii="Times New Roman" w:hAnsi="Times New Roman" w:cs="Times New Roman"/>
                      <w:b/>
                      <w:sz w:val="18"/>
                      <w:szCs w:val="18"/>
                    </w:rPr>
                  </w:pPr>
                  <w:r w:rsidRPr="008819AF">
                    <w:rPr>
                      <w:rFonts w:ascii="Times New Roman" w:hAnsi="Times New Roman" w:cs="Times New Roman"/>
                      <w:b/>
                      <w:sz w:val="18"/>
                      <w:szCs w:val="18"/>
                    </w:rPr>
                    <w:t>čistenie povrchov</w:t>
                  </w:r>
                </w:p>
                <w:p w14:paraId="1513458F" w14:textId="77777777" w:rsidR="004A0AED" w:rsidRPr="008819AF" w:rsidRDefault="004A0AED" w:rsidP="004A0AED">
                  <w:pPr>
                    <w:pStyle w:val="Zkladntext2"/>
                    <w:ind w:left="-93" w:firstLine="0"/>
                    <w:rPr>
                      <w:rFonts w:ascii="Times New Roman" w:hAnsi="Times New Roman" w:cs="Times New Roman"/>
                      <w:b/>
                      <w:sz w:val="18"/>
                      <w:szCs w:val="18"/>
                    </w:rPr>
                  </w:pPr>
                </w:p>
              </w:tc>
              <w:tc>
                <w:tcPr>
                  <w:tcW w:w="1646" w:type="dxa"/>
                  <w:gridSpan w:val="3"/>
                  <w:vMerge w:val="restart"/>
                  <w:tcBorders>
                    <w:top w:val="single" w:sz="2" w:space="0" w:color="auto"/>
                  </w:tcBorders>
                  <w:vAlign w:val="center"/>
                </w:tcPr>
                <w:p w14:paraId="15134590" w14:textId="77777777" w:rsidR="004A0AED" w:rsidRPr="008819AF" w:rsidRDefault="004A0AED" w:rsidP="004A0AED">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Prahová spotreba rozpúšťadla</w:t>
                  </w:r>
                </w:p>
                <w:p w14:paraId="15134591" w14:textId="77777777" w:rsidR="004A0AED" w:rsidRPr="008819AF" w:rsidRDefault="004A0AED" w:rsidP="004A0AED">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t/rok</w:t>
                  </w:r>
                  <w:r w:rsidRPr="008819AF">
                    <w:rPr>
                      <w:rFonts w:ascii="Times New Roman" w:hAnsi="Times New Roman" w:cs="Times New Roman"/>
                      <w:b/>
                      <w:sz w:val="18"/>
                      <w:szCs w:val="18"/>
                    </w:rPr>
                    <w:sym w:font="Symbol" w:char="F05D"/>
                  </w:r>
                </w:p>
              </w:tc>
              <w:tc>
                <w:tcPr>
                  <w:tcW w:w="2483" w:type="dxa"/>
                  <w:gridSpan w:val="2"/>
                  <w:tcBorders>
                    <w:top w:val="single" w:sz="2" w:space="0" w:color="auto"/>
                  </w:tcBorders>
                  <w:vAlign w:val="center"/>
                </w:tcPr>
                <w:p w14:paraId="15134592" w14:textId="77777777" w:rsidR="004A0AED" w:rsidRPr="008819AF" w:rsidRDefault="004A0AED" w:rsidP="004A0AED">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Emisný limit</w:t>
                  </w:r>
                </w:p>
              </w:tc>
            </w:tr>
            <w:tr w:rsidR="004A0AED" w:rsidRPr="008819AF" w14:paraId="15134598" w14:textId="77777777" w:rsidTr="004A0AED">
              <w:trPr>
                <w:trHeight w:val="361"/>
                <w:jc w:val="center"/>
              </w:trPr>
              <w:tc>
                <w:tcPr>
                  <w:tcW w:w="1679" w:type="dxa"/>
                  <w:gridSpan w:val="2"/>
                  <w:vMerge/>
                  <w:vAlign w:val="center"/>
                </w:tcPr>
                <w:p w14:paraId="15134594" w14:textId="77777777" w:rsidR="004A0AED" w:rsidRPr="008819AF" w:rsidRDefault="004A0AED" w:rsidP="00445A6C">
                  <w:pPr>
                    <w:rPr>
                      <w:b/>
                      <w:sz w:val="18"/>
                      <w:szCs w:val="18"/>
                    </w:rPr>
                  </w:pPr>
                </w:p>
              </w:tc>
              <w:tc>
                <w:tcPr>
                  <w:tcW w:w="1646" w:type="dxa"/>
                  <w:gridSpan w:val="3"/>
                  <w:vMerge/>
                  <w:vAlign w:val="center"/>
                </w:tcPr>
                <w:p w14:paraId="15134595" w14:textId="77777777" w:rsidR="004A0AED" w:rsidRPr="008819AF" w:rsidRDefault="004A0AED" w:rsidP="00445A6C">
                  <w:pPr>
                    <w:rPr>
                      <w:b/>
                      <w:sz w:val="18"/>
                      <w:szCs w:val="18"/>
                    </w:rPr>
                  </w:pPr>
                </w:p>
              </w:tc>
              <w:tc>
                <w:tcPr>
                  <w:tcW w:w="1282" w:type="dxa"/>
                  <w:vAlign w:val="center"/>
                </w:tcPr>
                <w:p w14:paraId="15134596" w14:textId="77777777" w:rsidR="004A0AED" w:rsidRPr="008819AF" w:rsidRDefault="004A0AED" w:rsidP="004A0AED">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Odpadové plyny </w:t>
                  </w:r>
                </w:p>
              </w:tc>
              <w:tc>
                <w:tcPr>
                  <w:tcW w:w="1201" w:type="dxa"/>
                  <w:vAlign w:val="center"/>
                </w:tcPr>
                <w:p w14:paraId="15134597" w14:textId="77777777" w:rsidR="004A0AED" w:rsidRPr="008819AF" w:rsidRDefault="004A0AED" w:rsidP="004A0AED">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Fugitívne emisie</w:t>
                  </w:r>
                </w:p>
              </w:tc>
            </w:tr>
            <w:tr w:rsidR="004A0AED" w:rsidRPr="008819AF" w14:paraId="1513459D" w14:textId="77777777" w:rsidTr="004A0AED">
              <w:trPr>
                <w:trHeight w:val="340"/>
                <w:jc w:val="center"/>
              </w:trPr>
              <w:tc>
                <w:tcPr>
                  <w:tcW w:w="1679" w:type="dxa"/>
                  <w:gridSpan w:val="2"/>
                  <w:vMerge/>
                  <w:vAlign w:val="center"/>
                </w:tcPr>
                <w:p w14:paraId="15134599" w14:textId="77777777" w:rsidR="004A0AED" w:rsidRPr="008819AF" w:rsidRDefault="004A0AED" w:rsidP="00445A6C">
                  <w:pPr>
                    <w:rPr>
                      <w:b/>
                      <w:sz w:val="18"/>
                      <w:szCs w:val="18"/>
                    </w:rPr>
                  </w:pPr>
                </w:p>
              </w:tc>
              <w:tc>
                <w:tcPr>
                  <w:tcW w:w="1646" w:type="dxa"/>
                  <w:gridSpan w:val="3"/>
                  <w:vMerge/>
                  <w:vAlign w:val="center"/>
                </w:tcPr>
                <w:p w14:paraId="1513459A" w14:textId="77777777" w:rsidR="004A0AED" w:rsidRPr="008819AF" w:rsidRDefault="004A0AED" w:rsidP="00445A6C">
                  <w:pPr>
                    <w:rPr>
                      <w:b/>
                      <w:sz w:val="18"/>
                      <w:szCs w:val="18"/>
                    </w:rPr>
                  </w:pPr>
                </w:p>
              </w:tc>
              <w:tc>
                <w:tcPr>
                  <w:tcW w:w="1282" w:type="dxa"/>
                  <w:vAlign w:val="center"/>
                </w:tcPr>
                <w:p w14:paraId="1513459B" w14:textId="77777777" w:rsidR="004A0AED" w:rsidRPr="008819AF" w:rsidRDefault="004A0AED" w:rsidP="004A0AED">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mg/m3</w:t>
                  </w:r>
                  <w:r w:rsidRPr="008819AF">
                    <w:rPr>
                      <w:rFonts w:ascii="Times New Roman" w:hAnsi="Times New Roman" w:cs="Times New Roman"/>
                      <w:b/>
                      <w:sz w:val="18"/>
                      <w:szCs w:val="18"/>
                    </w:rPr>
                    <w:sym w:font="Symbol" w:char="F05D"/>
                  </w:r>
                </w:p>
              </w:tc>
              <w:tc>
                <w:tcPr>
                  <w:tcW w:w="1201" w:type="dxa"/>
                  <w:vAlign w:val="center"/>
                </w:tcPr>
                <w:p w14:paraId="1513459C" w14:textId="77777777" w:rsidR="004A0AED" w:rsidRPr="008819AF" w:rsidRDefault="004A0AED" w:rsidP="004A0AED">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r>
            <w:tr w:rsidR="004A0AED" w:rsidRPr="008819AF" w14:paraId="151345A8" w14:textId="77777777" w:rsidTr="004A0AED">
              <w:trPr>
                <w:trHeight w:val="283"/>
                <w:jc w:val="center"/>
              </w:trPr>
              <w:tc>
                <w:tcPr>
                  <w:tcW w:w="400" w:type="dxa"/>
                  <w:vMerge w:val="restart"/>
                  <w:vAlign w:val="center"/>
                </w:tcPr>
                <w:p w14:paraId="1513459E" w14:textId="77777777" w:rsidR="004A0AED" w:rsidRPr="008819AF" w:rsidRDefault="004A0AED" w:rsidP="004A0AED">
                  <w:pPr>
                    <w:pStyle w:val="Zkladntext2"/>
                    <w:ind w:left="-93" w:firstLine="0"/>
                    <w:rPr>
                      <w:rFonts w:ascii="Times New Roman" w:hAnsi="Times New Roman" w:cs="Times New Roman"/>
                      <w:b/>
                      <w:sz w:val="18"/>
                      <w:szCs w:val="18"/>
                    </w:rPr>
                  </w:pPr>
                </w:p>
                <w:p w14:paraId="1513459F" w14:textId="77777777" w:rsidR="004A0AED" w:rsidRPr="008819AF" w:rsidRDefault="004A0AED" w:rsidP="004A0AED">
                  <w:pPr>
                    <w:pStyle w:val="Normln"/>
                    <w:keepNext/>
                    <w:ind w:left="-93"/>
                    <w:jc w:val="both"/>
                    <w:rPr>
                      <w:rFonts w:eastAsia="Arial"/>
                      <w:b/>
                      <w:sz w:val="18"/>
                      <w:szCs w:val="18"/>
                      <w:lang w:val="sk-SK" w:bidi="cs-CZ"/>
                    </w:rPr>
                  </w:pPr>
                  <w:r w:rsidRPr="008819AF">
                    <w:rPr>
                      <w:rFonts w:eastAsia="Arial"/>
                      <w:b/>
                      <w:sz w:val="18"/>
                      <w:szCs w:val="18"/>
                      <w:lang w:val="sk-SK" w:bidi="cs-CZ"/>
                    </w:rPr>
                    <w:t>IIa</w:t>
                  </w:r>
                </w:p>
                <w:p w14:paraId="151345A0" w14:textId="77777777" w:rsidR="004A0AED" w:rsidRPr="008819AF" w:rsidRDefault="004A0AED" w:rsidP="004A0AED">
                  <w:pPr>
                    <w:pStyle w:val="Normln"/>
                    <w:keepNext/>
                    <w:ind w:left="-93"/>
                    <w:jc w:val="both"/>
                    <w:rPr>
                      <w:rFonts w:eastAsia="Arial"/>
                      <w:b/>
                      <w:sz w:val="18"/>
                      <w:szCs w:val="18"/>
                      <w:lang w:val="sk-SK" w:bidi="cs-CZ"/>
                    </w:rPr>
                  </w:pPr>
                </w:p>
              </w:tc>
              <w:tc>
                <w:tcPr>
                  <w:tcW w:w="1279" w:type="dxa"/>
                  <w:vMerge w:val="restart"/>
                  <w:vAlign w:val="center"/>
                </w:tcPr>
                <w:p w14:paraId="151345A1"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Použitie organických rozpúšťadiel podľa</w:t>
                  </w:r>
                </w:p>
                <w:p w14:paraId="151345A2"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 28 ods. 1</w:t>
                  </w:r>
                </w:p>
              </w:tc>
              <w:tc>
                <w:tcPr>
                  <w:tcW w:w="419" w:type="dxa"/>
                  <w:vAlign w:val="center"/>
                </w:tcPr>
                <w:p w14:paraId="151345A3"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652" w:type="dxa"/>
                  <w:vAlign w:val="center"/>
                </w:tcPr>
                <w:p w14:paraId="151345A4"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   ≥ 0,1   </w:t>
                  </w:r>
                </w:p>
              </w:tc>
              <w:tc>
                <w:tcPr>
                  <w:tcW w:w="575" w:type="dxa"/>
                  <w:vAlign w:val="center"/>
                </w:tcPr>
                <w:p w14:paraId="151345A5"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1</w:t>
                  </w:r>
                </w:p>
              </w:tc>
              <w:tc>
                <w:tcPr>
                  <w:tcW w:w="1282" w:type="dxa"/>
                  <w:vAlign w:val="center"/>
                </w:tcPr>
                <w:p w14:paraId="151345A6"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201" w:type="dxa"/>
                  <w:vAlign w:val="center"/>
                </w:tcPr>
                <w:p w14:paraId="151345A7"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15</w:t>
                  </w:r>
                </w:p>
              </w:tc>
            </w:tr>
            <w:tr w:rsidR="004A0AED" w:rsidRPr="008819AF" w14:paraId="151345B0" w14:textId="77777777" w:rsidTr="004A0AED">
              <w:trPr>
                <w:trHeight w:val="283"/>
                <w:jc w:val="center"/>
              </w:trPr>
              <w:tc>
                <w:tcPr>
                  <w:tcW w:w="400" w:type="dxa"/>
                  <w:vMerge/>
                  <w:vAlign w:val="center"/>
                </w:tcPr>
                <w:p w14:paraId="151345A9" w14:textId="77777777" w:rsidR="004A0AED" w:rsidRPr="008819AF" w:rsidRDefault="004A0AED" w:rsidP="004A0AED">
                  <w:pPr>
                    <w:pStyle w:val="Zkladntext2"/>
                    <w:ind w:left="-93" w:firstLine="0"/>
                    <w:rPr>
                      <w:rFonts w:ascii="Times New Roman" w:hAnsi="Times New Roman" w:cs="Times New Roman"/>
                      <w:b/>
                      <w:sz w:val="18"/>
                      <w:szCs w:val="18"/>
                    </w:rPr>
                  </w:pPr>
                </w:p>
              </w:tc>
              <w:tc>
                <w:tcPr>
                  <w:tcW w:w="1279" w:type="dxa"/>
                  <w:vMerge/>
                  <w:vAlign w:val="center"/>
                </w:tcPr>
                <w:p w14:paraId="151345AA" w14:textId="77777777" w:rsidR="004A0AED" w:rsidRPr="008819AF" w:rsidRDefault="004A0AED" w:rsidP="004A0AED">
                  <w:pPr>
                    <w:pStyle w:val="Zkladntext2"/>
                    <w:ind w:left="-93" w:firstLine="0"/>
                    <w:jc w:val="center"/>
                    <w:rPr>
                      <w:rFonts w:ascii="Times New Roman" w:hAnsi="Times New Roman" w:cs="Times New Roman"/>
                      <w:sz w:val="18"/>
                      <w:szCs w:val="18"/>
                    </w:rPr>
                  </w:pPr>
                </w:p>
              </w:tc>
              <w:tc>
                <w:tcPr>
                  <w:tcW w:w="419" w:type="dxa"/>
                  <w:vAlign w:val="center"/>
                </w:tcPr>
                <w:p w14:paraId="151345AB"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652" w:type="dxa"/>
                  <w:vAlign w:val="center"/>
                </w:tcPr>
                <w:p w14:paraId="151345AC"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w:t>
                  </w:r>
                </w:p>
              </w:tc>
              <w:tc>
                <w:tcPr>
                  <w:tcW w:w="575" w:type="dxa"/>
                  <w:vAlign w:val="center"/>
                </w:tcPr>
                <w:p w14:paraId="151345AD"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5</w:t>
                  </w:r>
                </w:p>
              </w:tc>
              <w:tc>
                <w:tcPr>
                  <w:tcW w:w="1282" w:type="dxa"/>
                  <w:vAlign w:val="center"/>
                </w:tcPr>
                <w:p w14:paraId="151345AE"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201" w:type="dxa"/>
                  <w:vAlign w:val="center"/>
                </w:tcPr>
                <w:p w14:paraId="151345AF"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15</w:t>
                  </w:r>
                </w:p>
              </w:tc>
            </w:tr>
            <w:tr w:rsidR="004A0AED" w:rsidRPr="008819AF" w14:paraId="151345B8" w14:textId="77777777" w:rsidTr="004A0AED">
              <w:trPr>
                <w:trHeight w:val="283"/>
                <w:jc w:val="center"/>
              </w:trPr>
              <w:tc>
                <w:tcPr>
                  <w:tcW w:w="400" w:type="dxa"/>
                  <w:vMerge/>
                  <w:vAlign w:val="center"/>
                </w:tcPr>
                <w:p w14:paraId="151345B1" w14:textId="77777777" w:rsidR="004A0AED" w:rsidRPr="008819AF" w:rsidRDefault="004A0AED" w:rsidP="004A0AED">
                  <w:pPr>
                    <w:pStyle w:val="Zkladntext2"/>
                    <w:ind w:left="-93" w:firstLine="0"/>
                    <w:rPr>
                      <w:rFonts w:ascii="Times New Roman" w:hAnsi="Times New Roman" w:cs="Times New Roman"/>
                      <w:b/>
                      <w:sz w:val="18"/>
                      <w:szCs w:val="18"/>
                    </w:rPr>
                  </w:pPr>
                </w:p>
              </w:tc>
              <w:tc>
                <w:tcPr>
                  <w:tcW w:w="1279" w:type="dxa"/>
                  <w:vMerge/>
                  <w:vAlign w:val="center"/>
                </w:tcPr>
                <w:p w14:paraId="151345B2" w14:textId="77777777" w:rsidR="004A0AED" w:rsidRPr="008819AF" w:rsidRDefault="004A0AED" w:rsidP="004A0AED">
                  <w:pPr>
                    <w:pStyle w:val="Zkladntext2"/>
                    <w:ind w:left="-93" w:firstLine="0"/>
                    <w:jc w:val="center"/>
                    <w:rPr>
                      <w:rFonts w:ascii="Times New Roman" w:hAnsi="Times New Roman" w:cs="Times New Roman"/>
                      <w:sz w:val="18"/>
                      <w:szCs w:val="18"/>
                    </w:rPr>
                  </w:pPr>
                </w:p>
              </w:tc>
              <w:tc>
                <w:tcPr>
                  <w:tcW w:w="419" w:type="dxa"/>
                  <w:vAlign w:val="center"/>
                </w:tcPr>
                <w:p w14:paraId="151345B3" w14:textId="77777777" w:rsidR="004A0AED" w:rsidRPr="008819AF" w:rsidRDefault="004A0AED" w:rsidP="004A0AED">
                  <w:pPr>
                    <w:pStyle w:val="Zkladntext2"/>
                    <w:ind w:left="-93" w:firstLine="0"/>
                    <w:jc w:val="center"/>
                    <w:rPr>
                      <w:rFonts w:ascii="Times New Roman" w:hAnsi="Times New Roman" w:cs="Times New Roman"/>
                      <w:sz w:val="18"/>
                      <w:szCs w:val="18"/>
                    </w:rPr>
                  </w:pPr>
                </w:p>
              </w:tc>
              <w:tc>
                <w:tcPr>
                  <w:tcW w:w="652" w:type="dxa"/>
                  <w:vAlign w:val="center"/>
                </w:tcPr>
                <w:p w14:paraId="151345B4"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575" w:type="dxa"/>
                  <w:vAlign w:val="center"/>
                </w:tcPr>
                <w:p w14:paraId="151345B5"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282" w:type="dxa"/>
                  <w:vAlign w:val="center"/>
                </w:tcPr>
                <w:p w14:paraId="151345B6"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201" w:type="dxa"/>
                  <w:vAlign w:val="center"/>
                </w:tcPr>
                <w:p w14:paraId="151345B7" w14:textId="77777777" w:rsidR="004A0AED" w:rsidRPr="008819AF" w:rsidRDefault="004A0AED" w:rsidP="004A0AED">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10</w:t>
                  </w:r>
                </w:p>
              </w:tc>
            </w:tr>
          </w:tbl>
          <w:p w14:paraId="151345B9" w14:textId="77777777" w:rsidR="007170C3" w:rsidRPr="008819AF" w:rsidRDefault="004A0AED" w:rsidP="004A0AED">
            <w:pPr>
              <w:pStyle w:val="Zkladntext2"/>
              <w:spacing w:before="60"/>
              <w:ind w:left="284" w:hanging="284"/>
              <w:rPr>
                <w:rFonts w:ascii="Times New Roman" w:hAnsi="Times New Roman" w:cs="Times New Roman"/>
              </w:rPr>
            </w:pPr>
            <w:r w:rsidRPr="008819AF">
              <w:rPr>
                <w:rFonts w:ascii="Times New Roman" w:hAnsi="Times New Roman" w:cs="Times New Roman"/>
                <w:sz w:val="20"/>
                <w:szCs w:val="20"/>
              </w:rPr>
              <w:t xml:space="preserve"> </w:t>
            </w:r>
          </w:p>
        </w:tc>
        <w:tc>
          <w:tcPr>
            <w:tcW w:w="709" w:type="dxa"/>
            <w:tcBorders>
              <w:top w:val="single" w:sz="4" w:space="0" w:color="000000"/>
              <w:left w:val="single" w:sz="6" w:space="0" w:color="000000"/>
              <w:bottom w:val="single" w:sz="4" w:space="0" w:color="000000"/>
              <w:right w:val="single" w:sz="6" w:space="0" w:color="000000"/>
            </w:tcBorders>
          </w:tcPr>
          <w:p w14:paraId="151345BA"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5BB" w14:textId="77777777" w:rsidR="007170C3" w:rsidRPr="008819AF" w:rsidRDefault="007170C3">
            <w:pPr>
              <w:ind w:left="215" w:hanging="215"/>
              <w:rPr>
                <w:rFonts w:eastAsia="Arial"/>
              </w:rPr>
            </w:pPr>
          </w:p>
        </w:tc>
      </w:tr>
      <w:tr w:rsidR="004A0AED" w:rsidRPr="008819AF" w14:paraId="151345E5" w14:textId="77777777" w:rsidTr="002A6DD8">
        <w:trPr>
          <w:trHeight w:val="410"/>
        </w:trPr>
        <w:tc>
          <w:tcPr>
            <w:tcW w:w="496" w:type="dxa"/>
            <w:tcBorders>
              <w:top w:val="single" w:sz="4" w:space="0" w:color="000000"/>
              <w:left w:val="single" w:sz="6" w:space="0" w:color="000000"/>
              <w:bottom w:val="single" w:sz="4" w:space="0" w:color="000000"/>
              <w:right w:val="single" w:sz="6" w:space="0" w:color="000000"/>
            </w:tcBorders>
          </w:tcPr>
          <w:p w14:paraId="151345BD" w14:textId="77777777" w:rsidR="004A0AED" w:rsidRPr="008819AF" w:rsidRDefault="004A0AED">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w:t>
            </w:r>
          </w:p>
        </w:tc>
        <w:tc>
          <w:tcPr>
            <w:tcW w:w="5386" w:type="dxa"/>
            <w:tcBorders>
              <w:top w:val="single" w:sz="4" w:space="0" w:color="000000"/>
              <w:left w:val="single" w:sz="6" w:space="0" w:color="000000"/>
              <w:bottom w:val="single" w:sz="4" w:space="0" w:color="000000"/>
              <w:right w:val="single" w:sz="6" w:space="0" w:color="000000"/>
            </w:tcBorders>
          </w:tcPr>
          <w:p w14:paraId="151345BE" w14:textId="77777777" w:rsidR="004A0AED" w:rsidRPr="008819AF" w:rsidRDefault="004A0AED">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Ostatné čistenie povrchov (&gt;2)</w:t>
            </w:r>
          </w:p>
        </w:tc>
        <w:tc>
          <w:tcPr>
            <w:tcW w:w="881" w:type="dxa"/>
            <w:tcBorders>
              <w:top w:val="single" w:sz="4" w:space="0" w:color="000000"/>
              <w:left w:val="single" w:sz="6" w:space="0" w:color="000000"/>
              <w:bottom w:val="single" w:sz="4" w:space="0" w:color="000000"/>
              <w:right w:val="single" w:sz="6" w:space="0" w:color="000000"/>
            </w:tcBorders>
          </w:tcPr>
          <w:p w14:paraId="151345BF" w14:textId="77777777" w:rsidR="004A0AED" w:rsidRPr="008819AF" w:rsidRDefault="004A0AED">
            <w:pPr>
              <w:ind w:left="215" w:hanging="215"/>
              <w:rPr>
                <w:rFonts w:eastAsia="Arial"/>
              </w:rPr>
            </w:pPr>
            <w:r w:rsidRPr="008819AF">
              <w:rPr>
                <w:rFonts w:eastAsia="Arial"/>
              </w:rPr>
              <w:t>N</w:t>
            </w:r>
          </w:p>
        </w:tc>
        <w:tc>
          <w:tcPr>
            <w:tcW w:w="678" w:type="dxa"/>
            <w:tcBorders>
              <w:top w:val="single" w:sz="4" w:space="0" w:color="000000"/>
              <w:left w:val="single" w:sz="6" w:space="0" w:color="000000"/>
              <w:bottom w:val="single" w:sz="4" w:space="0" w:color="000000"/>
              <w:right w:val="single" w:sz="6" w:space="0" w:color="000000"/>
            </w:tcBorders>
          </w:tcPr>
          <w:p w14:paraId="151345C0" w14:textId="77777777" w:rsidR="004A0AED" w:rsidRPr="008819AF" w:rsidRDefault="004A0AED">
            <w:pPr>
              <w:rPr>
                <w:rFonts w:eastAsia="Arial"/>
              </w:rPr>
            </w:pPr>
            <w:r w:rsidRPr="008819AF">
              <w:rPr>
                <w:rFonts w:eastAsia="Arial"/>
              </w:rPr>
              <w:t>NV2</w:t>
            </w:r>
          </w:p>
        </w:tc>
        <w:tc>
          <w:tcPr>
            <w:tcW w:w="567" w:type="dxa"/>
            <w:tcBorders>
              <w:top w:val="single" w:sz="4" w:space="0" w:color="000000"/>
              <w:left w:val="single" w:sz="6" w:space="0" w:color="000000"/>
              <w:bottom w:val="single" w:sz="4" w:space="0" w:color="000000"/>
              <w:right w:val="single" w:sz="6" w:space="0" w:color="000000"/>
            </w:tcBorders>
          </w:tcPr>
          <w:p w14:paraId="151345C1" w14:textId="77777777" w:rsidR="004A0AED" w:rsidRPr="008819AF" w:rsidRDefault="004A0AED" w:rsidP="00445A6C">
            <w:r w:rsidRPr="008819AF">
              <w:t>Pr.6</w:t>
            </w:r>
          </w:p>
          <w:p w14:paraId="151345C2" w14:textId="77777777" w:rsidR="004A0AED" w:rsidRPr="008819AF" w:rsidRDefault="004A0AED" w:rsidP="00445A6C">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5C3" w14:textId="77777777" w:rsidR="00E21FC0" w:rsidRPr="008819AF" w:rsidRDefault="00E21FC0" w:rsidP="00E21FC0">
            <w:pPr>
              <w:jc w:val="both"/>
              <w:rPr>
                <w:b/>
              </w:rPr>
            </w:pPr>
            <w:r w:rsidRPr="008819AF">
              <w:rPr>
                <w:b/>
              </w:rPr>
              <w:t>2.   ODMASŤOVANIE A ČISTENIE POVRCHOV (II)</w:t>
            </w:r>
          </w:p>
          <w:p w14:paraId="151345C4" w14:textId="77777777" w:rsidR="004A0AED" w:rsidRPr="008819AF" w:rsidRDefault="004A0AED">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1278"/>
              <w:gridCol w:w="419"/>
              <w:gridCol w:w="652"/>
              <w:gridCol w:w="575"/>
              <w:gridCol w:w="1281"/>
              <w:gridCol w:w="1200"/>
            </w:tblGrid>
            <w:tr w:rsidR="00E21FC0" w:rsidRPr="008819AF" w14:paraId="151345C8" w14:textId="77777777" w:rsidTr="00445A6C">
              <w:trPr>
                <w:trHeight w:val="283"/>
                <w:jc w:val="center"/>
              </w:trPr>
              <w:tc>
                <w:tcPr>
                  <w:tcW w:w="3325" w:type="dxa"/>
                  <w:gridSpan w:val="5"/>
                  <w:vAlign w:val="center"/>
                </w:tcPr>
                <w:p w14:paraId="151345C5" w14:textId="77777777" w:rsidR="00E21FC0" w:rsidRPr="008819AF" w:rsidRDefault="00E21FC0" w:rsidP="00445A6C">
                  <w:pPr>
                    <w:pStyle w:val="Zkladntext2"/>
                    <w:ind w:left="-93" w:firstLine="0"/>
                    <w:rPr>
                      <w:rFonts w:ascii="Times New Roman" w:hAnsi="Times New Roman" w:cs="Times New Roman"/>
                      <w:b/>
                      <w:sz w:val="18"/>
                      <w:szCs w:val="18"/>
                    </w:rPr>
                  </w:pPr>
                </w:p>
              </w:tc>
              <w:tc>
                <w:tcPr>
                  <w:tcW w:w="1282" w:type="dxa"/>
                  <w:vAlign w:val="center"/>
                </w:tcPr>
                <w:p w14:paraId="151345C6"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b/>
                      <w:sz w:val="18"/>
                      <w:szCs w:val="18"/>
                    </w:rPr>
                    <w:t xml:space="preserve">TOC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w:t>
                  </w:r>
                  <w:r w:rsidRPr="008819AF">
                    <w:rPr>
                      <w:rFonts w:ascii="Times New Roman" w:hAnsi="Times New Roman" w:cs="Times New Roman"/>
                      <w:b/>
                      <w:sz w:val="18"/>
                      <w:szCs w:val="18"/>
                      <w:vertAlign w:val="superscript"/>
                    </w:rPr>
                    <w:t>3</w:t>
                  </w:r>
                  <w:r w:rsidRPr="008819AF">
                    <w:rPr>
                      <w:rFonts w:ascii="Times New Roman" w:hAnsi="Times New Roman" w:cs="Times New Roman"/>
                      <w:b/>
                      <w:sz w:val="18"/>
                      <w:szCs w:val="18"/>
                    </w:rPr>
                    <w:sym w:font="Symbol" w:char="F05D"/>
                  </w:r>
                </w:p>
              </w:tc>
              <w:tc>
                <w:tcPr>
                  <w:tcW w:w="1201" w:type="dxa"/>
                  <w:vAlign w:val="center"/>
                </w:tcPr>
                <w:p w14:paraId="151345C7"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r>
            <w:tr w:rsidR="00E21FC0" w:rsidRPr="008819AF" w14:paraId="151345D1" w14:textId="77777777" w:rsidTr="00445A6C">
              <w:trPr>
                <w:trHeight w:val="283"/>
                <w:jc w:val="center"/>
              </w:trPr>
              <w:tc>
                <w:tcPr>
                  <w:tcW w:w="400" w:type="dxa"/>
                  <w:vMerge w:val="restart"/>
                  <w:vAlign w:val="center"/>
                </w:tcPr>
                <w:p w14:paraId="151345C9" w14:textId="77777777" w:rsidR="00E21FC0" w:rsidRPr="008819AF" w:rsidRDefault="00E21FC0" w:rsidP="00445A6C">
                  <w:pPr>
                    <w:pStyle w:val="Zkladntext2"/>
                    <w:ind w:left="-93" w:firstLine="0"/>
                    <w:rPr>
                      <w:rFonts w:ascii="Times New Roman" w:hAnsi="Times New Roman" w:cs="Times New Roman"/>
                      <w:b/>
                      <w:sz w:val="18"/>
                      <w:szCs w:val="18"/>
                    </w:rPr>
                  </w:pPr>
                  <w:r w:rsidRPr="008819AF">
                    <w:rPr>
                      <w:rFonts w:ascii="Times New Roman" w:hAnsi="Times New Roman" w:cs="Times New Roman"/>
                      <w:b/>
                      <w:sz w:val="18"/>
                      <w:szCs w:val="18"/>
                    </w:rPr>
                    <w:t>IIb</w:t>
                  </w:r>
                </w:p>
              </w:tc>
              <w:tc>
                <w:tcPr>
                  <w:tcW w:w="1279" w:type="dxa"/>
                  <w:vMerge w:val="restart"/>
                  <w:vAlign w:val="center"/>
                </w:tcPr>
                <w:p w14:paraId="151345CA" w14:textId="77777777" w:rsidR="00E21FC0" w:rsidRPr="008819AF" w:rsidRDefault="00E21FC0"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Použitie organických rozpúšťadiel podľa</w:t>
                  </w:r>
                </w:p>
                <w:p w14:paraId="151345CB" w14:textId="77777777" w:rsidR="00E21FC0" w:rsidRPr="008819AF" w:rsidRDefault="00E21FC0"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iných ako podľa  § 28 ods. 1</w:t>
                  </w:r>
                </w:p>
              </w:tc>
              <w:tc>
                <w:tcPr>
                  <w:tcW w:w="419" w:type="dxa"/>
                  <w:vAlign w:val="center"/>
                </w:tcPr>
                <w:p w14:paraId="151345CC" w14:textId="77777777" w:rsidR="00E21FC0" w:rsidRPr="008819AF" w:rsidRDefault="00E21FC0"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652" w:type="dxa"/>
                  <w:vAlign w:val="center"/>
                </w:tcPr>
                <w:p w14:paraId="151345CD" w14:textId="77777777" w:rsidR="00E21FC0" w:rsidRPr="008819AF" w:rsidRDefault="00E21FC0"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 ≥ 0,6  </w:t>
                  </w:r>
                </w:p>
              </w:tc>
              <w:tc>
                <w:tcPr>
                  <w:tcW w:w="575" w:type="dxa"/>
                  <w:vAlign w:val="center"/>
                </w:tcPr>
                <w:p w14:paraId="151345CE" w14:textId="77777777" w:rsidR="00E21FC0" w:rsidRPr="008819AF" w:rsidRDefault="00E21FC0"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w:t>
                  </w:r>
                </w:p>
              </w:tc>
              <w:tc>
                <w:tcPr>
                  <w:tcW w:w="1282" w:type="dxa"/>
                  <w:vAlign w:val="center"/>
                </w:tcPr>
                <w:p w14:paraId="151345CF"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120</w:t>
                  </w:r>
                  <w:r w:rsidRPr="008819AF">
                    <w:rPr>
                      <w:rFonts w:ascii="Times New Roman" w:hAnsi="Times New Roman" w:cs="Times New Roman"/>
                      <w:sz w:val="18"/>
                      <w:szCs w:val="18"/>
                      <w:vertAlign w:val="superscript"/>
                    </w:rPr>
                    <w:t>1</w:t>
                  </w:r>
                  <w:r w:rsidRPr="008819AF">
                    <w:rPr>
                      <w:rFonts w:ascii="Times New Roman" w:hAnsi="Times New Roman" w:cs="Times New Roman"/>
                      <w:sz w:val="18"/>
                      <w:szCs w:val="18"/>
                    </w:rPr>
                    <w:t>)</w:t>
                  </w:r>
                </w:p>
              </w:tc>
              <w:tc>
                <w:tcPr>
                  <w:tcW w:w="1201" w:type="dxa"/>
                  <w:vAlign w:val="center"/>
                </w:tcPr>
                <w:p w14:paraId="151345D0"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20</w:t>
                  </w:r>
                  <w:r w:rsidRPr="008819AF">
                    <w:rPr>
                      <w:rFonts w:ascii="Times New Roman" w:hAnsi="Times New Roman" w:cs="Times New Roman"/>
                      <w:sz w:val="18"/>
                      <w:szCs w:val="18"/>
                      <w:vertAlign w:val="superscript"/>
                    </w:rPr>
                    <w:t>1</w:t>
                  </w:r>
                  <w:r w:rsidRPr="008819AF">
                    <w:rPr>
                      <w:rFonts w:ascii="Times New Roman" w:hAnsi="Times New Roman" w:cs="Times New Roman"/>
                      <w:sz w:val="18"/>
                      <w:szCs w:val="18"/>
                    </w:rPr>
                    <w:t>)</w:t>
                  </w:r>
                </w:p>
              </w:tc>
            </w:tr>
            <w:tr w:rsidR="00E21FC0" w:rsidRPr="008819AF" w14:paraId="151345D9" w14:textId="77777777" w:rsidTr="00445A6C">
              <w:trPr>
                <w:trHeight w:val="283"/>
                <w:jc w:val="center"/>
              </w:trPr>
              <w:tc>
                <w:tcPr>
                  <w:tcW w:w="400" w:type="dxa"/>
                  <w:vMerge/>
                  <w:vAlign w:val="center"/>
                </w:tcPr>
                <w:p w14:paraId="151345D2" w14:textId="77777777" w:rsidR="00E21FC0" w:rsidRPr="008819AF" w:rsidRDefault="00E21FC0" w:rsidP="00445A6C">
                  <w:pPr>
                    <w:rPr>
                      <w:b/>
                      <w:sz w:val="18"/>
                      <w:szCs w:val="18"/>
                    </w:rPr>
                  </w:pPr>
                </w:p>
              </w:tc>
              <w:tc>
                <w:tcPr>
                  <w:tcW w:w="1279" w:type="dxa"/>
                  <w:vMerge/>
                  <w:vAlign w:val="center"/>
                </w:tcPr>
                <w:p w14:paraId="151345D3" w14:textId="77777777" w:rsidR="00E21FC0" w:rsidRPr="008819AF" w:rsidRDefault="00E21FC0" w:rsidP="00445A6C">
                  <w:pPr>
                    <w:rPr>
                      <w:b/>
                      <w:sz w:val="18"/>
                      <w:szCs w:val="18"/>
                    </w:rPr>
                  </w:pPr>
                </w:p>
              </w:tc>
              <w:tc>
                <w:tcPr>
                  <w:tcW w:w="419" w:type="dxa"/>
                  <w:vAlign w:val="center"/>
                </w:tcPr>
                <w:p w14:paraId="151345D4" w14:textId="77777777" w:rsidR="00E21FC0" w:rsidRPr="008819AF" w:rsidRDefault="00E21FC0"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652" w:type="dxa"/>
                  <w:vAlign w:val="center"/>
                </w:tcPr>
                <w:p w14:paraId="151345D5" w14:textId="77777777" w:rsidR="00E21FC0" w:rsidRPr="008819AF" w:rsidRDefault="00E21FC0"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w:t>
                  </w:r>
                </w:p>
              </w:tc>
              <w:tc>
                <w:tcPr>
                  <w:tcW w:w="575" w:type="dxa"/>
                  <w:vAlign w:val="center"/>
                </w:tcPr>
                <w:p w14:paraId="151345D6" w14:textId="77777777" w:rsidR="00E21FC0" w:rsidRPr="008819AF" w:rsidRDefault="00E21FC0"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10</w:t>
                  </w:r>
                </w:p>
              </w:tc>
              <w:tc>
                <w:tcPr>
                  <w:tcW w:w="1282" w:type="dxa"/>
                  <w:vAlign w:val="center"/>
                </w:tcPr>
                <w:p w14:paraId="151345D7"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75</w:t>
                  </w:r>
                  <w:r w:rsidRPr="008819AF">
                    <w:rPr>
                      <w:rFonts w:ascii="Times New Roman" w:hAnsi="Times New Roman" w:cs="Times New Roman"/>
                      <w:sz w:val="18"/>
                      <w:szCs w:val="18"/>
                      <w:vertAlign w:val="superscript"/>
                    </w:rPr>
                    <w:t>1</w:t>
                  </w:r>
                  <w:r w:rsidRPr="008819AF">
                    <w:rPr>
                      <w:rFonts w:ascii="Times New Roman" w:hAnsi="Times New Roman" w:cs="Times New Roman"/>
                      <w:sz w:val="18"/>
                      <w:szCs w:val="18"/>
                    </w:rPr>
                    <w:t>)</w:t>
                  </w:r>
                </w:p>
              </w:tc>
              <w:tc>
                <w:tcPr>
                  <w:tcW w:w="1201" w:type="dxa"/>
                  <w:vAlign w:val="center"/>
                </w:tcPr>
                <w:p w14:paraId="151345D8"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20</w:t>
                  </w:r>
                  <w:r w:rsidRPr="008819AF">
                    <w:rPr>
                      <w:rFonts w:ascii="Times New Roman" w:hAnsi="Times New Roman" w:cs="Times New Roman"/>
                      <w:sz w:val="18"/>
                      <w:szCs w:val="18"/>
                      <w:vertAlign w:val="superscript"/>
                    </w:rPr>
                    <w:t>1</w:t>
                  </w:r>
                  <w:r w:rsidRPr="008819AF">
                    <w:rPr>
                      <w:rFonts w:ascii="Times New Roman" w:hAnsi="Times New Roman" w:cs="Times New Roman"/>
                      <w:sz w:val="18"/>
                      <w:szCs w:val="18"/>
                    </w:rPr>
                    <w:t>)</w:t>
                  </w:r>
                </w:p>
              </w:tc>
            </w:tr>
            <w:tr w:rsidR="00E21FC0" w:rsidRPr="008819AF" w14:paraId="151345E1" w14:textId="77777777" w:rsidTr="00445A6C">
              <w:trPr>
                <w:trHeight w:val="283"/>
                <w:jc w:val="center"/>
              </w:trPr>
              <w:tc>
                <w:tcPr>
                  <w:tcW w:w="400" w:type="dxa"/>
                  <w:vMerge/>
                  <w:vAlign w:val="center"/>
                </w:tcPr>
                <w:p w14:paraId="151345DA" w14:textId="77777777" w:rsidR="00E21FC0" w:rsidRPr="008819AF" w:rsidRDefault="00E21FC0" w:rsidP="00445A6C">
                  <w:pPr>
                    <w:rPr>
                      <w:b/>
                      <w:sz w:val="18"/>
                      <w:szCs w:val="18"/>
                    </w:rPr>
                  </w:pPr>
                </w:p>
              </w:tc>
              <w:tc>
                <w:tcPr>
                  <w:tcW w:w="1279" w:type="dxa"/>
                  <w:vMerge/>
                  <w:vAlign w:val="center"/>
                </w:tcPr>
                <w:p w14:paraId="151345DB" w14:textId="77777777" w:rsidR="00E21FC0" w:rsidRPr="008819AF" w:rsidRDefault="00E21FC0" w:rsidP="00445A6C">
                  <w:pPr>
                    <w:rPr>
                      <w:b/>
                      <w:sz w:val="18"/>
                      <w:szCs w:val="18"/>
                    </w:rPr>
                  </w:pPr>
                </w:p>
              </w:tc>
              <w:tc>
                <w:tcPr>
                  <w:tcW w:w="419" w:type="dxa"/>
                  <w:vAlign w:val="center"/>
                </w:tcPr>
                <w:p w14:paraId="151345DC" w14:textId="77777777" w:rsidR="00E21FC0" w:rsidRPr="008819AF" w:rsidRDefault="00E21FC0" w:rsidP="00445A6C">
                  <w:pPr>
                    <w:pStyle w:val="Zkladntext2"/>
                    <w:ind w:left="-93" w:firstLine="0"/>
                    <w:jc w:val="center"/>
                    <w:rPr>
                      <w:rFonts w:ascii="Times New Roman" w:hAnsi="Times New Roman" w:cs="Times New Roman"/>
                      <w:sz w:val="18"/>
                      <w:szCs w:val="18"/>
                    </w:rPr>
                  </w:pPr>
                </w:p>
              </w:tc>
              <w:tc>
                <w:tcPr>
                  <w:tcW w:w="652" w:type="dxa"/>
                  <w:vAlign w:val="center"/>
                </w:tcPr>
                <w:p w14:paraId="151345DD" w14:textId="77777777" w:rsidR="00E21FC0" w:rsidRPr="008819AF" w:rsidRDefault="00E21FC0"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10</w:t>
                  </w:r>
                </w:p>
              </w:tc>
              <w:tc>
                <w:tcPr>
                  <w:tcW w:w="575" w:type="dxa"/>
                  <w:vAlign w:val="center"/>
                </w:tcPr>
                <w:p w14:paraId="151345DE" w14:textId="77777777" w:rsidR="00E21FC0" w:rsidRPr="008819AF" w:rsidRDefault="00E21FC0"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282" w:type="dxa"/>
                  <w:vAlign w:val="center"/>
                </w:tcPr>
                <w:p w14:paraId="151345DF"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75</w:t>
                  </w:r>
                  <w:r w:rsidRPr="008819AF">
                    <w:rPr>
                      <w:rFonts w:ascii="Times New Roman" w:hAnsi="Times New Roman" w:cs="Times New Roman"/>
                      <w:sz w:val="18"/>
                      <w:szCs w:val="18"/>
                      <w:vertAlign w:val="superscript"/>
                    </w:rPr>
                    <w:t>1</w:t>
                  </w:r>
                  <w:r w:rsidRPr="008819AF">
                    <w:rPr>
                      <w:rFonts w:ascii="Times New Roman" w:hAnsi="Times New Roman" w:cs="Times New Roman"/>
                      <w:sz w:val="18"/>
                      <w:szCs w:val="18"/>
                    </w:rPr>
                    <w:t>)</w:t>
                  </w:r>
                </w:p>
              </w:tc>
              <w:tc>
                <w:tcPr>
                  <w:tcW w:w="1201" w:type="dxa"/>
                  <w:vAlign w:val="center"/>
                </w:tcPr>
                <w:p w14:paraId="151345E0"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15</w:t>
                  </w:r>
                  <w:r w:rsidRPr="008819AF">
                    <w:rPr>
                      <w:rFonts w:ascii="Times New Roman" w:hAnsi="Times New Roman" w:cs="Times New Roman"/>
                      <w:sz w:val="18"/>
                      <w:szCs w:val="18"/>
                      <w:vertAlign w:val="superscript"/>
                    </w:rPr>
                    <w:t>1</w:t>
                  </w:r>
                  <w:r w:rsidRPr="008819AF">
                    <w:rPr>
                      <w:rFonts w:ascii="Times New Roman" w:hAnsi="Times New Roman" w:cs="Times New Roman"/>
                      <w:sz w:val="18"/>
                      <w:szCs w:val="18"/>
                    </w:rPr>
                    <w:t>)</w:t>
                  </w:r>
                </w:p>
              </w:tc>
            </w:tr>
          </w:tbl>
          <w:p w14:paraId="151345E2" w14:textId="77777777" w:rsidR="004A0AED" w:rsidRPr="008819AF" w:rsidRDefault="00E21FC0" w:rsidP="00E21FC0">
            <w:pPr>
              <w:pStyle w:val="Hlavika"/>
              <w:ind w:left="72" w:hanging="1"/>
              <w:jc w:val="both"/>
              <w:rPr>
                <w:rFonts w:ascii="Times New Roman" w:hAnsi="Times New Roman" w:cs="Times New Roman"/>
              </w:rPr>
            </w:pPr>
            <w:r w:rsidRPr="008819AF">
              <w:rPr>
                <w:rFonts w:ascii="Times New Roman" w:hAnsi="Times New Roman" w:cs="Times New Roman"/>
                <w:vertAlign w:val="superscript"/>
              </w:rPr>
              <w:t>1</w:t>
            </w:r>
            <w:r w:rsidRPr="008819AF">
              <w:rPr>
                <w:rFonts w:ascii="Times New Roman" w:hAnsi="Times New Roman" w:cs="Times New Roman"/>
              </w:rPr>
              <w:t>)  Ak prevádzkovateľ preukáže, že priemerný obsah organických rozpúšťadiel v používaných čistiacich materiáloch nepresiahne 30 % hmotnosti môže správny orgán povoliť výnimku z uvedených emisných limitov.</w:t>
            </w:r>
            <w:r w:rsidR="004A0AED" w:rsidRPr="008819AF">
              <w:rPr>
                <w:rFonts w:ascii="Times New Roman" w:hAnsi="Times New Roman" w:cs="Times New Roman"/>
              </w:rPr>
              <w:t>.</w:t>
            </w:r>
          </w:p>
        </w:tc>
        <w:tc>
          <w:tcPr>
            <w:tcW w:w="709" w:type="dxa"/>
            <w:tcBorders>
              <w:top w:val="single" w:sz="4" w:space="0" w:color="000000"/>
              <w:left w:val="single" w:sz="6" w:space="0" w:color="000000"/>
              <w:bottom w:val="single" w:sz="4" w:space="0" w:color="000000"/>
              <w:right w:val="single" w:sz="6" w:space="0" w:color="000000"/>
            </w:tcBorders>
          </w:tcPr>
          <w:p w14:paraId="151345E3" w14:textId="77777777" w:rsidR="004A0AED" w:rsidRPr="008819AF" w:rsidRDefault="004A0AED">
            <w:pPr>
              <w:ind w:left="215" w:hanging="215"/>
              <w:rPr>
                <w:rFonts w:eastAsia="Arial"/>
              </w:rPr>
            </w:pPr>
          </w:p>
        </w:tc>
        <w:tc>
          <w:tcPr>
            <w:tcW w:w="607" w:type="dxa"/>
            <w:tcBorders>
              <w:top w:val="single" w:sz="4" w:space="0" w:color="000000"/>
              <w:left w:val="single" w:sz="6" w:space="0" w:color="000000"/>
              <w:bottom w:val="single" w:sz="4" w:space="0" w:color="000000"/>
              <w:right w:val="single" w:sz="6" w:space="0" w:color="000000"/>
            </w:tcBorders>
          </w:tcPr>
          <w:p w14:paraId="151345E4" w14:textId="77777777" w:rsidR="004A0AED" w:rsidRPr="008819AF" w:rsidRDefault="004A0AED">
            <w:pPr>
              <w:ind w:left="215" w:hanging="215"/>
              <w:rPr>
                <w:rFonts w:eastAsia="Arial"/>
              </w:rPr>
            </w:pPr>
          </w:p>
        </w:tc>
      </w:tr>
      <w:tr w:rsidR="004A0AED" w:rsidRPr="008819AF" w14:paraId="1513461E" w14:textId="77777777" w:rsidTr="002A6DD8">
        <w:trPr>
          <w:trHeight w:val="708"/>
        </w:trPr>
        <w:tc>
          <w:tcPr>
            <w:tcW w:w="496" w:type="dxa"/>
            <w:tcBorders>
              <w:top w:val="single" w:sz="4" w:space="0" w:color="000000"/>
              <w:left w:val="single" w:sz="6" w:space="0" w:color="000000"/>
              <w:bottom w:val="single" w:sz="4" w:space="0" w:color="000000"/>
              <w:right w:val="single" w:sz="6" w:space="0" w:color="000000"/>
            </w:tcBorders>
          </w:tcPr>
          <w:p w14:paraId="151345E6" w14:textId="77777777" w:rsidR="004A0AED" w:rsidRPr="008819AF" w:rsidRDefault="004A0AED">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6</w:t>
            </w:r>
          </w:p>
        </w:tc>
        <w:tc>
          <w:tcPr>
            <w:tcW w:w="5386" w:type="dxa"/>
            <w:tcBorders>
              <w:top w:val="single" w:sz="4" w:space="0" w:color="000000"/>
              <w:left w:val="single" w:sz="6" w:space="0" w:color="000000"/>
              <w:bottom w:val="single" w:sz="4" w:space="0" w:color="000000"/>
              <w:right w:val="single" w:sz="6" w:space="0" w:color="000000"/>
            </w:tcBorders>
          </w:tcPr>
          <w:p w14:paraId="151345E7" w14:textId="77777777" w:rsidR="004A0AED" w:rsidRPr="008819AF" w:rsidRDefault="004A0AED">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Natieranie vozidiel (&lt; 15) a následná povrchová úprava vozidiel</w:t>
            </w:r>
          </w:p>
        </w:tc>
        <w:tc>
          <w:tcPr>
            <w:tcW w:w="881" w:type="dxa"/>
            <w:tcBorders>
              <w:top w:val="single" w:sz="4" w:space="0" w:color="000000"/>
              <w:left w:val="single" w:sz="6" w:space="0" w:color="000000"/>
              <w:bottom w:val="single" w:sz="4" w:space="0" w:color="000000"/>
              <w:right w:val="single" w:sz="6" w:space="0" w:color="000000"/>
            </w:tcBorders>
          </w:tcPr>
          <w:p w14:paraId="151345E8" w14:textId="77777777" w:rsidR="004A0AED" w:rsidRPr="008819AF" w:rsidRDefault="004A0AED">
            <w:pPr>
              <w:ind w:left="215" w:hanging="215"/>
              <w:rPr>
                <w:rFonts w:eastAsia="Arial"/>
              </w:rPr>
            </w:pPr>
            <w:r w:rsidRPr="008819AF">
              <w:rPr>
                <w:rFonts w:eastAsia="Arial"/>
              </w:rPr>
              <w:t>N</w:t>
            </w:r>
          </w:p>
        </w:tc>
        <w:tc>
          <w:tcPr>
            <w:tcW w:w="678" w:type="dxa"/>
            <w:tcBorders>
              <w:top w:val="single" w:sz="4" w:space="0" w:color="000000"/>
              <w:left w:val="single" w:sz="6" w:space="0" w:color="000000"/>
              <w:bottom w:val="single" w:sz="4" w:space="0" w:color="000000"/>
              <w:right w:val="single" w:sz="6" w:space="0" w:color="000000"/>
            </w:tcBorders>
          </w:tcPr>
          <w:p w14:paraId="151345E9" w14:textId="77777777" w:rsidR="004A0AED" w:rsidRPr="008819AF" w:rsidRDefault="004A0AED">
            <w:pPr>
              <w:rPr>
                <w:rFonts w:eastAsia="Arial"/>
              </w:rPr>
            </w:pPr>
            <w:r w:rsidRPr="008819AF">
              <w:rPr>
                <w:rFonts w:eastAsia="Arial"/>
              </w:rPr>
              <w:t>NV2</w:t>
            </w:r>
          </w:p>
        </w:tc>
        <w:tc>
          <w:tcPr>
            <w:tcW w:w="567" w:type="dxa"/>
            <w:tcBorders>
              <w:top w:val="single" w:sz="4" w:space="0" w:color="000000"/>
              <w:left w:val="single" w:sz="6" w:space="0" w:color="000000"/>
              <w:bottom w:val="single" w:sz="4" w:space="0" w:color="000000"/>
              <w:right w:val="single" w:sz="6" w:space="0" w:color="000000"/>
            </w:tcBorders>
          </w:tcPr>
          <w:p w14:paraId="151345EA" w14:textId="77777777" w:rsidR="004A0AED" w:rsidRPr="008819AF" w:rsidRDefault="004A0AED" w:rsidP="00445A6C">
            <w:r w:rsidRPr="008819AF">
              <w:t>Pr.6</w:t>
            </w:r>
          </w:p>
          <w:p w14:paraId="151345EB" w14:textId="77777777" w:rsidR="004A0AED" w:rsidRPr="008819AF" w:rsidRDefault="004A0AED" w:rsidP="00445A6C">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5EC" w14:textId="77777777" w:rsidR="00E21FC0" w:rsidRPr="008819AF" w:rsidRDefault="00E21FC0" w:rsidP="00E21FC0">
            <w:pPr>
              <w:ind w:left="426" w:hanging="426"/>
              <w:jc w:val="both"/>
              <w:rPr>
                <w:b/>
              </w:rPr>
            </w:pPr>
            <w:r w:rsidRPr="008819AF">
              <w:rPr>
                <w:b/>
              </w:rPr>
              <w:t xml:space="preserve">5.2  Povrchová úprava cestných vozidiel (Vb) </w:t>
            </w:r>
          </w:p>
          <w:p w14:paraId="151345ED" w14:textId="77777777" w:rsidR="00E21FC0" w:rsidRPr="008819AF" w:rsidRDefault="00E21FC0" w:rsidP="00E21FC0">
            <w:pPr>
              <w:pStyle w:val="Odsekzoznamu1"/>
              <w:ind w:left="426"/>
              <w:jc w:val="both"/>
              <w:rPr>
                <w:sz w:val="20"/>
                <w:szCs w:val="20"/>
              </w:rPr>
            </w:pPr>
            <w:r w:rsidRPr="008819AF">
              <w:rPr>
                <w:sz w:val="20"/>
                <w:szCs w:val="20"/>
              </w:rPr>
              <w:t>Priemyselná alebo komerčná činnosť nanášania náterov a s tým súvisiaceho odmasťovania pri nanášaní</w:t>
            </w:r>
          </w:p>
          <w:p w14:paraId="151345EE" w14:textId="77777777" w:rsidR="00E21FC0" w:rsidRPr="008819AF" w:rsidRDefault="00E21FC0" w:rsidP="00C860FF">
            <w:pPr>
              <w:pStyle w:val="Odsekzoznamu1"/>
              <w:numPr>
                <w:ilvl w:val="0"/>
                <w:numId w:val="109"/>
              </w:numPr>
              <w:ind w:left="0" w:firstLine="0"/>
              <w:jc w:val="both"/>
              <w:rPr>
                <w:sz w:val="20"/>
                <w:szCs w:val="20"/>
              </w:rPr>
            </w:pPr>
            <w:r w:rsidRPr="008819AF">
              <w:rPr>
                <w:sz w:val="20"/>
                <w:szCs w:val="20"/>
              </w:rPr>
              <w:t>pôvodných náterov v priemyselnej výrobe automobilov s kapacitou spotreby organických rozpúšťadiel &lt; 15 t/rok,</w:t>
            </w:r>
          </w:p>
          <w:p w14:paraId="151345EF" w14:textId="77777777" w:rsidR="00E21FC0" w:rsidRPr="008819AF" w:rsidRDefault="00E21FC0" w:rsidP="00C860FF">
            <w:pPr>
              <w:pStyle w:val="Odsekzoznamu1"/>
              <w:numPr>
                <w:ilvl w:val="0"/>
                <w:numId w:val="109"/>
              </w:numPr>
              <w:ind w:left="0" w:firstLine="0"/>
              <w:jc w:val="both"/>
              <w:rPr>
                <w:sz w:val="20"/>
                <w:szCs w:val="20"/>
              </w:rPr>
            </w:pPr>
            <w:r w:rsidRPr="008819AF">
              <w:rPr>
                <w:sz w:val="20"/>
                <w:szCs w:val="20"/>
              </w:rPr>
              <w:t>náterov na prívesy a návesy; klasifikované podľa osobitného predpisu</w:t>
            </w:r>
            <w:r w:rsidR="00445A6C" w:rsidRPr="008819AF">
              <w:fldChar w:fldCharType="begin"/>
            </w:r>
            <w:r w:rsidR="00445A6C" w:rsidRPr="008819AF">
              <w:instrText xml:space="preserve"> NOTEREF _Ref91613026 \h  \* MERGEFORMAT </w:instrText>
            </w:r>
            <w:r w:rsidR="00445A6C" w:rsidRPr="008819AF">
              <w:fldChar w:fldCharType="separate"/>
            </w:r>
            <w:r w:rsidRPr="008819AF">
              <w:rPr>
                <w:sz w:val="20"/>
                <w:szCs w:val="20"/>
              </w:rPr>
              <w:t>27</w:t>
            </w:r>
            <w:r w:rsidR="00445A6C" w:rsidRPr="008819AF">
              <w:fldChar w:fldCharType="end"/>
            </w:r>
            <w:r w:rsidRPr="008819AF">
              <w:rPr>
                <w:sz w:val="20"/>
                <w:szCs w:val="20"/>
              </w:rPr>
              <w:t xml:space="preserve">) ako kategórie O1, O2, O3 a O4, </w:t>
            </w:r>
          </w:p>
          <w:p w14:paraId="151345F0" w14:textId="77777777" w:rsidR="00E21FC0" w:rsidRPr="008819AF" w:rsidRDefault="00E21FC0" w:rsidP="00E21FC0">
            <w:pPr>
              <w:ind w:left="214" w:hanging="214"/>
              <w:jc w:val="both"/>
              <w:rPr>
                <w:lang w:bidi="ar-SA"/>
              </w:rPr>
            </w:pPr>
            <w:r w:rsidRPr="008819AF">
              <w:rPr>
                <w:lang w:bidi="ar-SA"/>
              </w:rPr>
              <w:t>3. pôvodných náterov na cestné vozidlá alebo ich častí s použitím náterových látok určených na následnú povrchovú úpravu, ak sa táto činnosť vykonáva mimo pôvodnej výrobnej linky.</w:t>
            </w:r>
          </w:p>
          <w:p w14:paraId="151345F1" w14:textId="77777777" w:rsidR="00E21FC0" w:rsidRPr="008819AF" w:rsidRDefault="00E21FC0" w:rsidP="00E21FC0">
            <w:pPr>
              <w:spacing w:after="120"/>
              <w:ind w:left="709" w:hanging="709"/>
              <w:jc w:val="both"/>
              <w:rPr>
                <w:b/>
              </w:rPr>
            </w:pPr>
            <w:r w:rsidRPr="008819AF">
              <w:rPr>
                <w:b/>
              </w:rPr>
              <w:t xml:space="preserve">5.2.1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4"/>
              <w:gridCol w:w="1612"/>
              <w:gridCol w:w="588"/>
              <w:gridCol w:w="669"/>
              <w:gridCol w:w="773"/>
              <w:gridCol w:w="709"/>
              <w:gridCol w:w="1059"/>
            </w:tblGrid>
            <w:tr w:rsidR="00E21FC0" w:rsidRPr="008819AF" w14:paraId="151345F4" w14:textId="77777777" w:rsidTr="00E21FC0">
              <w:trPr>
                <w:trHeight w:val="340"/>
                <w:jc w:val="center"/>
              </w:trPr>
              <w:tc>
                <w:tcPr>
                  <w:tcW w:w="3263" w:type="dxa"/>
                  <w:gridSpan w:val="4"/>
                  <w:tcBorders>
                    <w:top w:val="single" w:sz="4" w:space="0" w:color="auto"/>
                    <w:bottom w:val="single" w:sz="4" w:space="0" w:color="auto"/>
                    <w:right w:val="single" w:sz="4" w:space="0" w:color="auto"/>
                  </w:tcBorders>
                  <w:vAlign w:val="center"/>
                </w:tcPr>
                <w:p w14:paraId="151345F2" w14:textId="77777777" w:rsidR="00E21FC0" w:rsidRPr="008819AF" w:rsidRDefault="00E21FC0" w:rsidP="00445A6C">
                  <w:pPr>
                    <w:pStyle w:val="Normln"/>
                    <w:keepNext/>
                    <w:rPr>
                      <w:b/>
                      <w:sz w:val="18"/>
                      <w:szCs w:val="18"/>
                      <w:lang w:val="sk-SK"/>
                    </w:rPr>
                  </w:pPr>
                  <w:r w:rsidRPr="008819AF">
                    <w:rPr>
                      <w:b/>
                      <w:sz w:val="18"/>
                      <w:szCs w:val="18"/>
                      <w:lang w:val="sk-SK"/>
                    </w:rPr>
                    <w:t>Podmienky platnosti EL</w:t>
                  </w:r>
                </w:p>
              </w:tc>
              <w:tc>
                <w:tcPr>
                  <w:tcW w:w="2541" w:type="dxa"/>
                  <w:gridSpan w:val="3"/>
                  <w:tcBorders>
                    <w:top w:val="single" w:sz="4" w:space="0" w:color="auto"/>
                    <w:left w:val="single" w:sz="4" w:space="0" w:color="auto"/>
                    <w:bottom w:val="single" w:sz="4" w:space="0" w:color="auto"/>
                  </w:tcBorders>
                  <w:vAlign w:val="center"/>
                </w:tcPr>
                <w:p w14:paraId="151345F3" w14:textId="77777777" w:rsidR="00E21FC0" w:rsidRPr="008819AF" w:rsidRDefault="00E21FC0" w:rsidP="00E21FC0">
                  <w:pPr>
                    <w:pStyle w:val="Zkladntext2"/>
                    <w:ind w:left="-93" w:firstLine="0"/>
                    <w:rPr>
                      <w:rFonts w:ascii="Times New Roman" w:hAnsi="Times New Roman" w:cs="Times New Roman"/>
                      <w:sz w:val="18"/>
                      <w:szCs w:val="18"/>
                    </w:rPr>
                  </w:pPr>
                  <w:r w:rsidRPr="008819AF">
                    <w:rPr>
                      <w:rFonts w:ascii="Times New Roman" w:hAnsi="Times New Roman" w:cs="Times New Roman"/>
                      <w:sz w:val="18"/>
                      <w:szCs w:val="18"/>
                    </w:rPr>
                    <w:t>Štandardné stavové podmienky, vlhký plyn</w:t>
                  </w:r>
                </w:p>
              </w:tc>
            </w:tr>
            <w:tr w:rsidR="00E21FC0" w:rsidRPr="008819AF" w14:paraId="151345FA" w14:textId="77777777" w:rsidTr="00E21FC0">
              <w:trPr>
                <w:cantSplit/>
                <w:trHeight w:val="340"/>
                <w:jc w:val="center"/>
              </w:trPr>
              <w:tc>
                <w:tcPr>
                  <w:tcW w:w="2006" w:type="dxa"/>
                  <w:gridSpan w:val="2"/>
                  <w:vMerge w:val="restart"/>
                  <w:tcBorders>
                    <w:top w:val="nil"/>
                    <w:right w:val="single" w:sz="4" w:space="0" w:color="auto"/>
                  </w:tcBorders>
                  <w:tcMar>
                    <w:top w:w="0" w:type="dxa"/>
                    <w:left w:w="70" w:type="dxa"/>
                    <w:bottom w:w="0" w:type="dxa"/>
                    <w:right w:w="70" w:type="dxa"/>
                  </w:tcMar>
                </w:tcPr>
                <w:p w14:paraId="151345F5" w14:textId="77777777" w:rsidR="00E21FC0" w:rsidRPr="008819AF" w:rsidRDefault="00E21FC0" w:rsidP="00445A6C">
                  <w:pPr>
                    <w:pStyle w:val="Zkladntext2"/>
                    <w:rPr>
                      <w:rFonts w:ascii="Times New Roman" w:hAnsi="Times New Roman" w:cs="Times New Roman"/>
                      <w:sz w:val="18"/>
                      <w:szCs w:val="18"/>
                    </w:rPr>
                  </w:pPr>
                </w:p>
                <w:p w14:paraId="151345F6" w14:textId="77777777" w:rsidR="00E21FC0" w:rsidRPr="008819AF" w:rsidRDefault="00E21FC0" w:rsidP="00445A6C">
                  <w:pPr>
                    <w:jc w:val="center"/>
                    <w:rPr>
                      <w:sz w:val="18"/>
                      <w:szCs w:val="18"/>
                    </w:rPr>
                  </w:pPr>
                  <w:r w:rsidRPr="008819AF">
                    <w:rPr>
                      <w:b/>
                      <w:sz w:val="18"/>
                      <w:szCs w:val="18"/>
                    </w:rPr>
                    <w:t>Činnosť</w:t>
                  </w:r>
                  <w:r w:rsidRPr="008819AF">
                    <w:rPr>
                      <w:sz w:val="18"/>
                      <w:szCs w:val="18"/>
                    </w:rPr>
                    <w:t xml:space="preserve"> </w:t>
                  </w:r>
                </w:p>
                <w:p w14:paraId="151345F7" w14:textId="77777777" w:rsidR="00E21FC0" w:rsidRPr="008819AF" w:rsidRDefault="00E21FC0" w:rsidP="00445A6C">
                  <w:pPr>
                    <w:jc w:val="center"/>
                    <w:rPr>
                      <w:b/>
                      <w:sz w:val="18"/>
                      <w:szCs w:val="18"/>
                    </w:rPr>
                  </w:pPr>
                  <w:r w:rsidRPr="008819AF">
                    <w:rPr>
                      <w:sz w:val="18"/>
                      <w:szCs w:val="18"/>
                    </w:rPr>
                    <w:t>Povrchová úprava vozidiel</w:t>
                  </w:r>
                </w:p>
              </w:tc>
              <w:tc>
                <w:tcPr>
                  <w:tcW w:w="1257"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151345F8" w14:textId="77777777" w:rsidR="00E21FC0" w:rsidRPr="008819AF" w:rsidRDefault="00E21FC0" w:rsidP="00E21FC0">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Prahová spotreba rozpúšťadla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t/rok</w:t>
                  </w:r>
                  <w:r w:rsidRPr="008819AF">
                    <w:rPr>
                      <w:rFonts w:ascii="Times New Roman" w:hAnsi="Times New Roman" w:cs="Times New Roman"/>
                      <w:b/>
                      <w:sz w:val="18"/>
                      <w:szCs w:val="18"/>
                    </w:rPr>
                    <w:sym w:font="Symbol" w:char="F05D"/>
                  </w:r>
                </w:p>
              </w:tc>
              <w:tc>
                <w:tcPr>
                  <w:tcW w:w="2541"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5F9" w14:textId="77777777" w:rsidR="00E21FC0" w:rsidRPr="008819AF" w:rsidRDefault="00E21FC0"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Emisný limit</w:t>
                  </w:r>
                </w:p>
              </w:tc>
            </w:tr>
            <w:tr w:rsidR="00E21FC0" w:rsidRPr="008819AF" w14:paraId="151345FF" w14:textId="77777777" w:rsidTr="00E21FC0">
              <w:trPr>
                <w:cantSplit/>
                <w:trHeight w:val="340"/>
                <w:jc w:val="center"/>
              </w:trPr>
              <w:tc>
                <w:tcPr>
                  <w:tcW w:w="2006" w:type="dxa"/>
                  <w:gridSpan w:val="2"/>
                  <w:vMerge/>
                  <w:tcBorders>
                    <w:right w:val="single" w:sz="4" w:space="0" w:color="auto"/>
                  </w:tcBorders>
                  <w:vAlign w:val="center"/>
                </w:tcPr>
                <w:p w14:paraId="151345FB" w14:textId="77777777" w:rsidR="00E21FC0" w:rsidRPr="008819AF" w:rsidRDefault="00E21FC0" w:rsidP="00445A6C">
                  <w:pPr>
                    <w:rPr>
                      <w:b/>
                      <w:sz w:val="18"/>
                      <w:szCs w:val="18"/>
                    </w:rPr>
                  </w:pPr>
                </w:p>
              </w:tc>
              <w:tc>
                <w:tcPr>
                  <w:tcW w:w="1257" w:type="dxa"/>
                  <w:gridSpan w:val="2"/>
                  <w:vMerge/>
                  <w:tcBorders>
                    <w:left w:val="single" w:sz="4" w:space="0" w:color="auto"/>
                    <w:bottom w:val="single" w:sz="4" w:space="0" w:color="auto"/>
                    <w:right w:val="single" w:sz="4" w:space="0" w:color="auto"/>
                  </w:tcBorders>
                  <w:vAlign w:val="center"/>
                </w:tcPr>
                <w:p w14:paraId="151345FC" w14:textId="77777777" w:rsidR="00E21FC0" w:rsidRPr="008819AF" w:rsidRDefault="00E21FC0" w:rsidP="00445A6C">
                  <w:pPr>
                    <w:rPr>
                      <w:sz w:val="18"/>
                      <w:szCs w:val="18"/>
                    </w:rPr>
                  </w:pPr>
                </w:p>
              </w:tc>
              <w:tc>
                <w:tcPr>
                  <w:tcW w:w="148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5FD" w14:textId="77777777" w:rsidR="00E21FC0" w:rsidRPr="008819AF" w:rsidRDefault="00E21FC0" w:rsidP="00E21FC0">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Odpadové plyny</w:t>
                  </w:r>
                </w:p>
              </w:tc>
              <w:tc>
                <w:tcPr>
                  <w:tcW w:w="1059"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5FE" w14:textId="77777777" w:rsidR="00E21FC0" w:rsidRPr="008819AF" w:rsidRDefault="00E21FC0" w:rsidP="00E21FC0">
                  <w:pPr>
                    <w:pStyle w:val="Zkladntext2"/>
                    <w:ind w:left="-93" w:firstLine="0"/>
                    <w:rPr>
                      <w:rFonts w:ascii="Times New Roman" w:hAnsi="Times New Roman" w:cs="Times New Roman"/>
                      <w:b/>
                      <w:sz w:val="18"/>
                      <w:szCs w:val="18"/>
                    </w:rPr>
                  </w:pPr>
                  <w:r w:rsidRPr="008819AF">
                    <w:rPr>
                      <w:rFonts w:ascii="Times New Roman" w:hAnsi="Times New Roman" w:cs="Times New Roman"/>
                      <w:b/>
                      <w:sz w:val="18"/>
                      <w:szCs w:val="18"/>
                    </w:rPr>
                    <w:t>Fugitívne  emisie</w:t>
                  </w:r>
                </w:p>
              </w:tc>
            </w:tr>
            <w:tr w:rsidR="00E21FC0" w:rsidRPr="008819AF" w14:paraId="15134609" w14:textId="77777777" w:rsidTr="00E21FC0">
              <w:trPr>
                <w:cantSplit/>
                <w:trHeight w:val="340"/>
                <w:jc w:val="center"/>
              </w:trPr>
              <w:tc>
                <w:tcPr>
                  <w:tcW w:w="2006" w:type="dxa"/>
                  <w:gridSpan w:val="2"/>
                  <w:vMerge/>
                  <w:tcBorders>
                    <w:bottom w:val="single" w:sz="4" w:space="0" w:color="auto"/>
                    <w:right w:val="single" w:sz="4" w:space="0" w:color="auto"/>
                  </w:tcBorders>
                  <w:vAlign w:val="center"/>
                </w:tcPr>
                <w:p w14:paraId="15134600" w14:textId="77777777" w:rsidR="00E21FC0" w:rsidRPr="008819AF" w:rsidRDefault="00E21FC0" w:rsidP="00445A6C">
                  <w:pPr>
                    <w:rPr>
                      <w:b/>
                      <w:sz w:val="18"/>
                      <w:szCs w:val="18"/>
                    </w:rPr>
                  </w:pPr>
                </w:p>
              </w:tc>
              <w:tc>
                <w:tcPr>
                  <w:tcW w:w="588" w:type="dxa"/>
                  <w:tcBorders>
                    <w:top w:val="single" w:sz="4" w:space="0" w:color="auto"/>
                    <w:left w:val="single" w:sz="4" w:space="0" w:color="auto"/>
                    <w:bottom w:val="single" w:sz="4" w:space="0" w:color="auto"/>
                    <w:right w:val="single" w:sz="4" w:space="0" w:color="auto"/>
                  </w:tcBorders>
                  <w:vAlign w:val="center"/>
                </w:tcPr>
                <w:p w14:paraId="15134601" w14:textId="77777777" w:rsidR="00E21FC0" w:rsidRPr="008819AF" w:rsidRDefault="00E21FC0" w:rsidP="00445A6C">
                  <w:pPr>
                    <w:jc w:val="center"/>
                    <w:rPr>
                      <w:sz w:val="18"/>
                      <w:szCs w:val="18"/>
                    </w:rPr>
                  </w:pPr>
                  <w:r w:rsidRPr="008819AF">
                    <w:rPr>
                      <w:sz w:val="18"/>
                      <w:szCs w:val="18"/>
                    </w:rPr>
                    <w:t>od</w:t>
                  </w:r>
                </w:p>
              </w:tc>
              <w:tc>
                <w:tcPr>
                  <w:tcW w:w="669" w:type="dxa"/>
                  <w:tcBorders>
                    <w:top w:val="single" w:sz="4" w:space="0" w:color="auto"/>
                    <w:left w:val="single" w:sz="4" w:space="0" w:color="auto"/>
                    <w:bottom w:val="single" w:sz="4" w:space="0" w:color="auto"/>
                    <w:right w:val="single" w:sz="4" w:space="0" w:color="auto"/>
                  </w:tcBorders>
                  <w:vAlign w:val="center"/>
                </w:tcPr>
                <w:p w14:paraId="15134602" w14:textId="77777777" w:rsidR="00E21FC0" w:rsidRPr="008819AF" w:rsidRDefault="00E21FC0" w:rsidP="00445A6C">
                  <w:pPr>
                    <w:jc w:val="center"/>
                    <w:rPr>
                      <w:sz w:val="18"/>
                      <w:szCs w:val="18"/>
                    </w:rPr>
                  </w:pPr>
                  <w:r w:rsidRPr="008819AF">
                    <w:rPr>
                      <w:sz w:val="18"/>
                      <w:szCs w:val="18"/>
                    </w:rPr>
                    <w:t>do</w:t>
                  </w:r>
                </w:p>
              </w:tc>
              <w:tc>
                <w:tcPr>
                  <w:tcW w:w="7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134603" w14:textId="77777777" w:rsidR="00E21FC0" w:rsidRPr="008819AF" w:rsidRDefault="00E21FC0" w:rsidP="00E21FC0">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TZL1)</w:t>
                  </w:r>
                </w:p>
                <w:p w14:paraId="15134604" w14:textId="77777777" w:rsidR="00E21FC0" w:rsidRPr="008819AF" w:rsidRDefault="00E21FC0" w:rsidP="00E21FC0">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mg/m3</w:t>
                  </w:r>
                  <w:r w:rsidRPr="008819AF">
                    <w:rPr>
                      <w:rFonts w:ascii="Times New Roman" w:hAnsi="Times New Roman" w:cs="Times New Roman"/>
                      <w:b/>
                      <w:sz w:val="18"/>
                      <w:szCs w:val="18"/>
                    </w:rPr>
                    <w:sym w:font="Symbol" w:char="F05D"/>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5134605" w14:textId="77777777" w:rsidR="00E21FC0" w:rsidRPr="008819AF" w:rsidRDefault="00E21FC0" w:rsidP="00445A6C">
                  <w:pPr>
                    <w:pStyle w:val="Zkladntext2"/>
                    <w:ind w:right="-70"/>
                    <w:jc w:val="center"/>
                    <w:rPr>
                      <w:rFonts w:ascii="Times New Roman" w:hAnsi="Times New Roman" w:cs="Times New Roman"/>
                      <w:b/>
                      <w:sz w:val="18"/>
                      <w:szCs w:val="18"/>
                    </w:rPr>
                  </w:pPr>
                  <w:r w:rsidRPr="008819AF">
                    <w:rPr>
                      <w:rFonts w:ascii="Times New Roman" w:hAnsi="Times New Roman" w:cs="Times New Roman"/>
                      <w:b/>
                      <w:sz w:val="18"/>
                      <w:szCs w:val="18"/>
                    </w:rPr>
                    <w:t>TOC</w:t>
                  </w:r>
                </w:p>
                <w:p w14:paraId="15134606" w14:textId="77777777" w:rsidR="00E21FC0" w:rsidRPr="008819AF" w:rsidRDefault="00E21FC0" w:rsidP="00445A6C">
                  <w:pPr>
                    <w:pStyle w:val="Zkladntext2"/>
                    <w:ind w:right="-7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w:t>
                  </w:r>
                  <w:r w:rsidRPr="008819AF">
                    <w:rPr>
                      <w:rFonts w:ascii="Times New Roman" w:hAnsi="Times New Roman" w:cs="Times New Roman"/>
                      <w:b/>
                      <w:sz w:val="18"/>
                      <w:szCs w:val="18"/>
                      <w:vertAlign w:val="superscript"/>
                    </w:rPr>
                    <w:t>3</w:t>
                  </w:r>
                  <w:r w:rsidRPr="008819AF">
                    <w:rPr>
                      <w:rFonts w:ascii="Times New Roman" w:hAnsi="Times New Roman" w:cs="Times New Roman"/>
                      <w:b/>
                      <w:sz w:val="18"/>
                      <w:szCs w:val="18"/>
                    </w:rPr>
                    <w:sym w:font="Symbol" w:char="F05D"/>
                  </w:r>
                </w:p>
              </w:tc>
              <w:tc>
                <w:tcPr>
                  <w:tcW w:w="1059"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607" w14:textId="77777777" w:rsidR="00E21FC0" w:rsidRPr="008819AF" w:rsidRDefault="00E21FC0"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VOC</w:t>
                  </w:r>
                </w:p>
                <w:p w14:paraId="15134608" w14:textId="77777777" w:rsidR="00E21FC0" w:rsidRPr="008819AF" w:rsidRDefault="00E21FC0"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r>
            <w:tr w:rsidR="00E21FC0" w:rsidRPr="008819AF" w14:paraId="15134611" w14:textId="77777777" w:rsidTr="00E21FC0">
              <w:trPr>
                <w:trHeight w:val="340"/>
                <w:jc w:val="center"/>
              </w:trPr>
              <w:tc>
                <w:tcPr>
                  <w:tcW w:w="394" w:type="dxa"/>
                  <w:vMerge w:val="restart"/>
                  <w:tcBorders>
                    <w:top w:val="single" w:sz="4" w:space="0" w:color="auto"/>
                    <w:right w:val="single" w:sz="4" w:space="0" w:color="auto"/>
                  </w:tcBorders>
                  <w:tcMar>
                    <w:top w:w="0" w:type="dxa"/>
                    <w:left w:w="70" w:type="dxa"/>
                    <w:bottom w:w="0" w:type="dxa"/>
                    <w:right w:w="70" w:type="dxa"/>
                  </w:tcMar>
                  <w:vAlign w:val="center"/>
                </w:tcPr>
                <w:p w14:paraId="1513460A" w14:textId="77777777" w:rsidR="00E21FC0" w:rsidRPr="008819AF" w:rsidRDefault="00E21FC0" w:rsidP="00E21FC0">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Vb</w:t>
                  </w:r>
                </w:p>
              </w:tc>
              <w:tc>
                <w:tcPr>
                  <w:tcW w:w="1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0B" w14:textId="77777777" w:rsidR="00E21FC0" w:rsidRPr="008819AF" w:rsidRDefault="00E21FC0" w:rsidP="00E21FC0">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 xml:space="preserve">Priem. výroba automobilov </w:t>
                  </w:r>
                </w:p>
              </w:tc>
              <w:tc>
                <w:tcPr>
                  <w:tcW w:w="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0C"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0,5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0D"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 xml:space="preserve">&lt; 15 </w:t>
                  </w:r>
                </w:p>
              </w:tc>
              <w:tc>
                <w:tcPr>
                  <w:tcW w:w="773"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1513460E"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709"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1513460F"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50</w:t>
                  </w:r>
                  <w:r w:rsidRPr="008819AF">
                    <w:rPr>
                      <w:rFonts w:ascii="Times New Roman" w:hAnsi="Times New Roman" w:cs="Times New Roman"/>
                      <w:sz w:val="18"/>
                      <w:szCs w:val="18"/>
                      <w:vertAlign w:val="superscript"/>
                    </w:rPr>
                    <w:t>2</w:t>
                  </w:r>
                  <w:r w:rsidRPr="008819AF">
                    <w:rPr>
                      <w:rFonts w:ascii="Times New Roman" w:hAnsi="Times New Roman" w:cs="Times New Roman"/>
                      <w:sz w:val="18"/>
                      <w:szCs w:val="18"/>
                    </w:rPr>
                    <w:t>)</w:t>
                  </w:r>
                </w:p>
              </w:tc>
              <w:tc>
                <w:tcPr>
                  <w:tcW w:w="1059" w:type="dxa"/>
                  <w:vMerge w:val="restart"/>
                  <w:tcBorders>
                    <w:top w:val="single" w:sz="4" w:space="0" w:color="auto"/>
                    <w:left w:val="single" w:sz="4" w:space="0" w:color="auto"/>
                  </w:tcBorders>
                  <w:tcMar>
                    <w:top w:w="0" w:type="dxa"/>
                    <w:left w:w="70" w:type="dxa"/>
                    <w:bottom w:w="0" w:type="dxa"/>
                    <w:right w:w="70" w:type="dxa"/>
                  </w:tcMar>
                  <w:vAlign w:val="center"/>
                </w:tcPr>
                <w:p w14:paraId="15134610"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25</w:t>
                  </w:r>
                </w:p>
              </w:tc>
            </w:tr>
            <w:tr w:rsidR="00E21FC0" w:rsidRPr="008819AF" w14:paraId="15134619" w14:textId="77777777" w:rsidTr="00E21FC0">
              <w:trPr>
                <w:trHeight w:hRule="exact" w:val="552"/>
                <w:jc w:val="center"/>
              </w:trPr>
              <w:tc>
                <w:tcPr>
                  <w:tcW w:w="394" w:type="dxa"/>
                  <w:vMerge/>
                  <w:tcBorders>
                    <w:bottom w:val="single" w:sz="4" w:space="0" w:color="auto"/>
                    <w:right w:val="single" w:sz="4" w:space="0" w:color="auto"/>
                  </w:tcBorders>
                  <w:tcMar>
                    <w:top w:w="0" w:type="dxa"/>
                    <w:left w:w="70" w:type="dxa"/>
                    <w:bottom w:w="0" w:type="dxa"/>
                    <w:right w:w="70" w:type="dxa"/>
                  </w:tcMar>
                  <w:vAlign w:val="center"/>
                </w:tcPr>
                <w:p w14:paraId="15134612" w14:textId="77777777" w:rsidR="00E21FC0" w:rsidRPr="008819AF" w:rsidRDefault="00E21FC0" w:rsidP="00445A6C">
                  <w:pPr>
                    <w:pStyle w:val="Zkladntext2"/>
                    <w:ind w:left="72"/>
                    <w:rPr>
                      <w:rFonts w:ascii="Times New Roman" w:hAnsi="Times New Roman" w:cs="Times New Roman"/>
                      <w:b/>
                      <w:sz w:val="18"/>
                      <w:szCs w:val="18"/>
                    </w:rPr>
                  </w:pPr>
                </w:p>
              </w:tc>
              <w:tc>
                <w:tcPr>
                  <w:tcW w:w="1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13" w14:textId="77777777" w:rsidR="00E21FC0" w:rsidRPr="008819AF" w:rsidRDefault="00E21FC0" w:rsidP="00E21FC0">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Povrchová úprava vozidiel podľa bodov 2  a  3</w:t>
                  </w:r>
                </w:p>
              </w:tc>
              <w:tc>
                <w:tcPr>
                  <w:tcW w:w="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14" w14:textId="77777777" w:rsidR="00E21FC0" w:rsidRPr="008819AF" w:rsidRDefault="00E21FC0" w:rsidP="00E21FC0">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0,5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15" w14:textId="77777777" w:rsidR="00E21FC0" w:rsidRPr="008819AF" w:rsidRDefault="00E21FC0"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773"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15134616" w14:textId="77777777" w:rsidR="00E21FC0" w:rsidRPr="008819AF" w:rsidRDefault="00E21FC0" w:rsidP="00445A6C">
                  <w:pPr>
                    <w:pStyle w:val="Zkladntext2"/>
                    <w:jc w:val="center"/>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15134617" w14:textId="77777777" w:rsidR="00E21FC0" w:rsidRPr="008819AF" w:rsidRDefault="00E21FC0" w:rsidP="00445A6C">
                  <w:pPr>
                    <w:pStyle w:val="Zkladntext2"/>
                    <w:jc w:val="center"/>
                    <w:rPr>
                      <w:rFonts w:ascii="Times New Roman" w:hAnsi="Times New Roman" w:cs="Times New Roman"/>
                      <w:sz w:val="18"/>
                      <w:szCs w:val="18"/>
                    </w:rPr>
                  </w:pPr>
                </w:p>
              </w:tc>
              <w:tc>
                <w:tcPr>
                  <w:tcW w:w="1059" w:type="dxa"/>
                  <w:vMerge/>
                  <w:tcBorders>
                    <w:left w:val="single" w:sz="4" w:space="0" w:color="auto"/>
                    <w:bottom w:val="single" w:sz="4" w:space="0" w:color="auto"/>
                  </w:tcBorders>
                  <w:tcMar>
                    <w:top w:w="0" w:type="dxa"/>
                    <w:left w:w="70" w:type="dxa"/>
                    <w:bottom w:w="0" w:type="dxa"/>
                    <w:right w:w="70" w:type="dxa"/>
                  </w:tcMar>
                  <w:vAlign w:val="center"/>
                </w:tcPr>
                <w:p w14:paraId="15134618" w14:textId="77777777" w:rsidR="00E21FC0" w:rsidRPr="008819AF" w:rsidRDefault="00E21FC0" w:rsidP="00445A6C">
                  <w:pPr>
                    <w:pStyle w:val="Zkladntext2"/>
                    <w:jc w:val="center"/>
                    <w:rPr>
                      <w:rFonts w:ascii="Times New Roman" w:hAnsi="Times New Roman" w:cs="Times New Roman"/>
                      <w:sz w:val="18"/>
                      <w:szCs w:val="18"/>
                    </w:rPr>
                  </w:pPr>
                </w:p>
              </w:tc>
            </w:tr>
          </w:tbl>
          <w:p w14:paraId="1513461A" w14:textId="77777777" w:rsidR="00E21FC0" w:rsidRPr="008819AF" w:rsidRDefault="00E21FC0" w:rsidP="00E21FC0">
            <w:pPr>
              <w:spacing w:before="60"/>
            </w:pPr>
            <w:r w:rsidRPr="008819AF">
              <w:rPr>
                <w:vertAlign w:val="superscript"/>
              </w:rPr>
              <w:t>1</w:t>
            </w:r>
            <w:r w:rsidRPr="008819AF">
              <w:t>) Emisný limit pre TZL platí iba pre proces striekania.</w:t>
            </w:r>
          </w:p>
          <w:p w14:paraId="1513461B" w14:textId="77777777" w:rsidR="004A0AED" w:rsidRPr="008819AF" w:rsidRDefault="00E21FC0" w:rsidP="00E21FC0">
            <w:pPr>
              <w:pStyle w:val="Zkladntext2"/>
              <w:spacing w:before="60"/>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2</w:t>
            </w:r>
            <w:r w:rsidRPr="008819AF">
              <w:rPr>
                <w:rFonts w:ascii="Times New Roman" w:hAnsi="Times New Roman" w:cs="Times New Roman"/>
                <w:sz w:val="20"/>
                <w:szCs w:val="20"/>
              </w:rPr>
              <w:t>) Emisný limit platí ako 15-minutová priemerná hodnota.</w:t>
            </w:r>
          </w:p>
        </w:tc>
        <w:tc>
          <w:tcPr>
            <w:tcW w:w="709" w:type="dxa"/>
            <w:tcBorders>
              <w:top w:val="single" w:sz="4" w:space="0" w:color="000000"/>
              <w:left w:val="single" w:sz="6" w:space="0" w:color="000000"/>
              <w:bottom w:val="single" w:sz="4" w:space="0" w:color="000000"/>
              <w:right w:val="single" w:sz="6" w:space="0" w:color="000000"/>
            </w:tcBorders>
          </w:tcPr>
          <w:p w14:paraId="1513461C" w14:textId="77777777" w:rsidR="004A0AED" w:rsidRPr="008819AF" w:rsidRDefault="004A0AED">
            <w:pPr>
              <w:ind w:left="215" w:hanging="215"/>
              <w:rPr>
                <w:rFonts w:eastAsia="Arial"/>
              </w:rPr>
            </w:pPr>
          </w:p>
        </w:tc>
        <w:tc>
          <w:tcPr>
            <w:tcW w:w="607" w:type="dxa"/>
            <w:tcBorders>
              <w:top w:val="single" w:sz="4" w:space="0" w:color="000000"/>
              <w:left w:val="single" w:sz="6" w:space="0" w:color="000000"/>
              <w:bottom w:val="single" w:sz="4" w:space="0" w:color="000000"/>
              <w:right w:val="single" w:sz="6" w:space="0" w:color="000000"/>
            </w:tcBorders>
          </w:tcPr>
          <w:p w14:paraId="1513461D" w14:textId="77777777" w:rsidR="004A0AED" w:rsidRPr="008819AF" w:rsidRDefault="004A0AED">
            <w:pPr>
              <w:ind w:left="215" w:hanging="215"/>
              <w:rPr>
                <w:rFonts w:eastAsia="Arial"/>
              </w:rPr>
            </w:pPr>
          </w:p>
        </w:tc>
      </w:tr>
    </w:tbl>
    <w:p w14:paraId="1513461F" w14:textId="77777777" w:rsidR="007170C3" w:rsidRPr="008819AF" w:rsidRDefault="007170C3">
      <w:pPr>
        <w:rPr>
          <w:rFonts w:eastAsia="Aria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6"/>
        <w:gridCol w:w="5386"/>
        <w:gridCol w:w="881"/>
        <w:gridCol w:w="678"/>
        <w:gridCol w:w="567"/>
        <w:gridCol w:w="5954"/>
        <w:gridCol w:w="709"/>
        <w:gridCol w:w="607"/>
      </w:tblGrid>
      <w:tr w:rsidR="004A0AED" w:rsidRPr="008819AF" w14:paraId="1513465A"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620" w14:textId="77777777" w:rsidR="004A0AED" w:rsidRPr="008819AF" w:rsidRDefault="004A0AED">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7 </w:t>
            </w:r>
          </w:p>
        </w:tc>
        <w:tc>
          <w:tcPr>
            <w:tcW w:w="5386" w:type="dxa"/>
            <w:tcBorders>
              <w:top w:val="single" w:sz="4" w:space="0" w:color="000000"/>
              <w:left w:val="single" w:sz="6" w:space="0" w:color="000000"/>
              <w:bottom w:val="single" w:sz="4" w:space="0" w:color="000000"/>
              <w:right w:val="single" w:sz="6" w:space="0" w:color="000000"/>
            </w:tcBorders>
          </w:tcPr>
          <w:p w14:paraId="15134621" w14:textId="77777777" w:rsidR="004A0AED" w:rsidRPr="008819AF" w:rsidRDefault="004A0AED">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Povrchová úprava cievok  (&gt;25)</w:t>
            </w:r>
          </w:p>
        </w:tc>
        <w:tc>
          <w:tcPr>
            <w:tcW w:w="881" w:type="dxa"/>
            <w:tcBorders>
              <w:top w:val="single" w:sz="4" w:space="0" w:color="000000"/>
              <w:left w:val="single" w:sz="6" w:space="0" w:color="000000"/>
              <w:bottom w:val="single" w:sz="4" w:space="0" w:color="000000"/>
              <w:right w:val="single" w:sz="6" w:space="0" w:color="000000"/>
            </w:tcBorders>
          </w:tcPr>
          <w:p w14:paraId="15134622" w14:textId="77777777" w:rsidR="004A0AED" w:rsidRPr="008819AF" w:rsidRDefault="004A0AED">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623" w14:textId="77777777" w:rsidR="004A0AED" w:rsidRPr="008819AF" w:rsidRDefault="004A0AED">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624" w14:textId="77777777" w:rsidR="004A0AED" w:rsidRPr="008819AF" w:rsidRDefault="004A0AED" w:rsidP="00445A6C">
            <w:r w:rsidRPr="008819AF">
              <w:t>Pr.6</w:t>
            </w:r>
          </w:p>
          <w:p w14:paraId="15134625" w14:textId="77777777" w:rsidR="004A0AED" w:rsidRPr="008819AF" w:rsidRDefault="004A0AED" w:rsidP="00445A6C">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626" w14:textId="77777777" w:rsidR="00B83CD4" w:rsidRPr="008819AF" w:rsidRDefault="00B83CD4" w:rsidP="00B83CD4">
            <w:pPr>
              <w:tabs>
                <w:tab w:val="left" w:pos="284"/>
              </w:tabs>
              <w:ind w:left="284" w:hanging="284"/>
              <w:jc w:val="both"/>
              <w:rPr>
                <w:b/>
              </w:rPr>
            </w:pPr>
            <w:r w:rsidRPr="008819AF">
              <w:rPr>
                <w:b/>
              </w:rPr>
              <w:t xml:space="preserve">6. NANÁŠANIE NÁTEROV NA NAVÍJANÉ PÁSY Z KOVOVÝCH MATERIÁLOV (VI)  </w:t>
            </w:r>
          </w:p>
          <w:p w14:paraId="15134627" w14:textId="77777777" w:rsidR="00B83CD4" w:rsidRPr="008819AF" w:rsidRDefault="00B83CD4" w:rsidP="008739EB">
            <w:pPr>
              <w:jc w:val="both"/>
            </w:pPr>
            <w:r w:rsidRPr="008819AF">
              <w:t>Činnosť, pri ktorej sa na navíjaný pás z ocele, nehrdzavejúcej ocele, ocele s nanesenou vrstvou zliatiny medi alebo hliníka kontinuálne nanáša súvislý náter, ktorý vytvára na povrchu film alebo vrstvy.</w:t>
            </w:r>
          </w:p>
          <w:p w14:paraId="15134628" w14:textId="77777777" w:rsidR="00B83CD4" w:rsidRPr="008819AF" w:rsidRDefault="00B83CD4" w:rsidP="00B83CD4">
            <w:pPr>
              <w:ind w:left="284"/>
              <w:jc w:val="both"/>
            </w:pPr>
          </w:p>
          <w:p w14:paraId="15134629" w14:textId="77777777" w:rsidR="00B83CD4" w:rsidRPr="008819AF" w:rsidRDefault="00B83CD4" w:rsidP="00B83CD4">
            <w:pPr>
              <w:spacing w:after="120"/>
              <w:rPr>
                <w:b/>
              </w:rPr>
            </w:pPr>
            <w:r w:rsidRPr="008819AF">
              <w:rPr>
                <w:b/>
              </w:rPr>
              <w:t xml:space="preserve">6.1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2"/>
              <w:gridCol w:w="1065"/>
              <w:gridCol w:w="585"/>
              <w:gridCol w:w="665"/>
              <w:gridCol w:w="650"/>
              <w:gridCol w:w="709"/>
              <w:gridCol w:w="851"/>
              <w:gridCol w:w="917"/>
            </w:tblGrid>
            <w:tr w:rsidR="00B83CD4" w:rsidRPr="008819AF" w14:paraId="1513462C" w14:textId="77777777" w:rsidTr="008739EB">
              <w:trPr>
                <w:trHeight w:val="535"/>
                <w:jc w:val="center"/>
              </w:trPr>
              <w:tc>
                <w:tcPr>
                  <w:tcW w:w="2677" w:type="dxa"/>
                  <w:gridSpan w:val="4"/>
                  <w:tcBorders>
                    <w:top w:val="single" w:sz="4" w:space="0" w:color="auto"/>
                    <w:bottom w:val="single" w:sz="4" w:space="0" w:color="auto"/>
                    <w:right w:val="single" w:sz="4" w:space="0" w:color="auto"/>
                  </w:tcBorders>
                  <w:vAlign w:val="center"/>
                </w:tcPr>
                <w:p w14:paraId="1513462A" w14:textId="77777777" w:rsidR="00B83CD4" w:rsidRPr="008819AF" w:rsidRDefault="00B83CD4" w:rsidP="00445A6C">
                  <w:pPr>
                    <w:pStyle w:val="Normln"/>
                    <w:keepNext/>
                    <w:rPr>
                      <w:b/>
                      <w:sz w:val="18"/>
                      <w:szCs w:val="18"/>
                      <w:lang w:val="sk-SK"/>
                    </w:rPr>
                  </w:pPr>
                  <w:r w:rsidRPr="008819AF">
                    <w:rPr>
                      <w:b/>
                      <w:sz w:val="18"/>
                      <w:szCs w:val="18"/>
                      <w:lang w:val="sk-SK"/>
                    </w:rPr>
                    <w:t>Podmienky platnosti EL</w:t>
                  </w:r>
                </w:p>
              </w:tc>
              <w:tc>
                <w:tcPr>
                  <w:tcW w:w="3127" w:type="dxa"/>
                  <w:gridSpan w:val="4"/>
                  <w:tcBorders>
                    <w:top w:val="single" w:sz="4" w:space="0" w:color="auto"/>
                    <w:left w:val="single" w:sz="4" w:space="0" w:color="auto"/>
                    <w:bottom w:val="single" w:sz="4" w:space="0" w:color="auto"/>
                  </w:tcBorders>
                  <w:vAlign w:val="center"/>
                </w:tcPr>
                <w:p w14:paraId="1513462B" w14:textId="77777777" w:rsidR="00B83CD4" w:rsidRPr="008819AF" w:rsidRDefault="00B83CD4" w:rsidP="008739EB">
                  <w:pPr>
                    <w:pStyle w:val="Zkladntext2"/>
                    <w:ind w:left="-93" w:firstLine="0"/>
                    <w:rPr>
                      <w:rFonts w:ascii="Times New Roman" w:hAnsi="Times New Roman" w:cs="Times New Roman"/>
                      <w:sz w:val="18"/>
                      <w:szCs w:val="18"/>
                    </w:rPr>
                  </w:pPr>
                  <w:r w:rsidRPr="008819AF">
                    <w:rPr>
                      <w:rFonts w:ascii="Times New Roman" w:hAnsi="Times New Roman" w:cs="Times New Roman"/>
                      <w:sz w:val="18"/>
                      <w:szCs w:val="18"/>
                    </w:rPr>
                    <w:t>Štandardné stavové podmienky, vlhký plyn</w:t>
                  </w:r>
                </w:p>
              </w:tc>
            </w:tr>
            <w:tr w:rsidR="00B83CD4" w:rsidRPr="008819AF" w14:paraId="15134632" w14:textId="77777777" w:rsidTr="008739EB">
              <w:trPr>
                <w:cantSplit/>
                <w:trHeight w:val="300"/>
                <w:jc w:val="center"/>
              </w:trPr>
              <w:tc>
                <w:tcPr>
                  <w:tcW w:w="1427" w:type="dxa"/>
                  <w:gridSpan w:val="2"/>
                  <w:vMerge w:val="restart"/>
                  <w:tcBorders>
                    <w:top w:val="nil"/>
                    <w:bottom w:val="single" w:sz="4" w:space="0" w:color="auto"/>
                    <w:right w:val="single" w:sz="4" w:space="0" w:color="auto"/>
                  </w:tcBorders>
                  <w:tcMar>
                    <w:top w:w="0" w:type="dxa"/>
                    <w:left w:w="70" w:type="dxa"/>
                    <w:bottom w:w="0" w:type="dxa"/>
                    <w:right w:w="70" w:type="dxa"/>
                  </w:tcMar>
                  <w:vAlign w:val="center"/>
                </w:tcPr>
                <w:p w14:paraId="1513462D" w14:textId="77777777" w:rsidR="00B83CD4" w:rsidRPr="008819AF" w:rsidRDefault="00B83CD4" w:rsidP="008739EB">
                  <w:pPr>
                    <w:pStyle w:val="Zkladntext2"/>
                    <w:ind w:left="-93" w:right="-70"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  Činnosť</w:t>
                  </w:r>
                </w:p>
              </w:tc>
              <w:tc>
                <w:tcPr>
                  <w:tcW w:w="1250"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1513462E" w14:textId="77777777" w:rsidR="00B83CD4" w:rsidRPr="008819AF" w:rsidRDefault="00B83CD4"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Prahová spotreba rozpúšťadla</w:t>
                  </w:r>
                </w:p>
                <w:p w14:paraId="1513462F" w14:textId="77777777" w:rsidR="00B83CD4" w:rsidRPr="008819AF" w:rsidRDefault="00B83CD4"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t/rok</w:t>
                  </w:r>
                  <w:r w:rsidRPr="008819AF">
                    <w:rPr>
                      <w:rFonts w:ascii="Times New Roman" w:hAnsi="Times New Roman" w:cs="Times New Roman"/>
                      <w:b/>
                      <w:sz w:val="18"/>
                      <w:szCs w:val="18"/>
                    </w:rPr>
                    <w:sym w:font="Symbol" w:char="F05D"/>
                  </w:r>
                </w:p>
              </w:tc>
              <w:tc>
                <w:tcPr>
                  <w:tcW w:w="2210"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630" w14:textId="77777777" w:rsidR="00B83CD4" w:rsidRPr="008819AF" w:rsidRDefault="00B83CD4"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Emisný limit</w:t>
                  </w:r>
                </w:p>
              </w:tc>
              <w:tc>
                <w:tcPr>
                  <w:tcW w:w="917" w:type="dxa"/>
                  <w:vMerge w:val="restart"/>
                  <w:tcBorders>
                    <w:top w:val="single" w:sz="4" w:space="0" w:color="auto"/>
                    <w:left w:val="single" w:sz="4" w:space="0" w:color="auto"/>
                  </w:tcBorders>
                  <w:vAlign w:val="center"/>
                </w:tcPr>
                <w:p w14:paraId="15134631" w14:textId="77777777" w:rsidR="00B83CD4" w:rsidRPr="008819AF" w:rsidRDefault="00B83CD4"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Emisný faktor pre RP</w:t>
                  </w:r>
                </w:p>
              </w:tc>
            </w:tr>
            <w:tr w:rsidR="00B83CD4" w:rsidRPr="008819AF" w14:paraId="15134638" w14:textId="77777777" w:rsidTr="008739EB">
              <w:trPr>
                <w:cantSplit/>
                <w:trHeight w:val="514"/>
                <w:jc w:val="center"/>
              </w:trPr>
              <w:tc>
                <w:tcPr>
                  <w:tcW w:w="1427" w:type="dxa"/>
                  <w:gridSpan w:val="2"/>
                  <w:vMerge/>
                  <w:tcBorders>
                    <w:top w:val="nil"/>
                    <w:bottom w:val="single" w:sz="4" w:space="0" w:color="auto"/>
                    <w:right w:val="single" w:sz="4" w:space="0" w:color="auto"/>
                  </w:tcBorders>
                  <w:vAlign w:val="center"/>
                </w:tcPr>
                <w:p w14:paraId="15134633" w14:textId="77777777" w:rsidR="00B83CD4" w:rsidRPr="008819AF" w:rsidRDefault="00B83CD4" w:rsidP="00445A6C">
                  <w:pPr>
                    <w:rPr>
                      <w:b/>
                      <w:sz w:val="18"/>
                      <w:szCs w:val="18"/>
                    </w:rPr>
                  </w:pPr>
                </w:p>
              </w:tc>
              <w:tc>
                <w:tcPr>
                  <w:tcW w:w="1250" w:type="dxa"/>
                  <w:gridSpan w:val="2"/>
                  <w:vMerge/>
                  <w:tcBorders>
                    <w:left w:val="single" w:sz="4" w:space="0" w:color="auto"/>
                    <w:bottom w:val="single" w:sz="4" w:space="0" w:color="auto"/>
                    <w:right w:val="single" w:sz="4" w:space="0" w:color="auto"/>
                  </w:tcBorders>
                  <w:vAlign w:val="center"/>
                </w:tcPr>
                <w:p w14:paraId="15134634" w14:textId="77777777" w:rsidR="00B83CD4" w:rsidRPr="008819AF" w:rsidRDefault="00B83CD4" w:rsidP="008739EB">
                  <w:pPr>
                    <w:pStyle w:val="Zkladntext2"/>
                    <w:ind w:left="-93" w:firstLine="0"/>
                    <w:jc w:val="center"/>
                    <w:rPr>
                      <w:rFonts w:ascii="Times New Roman" w:hAnsi="Times New Roman" w:cs="Times New Roman"/>
                      <w:b/>
                      <w:sz w:val="18"/>
                      <w:szCs w:val="18"/>
                    </w:rPr>
                  </w:pPr>
                </w:p>
              </w:tc>
              <w:tc>
                <w:tcPr>
                  <w:tcW w:w="135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35" w14:textId="77777777" w:rsidR="00B83CD4" w:rsidRPr="008819AF" w:rsidRDefault="00B83CD4"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Odpadové plyny</w:t>
                  </w:r>
                </w:p>
              </w:tc>
              <w:tc>
                <w:tcPr>
                  <w:tcW w:w="851"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636" w14:textId="77777777" w:rsidR="00B83CD4" w:rsidRPr="008819AF" w:rsidRDefault="00B83CD4"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Fugitívne  emisie</w:t>
                  </w:r>
                </w:p>
              </w:tc>
              <w:tc>
                <w:tcPr>
                  <w:tcW w:w="917" w:type="dxa"/>
                  <w:vMerge/>
                  <w:tcBorders>
                    <w:left w:val="single" w:sz="4" w:space="0" w:color="auto"/>
                    <w:bottom w:val="single" w:sz="4" w:space="0" w:color="auto"/>
                  </w:tcBorders>
                  <w:vAlign w:val="center"/>
                </w:tcPr>
                <w:p w14:paraId="15134637" w14:textId="77777777" w:rsidR="00B83CD4" w:rsidRPr="008819AF" w:rsidRDefault="00B83CD4" w:rsidP="008739EB">
                  <w:pPr>
                    <w:pStyle w:val="Zkladntext2"/>
                    <w:ind w:left="-93" w:firstLine="0"/>
                    <w:jc w:val="center"/>
                    <w:rPr>
                      <w:rFonts w:ascii="Times New Roman" w:hAnsi="Times New Roman" w:cs="Times New Roman"/>
                      <w:b/>
                      <w:sz w:val="18"/>
                      <w:szCs w:val="18"/>
                    </w:rPr>
                  </w:pPr>
                </w:p>
              </w:tc>
            </w:tr>
            <w:tr w:rsidR="00B83CD4" w:rsidRPr="008819AF" w14:paraId="15134643" w14:textId="77777777" w:rsidTr="008739EB">
              <w:trPr>
                <w:cantSplit/>
                <w:jc w:val="center"/>
              </w:trPr>
              <w:tc>
                <w:tcPr>
                  <w:tcW w:w="1427" w:type="dxa"/>
                  <w:gridSpan w:val="2"/>
                  <w:vMerge/>
                  <w:tcBorders>
                    <w:top w:val="nil"/>
                    <w:bottom w:val="single" w:sz="4" w:space="0" w:color="auto"/>
                    <w:right w:val="single" w:sz="4" w:space="0" w:color="auto"/>
                  </w:tcBorders>
                  <w:vAlign w:val="center"/>
                </w:tcPr>
                <w:p w14:paraId="15134639" w14:textId="77777777" w:rsidR="00B83CD4" w:rsidRPr="008819AF" w:rsidRDefault="00B83CD4" w:rsidP="00445A6C">
                  <w:pPr>
                    <w:rPr>
                      <w:b/>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tcPr>
                <w:p w14:paraId="1513463A" w14:textId="77777777" w:rsidR="00B83CD4" w:rsidRPr="008819AF" w:rsidRDefault="00B83CD4" w:rsidP="00445A6C">
                  <w:pPr>
                    <w:jc w:val="center"/>
                    <w:rPr>
                      <w:sz w:val="18"/>
                      <w:szCs w:val="18"/>
                    </w:rPr>
                  </w:pPr>
                  <w:r w:rsidRPr="008819AF">
                    <w:rPr>
                      <w:sz w:val="18"/>
                      <w:szCs w:val="18"/>
                    </w:rPr>
                    <w:t>od</w:t>
                  </w:r>
                </w:p>
              </w:tc>
              <w:tc>
                <w:tcPr>
                  <w:tcW w:w="665" w:type="dxa"/>
                  <w:tcBorders>
                    <w:top w:val="single" w:sz="4" w:space="0" w:color="auto"/>
                    <w:left w:val="single" w:sz="4" w:space="0" w:color="auto"/>
                    <w:bottom w:val="single" w:sz="4" w:space="0" w:color="auto"/>
                    <w:right w:val="single" w:sz="4" w:space="0" w:color="auto"/>
                  </w:tcBorders>
                  <w:vAlign w:val="center"/>
                </w:tcPr>
                <w:p w14:paraId="1513463B" w14:textId="77777777" w:rsidR="00B83CD4" w:rsidRPr="008819AF" w:rsidRDefault="00B83CD4" w:rsidP="00445A6C">
                  <w:pPr>
                    <w:jc w:val="center"/>
                    <w:rPr>
                      <w:sz w:val="18"/>
                      <w:szCs w:val="18"/>
                    </w:rPr>
                  </w:pPr>
                  <w:r w:rsidRPr="008819AF">
                    <w:rPr>
                      <w:sz w:val="18"/>
                      <w:szCs w:val="18"/>
                    </w:rPr>
                    <w:t>do</w:t>
                  </w:r>
                </w:p>
              </w:tc>
              <w:tc>
                <w:tcPr>
                  <w:tcW w:w="6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3C" w14:textId="77777777" w:rsidR="00B83CD4" w:rsidRPr="008819AF" w:rsidRDefault="00B83CD4"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TZL1)</w:t>
                  </w:r>
                </w:p>
                <w:p w14:paraId="1513463D" w14:textId="77777777" w:rsidR="00B83CD4" w:rsidRPr="008819AF" w:rsidRDefault="00B83CD4" w:rsidP="008739EB">
                  <w:pPr>
                    <w:pStyle w:val="Zkladntext2"/>
                    <w:ind w:left="-93" w:right="-70"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mg/m3</w:t>
                  </w:r>
                  <w:r w:rsidRPr="008819AF">
                    <w:rPr>
                      <w:rFonts w:ascii="Times New Roman" w:hAnsi="Times New Roman" w:cs="Times New Roman"/>
                      <w:b/>
                      <w:sz w:val="18"/>
                      <w:szCs w:val="18"/>
                    </w:rPr>
                    <w:sym w:font="Symbol" w:char="F05D"/>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3E" w14:textId="77777777" w:rsidR="00B83CD4" w:rsidRPr="008819AF" w:rsidRDefault="00B83CD4" w:rsidP="008739EB">
                  <w:pPr>
                    <w:pStyle w:val="Zkladntext2"/>
                    <w:ind w:left="-93" w:right="-70"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TOC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mg/m3</w:t>
                  </w:r>
                  <w:r w:rsidRPr="008819AF">
                    <w:rPr>
                      <w:rFonts w:ascii="Times New Roman" w:hAnsi="Times New Roman" w:cs="Times New Roman"/>
                      <w:b/>
                      <w:sz w:val="18"/>
                      <w:szCs w:val="18"/>
                    </w:rPr>
                    <w:sym w:font="Symbol" w:char="F05D"/>
                  </w:r>
                </w:p>
              </w:tc>
              <w:tc>
                <w:tcPr>
                  <w:tcW w:w="851"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63F" w14:textId="77777777" w:rsidR="00B83CD4" w:rsidRPr="008819AF" w:rsidRDefault="00B83CD4"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p>
                <w:p w14:paraId="15134640" w14:textId="77777777" w:rsidR="00B83CD4" w:rsidRPr="008819AF" w:rsidRDefault="00B83CD4"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c>
                <w:tcPr>
                  <w:tcW w:w="917" w:type="dxa"/>
                  <w:tcBorders>
                    <w:top w:val="single" w:sz="4" w:space="0" w:color="auto"/>
                    <w:left w:val="single" w:sz="4" w:space="0" w:color="auto"/>
                    <w:bottom w:val="single" w:sz="4" w:space="0" w:color="auto"/>
                  </w:tcBorders>
                  <w:vAlign w:val="center"/>
                </w:tcPr>
                <w:p w14:paraId="15134641" w14:textId="77777777" w:rsidR="00B83CD4" w:rsidRPr="008819AF" w:rsidRDefault="00B83CD4"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VOC</w:t>
                  </w:r>
                </w:p>
                <w:p w14:paraId="15134642" w14:textId="77777777" w:rsidR="00B83CD4" w:rsidRPr="008819AF" w:rsidRDefault="00B83CD4"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kg/kg sušiny</w:t>
                  </w:r>
                  <w:r w:rsidRPr="008819AF">
                    <w:rPr>
                      <w:rFonts w:ascii="Times New Roman" w:hAnsi="Times New Roman" w:cs="Times New Roman"/>
                      <w:b/>
                      <w:sz w:val="18"/>
                      <w:szCs w:val="18"/>
                    </w:rPr>
                    <w:sym w:font="Symbol" w:char="F05D"/>
                  </w:r>
                </w:p>
              </w:tc>
            </w:tr>
            <w:tr w:rsidR="00B83CD4" w:rsidRPr="008819AF" w14:paraId="1513464C" w14:textId="77777777" w:rsidTr="008739EB">
              <w:trPr>
                <w:cantSplit/>
                <w:trHeight w:val="575"/>
                <w:jc w:val="center"/>
              </w:trPr>
              <w:tc>
                <w:tcPr>
                  <w:tcW w:w="362" w:type="dxa"/>
                  <w:vMerge w:val="restart"/>
                  <w:tcBorders>
                    <w:top w:val="single" w:sz="4" w:space="0" w:color="auto"/>
                    <w:right w:val="single" w:sz="4" w:space="0" w:color="auto"/>
                  </w:tcBorders>
                  <w:tcMar>
                    <w:top w:w="0" w:type="dxa"/>
                    <w:left w:w="70" w:type="dxa"/>
                    <w:bottom w:w="0" w:type="dxa"/>
                    <w:right w:w="70" w:type="dxa"/>
                  </w:tcMar>
                  <w:vAlign w:val="center"/>
                </w:tcPr>
                <w:p w14:paraId="15134644" w14:textId="77777777" w:rsidR="00B83CD4" w:rsidRPr="008819AF" w:rsidRDefault="00B83CD4"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VI</w:t>
                  </w:r>
                </w:p>
              </w:tc>
              <w:tc>
                <w:tcPr>
                  <w:tcW w:w="1065" w:type="dxa"/>
                  <w:vMerge w:val="restart"/>
                  <w:tcBorders>
                    <w:top w:val="single" w:sz="4" w:space="0" w:color="auto"/>
                    <w:right w:val="single" w:sz="4" w:space="0" w:color="auto"/>
                  </w:tcBorders>
                  <w:tcMar>
                    <w:top w:w="0" w:type="dxa"/>
                    <w:left w:w="70" w:type="dxa"/>
                    <w:bottom w:w="0" w:type="dxa"/>
                    <w:right w:w="70" w:type="dxa"/>
                  </w:tcMar>
                  <w:vAlign w:val="center"/>
                </w:tcPr>
                <w:p w14:paraId="15134645" w14:textId="77777777" w:rsidR="00B83CD4" w:rsidRPr="008819AF" w:rsidRDefault="00B83CD4" w:rsidP="008739EB">
                  <w:pPr>
                    <w:pStyle w:val="Zkladntext2"/>
                    <w:ind w:left="-93" w:right="-70" w:firstLine="0"/>
                    <w:jc w:val="center"/>
                    <w:rPr>
                      <w:rFonts w:ascii="Times New Roman" w:hAnsi="Times New Roman" w:cs="Times New Roman"/>
                      <w:sz w:val="18"/>
                      <w:szCs w:val="18"/>
                    </w:rPr>
                  </w:pPr>
                  <w:r w:rsidRPr="008819AF">
                    <w:rPr>
                      <w:rFonts w:ascii="Times New Roman" w:hAnsi="Times New Roman" w:cs="Times New Roman"/>
                      <w:sz w:val="18"/>
                      <w:szCs w:val="18"/>
                    </w:rPr>
                    <w:t>Kontinuálne natieranie pásov  z kovových materiálov</w:t>
                  </w:r>
                </w:p>
              </w:tc>
              <w:tc>
                <w:tcPr>
                  <w:tcW w:w="5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46" w14:textId="77777777" w:rsidR="00B83CD4" w:rsidRPr="008819AF" w:rsidRDefault="00B83CD4" w:rsidP="008739EB">
                  <w:pPr>
                    <w:pStyle w:val="Zkladntext2"/>
                    <w:ind w:left="-93" w:right="-70"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&gt; 0,6 </w:t>
                  </w:r>
                </w:p>
              </w:tc>
              <w:tc>
                <w:tcPr>
                  <w:tcW w:w="6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47" w14:textId="77777777" w:rsidR="00B83CD4" w:rsidRPr="008819AF" w:rsidRDefault="00B83CD4" w:rsidP="00445A6C">
                  <w:pPr>
                    <w:keepNext/>
                    <w:jc w:val="center"/>
                    <w:rPr>
                      <w:sz w:val="18"/>
                      <w:szCs w:val="18"/>
                    </w:rPr>
                  </w:pPr>
                  <w:r w:rsidRPr="008819AF">
                    <w:rPr>
                      <w:sz w:val="18"/>
                      <w:szCs w:val="18"/>
                    </w:rPr>
                    <w:t>≤ 25</w:t>
                  </w:r>
                </w:p>
              </w:tc>
              <w:tc>
                <w:tcPr>
                  <w:tcW w:w="6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48" w14:textId="77777777" w:rsidR="00B83CD4" w:rsidRPr="008819AF" w:rsidRDefault="00B83CD4" w:rsidP="00445A6C">
                  <w:pPr>
                    <w:keepNext/>
                    <w:jc w:val="center"/>
                    <w:rPr>
                      <w:sz w:val="18"/>
                      <w:szCs w:val="18"/>
                    </w:rPr>
                  </w:pPr>
                  <w:r w:rsidRPr="008819AF">
                    <w:rPr>
                      <w:sz w:val="18"/>
                      <w:szCs w:val="18"/>
                    </w:rPr>
                    <w:t>3</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49" w14:textId="77777777" w:rsidR="00B83CD4" w:rsidRPr="008819AF" w:rsidRDefault="00B83CD4" w:rsidP="00445A6C">
                  <w:pPr>
                    <w:keepNext/>
                    <w:jc w:val="center"/>
                    <w:rPr>
                      <w:sz w:val="18"/>
                      <w:szCs w:val="18"/>
                    </w:rPr>
                  </w:pPr>
                  <w:r w:rsidRPr="008819AF">
                    <w:rPr>
                      <w:sz w:val="18"/>
                      <w:szCs w:val="18"/>
                    </w:rPr>
                    <w:t>50, 150</w:t>
                  </w:r>
                  <w:r w:rsidRPr="008819AF">
                    <w:rPr>
                      <w:sz w:val="18"/>
                      <w:szCs w:val="18"/>
                      <w:vertAlign w:val="superscript"/>
                    </w:rPr>
                    <w:t>2</w:t>
                  </w:r>
                  <w:r w:rsidRPr="008819AF">
                    <w:rPr>
                      <w:sz w:val="18"/>
                      <w:szCs w:val="18"/>
                    </w:rPr>
                    <w:t>)</w:t>
                  </w:r>
                </w:p>
              </w:tc>
              <w:tc>
                <w:tcPr>
                  <w:tcW w:w="851"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64A" w14:textId="77777777" w:rsidR="00B83CD4" w:rsidRPr="008819AF" w:rsidRDefault="00B83CD4" w:rsidP="00445A6C">
                  <w:pPr>
                    <w:keepNext/>
                    <w:jc w:val="center"/>
                    <w:rPr>
                      <w:sz w:val="18"/>
                      <w:szCs w:val="18"/>
                    </w:rPr>
                  </w:pPr>
                  <w:r w:rsidRPr="008819AF">
                    <w:rPr>
                      <w:sz w:val="18"/>
                      <w:szCs w:val="18"/>
                    </w:rPr>
                    <w:t>10</w:t>
                  </w:r>
                </w:p>
              </w:tc>
              <w:tc>
                <w:tcPr>
                  <w:tcW w:w="917" w:type="dxa"/>
                  <w:tcBorders>
                    <w:top w:val="single" w:sz="4" w:space="0" w:color="auto"/>
                    <w:left w:val="single" w:sz="4" w:space="0" w:color="auto"/>
                    <w:bottom w:val="single" w:sz="4" w:space="0" w:color="auto"/>
                  </w:tcBorders>
                  <w:vAlign w:val="center"/>
                </w:tcPr>
                <w:p w14:paraId="1513464B" w14:textId="77777777" w:rsidR="00B83CD4" w:rsidRPr="008819AF" w:rsidRDefault="00B83CD4" w:rsidP="00445A6C">
                  <w:pPr>
                    <w:keepNext/>
                    <w:jc w:val="center"/>
                    <w:rPr>
                      <w:sz w:val="18"/>
                      <w:szCs w:val="18"/>
                    </w:rPr>
                  </w:pPr>
                  <w:r w:rsidRPr="008819AF">
                    <w:rPr>
                      <w:sz w:val="18"/>
                      <w:szCs w:val="18"/>
                    </w:rPr>
                    <w:t>0,45</w:t>
                  </w:r>
                </w:p>
              </w:tc>
            </w:tr>
            <w:tr w:rsidR="00B83CD4" w:rsidRPr="008819AF" w14:paraId="15134655" w14:textId="77777777" w:rsidTr="008739EB">
              <w:trPr>
                <w:cantSplit/>
                <w:trHeight w:val="70"/>
                <w:jc w:val="center"/>
              </w:trPr>
              <w:tc>
                <w:tcPr>
                  <w:tcW w:w="362" w:type="dxa"/>
                  <w:vMerge/>
                  <w:tcBorders>
                    <w:bottom w:val="single" w:sz="4" w:space="0" w:color="auto"/>
                    <w:right w:val="single" w:sz="4" w:space="0" w:color="auto"/>
                  </w:tcBorders>
                  <w:vAlign w:val="center"/>
                </w:tcPr>
                <w:p w14:paraId="1513464D" w14:textId="77777777" w:rsidR="00B83CD4" w:rsidRPr="008819AF" w:rsidRDefault="00B83CD4" w:rsidP="00445A6C">
                  <w:pPr>
                    <w:keepNext/>
                    <w:spacing w:after="60"/>
                    <w:ind w:right="72"/>
                    <w:jc w:val="both"/>
                    <w:rPr>
                      <w:b/>
                      <w:sz w:val="18"/>
                      <w:szCs w:val="18"/>
                    </w:rPr>
                  </w:pPr>
                </w:p>
              </w:tc>
              <w:tc>
                <w:tcPr>
                  <w:tcW w:w="1065" w:type="dxa"/>
                  <w:vMerge/>
                  <w:tcBorders>
                    <w:bottom w:val="single" w:sz="4" w:space="0" w:color="auto"/>
                    <w:right w:val="single" w:sz="4" w:space="0" w:color="auto"/>
                  </w:tcBorders>
                  <w:vAlign w:val="center"/>
                </w:tcPr>
                <w:p w14:paraId="1513464E" w14:textId="77777777" w:rsidR="00B83CD4" w:rsidRPr="008819AF" w:rsidRDefault="00B83CD4" w:rsidP="00445A6C">
                  <w:pPr>
                    <w:keepNext/>
                    <w:spacing w:after="60"/>
                    <w:ind w:right="72"/>
                    <w:jc w:val="both"/>
                    <w:rPr>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tcPr>
                <w:p w14:paraId="1513464F" w14:textId="77777777" w:rsidR="00B83CD4" w:rsidRPr="008819AF" w:rsidRDefault="00B83CD4" w:rsidP="00445A6C">
                  <w:pPr>
                    <w:keepNext/>
                    <w:jc w:val="center"/>
                    <w:rPr>
                      <w:sz w:val="18"/>
                      <w:szCs w:val="18"/>
                    </w:rPr>
                  </w:pPr>
                  <w:r w:rsidRPr="008819AF">
                    <w:rPr>
                      <w:sz w:val="18"/>
                      <w:szCs w:val="18"/>
                    </w:rPr>
                    <w:t>&gt; 25</w:t>
                  </w:r>
                </w:p>
              </w:tc>
              <w:tc>
                <w:tcPr>
                  <w:tcW w:w="665" w:type="dxa"/>
                  <w:tcBorders>
                    <w:top w:val="single" w:sz="4" w:space="0" w:color="auto"/>
                    <w:left w:val="single" w:sz="4" w:space="0" w:color="auto"/>
                    <w:bottom w:val="single" w:sz="4" w:space="0" w:color="auto"/>
                    <w:right w:val="single" w:sz="4" w:space="0" w:color="auto"/>
                  </w:tcBorders>
                  <w:vAlign w:val="center"/>
                </w:tcPr>
                <w:p w14:paraId="15134650" w14:textId="77777777" w:rsidR="00B83CD4" w:rsidRPr="008819AF" w:rsidRDefault="00B83CD4" w:rsidP="00445A6C">
                  <w:pPr>
                    <w:keepNext/>
                    <w:jc w:val="center"/>
                    <w:rPr>
                      <w:sz w:val="18"/>
                      <w:szCs w:val="18"/>
                    </w:rPr>
                  </w:pPr>
                  <w:r w:rsidRPr="008819AF">
                    <w:rPr>
                      <w:sz w:val="18"/>
                      <w:szCs w:val="18"/>
                    </w:rPr>
                    <w:t>-</w:t>
                  </w:r>
                </w:p>
              </w:tc>
              <w:tc>
                <w:tcPr>
                  <w:tcW w:w="6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51" w14:textId="77777777" w:rsidR="00B83CD4" w:rsidRPr="008819AF" w:rsidRDefault="00B83CD4" w:rsidP="00445A6C">
                  <w:pPr>
                    <w:keepNext/>
                    <w:jc w:val="center"/>
                    <w:rPr>
                      <w:sz w:val="18"/>
                      <w:szCs w:val="18"/>
                    </w:rPr>
                  </w:pPr>
                  <w:r w:rsidRPr="008819AF">
                    <w:rPr>
                      <w:sz w:val="18"/>
                      <w:szCs w:val="18"/>
                    </w:rPr>
                    <w:t>3</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134652" w14:textId="77777777" w:rsidR="00B83CD4" w:rsidRPr="008819AF" w:rsidRDefault="00B83CD4" w:rsidP="00445A6C">
                  <w:pPr>
                    <w:keepNext/>
                    <w:jc w:val="center"/>
                    <w:rPr>
                      <w:sz w:val="18"/>
                      <w:szCs w:val="18"/>
                    </w:rPr>
                  </w:pPr>
                  <w:r w:rsidRPr="008819AF">
                    <w:rPr>
                      <w:sz w:val="18"/>
                      <w:szCs w:val="18"/>
                    </w:rPr>
                    <w:t>50, 150</w:t>
                  </w:r>
                  <w:r w:rsidRPr="008819AF">
                    <w:rPr>
                      <w:sz w:val="18"/>
                      <w:szCs w:val="18"/>
                      <w:vertAlign w:val="superscript"/>
                    </w:rPr>
                    <w:t>2</w:t>
                  </w:r>
                  <w:r w:rsidRPr="008819AF">
                    <w:rPr>
                      <w:sz w:val="18"/>
                      <w:szCs w:val="18"/>
                    </w:rPr>
                    <w:t>)</w:t>
                  </w:r>
                </w:p>
              </w:tc>
              <w:tc>
                <w:tcPr>
                  <w:tcW w:w="851"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15134653" w14:textId="77777777" w:rsidR="00B83CD4" w:rsidRPr="008819AF" w:rsidRDefault="00B83CD4" w:rsidP="00445A6C">
                  <w:pPr>
                    <w:keepNext/>
                    <w:jc w:val="center"/>
                    <w:rPr>
                      <w:sz w:val="18"/>
                      <w:szCs w:val="18"/>
                    </w:rPr>
                  </w:pPr>
                  <w:r w:rsidRPr="008819AF">
                    <w:rPr>
                      <w:sz w:val="18"/>
                      <w:szCs w:val="18"/>
                    </w:rPr>
                    <w:t xml:space="preserve">5, </w:t>
                  </w:r>
                </w:p>
              </w:tc>
              <w:tc>
                <w:tcPr>
                  <w:tcW w:w="917" w:type="dxa"/>
                  <w:tcBorders>
                    <w:top w:val="single" w:sz="4" w:space="0" w:color="auto"/>
                    <w:left w:val="single" w:sz="4" w:space="0" w:color="auto"/>
                    <w:bottom w:val="single" w:sz="4" w:space="0" w:color="auto"/>
                  </w:tcBorders>
                  <w:vAlign w:val="center"/>
                </w:tcPr>
                <w:p w14:paraId="15134654" w14:textId="77777777" w:rsidR="00B83CD4" w:rsidRPr="008819AF" w:rsidRDefault="00B83CD4" w:rsidP="00445A6C">
                  <w:pPr>
                    <w:keepNext/>
                    <w:jc w:val="center"/>
                    <w:rPr>
                      <w:sz w:val="18"/>
                      <w:szCs w:val="18"/>
                    </w:rPr>
                  </w:pPr>
                  <w:r w:rsidRPr="008819AF">
                    <w:rPr>
                      <w:sz w:val="18"/>
                      <w:szCs w:val="18"/>
                    </w:rPr>
                    <w:t>0,3</w:t>
                  </w:r>
                </w:p>
              </w:tc>
            </w:tr>
          </w:tbl>
          <w:p w14:paraId="15134656" w14:textId="77777777" w:rsidR="00B83CD4" w:rsidRPr="008819AF" w:rsidRDefault="00B83CD4" w:rsidP="00B83CD4">
            <w:pPr>
              <w:spacing w:before="60"/>
            </w:pPr>
            <w:r w:rsidRPr="008819AF">
              <w:rPr>
                <w:vertAlign w:val="superscript"/>
              </w:rPr>
              <w:t>1</w:t>
            </w:r>
            <w:r w:rsidRPr="008819AF">
              <w:t>) Emisný limit pre TZL platí iba pre proces striekania.</w:t>
            </w:r>
          </w:p>
          <w:p w14:paraId="15134657" w14:textId="77777777" w:rsidR="004A0AED" w:rsidRPr="008819AF" w:rsidRDefault="00B83CD4" w:rsidP="008739EB">
            <w:pPr>
              <w:ind w:left="284" w:hanging="284"/>
              <w:jc w:val="both"/>
            </w:pPr>
            <w:r w:rsidRPr="008819AF">
              <w:rPr>
                <w:vertAlign w:val="superscript"/>
              </w:rPr>
              <w:t>2</w:t>
            </w:r>
            <w:r w:rsidRPr="008819AF">
              <w:t>) Platí pre zariadenia používajúce technológie na opätovné využitie regenerovaných organických rozpúšťadiel.</w:t>
            </w:r>
          </w:p>
        </w:tc>
        <w:tc>
          <w:tcPr>
            <w:tcW w:w="709" w:type="dxa"/>
            <w:tcBorders>
              <w:top w:val="single" w:sz="4" w:space="0" w:color="000000"/>
              <w:left w:val="single" w:sz="6" w:space="0" w:color="000000"/>
              <w:bottom w:val="single" w:sz="4" w:space="0" w:color="000000"/>
              <w:right w:val="single" w:sz="6" w:space="0" w:color="000000"/>
            </w:tcBorders>
          </w:tcPr>
          <w:p w14:paraId="15134658" w14:textId="77777777" w:rsidR="004A0AED" w:rsidRPr="008819AF" w:rsidRDefault="004A0AED">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659" w14:textId="77777777" w:rsidR="004A0AED" w:rsidRPr="008819AF" w:rsidRDefault="004A0AED">
            <w:pPr>
              <w:ind w:left="215" w:hanging="215"/>
              <w:rPr>
                <w:rFonts w:eastAsia="Arial"/>
              </w:rPr>
            </w:pPr>
          </w:p>
        </w:tc>
      </w:tr>
      <w:tr w:rsidR="008739EB" w:rsidRPr="008819AF" w14:paraId="1513471C"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65B" w14:textId="77777777" w:rsidR="008739EB" w:rsidRPr="008819AF" w:rsidRDefault="008739EB" w:rsidP="008739EB">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8</w:t>
            </w:r>
          </w:p>
        </w:tc>
        <w:tc>
          <w:tcPr>
            <w:tcW w:w="5386" w:type="dxa"/>
            <w:tcBorders>
              <w:top w:val="single" w:sz="4" w:space="0" w:color="000000"/>
              <w:left w:val="single" w:sz="6" w:space="0" w:color="000000"/>
              <w:bottom w:val="single" w:sz="4" w:space="0" w:color="000000"/>
              <w:right w:val="single" w:sz="6" w:space="0" w:color="000000"/>
            </w:tcBorders>
          </w:tcPr>
          <w:p w14:paraId="1513465C" w14:textId="77777777" w:rsidR="008739EB" w:rsidRPr="008819AF" w:rsidRDefault="008739EB" w:rsidP="008739EB">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Ostatné druhy povrchovej úpravy  vrátane kovov, plastov, textílii, tkanív, fólii a papieru </w:t>
            </w:r>
          </w:p>
        </w:tc>
        <w:tc>
          <w:tcPr>
            <w:tcW w:w="881" w:type="dxa"/>
            <w:tcBorders>
              <w:top w:val="single" w:sz="4" w:space="0" w:color="000000"/>
              <w:left w:val="single" w:sz="6" w:space="0" w:color="000000"/>
              <w:bottom w:val="single" w:sz="4" w:space="0" w:color="000000"/>
              <w:right w:val="single" w:sz="6" w:space="0" w:color="000000"/>
            </w:tcBorders>
          </w:tcPr>
          <w:p w14:paraId="1513465D" w14:textId="77777777" w:rsidR="008739EB" w:rsidRPr="008819AF" w:rsidRDefault="008739EB" w:rsidP="008739EB">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65E" w14:textId="77777777" w:rsidR="008739EB" w:rsidRPr="008819AF" w:rsidRDefault="008739EB" w:rsidP="008739EB">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65F" w14:textId="77777777" w:rsidR="008739EB" w:rsidRPr="008819AF" w:rsidRDefault="008739EB" w:rsidP="008739EB">
            <w:r w:rsidRPr="008819AF">
              <w:t>Pr.6</w:t>
            </w:r>
          </w:p>
          <w:p w14:paraId="15134660" w14:textId="77777777" w:rsidR="008739EB" w:rsidRPr="008819AF" w:rsidRDefault="008739EB" w:rsidP="008739EB">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661" w14:textId="77777777" w:rsidR="008739EB" w:rsidRPr="008819AF" w:rsidRDefault="008739EB" w:rsidP="008739EB">
            <w:pPr>
              <w:jc w:val="both"/>
              <w:rPr>
                <w:b/>
              </w:rPr>
            </w:pPr>
            <w:r w:rsidRPr="008819AF">
              <w:rPr>
                <w:b/>
              </w:rPr>
              <w:t>4.   NANÁŠANIE NÁTEROV (IV)</w:t>
            </w:r>
          </w:p>
          <w:p w14:paraId="15134662" w14:textId="77777777" w:rsidR="008739EB" w:rsidRPr="008819AF" w:rsidRDefault="008739EB" w:rsidP="008739EB">
            <w:pPr>
              <w:pStyle w:val="Zkladntext2"/>
              <w:rPr>
                <w:rFonts w:ascii="Times New Roman" w:hAnsi="Times New Roman" w:cs="Times New Roman"/>
                <w:b/>
                <w:sz w:val="20"/>
                <w:szCs w:val="20"/>
              </w:rPr>
            </w:pPr>
            <w:r w:rsidRPr="008819AF">
              <w:rPr>
                <w:rFonts w:ascii="Times New Roman" w:hAnsi="Times New Roman" w:cs="Times New Roman"/>
                <w:b/>
                <w:sz w:val="20"/>
                <w:szCs w:val="20"/>
              </w:rPr>
              <w:t>4.2 Prahové spotreby rozpúšťadiel a emisné limity pre procesy nanášania na určité povrchy</w:t>
            </w:r>
          </w:p>
          <w:p w14:paraId="15134663" w14:textId="77777777" w:rsidR="008739EB" w:rsidRPr="008819AF" w:rsidRDefault="008739EB" w:rsidP="008739EB">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747"/>
              <w:gridCol w:w="464"/>
              <w:gridCol w:w="464"/>
              <w:gridCol w:w="464"/>
              <w:gridCol w:w="699"/>
              <w:gridCol w:w="699"/>
              <w:gridCol w:w="699"/>
              <w:gridCol w:w="1203"/>
            </w:tblGrid>
            <w:tr w:rsidR="008739EB" w:rsidRPr="008819AF" w14:paraId="15134666" w14:textId="77777777" w:rsidTr="00445A6C">
              <w:trPr>
                <w:trHeight w:val="141"/>
                <w:jc w:val="center"/>
              </w:trPr>
              <w:tc>
                <w:tcPr>
                  <w:tcW w:w="1701" w:type="dxa"/>
                  <w:gridSpan w:val="2"/>
                  <w:vMerge w:val="restart"/>
                  <w:tcBorders>
                    <w:top w:val="single" w:sz="2" w:space="0" w:color="auto"/>
                    <w:left w:val="single" w:sz="2" w:space="0" w:color="auto"/>
                    <w:bottom w:val="single" w:sz="2" w:space="0" w:color="auto"/>
                    <w:right w:val="single" w:sz="2" w:space="0" w:color="auto"/>
                  </w:tcBorders>
                  <w:vAlign w:val="center"/>
                </w:tcPr>
                <w:p w14:paraId="15134664" w14:textId="77777777" w:rsidR="008739EB" w:rsidRPr="008819AF" w:rsidRDefault="008739EB" w:rsidP="008739EB">
                  <w:pPr>
                    <w:pStyle w:val="Normln"/>
                    <w:keepNext/>
                    <w:rPr>
                      <w:b/>
                      <w:sz w:val="18"/>
                      <w:szCs w:val="18"/>
                      <w:lang w:val="sk-SK"/>
                    </w:rPr>
                  </w:pPr>
                  <w:r w:rsidRPr="008819AF">
                    <w:rPr>
                      <w:b/>
                      <w:sz w:val="18"/>
                      <w:szCs w:val="18"/>
                      <w:lang w:val="sk-SK"/>
                    </w:rPr>
                    <w:t xml:space="preserve">Podmienky </w:t>
                  </w:r>
                  <w:r w:rsidRPr="008819AF">
                    <w:rPr>
                      <w:b/>
                      <w:sz w:val="18"/>
                      <w:szCs w:val="18"/>
                      <w:lang w:val="sk-SK"/>
                    </w:rPr>
                    <w:lastRenderedPageBreak/>
                    <w:t>platnosti EL</w:t>
                  </w: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15134665" w14:textId="77777777" w:rsidR="008739EB" w:rsidRPr="008819AF" w:rsidRDefault="008739EB" w:rsidP="008739EB">
                  <w:pPr>
                    <w:pStyle w:val="Zkladntext2"/>
                    <w:ind w:left="-93" w:firstLine="0"/>
                    <w:rPr>
                      <w:rFonts w:ascii="Times New Roman" w:hAnsi="Times New Roman" w:cs="Times New Roman"/>
                      <w:b/>
                      <w:sz w:val="18"/>
                      <w:szCs w:val="18"/>
                    </w:rPr>
                  </w:pPr>
                  <w:r w:rsidRPr="008819AF">
                    <w:rPr>
                      <w:rFonts w:ascii="Times New Roman" w:hAnsi="Times New Roman" w:cs="Times New Roman"/>
                      <w:sz w:val="18"/>
                      <w:szCs w:val="18"/>
                    </w:rPr>
                    <w:lastRenderedPageBreak/>
                    <w:t>Štandardné stavové podmienky, vlhký plyn</w:t>
                  </w:r>
                </w:p>
              </w:tc>
            </w:tr>
            <w:tr w:rsidR="008739EB" w:rsidRPr="008819AF" w14:paraId="15134669" w14:textId="77777777" w:rsidTr="00445A6C">
              <w:trPr>
                <w:trHeight w:val="756"/>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15134667" w14:textId="77777777" w:rsidR="008739EB" w:rsidRPr="008819AF" w:rsidRDefault="008739EB" w:rsidP="008739EB">
                  <w:pPr>
                    <w:rPr>
                      <w:b/>
                      <w:sz w:val="18"/>
                      <w:szCs w:val="18"/>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15134668" w14:textId="77777777" w:rsidR="008739EB" w:rsidRPr="008819AF" w:rsidRDefault="008739EB" w:rsidP="008739EB">
                  <w:pPr>
                    <w:pStyle w:val="Zkladntext2"/>
                    <w:ind w:left="-93" w:firstLine="0"/>
                    <w:rPr>
                      <w:rFonts w:ascii="Times New Roman" w:hAnsi="Times New Roman" w:cs="Times New Roman"/>
                      <w:sz w:val="18"/>
                      <w:szCs w:val="18"/>
                    </w:rPr>
                  </w:pPr>
                  <w:r w:rsidRPr="008819AF">
                    <w:rPr>
                      <w:rFonts w:ascii="Times New Roman" w:hAnsi="Times New Roman" w:cs="Times New Roman"/>
                      <w:sz w:val="18"/>
                      <w:szCs w:val="18"/>
                    </w:rPr>
                    <w:t>Pre nanášanie náterových látok, ktoré nemožno vykonávať za riadených podmienok, ako napr. pri stavbe a údržbe lodí alebo lietadiel možno uplatniť § 27 ods. 7.</w:t>
                  </w:r>
                </w:p>
              </w:tc>
            </w:tr>
            <w:tr w:rsidR="008739EB" w:rsidRPr="008819AF" w14:paraId="1513466C" w14:textId="77777777" w:rsidTr="00445A6C">
              <w:trPr>
                <w:trHeight w:val="138"/>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1513466A" w14:textId="77777777" w:rsidR="008739EB" w:rsidRPr="008819AF" w:rsidRDefault="008739EB" w:rsidP="008739EB">
                  <w:pPr>
                    <w:rPr>
                      <w:b/>
                      <w:sz w:val="18"/>
                      <w:szCs w:val="18"/>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1513466B" w14:textId="77777777" w:rsidR="008739EB" w:rsidRPr="008819AF" w:rsidRDefault="008739EB" w:rsidP="008739EB">
                  <w:pPr>
                    <w:pStyle w:val="Zkladntext2"/>
                    <w:ind w:left="-93" w:firstLine="0"/>
                    <w:rPr>
                      <w:rFonts w:ascii="Times New Roman" w:hAnsi="Times New Roman" w:cs="Times New Roman"/>
                      <w:sz w:val="18"/>
                      <w:szCs w:val="18"/>
                    </w:rPr>
                  </w:pPr>
                  <w:r w:rsidRPr="008819AF">
                    <w:rPr>
                      <w:rFonts w:ascii="Times New Roman" w:hAnsi="Times New Roman" w:cs="Times New Roman"/>
                      <w:sz w:val="18"/>
                      <w:szCs w:val="18"/>
                    </w:rPr>
                    <w:t>Pre rotačnú sieťotlač na potlač textilu sa uplatňujú emisné limity pre polygrafiu ustanovené v prvom bode.</w:t>
                  </w:r>
                </w:p>
              </w:tc>
            </w:tr>
            <w:tr w:rsidR="008739EB" w:rsidRPr="008819AF" w14:paraId="15134672" w14:textId="77777777" w:rsidTr="00445A6C">
              <w:trPr>
                <w:trHeight w:hRule="exac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6D"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Činnosť</w:t>
                  </w:r>
                </w:p>
                <w:p w14:paraId="1513466E"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Nanášanie náterov na povrchy</w:t>
                  </w:r>
                </w:p>
              </w:tc>
              <w:tc>
                <w:tcPr>
                  <w:tcW w:w="2127" w:type="dxa"/>
                  <w:gridSpan w:val="3"/>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6F"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Prahová spotreba rozpúšťadla </w:t>
                  </w:r>
                  <w:r w:rsidRPr="008819AF">
                    <w:rPr>
                      <w:rFonts w:ascii="Times New Roman" w:hAnsi="Times New Roman" w:cs="Times New Roman"/>
                      <w:sz w:val="18"/>
                      <w:szCs w:val="18"/>
                    </w:rPr>
                    <w:sym w:font="Symbol" w:char="F05B"/>
                  </w:r>
                  <w:r w:rsidRPr="008819AF">
                    <w:rPr>
                      <w:rFonts w:ascii="Times New Roman" w:hAnsi="Times New Roman" w:cs="Times New Roman"/>
                      <w:sz w:val="18"/>
                      <w:szCs w:val="18"/>
                    </w:rPr>
                    <w:t>t/rok</w:t>
                  </w:r>
                  <w:r w:rsidRPr="008819AF">
                    <w:rPr>
                      <w:rFonts w:ascii="Times New Roman" w:hAnsi="Times New Roman" w:cs="Times New Roman"/>
                      <w:sz w:val="18"/>
                      <w:szCs w:val="18"/>
                    </w:rPr>
                    <w:sym w:font="Symbol" w:char="F05D"/>
                  </w:r>
                </w:p>
              </w:tc>
              <w:tc>
                <w:tcPr>
                  <w:tcW w:w="340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70"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Emisný limit  </w:t>
                  </w:r>
                </w:p>
              </w:tc>
              <w:tc>
                <w:tcPr>
                  <w:tcW w:w="1984" w:type="dxa"/>
                  <w:vMerge w:val="restart"/>
                  <w:tcBorders>
                    <w:top w:val="single" w:sz="2" w:space="0" w:color="auto"/>
                    <w:left w:val="single" w:sz="2" w:space="0" w:color="auto"/>
                    <w:bottom w:val="single" w:sz="2" w:space="0" w:color="auto"/>
                    <w:right w:val="single" w:sz="2" w:space="0" w:color="auto"/>
                  </w:tcBorders>
                  <w:vAlign w:val="center"/>
                </w:tcPr>
                <w:p w14:paraId="15134671"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Emisný faktor pre RP</w:t>
                  </w:r>
                </w:p>
              </w:tc>
            </w:tr>
            <w:tr w:rsidR="008739EB" w:rsidRPr="008819AF" w14:paraId="15134678" w14:textId="77777777" w:rsidTr="00445A6C">
              <w:trPr>
                <w:trHeight w:val="452"/>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15134673" w14:textId="77777777" w:rsidR="008739EB" w:rsidRPr="008819AF" w:rsidRDefault="008739EB" w:rsidP="008739EB">
                  <w:pPr>
                    <w:rPr>
                      <w:b/>
                      <w:sz w:val="18"/>
                      <w:szCs w:val="18"/>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15134674" w14:textId="77777777" w:rsidR="008739EB" w:rsidRPr="008819AF" w:rsidRDefault="008739EB" w:rsidP="008739EB">
                  <w:pPr>
                    <w:rPr>
                      <w:sz w:val="18"/>
                      <w:szCs w:val="18"/>
                    </w:rPr>
                  </w:pPr>
                </w:p>
              </w:tc>
              <w:tc>
                <w:tcPr>
                  <w:tcW w:w="2268"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75"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Odpadové plyny </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76"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Fugitív.  emisie</w:t>
                  </w:r>
                </w:p>
              </w:tc>
              <w:tc>
                <w:tcPr>
                  <w:tcW w:w="1984" w:type="dxa"/>
                  <w:vMerge/>
                  <w:tcBorders>
                    <w:top w:val="single" w:sz="2" w:space="0" w:color="auto"/>
                    <w:left w:val="single" w:sz="2" w:space="0" w:color="auto"/>
                    <w:bottom w:val="single" w:sz="2" w:space="0" w:color="auto"/>
                    <w:right w:val="single" w:sz="2" w:space="0" w:color="auto"/>
                  </w:tcBorders>
                  <w:vAlign w:val="center"/>
                </w:tcPr>
                <w:p w14:paraId="15134677" w14:textId="77777777" w:rsidR="008739EB" w:rsidRPr="008819AF" w:rsidRDefault="008739EB" w:rsidP="008739EB">
                  <w:pPr>
                    <w:pStyle w:val="Zkladntext2"/>
                    <w:ind w:left="-93" w:firstLine="0"/>
                    <w:jc w:val="center"/>
                    <w:rPr>
                      <w:rFonts w:ascii="Times New Roman" w:hAnsi="Times New Roman" w:cs="Times New Roman"/>
                      <w:b/>
                      <w:sz w:val="18"/>
                      <w:szCs w:val="18"/>
                    </w:rPr>
                  </w:pPr>
                </w:p>
              </w:tc>
            </w:tr>
            <w:tr w:rsidR="008739EB" w:rsidRPr="008819AF" w14:paraId="15134682" w14:textId="77777777" w:rsidTr="00445A6C">
              <w:trPr>
                <w:trHeight w:val="331"/>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15134679" w14:textId="77777777" w:rsidR="008739EB" w:rsidRPr="008819AF" w:rsidRDefault="008739EB" w:rsidP="008739EB">
                  <w:pPr>
                    <w:rPr>
                      <w:b/>
                      <w:sz w:val="18"/>
                      <w:szCs w:val="18"/>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1513467A" w14:textId="77777777" w:rsidR="008739EB" w:rsidRPr="008819AF" w:rsidRDefault="008739EB" w:rsidP="008739EB">
                  <w:pPr>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7B"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TZL</w:t>
                  </w:r>
                  <w:r w:rsidRPr="008819AF">
                    <w:rPr>
                      <w:rFonts w:ascii="Times New Roman" w:hAnsi="Times New Roman" w:cs="Times New Roman"/>
                      <w:b/>
                      <w:sz w:val="18"/>
                      <w:szCs w:val="18"/>
                      <w:vertAlign w:val="superscript"/>
                    </w:rPr>
                    <w:t>1</w:t>
                  </w:r>
                  <w:r w:rsidRPr="008819AF">
                    <w:rPr>
                      <w:rFonts w:ascii="Times New Roman" w:hAnsi="Times New Roman" w:cs="Times New Roman"/>
                      <w:b/>
                      <w:sz w:val="18"/>
                      <w:szCs w:val="18"/>
                    </w:rPr>
                    <w:t>)</w:t>
                  </w:r>
                </w:p>
                <w:p w14:paraId="1513467C"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mg/m3</w:t>
                  </w:r>
                  <w:r w:rsidRPr="008819AF">
                    <w:rPr>
                      <w:rFonts w:ascii="Times New Roman" w:hAnsi="Times New Roman" w:cs="Times New Roman"/>
                      <w:b/>
                      <w:sz w:val="18"/>
                      <w:szCs w:val="18"/>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7D" w14:textId="77777777" w:rsidR="008739EB" w:rsidRPr="008819AF" w:rsidRDefault="008739EB" w:rsidP="008739EB">
                  <w:pPr>
                    <w:pStyle w:val="Zkladntext2"/>
                    <w:ind w:left="-93" w:right="-70"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TOC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mg/m3</w:t>
                  </w:r>
                  <w:r w:rsidRPr="008819AF">
                    <w:rPr>
                      <w:rFonts w:ascii="Times New Roman" w:hAnsi="Times New Roman" w:cs="Times New Roman"/>
                      <w:b/>
                      <w:sz w:val="18"/>
                      <w:szCs w:val="18"/>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7E"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p>
                <w:p w14:paraId="1513467F"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c>
                <w:tcPr>
                  <w:tcW w:w="1984" w:type="dxa"/>
                  <w:tcBorders>
                    <w:top w:val="single" w:sz="2" w:space="0" w:color="auto"/>
                    <w:left w:val="single" w:sz="2" w:space="0" w:color="auto"/>
                    <w:bottom w:val="single" w:sz="2" w:space="0" w:color="auto"/>
                    <w:right w:val="single" w:sz="2" w:space="0" w:color="auto"/>
                  </w:tcBorders>
                  <w:vAlign w:val="center"/>
                </w:tcPr>
                <w:p w14:paraId="15134680"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VOC</w:t>
                  </w:r>
                </w:p>
                <w:p w14:paraId="15134681"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kg/kg sušiny</w:t>
                  </w:r>
                  <w:r w:rsidRPr="008819AF">
                    <w:rPr>
                      <w:rFonts w:ascii="Times New Roman" w:hAnsi="Times New Roman" w:cs="Times New Roman"/>
                      <w:b/>
                      <w:sz w:val="18"/>
                      <w:szCs w:val="18"/>
                    </w:rPr>
                    <w:sym w:font="Symbol" w:char="F05D"/>
                  </w:r>
                </w:p>
              </w:tc>
            </w:tr>
            <w:tr w:rsidR="008739EB" w:rsidRPr="008819AF" w14:paraId="1513468C" w14:textId="77777777" w:rsidTr="00445A6C">
              <w:trPr>
                <w:trHeight w:val="283"/>
                <w:jc w:val="center"/>
              </w:trPr>
              <w:tc>
                <w:tcPr>
                  <w:tcW w:w="540"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15134683" w14:textId="77777777" w:rsidR="008739EB" w:rsidRPr="008819AF" w:rsidRDefault="008739EB" w:rsidP="008739EB">
                  <w:pPr>
                    <w:pStyle w:val="Zkladntext2"/>
                    <w:ind w:right="-70"/>
                    <w:rPr>
                      <w:rFonts w:ascii="Times New Roman" w:hAnsi="Times New Roman" w:cs="Times New Roman"/>
                      <w:b/>
                      <w:sz w:val="18"/>
                      <w:szCs w:val="18"/>
                    </w:rPr>
                  </w:pPr>
                  <w:r w:rsidRPr="008819AF">
                    <w:rPr>
                      <w:rFonts w:ascii="Times New Roman" w:hAnsi="Times New Roman" w:cs="Times New Roman"/>
                      <w:b/>
                      <w:sz w:val="18"/>
                      <w:szCs w:val="18"/>
                    </w:rPr>
                    <w:t>IVa</w:t>
                  </w:r>
                </w:p>
              </w:tc>
              <w:tc>
                <w:tcPr>
                  <w:tcW w:w="1161"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15134684"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kovov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85"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86"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87"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88"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89"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100 </w:t>
                  </w:r>
                  <w:r w:rsidRPr="008819AF">
                    <w:rPr>
                      <w:rFonts w:ascii="Times New Roman" w:hAnsi="Times New Roman" w:cs="Times New Roman"/>
                      <w:sz w:val="18"/>
                      <w:szCs w:val="18"/>
                      <w:vertAlign w:val="superscript"/>
                    </w:rPr>
                    <w:t>2</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8A"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1513468B"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0,6 </w:t>
                  </w:r>
                </w:p>
              </w:tc>
            </w:tr>
            <w:tr w:rsidR="008739EB" w:rsidRPr="008819AF" w14:paraId="15134696" w14:textId="77777777" w:rsidTr="00445A6C">
              <w:trPr>
                <w:trHeight w:val="283"/>
                <w:jc w:val="center"/>
              </w:trPr>
              <w:tc>
                <w:tcPr>
                  <w:tcW w:w="540" w:type="dxa"/>
                  <w:vMerge/>
                  <w:tcBorders>
                    <w:left w:val="single" w:sz="2" w:space="0" w:color="auto"/>
                    <w:right w:val="single" w:sz="2" w:space="0" w:color="auto"/>
                  </w:tcBorders>
                  <w:vAlign w:val="center"/>
                </w:tcPr>
                <w:p w14:paraId="1513468D" w14:textId="77777777" w:rsidR="008739EB" w:rsidRPr="008819AF" w:rsidRDefault="008739EB" w:rsidP="008739EB">
                  <w:pPr>
                    <w:jc w:val="center"/>
                    <w:rPr>
                      <w:sz w:val="18"/>
                      <w:szCs w:val="18"/>
                    </w:rPr>
                  </w:pPr>
                </w:p>
              </w:tc>
              <w:tc>
                <w:tcPr>
                  <w:tcW w:w="1161" w:type="dxa"/>
                  <w:vMerge/>
                  <w:tcBorders>
                    <w:left w:val="single" w:sz="2" w:space="0" w:color="auto"/>
                    <w:right w:val="single" w:sz="2" w:space="0" w:color="auto"/>
                  </w:tcBorders>
                  <w:vAlign w:val="center"/>
                </w:tcPr>
                <w:p w14:paraId="1513468E"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8F"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90"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91"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92"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93"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94"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695"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0,375,  0,5825</w:t>
                  </w:r>
                  <w:r w:rsidRPr="008819AF">
                    <w:rPr>
                      <w:rFonts w:ascii="Times New Roman" w:hAnsi="Times New Roman" w:cs="Times New Roman"/>
                      <w:sz w:val="18"/>
                      <w:szCs w:val="18"/>
                      <w:vertAlign w:val="superscript"/>
                    </w:rPr>
                    <w:t>4</w:t>
                  </w:r>
                  <w:r w:rsidRPr="008819AF">
                    <w:rPr>
                      <w:rFonts w:ascii="Times New Roman" w:hAnsi="Times New Roman" w:cs="Times New Roman"/>
                      <w:sz w:val="18"/>
                      <w:szCs w:val="18"/>
                    </w:rPr>
                    <w:t>)</w:t>
                  </w:r>
                </w:p>
              </w:tc>
            </w:tr>
            <w:tr w:rsidR="008739EB" w:rsidRPr="008819AF" w14:paraId="151346A0" w14:textId="77777777" w:rsidTr="00445A6C">
              <w:trPr>
                <w:trHeight w:val="283"/>
                <w:jc w:val="center"/>
              </w:trPr>
              <w:tc>
                <w:tcPr>
                  <w:tcW w:w="540" w:type="dxa"/>
                  <w:vMerge/>
                  <w:tcBorders>
                    <w:left w:val="single" w:sz="2" w:space="0" w:color="auto"/>
                    <w:right w:val="single" w:sz="2" w:space="0" w:color="auto"/>
                  </w:tcBorders>
                  <w:vAlign w:val="center"/>
                </w:tcPr>
                <w:p w14:paraId="15134697" w14:textId="77777777" w:rsidR="008739EB" w:rsidRPr="008819AF" w:rsidRDefault="008739EB" w:rsidP="008739EB">
                  <w:pPr>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15134698"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99"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9A"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9B"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9C"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9D"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9E"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69F"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0,33,  0,5825</w:t>
                  </w:r>
                  <w:r w:rsidRPr="008819AF">
                    <w:rPr>
                      <w:rFonts w:ascii="Times New Roman" w:hAnsi="Times New Roman" w:cs="Times New Roman"/>
                      <w:sz w:val="18"/>
                      <w:szCs w:val="18"/>
                      <w:vertAlign w:val="superscript"/>
                    </w:rPr>
                    <w:t>4</w:t>
                  </w:r>
                  <w:r w:rsidRPr="008819AF">
                    <w:rPr>
                      <w:rFonts w:ascii="Times New Roman" w:hAnsi="Times New Roman" w:cs="Times New Roman"/>
                      <w:sz w:val="18"/>
                      <w:szCs w:val="18"/>
                    </w:rPr>
                    <w:t>)</w:t>
                  </w:r>
                </w:p>
              </w:tc>
            </w:tr>
            <w:tr w:rsidR="008739EB" w:rsidRPr="008819AF" w14:paraId="151346AA" w14:textId="77777777" w:rsidTr="00445A6C">
              <w:trPr>
                <w:trHeight w:val="283"/>
                <w:jc w:val="center"/>
              </w:trPr>
              <w:tc>
                <w:tcPr>
                  <w:tcW w:w="540" w:type="dxa"/>
                  <w:vMerge/>
                  <w:tcBorders>
                    <w:left w:val="single" w:sz="2" w:space="0" w:color="auto"/>
                    <w:right w:val="single" w:sz="2" w:space="0" w:color="auto"/>
                  </w:tcBorders>
                  <w:vAlign w:val="center"/>
                </w:tcPr>
                <w:p w14:paraId="151346A1" w14:textId="77777777" w:rsidR="008739EB" w:rsidRPr="008819AF" w:rsidRDefault="008739EB" w:rsidP="008739EB">
                  <w:pPr>
                    <w:jc w:val="center"/>
                    <w:rPr>
                      <w:sz w:val="18"/>
                      <w:szCs w:val="18"/>
                    </w:rPr>
                  </w:pPr>
                </w:p>
              </w:tc>
              <w:tc>
                <w:tcPr>
                  <w:tcW w:w="1161" w:type="dxa"/>
                  <w:vMerge w:val="restart"/>
                  <w:tcBorders>
                    <w:top w:val="single" w:sz="2" w:space="0" w:color="auto"/>
                    <w:left w:val="single" w:sz="2" w:space="0" w:color="auto"/>
                    <w:right w:val="single" w:sz="2" w:space="0" w:color="auto"/>
                  </w:tcBorders>
                  <w:vAlign w:val="center"/>
                </w:tcPr>
                <w:p w14:paraId="151346A2"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plastov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A3" w14:textId="77777777" w:rsidR="008739EB" w:rsidRPr="008819AF" w:rsidRDefault="008739EB" w:rsidP="008739EB">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A4" w14:textId="77777777" w:rsidR="008739EB" w:rsidRPr="008819AF" w:rsidRDefault="008739EB" w:rsidP="008739EB">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A5" w14:textId="77777777" w:rsidR="008739EB" w:rsidRPr="008819AF" w:rsidRDefault="008739EB" w:rsidP="008739EB">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A6" w14:textId="77777777" w:rsidR="008739EB" w:rsidRPr="008819AF" w:rsidRDefault="008739EB" w:rsidP="008739EB">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A7" w14:textId="77777777" w:rsidR="008739EB" w:rsidRPr="008819AF" w:rsidRDefault="008739EB" w:rsidP="008739EB">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 xml:space="preserve">100 </w:t>
                  </w:r>
                  <w:r w:rsidRPr="008819AF">
                    <w:rPr>
                      <w:rFonts w:ascii="Times New Roman" w:hAnsi="Times New Roman" w:cs="Times New Roman"/>
                      <w:sz w:val="18"/>
                      <w:szCs w:val="18"/>
                      <w:vertAlign w:val="superscript"/>
                    </w:rPr>
                    <w:t>2</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A8" w14:textId="77777777" w:rsidR="008739EB" w:rsidRPr="008819AF" w:rsidRDefault="008739EB" w:rsidP="008739EB">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151346A9" w14:textId="77777777" w:rsidR="008739EB" w:rsidRPr="008819AF" w:rsidRDefault="008739EB" w:rsidP="008739EB">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 xml:space="preserve">0,6 </w:t>
                  </w:r>
                </w:p>
              </w:tc>
            </w:tr>
            <w:tr w:rsidR="008739EB" w:rsidRPr="008819AF" w14:paraId="151346B5" w14:textId="77777777" w:rsidTr="00445A6C">
              <w:trPr>
                <w:trHeight w:val="283"/>
                <w:jc w:val="center"/>
              </w:trPr>
              <w:tc>
                <w:tcPr>
                  <w:tcW w:w="540" w:type="dxa"/>
                  <w:vMerge/>
                  <w:tcBorders>
                    <w:left w:val="single" w:sz="2" w:space="0" w:color="auto"/>
                    <w:right w:val="single" w:sz="2" w:space="0" w:color="auto"/>
                  </w:tcBorders>
                  <w:vAlign w:val="center"/>
                </w:tcPr>
                <w:p w14:paraId="151346AB" w14:textId="77777777" w:rsidR="008739EB" w:rsidRPr="008819AF" w:rsidRDefault="008739EB" w:rsidP="008739EB">
                  <w:pPr>
                    <w:jc w:val="center"/>
                    <w:rPr>
                      <w:sz w:val="18"/>
                      <w:szCs w:val="18"/>
                    </w:rPr>
                  </w:pPr>
                </w:p>
              </w:tc>
              <w:tc>
                <w:tcPr>
                  <w:tcW w:w="1161" w:type="dxa"/>
                  <w:vMerge/>
                  <w:tcBorders>
                    <w:left w:val="single" w:sz="2" w:space="0" w:color="auto"/>
                    <w:right w:val="single" w:sz="2" w:space="0" w:color="auto"/>
                  </w:tcBorders>
                  <w:vAlign w:val="center"/>
                </w:tcPr>
                <w:p w14:paraId="151346AC"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AD"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AE"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AF"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B0"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B1"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p w14:paraId="151346B2"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B3"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6B4"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0,375</w:t>
                  </w:r>
                </w:p>
              </w:tc>
            </w:tr>
            <w:tr w:rsidR="008739EB" w:rsidRPr="008819AF" w14:paraId="151346BF" w14:textId="77777777" w:rsidTr="00445A6C">
              <w:trPr>
                <w:trHeight w:val="283"/>
                <w:jc w:val="center"/>
              </w:trPr>
              <w:tc>
                <w:tcPr>
                  <w:tcW w:w="540" w:type="dxa"/>
                  <w:vMerge/>
                  <w:tcBorders>
                    <w:left w:val="single" w:sz="2" w:space="0" w:color="auto"/>
                    <w:right w:val="single" w:sz="2" w:space="0" w:color="auto"/>
                  </w:tcBorders>
                  <w:vAlign w:val="center"/>
                </w:tcPr>
                <w:p w14:paraId="151346B6" w14:textId="77777777" w:rsidR="008739EB" w:rsidRPr="008819AF" w:rsidRDefault="008739EB" w:rsidP="008739EB">
                  <w:pPr>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151346B7"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B8"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B9"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BA"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BB"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BC"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BD"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6BE"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0,35</w:t>
                  </w:r>
                </w:p>
              </w:tc>
            </w:tr>
            <w:tr w:rsidR="008739EB" w:rsidRPr="008819AF" w14:paraId="151346C9" w14:textId="77777777" w:rsidTr="00445A6C">
              <w:trPr>
                <w:trHeight w:val="283"/>
                <w:jc w:val="center"/>
              </w:trPr>
              <w:tc>
                <w:tcPr>
                  <w:tcW w:w="540" w:type="dxa"/>
                  <w:vMerge/>
                  <w:tcBorders>
                    <w:left w:val="single" w:sz="2" w:space="0" w:color="auto"/>
                    <w:right w:val="single" w:sz="2" w:space="0" w:color="auto"/>
                  </w:tcBorders>
                  <w:vAlign w:val="center"/>
                </w:tcPr>
                <w:p w14:paraId="151346C0" w14:textId="77777777" w:rsidR="008739EB" w:rsidRPr="008819AF" w:rsidRDefault="008739EB" w:rsidP="008739EB">
                  <w:pPr>
                    <w:jc w:val="center"/>
                    <w:rPr>
                      <w:sz w:val="18"/>
                      <w:szCs w:val="18"/>
                    </w:rPr>
                  </w:pPr>
                </w:p>
              </w:tc>
              <w:tc>
                <w:tcPr>
                  <w:tcW w:w="1161" w:type="dxa"/>
                  <w:vMerge w:val="restart"/>
                  <w:tcBorders>
                    <w:top w:val="single" w:sz="2" w:space="0" w:color="auto"/>
                    <w:left w:val="single" w:sz="2" w:space="0" w:color="auto"/>
                    <w:right w:val="single" w:sz="2" w:space="0" w:color="auto"/>
                  </w:tcBorders>
                  <w:vAlign w:val="center"/>
                </w:tcPr>
                <w:p w14:paraId="151346C1"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textílií, tkanín, fólií, papiera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C2"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C3"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C4"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C5"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C6"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100 </w:t>
                  </w:r>
                  <w:r w:rsidRPr="008819AF">
                    <w:rPr>
                      <w:rFonts w:ascii="Times New Roman" w:hAnsi="Times New Roman" w:cs="Times New Roman"/>
                      <w:sz w:val="18"/>
                      <w:szCs w:val="18"/>
                      <w:vertAlign w:val="superscript"/>
                    </w:rPr>
                    <w:t>2</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C7"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151346C8"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 xml:space="preserve">1,6 </w:t>
                  </w:r>
                </w:p>
              </w:tc>
            </w:tr>
            <w:tr w:rsidR="008739EB" w:rsidRPr="008819AF" w14:paraId="151346D4" w14:textId="77777777" w:rsidTr="00445A6C">
              <w:trPr>
                <w:trHeight w:val="283"/>
                <w:jc w:val="center"/>
              </w:trPr>
              <w:tc>
                <w:tcPr>
                  <w:tcW w:w="540" w:type="dxa"/>
                  <w:vMerge/>
                  <w:tcBorders>
                    <w:left w:val="single" w:sz="2" w:space="0" w:color="auto"/>
                    <w:bottom w:val="single" w:sz="2" w:space="0" w:color="auto"/>
                    <w:right w:val="single" w:sz="2" w:space="0" w:color="auto"/>
                  </w:tcBorders>
                  <w:vAlign w:val="center"/>
                </w:tcPr>
                <w:p w14:paraId="151346CA" w14:textId="77777777" w:rsidR="008739EB" w:rsidRPr="008819AF" w:rsidRDefault="008739EB" w:rsidP="008739EB">
                  <w:pPr>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151346CB" w14:textId="77777777" w:rsidR="008739EB" w:rsidRPr="008819AF" w:rsidRDefault="008739EB" w:rsidP="008739EB">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CC"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CD"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CE"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CF"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D0"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p w14:paraId="151346D1"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150</w:t>
                  </w:r>
                  <w:r w:rsidRPr="008819AF">
                    <w:rPr>
                      <w:rFonts w:ascii="Times New Roman" w:hAnsi="Times New Roman" w:cs="Times New Roman"/>
                      <w:sz w:val="18"/>
                      <w:szCs w:val="18"/>
                      <w:vertAlign w:val="superscript"/>
                    </w:rPr>
                    <w:t>5</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D2"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6D3"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w:t>
                  </w:r>
                </w:p>
              </w:tc>
            </w:tr>
            <w:tr w:rsidR="008739EB" w:rsidRPr="008819AF" w14:paraId="151346DE" w14:textId="77777777" w:rsidTr="00445A6C">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D5" w14:textId="77777777" w:rsidR="008739EB" w:rsidRPr="008819AF" w:rsidRDefault="008739EB" w:rsidP="008739EB">
                  <w:pPr>
                    <w:pStyle w:val="Zkladntext2"/>
                    <w:ind w:right="-97"/>
                    <w:rPr>
                      <w:rFonts w:ascii="Times New Roman" w:hAnsi="Times New Roman" w:cs="Times New Roman"/>
                      <w:sz w:val="18"/>
                      <w:szCs w:val="18"/>
                    </w:rPr>
                  </w:pPr>
                  <w:r w:rsidRPr="008819AF">
                    <w:rPr>
                      <w:rFonts w:ascii="Times New Roman" w:hAnsi="Times New Roman" w:cs="Times New Roman"/>
                      <w:b/>
                      <w:sz w:val="18"/>
                      <w:szCs w:val="18"/>
                    </w:rPr>
                    <w:t>IVb</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D6" w14:textId="77777777" w:rsidR="008739EB" w:rsidRPr="008819AF" w:rsidRDefault="008739EB" w:rsidP="008739EB">
                  <w:pPr>
                    <w:pStyle w:val="Zkladntext2"/>
                    <w:rPr>
                      <w:rFonts w:ascii="Times New Roman" w:hAnsi="Times New Roman" w:cs="Times New Roman"/>
                      <w:sz w:val="18"/>
                      <w:szCs w:val="18"/>
                    </w:rPr>
                  </w:pPr>
                  <w:r w:rsidRPr="008819AF">
                    <w:rPr>
                      <w:rFonts w:ascii="Times New Roman" w:hAnsi="Times New Roman" w:cs="Times New Roman"/>
                      <w:sz w:val="18"/>
                      <w:szCs w:val="18"/>
                    </w:rPr>
                    <w:t>z dreva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D7"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D8"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D9"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DA"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DB"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100</w:t>
                  </w:r>
                  <w:r w:rsidRPr="008819AF">
                    <w:rPr>
                      <w:rFonts w:ascii="Times New Roman" w:hAnsi="Times New Roman" w:cs="Times New Roman"/>
                      <w:sz w:val="18"/>
                      <w:szCs w:val="18"/>
                      <w:vertAlign w:val="superscript"/>
                    </w:rPr>
                    <w:t>2</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DC"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151346DD"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1,6</w:t>
                  </w:r>
                </w:p>
              </w:tc>
            </w:tr>
            <w:tr w:rsidR="008739EB" w:rsidRPr="008819AF" w14:paraId="151346E8"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151346DF" w14:textId="77777777" w:rsidR="008739EB" w:rsidRPr="008819AF" w:rsidRDefault="008739EB" w:rsidP="008739EB">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151346E0" w14:textId="77777777" w:rsidR="008739EB" w:rsidRPr="008819AF" w:rsidRDefault="008739EB" w:rsidP="008739EB">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E1"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E2"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E3"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E4"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E5"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E6"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6E7"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w:t>
                  </w:r>
                </w:p>
              </w:tc>
            </w:tr>
            <w:tr w:rsidR="008739EB" w:rsidRPr="008819AF" w14:paraId="151346F2"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151346E9" w14:textId="77777777" w:rsidR="008739EB" w:rsidRPr="008819AF" w:rsidRDefault="008739EB" w:rsidP="008739EB">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151346EA" w14:textId="77777777" w:rsidR="008739EB" w:rsidRPr="008819AF" w:rsidRDefault="008739EB" w:rsidP="008739EB">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EB"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EC"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ED"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EE"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EF"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F0"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15</w:t>
                  </w:r>
                </w:p>
              </w:tc>
              <w:tc>
                <w:tcPr>
                  <w:tcW w:w="1984" w:type="dxa"/>
                  <w:tcBorders>
                    <w:top w:val="single" w:sz="2" w:space="0" w:color="auto"/>
                    <w:left w:val="single" w:sz="2" w:space="0" w:color="auto"/>
                    <w:bottom w:val="single" w:sz="2" w:space="0" w:color="auto"/>
                    <w:right w:val="single" w:sz="2" w:space="0" w:color="auto"/>
                  </w:tcBorders>
                  <w:vAlign w:val="center"/>
                </w:tcPr>
                <w:p w14:paraId="151346F1"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0,75</w:t>
                  </w:r>
                </w:p>
              </w:tc>
            </w:tr>
            <w:tr w:rsidR="008739EB" w:rsidRPr="008819AF" w14:paraId="151346F9" w14:textId="77777777" w:rsidTr="00445A6C">
              <w:trPr>
                <w:trHeigh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F3" w14:textId="77777777" w:rsidR="008739EB" w:rsidRPr="008819AF" w:rsidRDefault="008739EB" w:rsidP="008739EB">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F4" w14:textId="77777777" w:rsidR="008739EB" w:rsidRPr="008819AF" w:rsidRDefault="008739EB" w:rsidP="008739EB">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F5" w14:textId="77777777" w:rsidR="008739EB" w:rsidRPr="008819AF" w:rsidRDefault="008739EB" w:rsidP="008739EB">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F6" w14:textId="77777777" w:rsidR="008739EB" w:rsidRPr="008819AF" w:rsidRDefault="008739EB" w:rsidP="008739EB">
                  <w:pPr>
                    <w:pStyle w:val="Zkladntext2"/>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F7"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Odpad. plyny</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F8"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Celkové emisie</w:t>
                  </w:r>
                  <w:r w:rsidRPr="008819AF">
                    <w:rPr>
                      <w:rFonts w:ascii="Times New Roman" w:hAnsi="Times New Roman" w:cs="Times New Roman"/>
                      <w:b/>
                      <w:sz w:val="18"/>
                      <w:szCs w:val="18"/>
                      <w:vertAlign w:val="superscript"/>
                    </w:rPr>
                    <w:t>6</w:t>
                  </w:r>
                  <w:r w:rsidRPr="008819AF">
                    <w:rPr>
                      <w:rFonts w:ascii="Times New Roman" w:hAnsi="Times New Roman" w:cs="Times New Roman"/>
                      <w:b/>
                      <w:sz w:val="18"/>
                      <w:szCs w:val="18"/>
                    </w:rPr>
                    <w:t>)</w:t>
                  </w:r>
                </w:p>
              </w:tc>
            </w:tr>
            <w:tr w:rsidR="008739EB" w:rsidRPr="008819AF" w14:paraId="15134701" w14:textId="77777777" w:rsidTr="00445A6C">
              <w:trPr>
                <w:trHeight w:val="397"/>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151346FA" w14:textId="77777777" w:rsidR="008739EB" w:rsidRPr="008819AF" w:rsidRDefault="008739EB" w:rsidP="008739EB">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151346FB" w14:textId="77777777" w:rsidR="008739EB" w:rsidRPr="008819AF" w:rsidRDefault="008739EB" w:rsidP="008739EB">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151346FC" w14:textId="77777777" w:rsidR="008739EB" w:rsidRPr="008819AF" w:rsidRDefault="008739EB" w:rsidP="008739EB">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151346FD" w14:textId="77777777" w:rsidR="008739EB" w:rsidRPr="008819AF" w:rsidRDefault="008739EB" w:rsidP="008739EB">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6FE"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TZL</w:t>
                  </w:r>
                  <w:r w:rsidRPr="008819AF">
                    <w:rPr>
                      <w:rFonts w:ascii="Times New Roman" w:hAnsi="Times New Roman" w:cs="Times New Roman"/>
                      <w:b/>
                      <w:sz w:val="18"/>
                      <w:szCs w:val="18"/>
                      <w:vertAlign w:val="superscript"/>
                    </w:rPr>
                    <w:t>1</w:t>
                  </w:r>
                  <w:r w:rsidRPr="008819AF">
                    <w:rPr>
                      <w:rFonts w:ascii="Times New Roman" w:hAnsi="Times New Roman" w:cs="Times New Roman"/>
                      <w:b/>
                      <w:sz w:val="18"/>
                      <w:szCs w:val="18"/>
                    </w:rPr>
                    <w:t>)</w:t>
                  </w:r>
                </w:p>
                <w:p w14:paraId="151346FF"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mg/m3</w:t>
                  </w:r>
                  <w:r w:rsidRPr="008819AF">
                    <w:rPr>
                      <w:rFonts w:ascii="Times New Roman" w:hAnsi="Times New Roman" w:cs="Times New Roman"/>
                      <w:b/>
                      <w:sz w:val="18"/>
                      <w:szCs w:val="18"/>
                    </w:rPr>
                    <w:sym w:font="Symbol" w:char="F05D"/>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00" w14:textId="77777777" w:rsidR="008739EB" w:rsidRPr="008819AF" w:rsidRDefault="008739EB" w:rsidP="008739EB">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g/m2</w:t>
                  </w:r>
                  <w:r w:rsidRPr="008819AF">
                    <w:rPr>
                      <w:rFonts w:ascii="Times New Roman" w:hAnsi="Times New Roman" w:cs="Times New Roman"/>
                      <w:b/>
                      <w:sz w:val="18"/>
                      <w:szCs w:val="18"/>
                    </w:rPr>
                    <w:sym w:font="Symbol" w:char="F05D"/>
                  </w:r>
                </w:p>
              </w:tc>
            </w:tr>
            <w:tr w:rsidR="008739EB" w:rsidRPr="008819AF" w14:paraId="15134709" w14:textId="77777777" w:rsidTr="00445A6C">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02" w14:textId="77777777" w:rsidR="008739EB" w:rsidRPr="008819AF" w:rsidRDefault="008739EB" w:rsidP="008739EB">
                  <w:pPr>
                    <w:pStyle w:val="Zkladntext2"/>
                    <w:rPr>
                      <w:rFonts w:ascii="Times New Roman" w:hAnsi="Times New Roman" w:cs="Times New Roman"/>
                      <w:b/>
                      <w:sz w:val="18"/>
                      <w:szCs w:val="18"/>
                    </w:rPr>
                  </w:pPr>
                  <w:r w:rsidRPr="008819AF">
                    <w:rPr>
                      <w:rFonts w:ascii="Times New Roman" w:hAnsi="Times New Roman" w:cs="Times New Roman"/>
                      <w:b/>
                      <w:sz w:val="18"/>
                      <w:szCs w:val="18"/>
                    </w:rPr>
                    <w:t>IVc</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03" w14:textId="77777777" w:rsidR="008739EB" w:rsidRPr="008819AF" w:rsidRDefault="008739EB" w:rsidP="008739EB">
                  <w:pPr>
                    <w:pStyle w:val="Zkladntext2"/>
                    <w:rPr>
                      <w:rFonts w:ascii="Times New Roman" w:hAnsi="Times New Roman" w:cs="Times New Roman"/>
                      <w:sz w:val="18"/>
                      <w:szCs w:val="18"/>
                    </w:rPr>
                  </w:pPr>
                  <w:r w:rsidRPr="008819AF">
                    <w:rPr>
                      <w:rFonts w:ascii="Times New Roman" w:hAnsi="Times New Roman" w:cs="Times New Roman"/>
                      <w:sz w:val="18"/>
                      <w:szCs w:val="18"/>
                    </w:rPr>
                    <w:t>na kožu</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04"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05"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06"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07"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08"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85, 150</w:t>
                  </w:r>
                  <w:r w:rsidRPr="008819AF">
                    <w:rPr>
                      <w:rFonts w:ascii="Times New Roman" w:hAnsi="Times New Roman" w:cs="Times New Roman"/>
                      <w:sz w:val="18"/>
                      <w:szCs w:val="18"/>
                      <w:vertAlign w:val="superscript"/>
                    </w:rPr>
                    <w:t>7</w:t>
                  </w:r>
                  <w:r w:rsidRPr="008819AF">
                    <w:rPr>
                      <w:rFonts w:ascii="Times New Roman" w:hAnsi="Times New Roman" w:cs="Times New Roman"/>
                      <w:sz w:val="18"/>
                      <w:szCs w:val="18"/>
                    </w:rPr>
                    <w:t>)</w:t>
                  </w:r>
                </w:p>
              </w:tc>
            </w:tr>
            <w:tr w:rsidR="008739EB" w:rsidRPr="008819AF" w14:paraId="15134711"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1513470A" w14:textId="77777777" w:rsidR="008739EB" w:rsidRPr="008819AF" w:rsidRDefault="008739EB" w:rsidP="008739EB">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1513470B" w14:textId="77777777" w:rsidR="008739EB" w:rsidRPr="008819AF" w:rsidRDefault="008739EB" w:rsidP="008739EB">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0C" w14:textId="77777777" w:rsidR="008739EB" w:rsidRPr="008819AF"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0D"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0E"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0F"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10" w14:textId="77777777" w:rsidR="008739EB" w:rsidRPr="008819AF" w:rsidRDefault="008739EB" w:rsidP="008739EB">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75, 150</w:t>
                  </w:r>
                  <w:r w:rsidRPr="008819AF">
                    <w:rPr>
                      <w:rFonts w:ascii="Times New Roman" w:hAnsi="Times New Roman" w:cs="Times New Roman"/>
                      <w:sz w:val="18"/>
                      <w:szCs w:val="18"/>
                      <w:vertAlign w:val="superscript"/>
                    </w:rPr>
                    <w:t>7</w:t>
                  </w:r>
                  <w:r w:rsidRPr="008819AF">
                    <w:rPr>
                      <w:rFonts w:ascii="Times New Roman" w:hAnsi="Times New Roman" w:cs="Times New Roman"/>
                      <w:sz w:val="18"/>
                      <w:szCs w:val="18"/>
                    </w:rPr>
                    <w:t>)</w:t>
                  </w:r>
                </w:p>
              </w:tc>
            </w:tr>
          </w:tbl>
          <w:p w14:paraId="15134712" w14:textId="77777777" w:rsidR="008739EB" w:rsidRPr="008819AF" w:rsidRDefault="008739EB" w:rsidP="008739EB">
            <w:pPr>
              <w:pStyle w:val="Zkladntext2"/>
              <w:spacing w:before="60"/>
              <w:rPr>
                <w:rFonts w:ascii="Times New Roman" w:hAnsi="Times New Roman" w:cs="Times New Roman"/>
                <w:sz w:val="20"/>
                <w:szCs w:val="20"/>
              </w:rPr>
            </w:pPr>
            <w:r w:rsidRPr="008819AF">
              <w:rPr>
                <w:rFonts w:ascii="Times New Roman" w:hAnsi="Times New Roman" w:cs="Times New Roman"/>
                <w:sz w:val="20"/>
                <w:szCs w:val="20"/>
                <w:vertAlign w:val="superscript"/>
              </w:rPr>
              <w:t>1</w:t>
            </w:r>
            <w:r w:rsidRPr="008819AF">
              <w:rPr>
                <w:rFonts w:ascii="Times New Roman" w:hAnsi="Times New Roman" w:cs="Times New Roman"/>
                <w:sz w:val="20"/>
                <w:szCs w:val="20"/>
              </w:rPr>
              <w:t>) Emisný limit pre TZL platí iba pre proces striekania.</w:t>
            </w:r>
          </w:p>
          <w:p w14:paraId="15134713" w14:textId="77777777" w:rsidR="008739EB" w:rsidRPr="008819AF" w:rsidRDefault="008739EB" w:rsidP="008739EB">
            <w:pPr>
              <w:pStyle w:val="Zkladntext2"/>
              <w:ind w:left="270" w:hanging="270"/>
              <w:rPr>
                <w:rFonts w:ascii="Times New Roman" w:hAnsi="Times New Roman" w:cs="Times New Roman"/>
                <w:sz w:val="20"/>
                <w:szCs w:val="20"/>
                <w:vertAlign w:val="superscript"/>
              </w:rPr>
            </w:pPr>
            <w:r w:rsidRPr="008819AF">
              <w:rPr>
                <w:rFonts w:ascii="Times New Roman" w:hAnsi="Times New Roman" w:cs="Times New Roman"/>
                <w:sz w:val="20"/>
                <w:szCs w:val="20"/>
                <w:vertAlign w:val="superscript"/>
              </w:rPr>
              <w:t>2</w:t>
            </w:r>
            <w:r w:rsidRPr="008819AF">
              <w:rPr>
                <w:rFonts w:ascii="Times New Roman" w:hAnsi="Times New Roman" w:cs="Times New Roman"/>
                <w:sz w:val="20"/>
                <w:szCs w:val="20"/>
              </w:rPr>
              <w:t>) Emisný limit pre TOC v odpadovom plyne platí pre procesy nanášania a sušenia prevádzkované za riadených  podmienok.</w:t>
            </w:r>
          </w:p>
          <w:p w14:paraId="15134714" w14:textId="77777777" w:rsidR="008739EB" w:rsidRPr="008819AF" w:rsidRDefault="008739EB" w:rsidP="008739EB">
            <w:pPr>
              <w:pStyle w:val="Zkladntext2"/>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3</w:t>
            </w:r>
            <w:r w:rsidRPr="008819AF">
              <w:rPr>
                <w:rFonts w:ascii="Times New Roman" w:hAnsi="Times New Roman" w:cs="Times New Roman"/>
                <w:sz w:val="20"/>
                <w:szCs w:val="20"/>
              </w:rPr>
              <w:t>) Prvý emisný limit platí pre procesy sušenia, druhý pre procesy nanášania.</w:t>
            </w:r>
          </w:p>
          <w:p w14:paraId="15134715" w14:textId="77777777" w:rsidR="008739EB" w:rsidRPr="008819AF" w:rsidRDefault="008739EB" w:rsidP="008739EB">
            <w:pPr>
              <w:ind w:left="284" w:hanging="284"/>
              <w:jc w:val="both"/>
            </w:pPr>
            <w:r w:rsidRPr="008819AF">
              <w:rPr>
                <w:vertAlign w:val="superscript"/>
              </w:rPr>
              <w:t>4</w:t>
            </w:r>
            <w:r w:rsidRPr="008819AF">
              <w:t>) Platí pri nanášaní náterov na povrchy kovov pre styk s potravinami.</w:t>
            </w:r>
          </w:p>
          <w:p w14:paraId="15134716" w14:textId="77777777" w:rsidR="008739EB" w:rsidRPr="008819AF" w:rsidRDefault="008739EB" w:rsidP="008739EB">
            <w:pPr>
              <w:pStyle w:val="Zkladntext2"/>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5</w:t>
            </w:r>
            <w:r w:rsidRPr="008819AF">
              <w:rPr>
                <w:rFonts w:ascii="Times New Roman" w:hAnsi="Times New Roman" w:cs="Times New Roman"/>
                <w:sz w:val="20"/>
                <w:szCs w:val="20"/>
              </w:rPr>
              <w:t xml:space="preserve">) Platí spoločne pre proces nanášania a proces sušenia pre zariadenia na nanášanie náterových látok na textil používajúce techniky na </w:t>
            </w:r>
            <w:r w:rsidRPr="008819AF">
              <w:rPr>
                <w:rFonts w:ascii="Times New Roman" w:hAnsi="Times New Roman" w:cs="Times New Roman"/>
                <w:sz w:val="20"/>
                <w:szCs w:val="20"/>
              </w:rPr>
              <w:lastRenderedPageBreak/>
              <w:t>opätovné využitie regenerovaných organických rozpúšťadiel.</w:t>
            </w:r>
          </w:p>
          <w:p w14:paraId="15134717" w14:textId="77777777" w:rsidR="008739EB" w:rsidRPr="008819AF" w:rsidRDefault="008739EB" w:rsidP="008739EB">
            <w:pPr>
              <w:pStyle w:val="Zkladntext2"/>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6</w:t>
            </w:r>
            <w:r w:rsidRPr="008819AF">
              <w:rPr>
                <w:rFonts w:ascii="Times New Roman" w:hAnsi="Times New Roman" w:cs="Times New Roman"/>
                <w:sz w:val="20"/>
                <w:szCs w:val="20"/>
              </w:rPr>
              <w:t>) Podiel hmotnosti celkových emisií VOC a celkovej plochy produktu.</w:t>
            </w:r>
          </w:p>
          <w:p w14:paraId="15134718" w14:textId="77777777" w:rsidR="008739EB" w:rsidRPr="008819AF" w:rsidRDefault="008739EB" w:rsidP="008739EB">
            <w:pPr>
              <w:pStyle w:val="Zkladntext2"/>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7</w:t>
            </w:r>
            <w:r w:rsidRPr="008819AF">
              <w:rPr>
                <w:rFonts w:ascii="Times New Roman" w:hAnsi="Times New Roman" w:cs="Times New Roman"/>
                <w:sz w:val="20"/>
                <w:szCs w:val="20"/>
              </w:rPr>
              <w:t>) Platí, ak ide o výrobu koženého nábytku a drobných kožených predmetov ako sú tašky, peňaženky, opasky a pod.</w:t>
            </w:r>
          </w:p>
          <w:p w14:paraId="15134719" w14:textId="77777777" w:rsidR="008739EB" w:rsidRPr="008819AF" w:rsidRDefault="008739EB" w:rsidP="008739EB">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4" w:space="0" w:color="000000"/>
              <w:right w:val="single" w:sz="6" w:space="0" w:color="000000"/>
            </w:tcBorders>
          </w:tcPr>
          <w:p w14:paraId="1513471A" w14:textId="77777777" w:rsidR="008739EB" w:rsidRPr="008819AF" w:rsidRDefault="008739EB" w:rsidP="008739EB">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71B" w14:textId="77777777" w:rsidR="008739EB" w:rsidRPr="008819AF" w:rsidRDefault="008739EB" w:rsidP="008739EB">
            <w:pPr>
              <w:ind w:left="215" w:hanging="215"/>
              <w:rPr>
                <w:rFonts w:eastAsia="Arial"/>
              </w:rPr>
            </w:pPr>
          </w:p>
        </w:tc>
      </w:tr>
      <w:tr w:rsidR="004A0AED" w:rsidRPr="008819AF" w14:paraId="15134745"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71D" w14:textId="77777777" w:rsidR="004A0AED" w:rsidRPr="008819AF" w:rsidRDefault="004A0AED">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9</w:t>
            </w:r>
          </w:p>
        </w:tc>
        <w:tc>
          <w:tcPr>
            <w:tcW w:w="5386" w:type="dxa"/>
            <w:tcBorders>
              <w:top w:val="single" w:sz="4" w:space="0" w:color="000000"/>
              <w:left w:val="single" w:sz="6" w:space="0" w:color="000000"/>
              <w:bottom w:val="single" w:sz="4" w:space="0" w:color="000000"/>
              <w:right w:val="single" w:sz="6" w:space="0" w:color="000000"/>
            </w:tcBorders>
          </w:tcPr>
          <w:p w14:paraId="1513471E" w14:textId="77777777" w:rsidR="004A0AED" w:rsidRPr="008819AF" w:rsidRDefault="004A0AED">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Povrchová úprava navíjaných drôtov</w:t>
            </w:r>
          </w:p>
          <w:p w14:paraId="1513471F" w14:textId="77777777" w:rsidR="004A0AED" w:rsidRPr="008819AF" w:rsidRDefault="004A0AED">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w:t>
            </w:r>
          </w:p>
        </w:tc>
        <w:tc>
          <w:tcPr>
            <w:tcW w:w="881" w:type="dxa"/>
            <w:tcBorders>
              <w:top w:val="single" w:sz="4" w:space="0" w:color="000000"/>
              <w:left w:val="single" w:sz="6" w:space="0" w:color="000000"/>
              <w:bottom w:val="single" w:sz="4" w:space="0" w:color="000000"/>
              <w:right w:val="single" w:sz="6" w:space="0" w:color="000000"/>
            </w:tcBorders>
          </w:tcPr>
          <w:p w14:paraId="15134720" w14:textId="77777777" w:rsidR="004A0AED" w:rsidRPr="008819AF" w:rsidRDefault="004A0AED">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721" w14:textId="77777777" w:rsidR="004A0AED" w:rsidRPr="008819AF" w:rsidRDefault="004A0AED">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722" w14:textId="77777777" w:rsidR="004A0AED" w:rsidRPr="008819AF" w:rsidRDefault="004A0AED" w:rsidP="00445A6C">
            <w:r w:rsidRPr="008819AF">
              <w:t>Pr.6</w:t>
            </w:r>
          </w:p>
          <w:p w14:paraId="15134723" w14:textId="77777777" w:rsidR="004A0AED" w:rsidRPr="008819AF" w:rsidRDefault="004A0AED" w:rsidP="00445A6C">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724" w14:textId="77777777" w:rsidR="008739EB" w:rsidRPr="008819AF" w:rsidRDefault="008739EB" w:rsidP="008739EB">
            <w:pPr>
              <w:jc w:val="both"/>
              <w:rPr>
                <w:b/>
              </w:rPr>
            </w:pPr>
            <w:r w:rsidRPr="008819AF">
              <w:rPr>
                <w:b/>
              </w:rPr>
              <w:t>7.  POVRCHOVÁ ÚPRAVA DRÔTOV (VII)</w:t>
            </w:r>
          </w:p>
          <w:p w14:paraId="15134725" w14:textId="77777777" w:rsidR="008739EB" w:rsidRPr="008819AF" w:rsidRDefault="008739EB" w:rsidP="008739EB">
            <w:pPr>
              <w:jc w:val="both"/>
            </w:pPr>
            <w:r w:rsidRPr="008819AF">
              <w:t>Činnosť súvisiaca s poťahovaním kovových vodičov používaných napr. na navíjanie cievok určených do transformátorov, motorov a pod.</w:t>
            </w:r>
          </w:p>
          <w:p w14:paraId="15134726" w14:textId="77777777" w:rsidR="008739EB" w:rsidRPr="008819AF" w:rsidRDefault="008739EB" w:rsidP="008739EB">
            <w:pPr>
              <w:spacing w:after="120"/>
              <w:rPr>
                <w:b/>
              </w:rPr>
            </w:pPr>
            <w:r w:rsidRPr="008819AF">
              <w:rPr>
                <w:b/>
              </w:rPr>
              <w:t xml:space="preserve">7.1  Prahová spotreba rozpúšťadiel a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92"/>
              <w:gridCol w:w="1265"/>
              <w:gridCol w:w="1007"/>
              <w:gridCol w:w="1276"/>
              <w:gridCol w:w="1768"/>
            </w:tblGrid>
            <w:tr w:rsidR="008739EB" w:rsidRPr="008819AF" w14:paraId="15134729" w14:textId="77777777" w:rsidTr="00445A6C">
              <w:trPr>
                <w:cantSplit/>
                <w:trHeight w:val="551"/>
                <w:jc w:val="center"/>
              </w:trPr>
              <w:tc>
                <w:tcPr>
                  <w:tcW w:w="4254" w:type="dxa"/>
                  <w:gridSpan w:val="3"/>
                </w:tcPr>
                <w:p w14:paraId="15134727" w14:textId="77777777" w:rsidR="008739EB" w:rsidRPr="008819AF" w:rsidRDefault="008739EB" w:rsidP="00445A6C">
                  <w:pPr>
                    <w:pStyle w:val="Normln"/>
                    <w:widowControl w:val="0"/>
                    <w:rPr>
                      <w:b/>
                      <w:sz w:val="18"/>
                      <w:szCs w:val="18"/>
                      <w:lang w:val="sk-SK"/>
                    </w:rPr>
                  </w:pPr>
                  <w:r w:rsidRPr="008819AF">
                    <w:rPr>
                      <w:b/>
                      <w:sz w:val="18"/>
                      <w:szCs w:val="18"/>
                      <w:lang w:val="sk-SK"/>
                    </w:rPr>
                    <w:t>Podmienky platnosti EL</w:t>
                  </w:r>
                </w:p>
              </w:tc>
              <w:tc>
                <w:tcPr>
                  <w:tcW w:w="4821" w:type="dxa"/>
                  <w:gridSpan w:val="2"/>
                  <w:vAlign w:val="center"/>
                </w:tcPr>
                <w:p w14:paraId="15134728" w14:textId="77777777" w:rsidR="008739EB" w:rsidRPr="008819AF" w:rsidRDefault="008739EB" w:rsidP="00445A6C">
                  <w:pPr>
                    <w:pStyle w:val="Normln"/>
                    <w:widowControl w:val="0"/>
                    <w:rPr>
                      <w:sz w:val="18"/>
                      <w:szCs w:val="18"/>
                      <w:lang w:val="sk-SK"/>
                    </w:rPr>
                  </w:pPr>
                  <w:r w:rsidRPr="008819AF">
                    <w:rPr>
                      <w:sz w:val="18"/>
                      <w:szCs w:val="18"/>
                      <w:lang w:val="sk-SK"/>
                    </w:rPr>
                    <w:t xml:space="preserve">Štandardné stavové podmienky, vlhký plyn </w:t>
                  </w:r>
                </w:p>
              </w:tc>
            </w:tr>
            <w:tr w:rsidR="008739EB" w:rsidRPr="008819AF" w14:paraId="1513472D" w14:textId="77777777" w:rsidTr="00445A6C">
              <w:trPr>
                <w:cantSplit/>
                <w:trHeight w:val="397"/>
                <w:jc w:val="center"/>
              </w:trPr>
              <w:tc>
                <w:tcPr>
                  <w:tcW w:w="4254" w:type="dxa"/>
                  <w:gridSpan w:val="3"/>
                  <w:vMerge w:val="restart"/>
                  <w:vAlign w:val="center"/>
                </w:tcPr>
                <w:p w14:paraId="1513472A" w14:textId="77777777" w:rsidR="008739EB" w:rsidRPr="008819AF" w:rsidRDefault="008739EB" w:rsidP="00445A6C">
                  <w:pPr>
                    <w:widowControl w:val="0"/>
                    <w:jc w:val="both"/>
                    <w:rPr>
                      <w:b/>
                      <w:sz w:val="18"/>
                      <w:szCs w:val="18"/>
                    </w:rPr>
                  </w:pPr>
                  <w:r w:rsidRPr="008819AF">
                    <w:rPr>
                      <w:b/>
                      <w:sz w:val="18"/>
                      <w:szCs w:val="18"/>
                    </w:rPr>
                    <w:t>Činnosť</w:t>
                  </w:r>
                </w:p>
              </w:tc>
              <w:tc>
                <w:tcPr>
                  <w:tcW w:w="2004" w:type="dxa"/>
                  <w:vMerge w:val="restart"/>
                  <w:vAlign w:val="center"/>
                </w:tcPr>
                <w:p w14:paraId="1513472B" w14:textId="77777777" w:rsidR="008739EB" w:rsidRPr="008819AF" w:rsidRDefault="008739EB" w:rsidP="00445A6C">
                  <w:pPr>
                    <w:widowControl w:val="0"/>
                    <w:jc w:val="center"/>
                    <w:rPr>
                      <w:sz w:val="18"/>
                      <w:szCs w:val="18"/>
                    </w:rPr>
                  </w:pPr>
                  <w:r w:rsidRPr="008819AF">
                    <w:rPr>
                      <w:b/>
                      <w:sz w:val="18"/>
                      <w:szCs w:val="18"/>
                    </w:rPr>
                    <w:t xml:space="preserve">Prahová spotreba rozpúšťadla </w:t>
                  </w:r>
                  <w:r w:rsidRPr="008819AF">
                    <w:rPr>
                      <w:b/>
                      <w:sz w:val="18"/>
                      <w:szCs w:val="18"/>
                    </w:rPr>
                    <w:sym w:font="Symbol" w:char="F05B"/>
                  </w:r>
                  <w:r w:rsidRPr="008819AF">
                    <w:rPr>
                      <w:b/>
                      <w:sz w:val="18"/>
                      <w:szCs w:val="18"/>
                    </w:rPr>
                    <w:t>t/rok</w:t>
                  </w:r>
                  <w:r w:rsidRPr="008819AF">
                    <w:rPr>
                      <w:b/>
                      <w:sz w:val="18"/>
                      <w:szCs w:val="18"/>
                    </w:rPr>
                    <w:sym w:font="Symbol" w:char="F05D"/>
                  </w:r>
                </w:p>
              </w:tc>
              <w:tc>
                <w:tcPr>
                  <w:tcW w:w="2817" w:type="dxa"/>
                  <w:vAlign w:val="center"/>
                </w:tcPr>
                <w:p w14:paraId="1513472C" w14:textId="77777777" w:rsidR="008739EB" w:rsidRPr="008819AF" w:rsidRDefault="008739EB" w:rsidP="00445A6C">
                  <w:pPr>
                    <w:pStyle w:val="Normln"/>
                    <w:widowControl w:val="0"/>
                    <w:jc w:val="center"/>
                    <w:rPr>
                      <w:sz w:val="18"/>
                      <w:szCs w:val="18"/>
                      <w:lang w:val="sk-SK"/>
                    </w:rPr>
                  </w:pPr>
                  <w:r w:rsidRPr="008819AF">
                    <w:rPr>
                      <w:b/>
                      <w:sz w:val="18"/>
                      <w:szCs w:val="18"/>
                      <w:lang w:val="sk-SK"/>
                    </w:rPr>
                    <w:t xml:space="preserve">Emisný limit </w:t>
                  </w:r>
                </w:p>
              </w:tc>
            </w:tr>
            <w:tr w:rsidR="008739EB" w:rsidRPr="008819AF" w14:paraId="15134731" w14:textId="77777777" w:rsidTr="00445A6C">
              <w:trPr>
                <w:cantSplit/>
                <w:trHeight w:val="397"/>
                <w:jc w:val="center"/>
              </w:trPr>
              <w:tc>
                <w:tcPr>
                  <w:tcW w:w="4254" w:type="dxa"/>
                  <w:gridSpan w:val="3"/>
                  <w:vMerge/>
                  <w:vAlign w:val="center"/>
                </w:tcPr>
                <w:p w14:paraId="1513472E" w14:textId="77777777" w:rsidR="008739EB" w:rsidRPr="008819AF" w:rsidRDefault="008739EB" w:rsidP="00445A6C">
                  <w:pPr>
                    <w:widowControl w:val="0"/>
                    <w:rPr>
                      <w:b/>
                      <w:sz w:val="18"/>
                      <w:szCs w:val="18"/>
                    </w:rPr>
                  </w:pPr>
                </w:p>
              </w:tc>
              <w:tc>
                <w:tcPr>
                  <w:tcW w:w="2004" w:type="dxa"/>
                  <w:vMerge/>
                  <w:vAlign w:val="center"/>
                </w:tcPr>
                <w:p w14:paraId="1513472F" w14:textId="77777777" w:rsidR="008739EB" w:rsidRPr="008819AF" w:rsidRDefault="008739EB" w:rsidP="00445A6C">
                  <w:pPr>
                    <w:widowControl w:val="0"/>
                    <w:rPr>
                      <w:sz w:val="18"/>
                      <w:szCs w:val="18"/>
                    </w:rPr>
                  </w:pPr>
                </w:p>
              </w:tc>
              <w:tc>
                <w:tcPr>
                  <w:tcW w:w="2817" w:type="dxa"/>
                  <w:vAlign w:val="center"/>
                </w:tcPr>
                <w:p w14:paraId="15134730" w14:textId="77777777" w:rsidR="008739EB" w:rsidRPr="008819AF" w:rsidRDefault="008739EB" w:rsidP="00445A6C">
                  <w:pPr>
                    <w:pStyle w:val="Zkladntext2"/>
                    <w:widowControl w:val="0"/>
                    <w:jc w:val="center"/>
                    <w:rPr>
                      <w:rFonts w:ascii="Times New Roman" w:hAnsi="Times New Roman" w:cs="Times New Roman"/>
                      <w:sz w:val="18"/>
                      <w:szCs w:val="18"/>
                    </w:rPr>
                  </w:pPr>
                  <w:r w:rsidRPr="008819AF">
                    <w:rPr>
                      <w:rFonts w:ascii="Times New Roman" w:hAnsi="Times New Roman" w:cs="Times New Roman"/>
                      <w:b/>
                      <w:sz w:val="18"/>
                      <w:szCs w:val="18"/>
                    </w:rPr>
                    <w:t>Celkové emisie</w:t>
                  </w:r>
                  <w:r w:rsidRPr="008819AF">
                    <w:rPr>
                      <w:rFonts w:ascii="Times New Roman" w:hAnsi="Times New Roman" w:cs="Times New Roman"/>
                      <w:b/>
                      <w:sz w:val="18"/>
                      <w:szCs w:val="18"/>
                      <w:vertAlign w:val="superscript"/>
                    </w:rPr>
                    <w:t>1</w:t>
                  </w:r>
                  <w:r w:rsidRPr="008819AF">
                    <w:rPr>
                      <w:rFonts w:ascii="Times New Roman" w:hAnsi="Times New Roman" w:cs="Times New Roman"/>
                      <w:sz w:val="18"/>
                      <w:szCs w:val="18"/>
                    </w:rPr>
                    <w:t>)</w:t>
                  </w:r>
                </w:p>
              </w:tc>
            </w:tr>
            <w:tr w:rsidR="008739EB" w:rsidRPr="008819AF" w14:paraId="15134735" w14:textId="77777777" w:rsidTr="00445A6C">
              <w:trPr>
                <w:cantSplit/>
                <w:trHeight w:val="397"/>
                <w:jc w:val="center"/>
              </w:trPr>
              <w:tc>
                <w:tcPr>
                  <w:tcW w:w="4254" w:type="dxa"/>
                  <w:gridSpan w:val="3"/>
                  <w:vMerge/>
                  <w:vAlign w:val="center"/>
                </w:tcPr>
                <w:p w14:paraId="15134732" w14:textId="77777777" w:rsidR="008739EB" w:rsidRPr="008819AF" w:rsidRDefault="008739EB" w:rsidP="00445A6C">
                  <w:pPr>
                    <w:widowControl w:val="0"/>
                    <w:rPr>
                      <w:b/>
                      <w:sz w:val="18"/>
                      <w:szCs w:val="18"/>
                    </w:rPr>
                  </w:pPr>
                </w:p>
              </w:tc>
              <w:tc>
                <w:tcPr>
                  <w:tcW w:w="2004" w:type="dxa"/>
                  <w:vMerge/>
                  <w:vAlign w:val="center"/>
                </w:tcPr>
                <w:p w14:paraId="15134733" w14:textId="77777777" w:rsidR="008739EB" w:rsidRPr="008819AF" w:rsidRDefault="008739EB" w:rsidP="00445A6C">
                  <w:pPr>
                    <w:widowControl w:val="0"/>
                    <w:rPr>
                      <w:sz w:val="18"/>
                      <w:szCs w:val="18"/>
                    </w:rPr>
                  </w:pPr>
                </w:p>
              </w:tc>
              <w:tc>
                <w:tcPr>
                  <w:tcW w:w="2817" w:type="dxa"/>
                  <w:vAlign w:val="center"/>
                </w:tcPr>
                <w:p w14:paraId="15134734" w14:textId="77777777" w:rsidR="008739EB" w:rsidRPr="008819AF" w:rsidRDefault="008739EB" w:rsidP="00445A6C">
                  <w:pPr>
                    <w:widowControl w:val="0"/>
                    <w:jc w:val="center"/>
                    <w:rPr>
                      <w:sz w:val="18"/>
                      <w:szCs w:val="18"/>
                      <w:vertAlign w:val="superscript"/>
                    </w:rPr>
                  </w:pPr>
                  <w:r w:rsidRPr="008819AF">
                    <w:rPr>
                      <w:b/>
                      <w:sz w:val="18"/>
                      <w:szCs w:val="18"/>
                    </w:rPr>
                    <w:t xml:space="preserve">VOC </w:t>
                  </w:r>
                  <w:r w:rsidRPr="008819AF">
                    <w:rPr>
                      <w:b/>
                      <w:sz w:val="18"/>
                      <w:szCs w:val="18"/>
                    </w:rPr>
                    <w:sym w:font="Symbol" w:char="F05B"/>
                  </w:r>
                  <w:r w:rsidRPr="008819AF">
                    <w:rPr>
                      <w:b/>
                      <w:sz w:val="18"/>
                      <w:szCs w:val="18"/>
                    </w:rPr>
                    <w:t>g/kg</w:t>
                  </w:r>
                  <w:r w:rsidRPr="008819AF">
                    <w:rPr>
                      <w:b/>
                      <w:sz w:val="18"/>
                      <w:szCs w:val="18"/>
                    </w:rPr>
                    <w:sym w:font="Symbol" w:char="F05D"/>
                  </w:r>
                </w:p>
              </w:tc>
            </w:tr>
            <w:tr w:rsidR="008739EB" w:rsidRPr="008819AF" w14:paraId="1513473B" w14:textId="77777777" w:rsidTr="00445A6C">
              <w:trPr>
                <w:cantSplit/>
                <w:trHeight w:val="397"/>
                <w:jc w:val="center"/>
              </w:trPr>
              <w:tc>
                <w:tcPr>
                  <w:tcW w:w="708" w:type="dxa"/>
                  <w:vMerge w:val="restart"/>
                  <w:vAlign w:val="center"/>
                </w:tcPr>
                <w:p w14:paraId="15134736" w14:textId="77777777" w:rsidR="008739EB" w:rsidRPr="008819AF" w:rsidRDefault="008739EB" w:rsidP="00445A6C">
                  <w:pPr>
                    <w:widowControl w:val="0"/>
                    <w:jc w:val="both"/>
                    <w:rPr>
                      <w:b/>
                      <w:sz w:val="18"/>
                      <w:szCs w:val="18"/>
                    </w:rPr>
                  </w:pPr>
                  <w:r w:rsidRPr="008819AF">
                    <w:rPr>
                      <w:b/>
                      <w:sz w:val="18"/>
                      <w:szCs w:val="18"/>
                    </w:rPr>
                    <w:t>VII</w:t>
                  </w:r>
                </w:p>
              </w:tc>
              <w:tc>
                <w:tcPr>
                  <w:tcW w:w="1986" w:type="dxa"/>
                  <w:vMerge w:val="restart"/>
                  <w:vAlign w:val="center"/>
                </w:tcPr>
                <w:p w14:paraId="15134737" w14:textId="77777777" w:rsidR="008739EB" w:rsidRPr="008819AF" w:rsidRDefault="008739EB" w:rsidP="00445A6C">
                  <w:pPr>
                    <w:widowControl w:val="0"/>
                    <w:jc w:val="both"/>
                    <w:rPr>
                      <w:sz w:val="18"/>
                      <w:szCs w:val="18"/>
                    </w:rPr>
                  </w:pPr>
                  <w:r w:rsidRPr="008819AF">
                    <w:rPr>
                      <w:sz w:val="18"/>
                      <w:szCs w:val="18"/>
                    </w:rPr>
                    <w:t>Povrchová úprava drôtov s priemerom</w:t>
                  </w:r>
                </w:p>
              </w:tc>
              <w:tc>
                <w:tcPr>
                  <w:tcW w:w="1560" w:type="dxa"/>
                  <w:vAlign w:val="center"/>
                </w:tcPr>
                <w:p w14:paraId="15134738" w14:textId="77777777" w:rsidR="008739EB" w:rsidRPr="008819AF" w:rsidRDefault="008739EB" w:rsidP="00445A6C">
                  <w:pPr>
                    <w:widowControl w:val="0"/>
                    <w:ind w:left="-70" w:right="-70"/>
                    <w:jc w:val="center"/>
                    <w:rPr>
                      <w:sz w:val="18"/>
                      <w:szCs w:val="18"/>
                    </w:rPr>
                  </w:pPr>
                  <w:r w:rsidRPr="008819AF">
                    <w:rPr>
                      <w:sz w:val="18"/>
                      <w:szCs w:val="18"/>
                      <w:u w:val="single"/>
                    </w:rPr>
                    <w:t>&lt;</w:t>
                  </w:r>
                  <w:r w:rsidRPr="008819AF">
                    <w:rPr>
                      <w:sz w:val="18"/>
                      <w:szCs w:val="18"/>
                    </w:rPr>
                    <w:t xml:space="preserve"> </w:t>
                  </w:r>
                  <w:smartTag w:uri="urn:schemas-microsoft-com:office:smarttags" w:element="metricconverter">
                    <w:smartTagPr>
                      <w:attr w:name="ProductID" w:val="0,1 mm"/>
                    </w:smartTagPr>
                    <w:r w:rsidRPr="008819AF">
                      <w:rPr>
                        <w:sz w:val="18"/>
                        <w:szCs w:val="18"/>
                      </w:rPr>
                      <w:t>0,1 mm</w:t>
                    </w:r>
                  </w:smartTag>
                </w:p>
              </w:tc>
              <w:tc>
                <w:tcPr>
                  <w:tcW w:w="2004" w:type="dxa"/>
                  <w:vAlign w:val="center"/>
                </w:tcPr>
                <w:p w14:paraId="15134739" w14:textId="77777777" w:rsidR="008739EB" w:rsidRPr="008819AF" w:rsidRDefault="008739EB" w:rsidP="00445A6C">
                  <w:pPr>
                    <w:widowControl w:val="0"/>
                    <w:jc w:val="center"/>
                    <w:rPr>
                      <w:sz w:val="18"/>
                      <w:szCs w:val="18"/>
                    </w:rPr>
                  </w:pPr>
                  <w:r w:rsidRPr="008819AF">
                    <w:rPr>
                      <w:sz w:val="18"/>
                      <w:szCs w:val="18"/>
                    </w:rPr>
                    <w:t>&gt; 5</w:t>
                  </w:r>
                </w:p>
              </w:tc>
              <w:tc>
                <w:tcPr>
                  <w:tcW w:w="2817" w:type="dxa"/>
                  <w:vAlign w:val="center"/>
                </w:tcPr>
                <w:p w14:paraId="1513473A" w14:textId="77777777" w:rsidR="008739EB" w:rsidRPr="008819AF" w:rsidRDefault="008739EB" w:rsidP="00445A6C">
                  <w:pPr>
                    <w:widowControl w:val="0"/>
                    <w:jc w:val="center"/>
                    <w:rPr>
                      <w:sz w:val="18"/>
                      <w:szCs w:val="18"/>
                    </w:rPr>
                  </w:pPr>
                  <w:r w:rsidRPr="008819AF">
                    <w:rPr>
                      <w:sz w:val="18"/>
                      <w:szCs w:val="18"/>
                    </w:rPr>
                    <w:t>10</w:t>
                  </w:r>
                </w:p>
              </w:tc>
            </w:tr>
            <w:tr w:rsidR="008739EB" w:rsidRPr="008819AF" w14:paraId="15134741" w14:textId="77777777" w:rsidTr="00445A6C">
              <w:trPr>
                <w:cantSplit/>
                <w:trHeight w:val="397"/>
                <w:jc w:val="center"/>
              </w:trPr>
              <w:tc>
                <w:tcPr>
                  <w:tcW w:w="708" w:type="dxa"/>
                  <w:vMerge/>
                  <w:vAlign w:val="center"/>
                </w:tcPr>
                <w:p w14:paraId="1513473C" w14:textId="77777777" w:rsidR="008739EB" w:rsidRPr="008819AF" w:rsidRDefault="008739EB" w:rsidP="00445A6C">
                  <w:pPr>
                    <w:widowControl w:val="0"/>
                    <w:rPr>
                      <w:b/>
                      <w:sz w:val="18"/>
                      <w:szCs w:val="18"/>
                    </w:rPr>
                  </w:pPr>
                </w:p>
              </w:tc>
              <w:tc>
                <w:tcPr>
                  <w:tcW w:w="1986" w:type="dxa"/>
                  <w:vMerge/>
                  <w:vAlign w:val="center"/>
                </w:tcPr>
                <w:p w14:paraId="1513473D" w14:textId="77777777" w:rsidR="008739EB" w:rsidRPr="008819AF" w:rsidRDefault="008739EB" w:rsidP="00445A6C">
                  <w:pPr>
                    <w:widowControl w:val="0"/>
                    <w:rPr>
                      <w:sz w:val="18"/>
                      <w:szCs w:val="18"/>
                    </w:rPr>
                  </w:pPr>
                </w:p>
              </w:tc>
              <w:tc>
                <w:tcPr>
                  <w:tcW w:w="1560" w:type="dxa"/>
                  <w:vAlign w:val="center"/>
                </w:tcPr>
                <w:p w14:paraId="1513473E" w14:textId="77777777" w:rsidR="008739EB" w:rsidRPr="008819AF" w:rsidRDefault="008739EB" w:rsidP="00445A6C">
                  <w:pPr>
                    <w:widowControl w:val="0"/>
                    <w:jc w:val="center"/>
                    <w:rPr>
                      <w:b/>
                      <w:sz w:val="18"/>
                      <w:szCs w:val="18"/>
                    </w:rPr>
                  </w:pPr>
                  <w:r w:rsidRPr="008819AF">
                    <w:rPr>
                      <w:sz w:val="18"/>
                      <w:szCs w:val="18"/>
                    </w:rPr>
                    <w:t xml:space="preserve">&gt; </w:t>
                  </w:r>
                  <w:smartTag w:uri="urn:schemas-microsoft-com:office:smarttags" w:element="metricconverter">
                    <w:smartTagPr>
                      <w:attr w:name="ProductID" w:val="0,1 mm"/>
                    </w:smartTagPr>
                    <w:r w:rsidRPr="008819AF">
                      <w:rPr>
                        <w:sz w:val="18"/>
                        <w:szCs w:val="18"/>
                      </w:rPr>
                      <w:t>0,1 mm</w:t>
                    </w:r>
                  </w:smartTag>
                </w:p>
              </w:tc>
              <w:tc>
                <w:tcPr>
                  <w:tcW w:w="2004" w:type="dxa"/>
                  <w:vAlign w:val="center"/>
                </w:tcPr>
                <w:p w14:paraId="1513473F" w14:textId="77777777" w:rsidR="008739EB" w:rsidRPr="008819AF" w:rsidRDefault="008739EB" w:rsidP="00445A6C">
                  <w:pPr>
                    <w:widowControl w:val="0"/>
                    <w:jc w:val="center"/>
                    <w:rPr>
                      <w:b/>
                      <w:sz w:val="18"/>
                      <w:szCs w:val="18"/>
                    </w:rPr>
                  </w:pPr>
                  <w:r w:rsidRPr="008819AF">
                    <w:rPr>
                      <w:sz w:val="18"/>
                      <w:szCs w:val="18"/>
                    </w:rPr>
                    <w:t>&gt; 5</w:t>
                  </w:r>
                </w:p>
              </w:tc>
              <w:tc>
                <w:tcPr>
                  <w:tcW w:w="2817" w:type="dxa"/>
                  <w:vAlign w:val="center"/>
                </w:tcPr>
                <w:p w14:paraId="15134740" w14:textId="77777777" w:rsidR="008739EB" w:rsidRPr="008819AF" w:rsidRDefault="008739EB" w:rsidP="00445A6C">
                  <w:pPr>
                    <w:widowControl w:val="0"/>
                    <w:jc w:val="center"/>
                    <w:rPr>
                      <w:sz w:val="18"/>
                      <w:szCs w:val="18"/>
                    </w:rPr>
                  </w:pPr>
                  <w:r w:rsidRPr="008819AF">
                    <w:rPr>
                      <w:sz w:val="18"/>
                      <w:szCs w:val="18"/>
                    </w:rPr>
                    <w:t>5</w:t>
                  </w:r>
                </w:p>
              </w:tc>
            </w:tr>
          </w:tbl>
          <w:p w14:paraId="15134742" w14:textId="77777777" w:rsidR="004A0AED" w:rsidRPr="008819AF" w:rsidRDefault="008739EB" w:rsidP="008739EB">
            <w:pPr>
              <w:pStyle w:val="Zkladntext2"/>
              <w:spacing w:before="60"/>
              <w:rPr>
                <w:rFonts w:ascii="Times New Roman" w:hAnsi="Times New Roman" w:cs="Times New Roman"/>
              </w:rPr>
            </w:pPr>
            <w:r w:rsidRPr="008819AF">
              <w:rPr>
                <w:rFonts w:ascii="Times New Roman" w:hAnsi="Times New Roman" w:cs="Times New Roman"/>
                <w:sz w:val="20"/>
                <w:szCs w:val="20"/>
                <w:vertAlign w:val="superscript"/>
              </w:rPr>
              <w:t>1</w:t>
            </w:r>
            <w:r w:rsidRPr="008819AF">
              <w:rPr>
                <w:rFonts w:ascii="Times New Roman" w:hAnsi="Times New Roman" w:cs="Times New Roman"/>
                <w:sz w:val="20"/>
                <w:szCs w:val="20"/>
              </w:rPr>
              <w:t>) Podiel hmotnosti celkových emisií VOC a celkovej hmotnosti produktu.</w:t>
            </w:r>
          </w:p>
        </w:tc>
        <w:tc>
          <w:tcPr>
            <w:tcW w:w="709" w:type="dxa"/>
            <w:tcBorders>
              <w:top w:val="single" w:sz="4" w:space="0" w:color="000000"/>
              <w:left w:val="single" w:sz="6" w:space="0" w:color="000000"/>
              <w:bottom w:val="single" w:sz="4" w:space="0" w:color="000000"/>
              <w:right w:val="single" w:sz="6" w:space="0" w:color="000000"/>
            </w:tcBorders>
          </w:tcPr>
          <w:p w14:paraId="15134743" w14:textId="77777777" w:rsidR="004A0AED" w:rsidRPr="008819AF" w:rsidRDefault="004A0AED">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744" w14:textId="77777777" w:rsidR="004A0AED" w:rsidRPr="008819AF" w:rsidRDefault="004A0AED">
            <w:pPr>
              <w:ind w:left="215" w:hanging="215"/>
              <w:rPr>
                <w:rFonts w:eastAsia="Arial"/>
              </w:rPr>
            </w:pPr>
          </w:p>
        </w:tc>
      </w:tr>
      <w:tr w:rsidR="004A0AED" w:rsidRPr="008819AF" w14:paraId="15134771"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746" w14:textId="77777777" w:rsidR="004A0AED" w:rsidRPr="008819AF" w:rsidRDefault="004A0AED">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10</w:t>
            </w:r>
          </w:p>
        </w:tc>
        <w:tc>
          <w:tcPr>
            <w:tcW w:w="5386" w:type="dxa"/>
            <w:tcBorders>
              <w:top w:val="single" w:sz="4" w:space="0" w:color="000000"/>
              <w:left w:val="single" w:sz="6" w:space="0" w:color="000000"/>
              <w:bottom w:val="single" w:sz="4" w:space="0" w:color="000000"/>
              <w:right w:val="single" w:sz="6" w:space="0" w:color="000000"/>
            </w:tcBorders>
          </w:tcPr>
          <w:p w14:paraId="15134747" w14:textId="77777777" w:rsidR="004A0AED" w:rsidRPr="008819AF" w:rsidRDefault="004A0AED">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Povrchová úprava drevených povrchov</w:t>
            </w:r>
          </w:p>
          <w:p w14:paraId="15134748" w14:textId="77777777" w:rsidR="004A0AED" w:rsidRPr="008819AF" w:rsidRDefault="004A0AED">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15)</w:t>
            </w:r>
          </w:p>
        </w:tc>
        <w:tc>
          <w:tcPr>
            <w:tcW w:w="881" w:type="dxa"/>
            <w:tcBorders>
              <w:top w:val="single" w:sz="4" w:space="0" w:color="000000"/>
              <w:left w:val="single" w:sz="6" w:space="0" w:color="000000"/>
              <w:bottom w:val="single" w:sz="4" w:space="0" w:color="000000"/>
              <w:right w:val="single" w:sz="6" w:space="0" w:color="000000"/>
            </w:tcBorders>
          </w:tcPr>
          <w:p w14:paraId="15134749" w14:textId="77777777" w:rsidR="004A0AED" w:rsidRPr="008819AF" w:rsidRDefault="004A0AED">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74A" w14:textId="77777777" w:rsidR="004A0AED" w:rsidRPr="008819AF" w:rsidRDefault="004A0AED">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74B" w14:textId="77777777" w:rsidR="004A0AED" w:rsidRPr="008819AF" w:rsidRDefault="004A0AED" w:rsidP="00445A6C">
            <w:r w:rsidRPr="008819AF">
              <w:t>Pr.6</w:t>
            </w:r>
          </w:p>
          <w:p w14:paraId="1513474C" w14:textId="77777777" w:rsidR="004A0AED" w:rsidRPr="008819AF" w:rsidRDefault="004A0AED" w:rsidP="00445A6C">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74D" w14:textId="77777777" w:rsidR="00785695" w:rsidRPr="008819AF" w:rsidRDefault="00785695" w:rsidP="00785695">
            <w:pPr>
              <w:jc w:val="both"/>
              <w:rPr>
                <w:b/>
              </w:rPr>
            </w:pPr>
            <w:r w:rsidRPr="008819AF">
              <w:rPr>
                <w:b/>
              </w:rPr>
              <w:t>4.   NANÁŠANIE NÁTEROV (IV)</w:t>
            </w:r>
          </w:p>
          <w:p w14:paraId="1513474E" w14:textId="77777777" w:rsidR="008739EB" w:rsidRPr="008819AF" w:rsidRDefault="008739EB">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718"/>
              <w:gridCol w:w="466"/>
              <w:gridCol w:w="466"/>
              <w:gridCol w:w="466"/>
              <w:gridCol w:w="703"/>
              <w:gridCol w:w="703"/>
              <w:gridCol w:w="703"/>
              <w:gridCol w:w="1211"/>
            </w:tblGrid>
            <w:tr w:rsidR="00785695" w:rsidRPr="008819AF" w14:paraId="15134758" w14:textId="77777777" w:rsidTr="00445A6C">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4F" w14:textId="77777777" w:rsidR="00785695" w:rsidRPr="008819AF" w:rsidRDefault="00785695" w:rsidP="00445A6C">
                  <w:pPr>
                    <w:pStyle w:val="Zkladntext2"/>
                    <w:ind w:right="-97"/>
                    <w:rPr>
                      <w:rFonts w:ascii="Times New Roman" w:hAnsi="Times New Roman" w:cs="Times New Roman"/>
                      <w:sz w:val="18"/>
                      <w:szCs w:val="18"/>
                    </w:rPr>
                  </w:pPr>
                  <w:r w:rsidRPr="008819AF">
                    <w:rPr>
                      <w:rFonts w:ascii="Times New Roman" w:hAnsi="Times New Roman" w:cs="Times New Roman"/>
                      <w:b/>
                      <w:sz w:val="18"/>
                      <w:szCs w:val="18"/>
                    </w:rPr>
                    <w:t>IVb</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50" w14:textId="77777777" w:rsidR="00785695" w:rsidRPr="008819AF" w:rsidRDefault="00785695" w:rsidP="00445A6C">
                  <w:pPr>
                    <w:pStyle w:val="Zkladntext2"/>
                    <w:rPr>
                      <w:rFonts w:ascii="Times New Roman" w:hAnsi="Times New Roman" w:cs="Times New Roman"/>
                      <w:sz w:val="18"/>
                      <w:szCs w:val="18"/>
                    </w:rPr>
                  </w:pPr>
                  <w:r w:rsidRPr="008819AF">
                    <w:rPr>
                      <w:rFonts w:ascii="Times New Roman" w:hAnsi="Times New Roman" w:cs="Times New Roman"/>
                      <w:sz w:val="18"/>
                      <w:szCs w:val="18"/>
                    </w:rPr>
                    <w:t>z dreva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51"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52"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53"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54"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55"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100</w:t>
                  </w:r>
                  <w:r w:rsidRPr="008819AF">
                    <w:rPr>
                      <w:rFonts w:ascii="Times New Roman" w:hAnsi="Times New Roman" w:cs="Times New Roman"/>
                      <w:sz w:val="18"/>
                      <w:szCs w:val="18"/>
                      <w:vertAlign w:val="superscript"/>
                    </w:rPr>
                    <w:t>2</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56"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15134757"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1,6</w:t>
                  </w:r>
                </w:p>
              </w:tc>
            </w:tr>
            <w:tr w:rsidR="00785695" w:rsidRPr="008819AF" w14:paraId="15134762"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15134759" w14:textId="77777777" w:rsidR="00785695" w:rsidRPr="008819AF" w:rsidRDefault="00785695" w:rsidP="00445A6C">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1513475A" w14:textId="77777777" w:rsidR="00785695" w:rsidRPr="008819AF" w:rsidRDefault="00785695" w:rsidP="00445A6C">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5B" w14:textId="77777777" w:rsidR="00785695" w:rsidRPr="008819AF" w:rsidRDefault="00785695" w:rsidP="00445A6C">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5C"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5D"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5E"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5F"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60"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15134761"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w:t>
                  </w:r>
                </w:p>
              </w:tc>
            </w:tr>
            <w:tr w:rsidR="00785695" w:rsidRPr="008819AF" w14:paraId="1513476C"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15134763" w14:textId="77777777" w:rsidR="00785695" w:rsidRPr="008819AF" w:rsidRDefault="00785695" w:rsidP="00445A6C">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15134764" w14:textId="77777777" w:rsidR="00785695" w:rsidRPr="008819AF" w:rsidRDefault="00785695" w:rsidP="00445A6C">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65" w14:textId="77777777" w:rsidR="00785695" w:rsidRPr="008819AF" w:rsidRDefault="00785695" w:rsidP="00445A6C">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66"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67"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68"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69"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50/75</w:t>
                  </w:r>
                  <w:r w:rsidRPr="008819AF">
                    <w:rPr>
                      <w:rFonts w:ascii="Times New Roman" w:hAnsi="Times New Roman" w:cs="Times New Roman"/>
                      <w:sz w:val="18"/>
                      <w:szCs w:val="18"/>
                      <w:vertAlign w:val="superscript"/>
                    </w:rPr>
                    <w:t>3</w:t>
                  </w: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6A"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15</w:t>
                  </w:r>
                </w:p>
              </w:tc>
              <w:tc>
                <w:tcPr>
                  <w:tcW w:w="1984" w:type="dxa"/>
                  <w:tcBorders>
                    <w:top w:val="single" w:sz="2" w:space="0" w:color="auto"/>
                    <w:left w:val="single" w:sz="2" w:space="0" w:color="auto"/>
                    <w:bottom w:val="single" w:sz="2" w:space="0" w:color="auto"/>
                    <w:right w:val="single" w:sz="2" w:space="0" w:color="auto"/>
                  </w:tcBorders>
                  <w:vAlign w:val="center"/>
                </w:tcPr>
                <w:p w14:paraId="1513476B"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0,75</w:t>
                  </w:r>
                </w:p>
              </w:tc>
            </w:tr>
          </w:tbl>
          <w:p w14:paraId="1513476D" w14:textId="77777777" w:rsidR="00785695" w:rsidRPr="008819AF" w:rsidRDefault="00785695" w:rsidP="00785695">
            <w:pPr>
              <w:pStyle w:val="Zkladntext2"/>
              <w:ind w:left="270" w:hanging="270"/>
              <w:rPr>
                <w:rFonts w:ascii="Times New Roman" w:hAnsi="Times New Roman" w:cs="Times New Roman"/>
                <w:sz w:val="20"/>
                <w:szCs w:val="20"/>
                <w:vertAlign w:val="superscript"/>
              </w:rPr>
            </w:pPr>
            <w:r w:rsidRPr="008819AF">
              <w:rPr>
                <w:rFonts w:ascii="Times New Roman" w:hAnsi="Times New Roman" w:cs="Times New Roman"/>
                <w:sz w:val="20"/>
                <w:szCs w:val="20"/>
                <w:vertAlign w:val="superscript"/>
              </w:rPr>
              <w:t>2</w:t>
            </w:r>
            <w:r w:rsidRPr="008819AF">
              <w:rPr>
                <w:rFonts w:ascii="Times New Roman" w:hAnsi="Times New Roman" w:cs="Times New Roman"/>
                <w:sz w:val="20"/>
                <w:szCs w:val="20"/>
              </w:rPr>
              <w:t>) Emisný limit pre TOC v odpadovom plyne platí pre procesy nanášania a sušenia prevádzkované za riadených  podmienok.</w:t>
            </w:r>
          </w:p>
          <w:p w14:paraId="1513476E" w14:textId="77777777" w:rsidR="004A0AED" w:rsidRPr="008819AF" w:rsidRDefault="00785695" w:rsidP="00785695">
            <w:pPr>
              <w:pStyle w:val="Zkladntext2"/>
              <w:ind w:left="284" w:hanging="284"/>
              <w:rPr>
                <w:rFonts w:ascii="Times New Roman" w:hAnsi="Times New Roman" w:cs="Times New Roman"/>
              </w:rPr>
            </w:pPr>
            <w:r w:rsidRPr="008819AF">
              <w:rPr>
                <w:rFonts w:ascii="Times New Roman" w:hAnsi="Times New Roman" w:cs="Times New Roman"/>
                <w:sz w:val="20"/>
                <w:szCs w:val="20"/>
                <w:vertAlign w:val="superscript"/>
              </w:rPr>
              <w:t>3</w:t>
            </w:r>
            <w:r w:rsidRPr="008819AF">
              <w:rPr>
                <w:rFonts w:ascii="Times New Roman" w:hAnsi="Times New Roman" w:cs="Times New Roman"/>
                <w:sz w:val="20"/>
                <w:szCs w:val="20"/>
              </w:rPr>
              <w:t>) Prvý emisný limit platí pre procesy sušenia, druhý pre procesy nanášania.</w:t>
            </w:r>
          </w:p>
        </w:tc>
        <w:tc>
          <w:tcPr>
            <w:tcW w:w="709" w:type="dxa"/>
            <w:tcBorders>
              <w:top w:val="single" w:sz="4" w:space="0" w:color="000000"/>
              <w:left w:val="single" w:sz="6" w:space="0" w:color="000000"/>
              <w:bottom w:val="single" w:sz="4" w:space="0" w:color="000000"/>
              <w:right w:val="single" w:sz="6" w:space="0" w:color="000000"/>
            </w:tcBorders>
          </w:tcPr>
          <w:p w14:paraId="1513476F" w14:textId="77777777" w:rsidR="004A0AED" w:rsidRPr="008819AF" w:rsidRDefault="004A0AED">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770" w14:textId="77777777" w:rsidR="004A0AED" w:rsidRPr="008819AF" w:rsidRDefault="004A0AED">
            <w:pPr>
              <w:ind w:left="215" w:hanging="215"/>
              <w:rPr>
                <w:rFonts w:eastAsia="Arial"/>
              </w:rPr>
            </w:pPr>
          </w:p>
        </w:tc>
      </w:tr>
      <w:tr w:rsidR="00F80158" w:rsidRPr="008819AF" w14:paraId="15134791"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77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11</w:t>
            </w:r>
          </w:p>
        </w:tc>
        <w:tc>
          <w:tcPr>
            <w:tcW w:w="5386" w:type="dxa"/>
            <w:tcBorders>
              <w:top w:val="single" w:sz="4" w:space="0" w:color="000000"/>
              <w:left w:val="single" w:sz="6" w:space="0" w:color="000000"/>
              <w:bottom w:val="single" w:sz="4" w:space="0" w:color="000000"/>
              <w:right w:val="single" w:sz="6" w:space="0" w:color="000000"/>
            </w:tcBorders>
          </w:tcPr>
          <w:p w14:paraId="15134773"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Chemické čistenie/čistenie za sucha</w:t>
            </w:r>
          </w:p>
        </w:tc>
        <w:tc>
          <w:tcPr>
            <w:tcW w:w="881" w:type="dxa"/>
            <w:tcBorders>
              <w:top w:val="single" w:sz="4" w:space="0" w:color="000000"/>
              <w:left w:val="single" w:sz="6" w:space="0" w:color="000000"/>
              <w:bottom w:val="single" w:sz="4" w:space="0" w:color="000000"/>
              <w:right w:val="single" w:sz="6" w:space="0" w:color="000000"/>
            </w:tcBorders>
          </w:tcPr>
          <w:p w14:paraId="15134774" w14:textId="77777777" w:rsidR="007170C3" w:rsidRPr="008819AF" w:rsidRDefault="00785695">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775"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776" w14:textId="77777777" w:rsidR="00785695" w:rsidRPr="008819AF" w:rsidRDefault="00785695" w:rsidP="00785695">
            <w:r w:rsidRPr="008819AF">
              <w:t>Pr.6</w:t>
            </w:r>
          </w:p>
          <w:p w14:paraId="15134777" w14:textId="77777777" w:rsidR="007170C3" w:rsidRPr="008819AF" w:rsidRDefault="00785695" w:rsidP="00785695">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778" w14:textId="77777777" w:rsidR="00785695" w:rsidRPr="008819AF" w:rsidRDefault="00785695" w:rsidP="00785695">
            <w:pPr>
              <w:jc w:val="both"/>
              <w:rPr>
                <w:b/>
              </w:rPr>
            </w:pPr>
            <w:r w:rsidRPr="008819AF">
              <w:rPr>
                <w:b/>
              </w:rPr>
              <w:t>3.   CHEMICKÉ ČISTENIE (III)</w:t>
            </w:r>
          </w:p>
          <w:p w14:paraId="15134779" w14:textId="77777777" w:rsidR="00785695" w:rsidRPr="008819AF" w:rsidRDefault="00785695" w:rsidP="00785695">
            <w:pPr>
              <w:pStyle w:val="Zkladntext2"/>
              <w:ind w:left="709" w:hanging="709"/>
              <w:rPr>
                <w:rFonts w:ascii="Times New Roman" w:hAnsi="Times New Roman" w:cs="Times New Roman"/>
                <w:b/>
                <w:strike/>
                <w:sz w:val="20"/>
                <w:szCs w:val="20"/>
              </w:rPr>
            </w:pPr>
            <w:r w:rsidRPr="008819AF">
              <w:rPr>
                <w:rFonts w:ascii="Times New Roman" w:hAnsi="Times New Roman" w:cs="Times New Roman"/>
                <w:b/>
                <w:sz w:val="20"/>
                <w:szCs w:val="20"/>
              </w:rPr>
              <w:t xml:space="preserve">3.2  Prahová spotreba rozpúšťadiel a emisný limit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48"/>
              <w:gridCol w:w="1602"/>
              <w:gridCol w:w="1260"/>
              <w:gridCol w:w="2498"/>
            </w:tblGrid>
            <w:tr w:rsidR="00785695" w:rsidRPr="008819AF" w14:paraId="1513477C" w14:textId="77777777" w:rsidTr="00445A6C">
              <w:trPr>
                <w:cantSplit/>
                <w:trHeight w:val="853"/>
                <w:jc w:val="center"/>
              </w:trPr>
              <w:tc>
                <w:tcPr>
                  <w:tcW w:w="3189" w:type="dxa"/>
                  <w:gridSpan w:val="2"/>
                  <w:vAlign w:val="center"/>
                </w:tcPr>
                <w:p w14:paraId="1513477A" w14:textId="77777777" w:rsidR="00785695" w:rsidRPr="008819AF" w:rsidRDefault="00785695" w:rsidP="00445A6C">
                  <w:pPr>
                    <w:pStyle w:val="Normln"/>
                    <w:keepNext/>
                    <w:rPr>
                      <w:b/>
                      <w:sz w:val="18"/>
                      <w:szCs w:val="18"/>
                      <w:lang w:val="sk-SK"/>
                    </w:rPr>
                  </w:pPr>
                  <w:r w:rsidRPr="008819AF">
                    <w:rPr>
                      <w:b/>
                      <w:sz w:val="18"/>
                      <w:szCs w:val="18"/>
                      <w:lang w:val="sk-SK"/>
                    </w:rPr>
                    <w:t>Podmienky platnosti EL</w:t>
                  </w:r>
                </w:p>
              </w:tc>
              <w:tc>
                <w:tcPr>
                  <w:tcW w:w="6021" w:type="dxa"/>
                  <w:gridSpan w:val="2"/>
                  <w:vAlign w:val="center"/>
                </w:tcPr>
                <w:p w14:paraId="1513477B" w14:textId="77777777" w:rsidR="00785695" w:rsidRPr="008819AF" w:rsidRDefault="00785695" w:rsidP="00785695">
                  <w:pPr>
                    <w:pStyle w:val="Normln"/>
                    <w:widowControl w:val="0"/>
                    <w:rPr>
                      <w:sz w:val="18"/>
                      <w:szCs w:val="18"/>
                      <w:lang w:val="sk-SK"/>
                    </w:rPr>
                  </w:pPr>
                  <w:r w:rsidRPr="008819AF">
                    <w:rPr>
                      <w:sz w:val="18"/>
                      <w:szCs w:val="18"/>
                      <w:lang w:val="sk-SK"/>
                    </w:rPr>
                    <w:t>Pre  organické rozpúšťadlo  s obsahom VOC  podľa § 28 ods. 1 písm. b) sa emisný limit pre VOC podľa  tejto prílohy tretej časti neuplatňuje.</w:t>
                  </w:r>
                </w:p>
              </w:tc>
            </w:tr>
            <w:tr w:rsidR="00785695" w:rsidRPr="008819AF" w14:paraId="15134780" w14:textId="77777777" w:rsidTr="00445A6C">
              <w:trPr>
                <w:cantSplit/>
                <w:jc w:val="center"/>
              </w:trPr>
              <w:tc>
                <w:tcPr>
                  <w:tcW w:w="3189" w:type="dxa"/>
                  <w:gridSpan w:val="2"/>
                  <w:vMerge w:val="restart"/>
                  <w:vAlign w:val="center"/>
                </w:tcPr>
                <w:p w14:paraId="1513477D" w14:textId="77777777" w:rsidR="00785695" w:rsidRPr="008819AF" w:rsidRDefault="00785695"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Činnosť</w:t>
                  </w:r>
                </w:p>
              </w:tc>
              <w:tc>
                <w:tcPr>
                  <w:tcW w:w="1984" w:type="dxa"/>
                  <w:vMerge w:val="restart"/>
                  <w:vAlign w:val="center"/>
                </w:tcPr>
                <w:p w14:paraId="1513477E" w14:textId="77777777" w:rsidR="00785695" w:rsidRPr="008819AF" w:rsidRDefault="00785695" w:rsidP="00785695">
                  <w:pPr>
                    <w:widowControl w:val="0"/>
                    <w:jc w:val="center"/>
                    <w:rPr>
                      <w:b/>
                      <w:sz w:val="18"/>
                      <w:szCs w:val="18"/>
                    </w:rPr>
                  </w:pPr>
                  <w:r w:rsidRPr="008819AF">
                    <w:rPr>
                      <w:b/>
                      <w:sz w:val="18"/>
                      <w:szCs w:val="18"/>
                    </w:rPr>
                    <w:t xml:space="preserve">Prahová spotreba </w:t>
                  </w:r>
                  <w:r w:rsidRPr="008819AF">
                    <w:rPr>
                      <w:b/>
                      <w:sz w:val="18"/>
                      <w:szCs w:val="18"/>
                    </w:rPr>
                    <w:lastRenderedPageBreak/>
                    <w:t xml:space="preserve">rozpúšťadla </w:t>
                  </w:r>
                  <w:r w:rsidRPr="008819AF">
                    <w:rPr>
                      <w:b/>
                      <w:sz w:val="18"/>
                      <w:szCs w:val="18"/>
                    </w:rPr>
                    <w:sym w:font="Symbol" w:char="F05B"/>
                  </w:r>
                  <w:r w:rsidRPr="008819AF">
                    <w:rPr>
                      <w:b/>
                      <w:sz w:val="18"/>
                      <w:szCs w:val="18"/>
                    </w:rPr>
                    <w:t>t/rok</w:t>
                  </w:r>
                  <w:r w:rsidRPr="008819AF">
                    <w:rPr>
                      <w:b/>
                      <w:sz w:val="18"/>
                      <w:szCs w:val="18"/>
                    </w:rPr>
                    <w:sym w:font="Symbol" w:char="F05D"/>
                  </w:r>
                </w:p>
              </w:tc>
              <w:tc>
                <w:tcPr>
                  <w:tcW w:w="4037" w:type="dxa"/>
                  <w:vAlign w:val="center"/>
                </w:tcPr>
                <w:p w14:paraId="1513477F" w14:textId="77777777" w:rsidR="00785695" w:rsidRPr="008819AF" w:rsidRDefault="00785695"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lastRenderedPageBreak/>
                    <w:t>Emisný limit</w:t>
                  </w:r>
                </w:p>
              </w:tc>
            </w:tr>
            <w:tr w:rsidR="00785695" w:rsidRPr="008819AF" w14:paraId="15134784" w14:textId="77777777" w:rsidTr="00445A6C">
              <w:trPr>
                <w:cantSplit/>
                <w:trHeight w:val="178"/>
                <w:jc w:val="center"/>
              </w:trPr>
              <w:tc>
                <w:tcPr>
                  <w:tcW w:w="3189" w:type="dxa"/>
                  <w:gridSpan w:val="2"/>
                  <w:vMerge/>
                  <w:vAlign w:val="center"/>
                </w:tcPr>
                <w:p w14:paraId="15134781" w14:textId="77777777" w:rsidR="00785695" w:rsidRPr="008819AF" w:rsidRDefault="00785695" w:rsidP="00445A6C">
                  <w:pPr>
                    <w:rPr>
                      <w:b/>
                      <w:sz w:val="18"/>
                      <w:szCs w:val="18"/>
                    </w:rPr>
                  </w:pPr>
                </w:p>
              </w:tc>
              <w:tc>
                <w:tcPr>
                  <w:tcW w:w="1984" w:type="dxa"/>
                  <w:vMerge/>
                  <w:vAlign w:val="center"/>
                </w:tcPr>
                <w:p w14:paraId="15134782" w14:textId="77777777" w:rsidR="00785695" w:rsidRPr="008819AF" w:rsidRDefault="00785695" w:rsidP="00445A6C">
                  <w:pPr>
                    <w:rPr>
                      <w:b/>
                      <w:sz w:val="18"/>
                      <w:szCs w:val="18"/>
                    </w:rPr>
                  </w:pPr>
                </w:p>
              </w:tc>
              <w:tc>
                <w:tcPr>
                  <w:tcW w:w="4037" w:type="dxa"/>
                  <w:vAlign w:val="center"/>
                </w:tcPr>
                <w:p w14:paraId="15134783" w14:textId="77777777" w:rsidR="00785695" w:rsidRPr="008819AF" w:rsidRDefault="00785695" w:rsidP="00445A6C">
                  <w:pPr>
                    <w:pStyle w:val="Zkladntext2"/>
                    <w:jc w:val="center"/>
                    <w:rPr>
                      <w:rFonts w:ascii="Times New Roman" w:hAnsi="Times New Roman" w:cs="Times New Roman"/>
                      <w:b/>
                      <w:sz w:val="18"/>
                      <w:szCs w:val="18"/>
                      <w:vertAlign w:val="superscript"/>
                    </w:rPr>
                  </w:pPr>
                  <w:r w:rsidRPr="008819AF">
                    <w:rPr>
                      <w:rFonts w:ascii="Times New Roman" w:hAnsi="Times New Roman" w:cs="Times New Roman"/>
                      <w:b/>
                      <w:sz w:val="18"/>
                      <w:szCs w:val="18"/>
                    </w:rPr>
                    <w:t>Celkové emisie</w:t>
                  </w:r>
                  <w:r w:rsidRPr="008819AF">
                    <w:rPr>
                      <w:rFonts w:ascii="Times New Roman" w:hAnsi="Times New Roman" w:cs="Times New Roman"/>
                      <w:b/>
                      <w:sz w:val="18"/>
                      <w:szCs w:val="18"/>
                      <w:vertAlign w:val="superscript"/>
                    </w:rPr>
                    <w:t>1</w:t>
                  </w:r>
                  <w:r w:rsidRPr="008819AF">
                    <w:rPr>
                      <w:rFonts w:ascii="Times New Roman" w:hAnsi="Times New Roman" w:cs="Times New Roman"/>
                      <w:b/>
                      <w:sz w:val="18"/>
                      <w:szCs w:val="18"/>
                    </w:rPr>
                    <w:t xml:space="preserve">)  </w:t>
                  </w:r>
                </w:p>
              </w:tc>
            </w:tr>
            <w:tr w:rsidR="00785695" w:rsidRPr="008819AF" w14:paraId="15134788" w14:textId="77777777" w:rsidTr="00445A6C">
              <w:trPr>
                <w:cantSplit/>
                <w:trHeight w:val="292"/>
                <w:jc w:val="center"/>
              </w:trPr>
              <w:tc>
                <w:tcPr>
                  <w:tcW w:w="3189" w:type="dxa"/>
                  <w:gridSpan w:val="2"/>
                  <w:vMerge/>
                  <w:vAlign w:val="center"/>
                </w:tcPr>
                <w:p w14:paraId="15134785" w14:textId="77777777" w:rsidR="00785695" w:rsidRPr="008819AF" w:rsidRDefault="00785695" w:rsidP="00445A6C">
                  <w:pPr>
                    <w:rPr>
                      <w:b/>
                      <w:sz w:val="18"/>
                      <w:szCs w:val="18"/>
                    </w:rPr>
                  </w:pPr>
                </w:p>
              </w:tc>
              <w:tc>
                <w:tcPr>
                  <w:tcW w:w="1984" w:type="dxa"/>
                  <w:vMerge/>
                  <w:vAlign w:val="center"/>
                </w:tcPr>
                <w:p w14:paraId="15134786" w14:textId="77777777" w:rsidR="00785695" w:rsidRPr="008819AF" w:rsidRDefault="00785695" w:rsidP="00445A6C">
                  <w:pPr>
                    <w:rPr>
                      <w:b/>
                      <w:sz w:val="18"/>
                      <w:szCs w:val="18"/>
                    </w:rPr>
                  </w:pPr>
                </w:p>
              </w:tc>
              <w:tc>
                <w:tcPr>
                  <w:tcW w:w="4037" w:type="dxa"/>
                  <w:vAlign w:val="center"/>
                </w:tcPr>
                <w:p w14:paraId="15134787" w14:textId="77777777" w:rsidR="00785695" w:rsidRPr="008819AF" w:rsidRDefault="00785695"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g/kg</w:t>
                  </w:r>
                  <w:r w:rsidRPr="008819AF">
                    <w:rPr>
                      <w:rFonts w:ascii="Times New Roman" w:hAnsi="Times New Roman" w:cs="Times New Roman"/>
                      <w:b/>
                      <w:sz w:val="18"/>
                      <w:szCs w:val="18"/>
                    </w:rPr>
                    <w:sym w:font="Symbol" w:char="F05D"/>
                  </w:r>
                </w:p>
              </w:tc>
            </w:tr>
            <w:tr w:rsidR="00785695" w:rsidRPr="008819AF" w14:paraId="1513478D" w14:textId="77777777" w:rsidTr="00445A6C">
              <w:trPr>
                <w:cantSplit/>
                <w:trHeight w:val="448"/>
                <w:jc w:val="center"/>
              </w:trPr>
              <w:tc>
                <w:tcPr>
                  <w:tcW w:w="637" w:type="dxa"/>
                  <w:vAlign w:val="center"/>
                </w:tcPr>
                <w:p w14:paraId="15134789" w14:textId="77777777" w:rsidR="00785695" w:rsidRPr="008819AF" w:rsidRDefault="00785695"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III</w:t>
                  </w:r>
                </w:p>
              </w:tc>
              <w:tc>
                <w:tcPr>
                  <w:tcW w:w="2552" w:type="dxa"/>
                  <w:vAlign w:val="center"/>
                </w:tcPr>
                <w:p w14:paraId="1513478A" w14:textId="77777777" w:rsidR="00785695" w:rsidRPr="008819AF" w:rsidRDefault="00785695" w:rsidP="00445A6C">
                  <w:pPr>
                    <w:pStyle w:val="Zkladntext2"/>
                    <w:rPr>
                      <w:rFonts w:ascii="Times New Roman" w:hAnsi="Times New Roman" w:cs="Times New Roman"/>
                      <w:sz w:val="18"/>
                      <w:szCs w:val="18"/>
                    </w:rPr>
                  </w:pPr>
                  <w:r w:rsidRPr="008819AF">
                    <w:rPr>
                      <w:rFonts w:ascii="Times New Roman" w:hAnsi="Times New Roman" w:cs="Times New Roman"/>
                      <w:sz w:val="18"/>
                      <w:szCs w:val="18"/>
                    </w:rPr>
                    <w:t>Chemické čistenie odevov</w:t>
                  </w:r>
                </w:p>
              </w:tc>
              <w:tc>
                <w:tcPr>
                  <w:tcW w:w="1984" w:type="dxa"/>
                  <w:vAlign w:val="center"/>
                </w:tcPr>
                <w:p w14:paraId="1513478B" w14:textId="77777777" w:rsidR="00785695" w:rsidRPr="008819AF" w:rsidRDefault="00785695"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0</w:t>
                  </w:r>
                </w:p>
              </w:tc>
              <w:tc>
                <w:tcPr>
                  <w:tcW w:w="4037" w:type="dxa"/>
                  <w:vAlign w:val="center"/>
                </w:tcPr>
                <w:p w14:paraId="1513478C" w14:textId="77777777" w:rsidR="00785695" w:rsidRPr="008819AF" w:rsidRDefault="00785695"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20</w:t>
                  </w:r>
                </w:p>
              </w:tc>
            </w:tr>
          </w:tbl>
          <w:p w14:paraId="1513478E" w14:textId="77777777" w:rsidR="007170C3" w:rsidRPr="008819AF" w:rsidRDefault="00785695" w:rsidP="00785695">
            <w:pPr>
              <w:pStyle w:val="Zkladntext2"/>
              <w:ind w:left="284" w:hanging="284"/>
              <w:rPr>
                <w:rFonts w:ascii="Times New Roman" w:hAnsi="Times New Roman" w:cs="Times New Roman"/>
              </w:rPr>
            </w:pPr>
            <w:r w:rsidRPr="008819AF">
              <w:rPr>
                <w:rFonts w:ascii="Times New Roman" w:hAnsi="Times New Roman" w:cs="Times New Roman"/>
                <w:sz w:val="20"/>
                <w:szCs w:val="20"/>
                <w:vertAlign w:val="superscript"/>
              </w:rPr>
              <w:t>1</w:t>
            </w:r>
            <w:r w:rsidRPr="008819AF">
              <w:rPr>
                <w:rFonts w:ascii="Times New Roman" w:hAnsi="Times New Roman" w:cs="Times New Roman"/>
                <w:sz w:val="20"/>
                <w:szCs w:val="20"/>
              </w:rPr>
              <w:t>) Podiel hmotnosti organického rozpúšťadla a  celkovej hmotnosti vyčisteného a vysušeného produktu.</w:t>
            </w:r>
          </w:p>
        </w:tc>
        <w:tc>
          <w:tcPr>
            <w:tcW w:w="709" w:type="dxa"/>
            <w:tcBorders>
              <w:top w:val="single" w:sz="4" w:space="0" w:color="000000"/>
              <w:left w:val="single" w:sz="6" w:space="0" w:color="000000"/>
              <w:bottom w:val="single" w:sz="4" w:space="0" w:color="000000"/>
              <w:right w:val="single" w:sz="6" w:space="0" w:color="000000"/>
            </w:tcBorders>
          </w:tcPr>
          <w:p w14:paraId="1513478F"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790" w14:textId="77777777" w:rsidR="007170C3" w:rsidRPr="008819AF" w:rsidRDefault="007170C3">
            <w:pPr>
              <w:ind w:left="215" w:hanging="215"/>
              <w:rPr>
                <w:rFonts w:eastAsia="Arial"/>
              </w:rPr>
            </w:pPr>
          </w:p>
        </w:tc>
      </w:tr>
      <w:tr w:rsidR="00F80158" w:rsidRPr="008819AF" w14:paraId="151347C3"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79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w:t>
            </w:r>
          </w:p>
        </w:tc>
        <w:tc>
          <w:tcPr>
            <w:tcW w:w="5386" w:type="dxa"/>
            <w:tcBorders>
              <w:top w:val="single" w:sz="4" w:space="0" w:color="000000"/>
              <w:left w:val="single" w:sz="6" w:space="0" w:color="000000"/>
              <w:bottom w:val="single" w:sz="4" w:space="0" w:color="000000"/>
              <w:right w:val="single" w:sz="6" w:space="0" w:color="000000"/>
            </w:tcBorders>
          </w:tcPr>
          <w:p w14:paraId="15134793"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Impregnácia dreva</w:t>
            </w:r>
          </w:p>
          <w:p w14:paraId="15134794"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25)</w:t>
            </w:r>
          </w:p>
        </w:tc>
        <w:tc>
          <w:tcPr>
            <w:tcW w:w="881" w:type="dxa"/>
            <w:tcBorders>
              <w:top w:val="single" w:sz="4" w:space="0" w:color="000000"/>
              <w:left w:val="single" w:sz="6" w:space="0" w:color="000000"/>
              <w:bottom w:val="single" w:sz="4" w:space="0" w:color="000000"/>
              <w:right w:val="single" w:sz="6" w:space="0" w:color="000000"/>
            </w:tcBorders>
          </w:tcPr>
          <w:p w14:paraId="15134795" w14:textId="77777777" w:rsidR="007170C3" w:rsidRPr="008819AF" w:rsidRDefault="00785695">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796"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797" w14:textId="77777777" w:rsidR="00785695" w:rsidRPr="008819AF" w:rsidRDefault="00785695" w:rsidP="00785695">
            <w:r w:rsidRPr="008819AF">
              <w:t>Pr.6</w:t>
            </w:r>
          </w:p>
          <w:p w14:paraId="15134798" w14:textId="77777777" w:rsidR="007170C3" w:rsidRPr="008819AF" w:rsidRDefault="00785695" w:rsidP="00785695">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799" w14:textId="77777777" w:rsidR="00785695" w:rsidRPr="008819AF" w:rsidRDefault="00785695" w:rsidP="00785695">
            <w:pPr>
              <w:jc w:val="both"/>
              <w:rPr>
                <w:b/>
              </w:rPr>
            </w:pPr>
            <w:r w:rsidRPr="008819AF">
              <w:rPr>
                <w:b/>
              </w:rPr>
              <w:t>14.  IMPREGNÁCIA DREVA (XIV)</w:t>
            </w:r>
          </w:p>
          <w:p w14:paraId="1513479A" w14:textId="77777777" w:rsidR="00785695" w:rsidRPr="008819AF" w:rsidRDefault="00785695" w:rsidP="00785695">
            <w:pPr>
              <w:jc w:val="both"/>
            </w:pPr>
            <w:r w:rsidRPr="008819AF">
              <w:t xml:space="preserve">       Činnosť súvisiaca s konzerváciou dreva.</w:t>
            </w:r>
          </w:p>
          <w:p w14:paraId="1513479B" w14:textId="77777777" w:rsidR="00785695" w:rsidRPr="008819AF" w:rsidRDefault="00785695" w:rsidP="00785695">
            <w:pPr>
              <w:spacing w:after="120"/>
              <w:rPr>
                <w:b/>
              </w:rPr>
            </w:pPr>
            <w:r w:rsidRPr="008819AF">
              <w:rPr>
                <w:b/>
              </w:rPr>
              <w:t>14.1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83"/>
              <w:gridCol w:w="868"/>
              <w:gridCol w:w="517"/>
              <w:gridCol w:w="517"/>
              <w:gridCol w:w="1202"/>
              <w:gridCol w:w="1050"/>
              <w:gridCol w:w="1171"/>
            </w:tblGrid>
            <w:tr w:rsidR="00785695" w:rsidRPr="008819AF" w14:paraId="1513479E" w14:textId="77777777" w:rsidTr="00445A6C">
              <w:trPr>
                <w:cantSplit/>
                <w:trHeight w:val="20"/>
                <w:jc w:val="center"/>
              </w:trPr>
              <w:tc>
                <w:tcPr>
                  <w:tcW w:w="3600" w:type="dxa"/>
                  <w:gridSpan w:val="4"/>
                  <w:vAlign w:val="center"/>
                </w:tcPr>
                <w:p w14:paraId="1513479C" w14:textId="77777777" w:rsidR="00785695" w:rsidRPr="008819AF" w:rsidRDefault="00785695" w:rsidP="00445A6C">
                  <w:pPr>
                    <w:pStyle w:val="Normln"/>
                    <w:keepNext/>
                    <w:rPr>
                      <w:b/>
                      <w:sz w:val="18"/>
                      <w:szCs w:val="18"/>
                      <w:lang w:val="sk-SK"/>
                    </w:rPr>
                  </w:pPr>
                  <w:r w:rsidRPr="008819AF">
                    <w:rPr>
                      <w:sz w:val="18"/>
                      <w:szCs w:val="18"/>
                      <w:lang w:val="sk-SK"/>
                    </w:rPr>
                    <w:t> </w:t>
                  </w:r>
                  <w:r w:rsidRPr="008819AF">
                    <w:rPr>
                      <w:b/>
                      <w:sz w:val="18"/>
                      <w:szCs w:val="18"/>
                      <w:lang w:val="sk-SK"/>
                    </w:rPr>
                    <w:t>Podmienky platnosti EL</w:t>
                  </w:r>
                </w:p>
              </w:tc>
              <w:tc>
                <w:tcPr>
                  <w:tcW w:w="5475" w:type="dxa"/>
                  <w:gridSpan w:val="3"/>
                  <w:vAlign w:val="center"/>
                </w:tcPr>
                <w:p w14:paraId="1513479D" w14:textId="77777777" w:rsidR="00785695" w:rsidRPr="008819AF" w:rsidRDefault="00785695" w:rsidP="00445A6C">
                  <w:pPr>
                    <w:pStyle w:val="Normln"/>
                    <w:keepNext/>
                    <w:rPr>
                      <w:sz w:val="18"/>
                      <w:szCs w:val="18"/>
                      <w:lang w:val="sk-SK"/>
                    </w:rPr>
                  </w:pPr>
                  <w:r w:rsidRPr="008819AF">
                    <w:rPr>
                      <w:sz w:val="18"/>
                      <w:szCs w:val="18"/>
                      <w:lang w:val="sk-SK"/>
                    </w:rPr>
                    <w:t xml:space="preserve">Štandardné stavové podmienky, vlhký plyn </w:t>
                  </w:r>
                </w:p>
              </w:tc>
            </w:tr>
            <w:tr w:rsidR="00785695" w:rsidRPr="008819AF" w14:paraId="151347A2" w14:textId="77777777" w:rsidTr="00445A6C">
              <w:trPr>
                <w:cantSplit/>
                <w:trHeight w:val="20"/>
                <w:jc w:val="center"/>
              </w:trPr>
              <w:tc>
                <w:tcPr>
                  <w:tcW w:w="2070" w:type="dxa"/>
                  <w:gridSpan w:val="2"/>
                  <w:vMerge w:val="restart"/>
                  <w:vAlign w:val="center"/>
                </w:tcPr>
                <w:p w14:paraId="1513479F" w14:textId="77777777" w:rsidR="00785695" w:rsidRPr="008819AF" w:rsidRDefault="00785695" w:rsidP="00445A6C">
                  <w:pPr>
                    <w:keepNext/>
                    <w:jc w:val="both"/>
                    <w:rPr>
                      <w:b/>
                      <w:sz w:val="18"/>
                      <w:szCs w:val="18"/>
                    </w:rPr>
                  </w:pPr>
                  <w:r w:rsidRPr="008819AF">
                    <w:rPr>
                      <w:b/>
                      <w:sz w:val="18"/>
                      <w:szCs w:val="18"/>
                    </w:rPr>
                    <w:t xml:space="preserve"> Činnosť</w:t>
                  </w:r>
                </w:p>
              </w:tc>
              <w:tc>
                <w:tcPr>
                  <w:tcW w:w="1530" w:type="dxa"/>
                  <w:gridSpan w:val="2"/>
                  <w:vMerge w:val="restart"/>
                  <w:vAlign w:val="center"/>
                </w:tcPr>
                <w:p w14:paraId="151347A0" w14:textId="77777777" w:rsidR="00785695" w:rsidRPr="008819AF" w:rsidRDefault="00785695" w:rsidP="00445A6C">
                  <w:pPr>
                    <w:keepNext/>
                    <w:ind w:right="-70"/>
                    <w:jc w:val="center"/>
                    <w:rPr>
                      <w:sz w:val="18"/>
                      <w:szCs w:val="18"/>
                    </w:rPr>
                  </w:pPr>
                  <w:r w:rsidRPr="008819AF">
                    <w:rPr>
                      <w:b/>
                      <w:sz w:val="18"/>
                      <w:szCs w:val="18"/>
                    </w:rPr>
                    <w:t xml:space="preserve">Prahová spotreba rozpúšťadla </w:t>
                  </w:r>
                  <w:r w:rsidRPr="008819AF">
                    <w:rPr>
                      <w:b/>
                      <w:sz w:val="18"/>
                      <w:szCs w:val="18"/>
                    </w:rPr>
                    <w:sym w:font="Symbol" w:char="F05B"/>
                  </w:r>
                  <w:r w:rsidRPr="008819AF">
                    <w:rPr>
                      <w:b/>
                      <w:sz w:val="18"/>
                      <w:szCs w:val="18"/>
                    </w:rPr>
                    <w:t>t/rok</w:t>
                  </w:r>
                  <w:r w:rsidRPr="008819AF">
                    <w:rPr>
                      <w:b/>
                      <w:sz w:val="18"/>
                      <w:szCs w:val="18"/>
                    </w:rPr>
                    <w:sym w:font="Symbol" w:char="F05D"/>
                  </w:r>
                </w:p>
              </w:tc>
              <w:tc>
                <w:tcPr>
                  <w:tcW w:w="5475" w:type="dxa"/>
                  <w:gridSpan w:val="3"/>
                  <w:vAlign w:val="center"/>
                </w:tcPr>
                <w:p w14:paraId="151347A1" w14:textId="77777777" w:rsidR="00785695" w:rsidRPr="008819AF" w:rsidRDefault="00785695" w:rsidP="00445A6C">
                  <w:pPr>
                    <w:keepNext/>
                    <w:jc w:val="center"/>
                    <w:rPr>
                      <w:sz w:val="18"/>
                      <w:szCs w:val="18"/>
                    </w:rPr>
                  </w:pPr>
                  <w:r w:rsidRPr="008819AF">
                    <w:rPr>
                      <w:b/>
                      <w:sz w:val="18"/>
                      <w:szCs w:val="18"/>
                    </w:rPr>
                    <w:t>Emisný limit</w:t>
                  </w:r>
                </w:p>
              </w:tc>
            </w:tr>
            <w:tr w:rsidR="00785695" w:rsidRPr="008819AF" w14:paraId="151347A8" w14:textId="77777777" w:rsidTr="00445A6C">
              <w:trPr>
                <w:cantSplit/>
                <w:trHeight w:val="20"/>
                <w:jc w:val="center"/>
              </w:trPr>
              <w:tc>
                <w:tcPr>
                  <w:tcW w:w="2070" w:type="dxa"/>
                  <w:gridSpan w:val="2"/>
                  <w:vMerge/>
                  <w:vAlign w:val="center"/>
                </w:tcPr>
                <w:p w14:paraId="151347A3" w14:textId="77777777" w:rsidR="00785695" w:rsidRPr="008819AF" w:rsidRDefault="00785695" w:rsidP="00445A6C">
                  <w:pPr>
                    <w:rPr>
                      <w:b/>
                      <w:sz w:val="18"/>
                      <w:szCs w:val="18"/>
                    </w:rPr>
                  </w:pPr>
                </w:p>
              </w:tc>
              <w:tc>
                <w:tcPr>
                  <w:tcW w:w="1530" w:type="dxa"/>
                  <w:gridSpan w:val="2"/>
                  <w:vMerge/>
                  <w:vAlign w:val="center"/>
                </w:tcPr>
                <w:p w14:paraId="151347A4" w14:textId="77777777" w:rsidR="00785695" w:rsidRPr="008819AF" w:rsidRDefault="00785695" w:rsidP="00445A6C">
                  <w:pPr>
                    <w:rPr>
                      <w:sz w:val="18"/>
                      <w:szCs w:val="18"/>
                    </w:rPr>
                  </w:pPr>
                </w:p>
              </w:tc>
              <w:tc>
                <w:tcPr>
                  <w:tcW w:w="1929" w:type="dxa"/>
                  <w:vAlign w:val="center"/>
                </w:tcPr>
                <w:p w14:paraId="151347A5" w14:textId="77777777" w:rsidR="00785695" w:rsidRPr="008819AF" w:rsidRDefault="00785695" w:rsidP="00785695">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Odpadové plyny </w:t>
                  </w:r>
                </w:p>
              </w:tc>
              <w:tc>
                <w:tcPr>
                  <w:tcW w:w="1671" w:type="dxa"/>
                  <w:vAlign w:val="center"/>
                </w:tcPr>
                <w:p w14:paraId="151347A6" w14:textId="77777777" w:rsidR="00785695" w:rsidRPr="008819AF" w:rsidRDefault="00785695" w:rsidP="00785695">
                  <w:pPr>
                    <w:pStyle w:val="Zkladntext2"/>
                    <w:ind w:left="-93" w:right="-70" w:firstLine="0"/>
                    <w:jc w:val="center"/>
                    <w:rPr>
                      <w:rFonts w:ascii="Times New Roman" w:hAnsi="Times New Roman" w:cs="Times New Roman"/>
                      <w:b/>
                      <w:sz w:val="18"/>
                      <w:szCs w:val="18"/>
                    </w:rPr>
                  </w:pPr>
                  <w:r w:rsidRPr="008819AF">
                    <w:rPr>
                      <w:rFonts w:ascii="Times New Roman" w:hAnsi="Times New Roman" w:cs="Times New Roman"/>
                      <w:b/>
                      <w:sz w:val="18"/>
                      <w:szCs w:val="18"/>
                    </w:rPr>
                    <w:t>Fugitívne emisie</w:t>
                  </w:r>
                </w:p>
              </w:tc>
              <w:tc>
                <w:tcPr>
                  <w:tcW w:w="1875" w:type="dxa"/>
                  <w:vAlign w:val="center"/>
                </w:tcPr>
                <w:p w14:paraId="151347A7" w14:textId="77777777" w:rsidR="00785695" w:rsidRPr="008819AF" w:rsidRDefault="00785695" w:rsidP="00445A6C">
                  <w:pPr>
                    <w:keepNext/>
                    <w:ind w:left="-1"/>
                    <w:jc w:val="center"/>
                    <w:rPr>
                      <w:sz w:val="18"/>
                      <w:szCs w:val="18"/>
                    </w:rPr>
                  </w:pPr>
                  <w:r w:rsidRPr="008819AF">
                    <w:rPr>
                      <w:b/>
                      <w:sz w:val="18"/>
                      <w:szCs w:val="18"/>
                    </w:rPr>
                    <w:t>Celkové emisie</w:t>
                  </w:r>
                  <w:r w:rsidRPr="008819AF">
                    <w:rPr>
                      <w:b/>
                      <w:sz w:val="18"/>
                      <w:szCs w:val="18"/>
                      <w:vertAlign w:val="superscript"/>
                    </w:rPr>
                    <w:t>1</w:t>
                  </w:r>
                  <w:r w:rsidRPr="008819AF">
                    <w:rPr>
                      <w:b/>
                      <w:sz w:val="18"/>
                      <w:szCs w:val="18"/>
                    </w:rPr>
                    <w:t>)</w:t>
                  </w:r>
                </w:p>
              </w:tc>
            </w:tr>
            <w:tr w:rsidR="00785695" w:rsidRPr="008819AF" w14:paraId="151347AF" w14:textId="77777777" w:rsidTr="00445A6C">
              <w:trPr>
                <w:cantSplit/>
                <w:trHeight w:val="20"/>
                <w:jc w:val="center"/>
              </w:trPr>
              <w:tc>
                <w:tcPr>
                  <w:tcW w:w="2070" w:type="dxa"/>
                  <w:gridSpan w:val="2"/>
                  <w:vMerge/>
                  <w:vAlign w:val="center"/>
                </w:tcPr>
                <w:p w14:paraId="151347A9" w14:textId="77777777" w:rsidR="00785695" w:rsidRPr="008819AF" w:rsidRDefault="00785695" w:rsidP="00445A6C">
                  <w:pPr>
                    <w:rPr>
                      <w:b/>
                      <w:sz w:val="18"/>
                      <w:szCs w:val="18"/>
                    </w:rPr>
                  </w:pPr>
                </w:p>
              </w:tc>
              <w:tc>
                <w:tcPr>
                  <w:tcW w:w="765" w:type="dxa"/>
                  <w:vAlign w:val="center"/>
                </w:tcPr>
                <w:p w14:paraId="151347AA" w14:textId="77777777" w:rsidR="00785695" w:rsidRPr="008819AF" w:rsidRDefault="00785695" w:rsidP="00445A6C">
                  <w:pPr>
                    <w:jc w:val="center"/>
                    <w:rPr>
                      <w:sz w:val="18"/>
                      <w:szCs w:val="18"/>
                    </w:rPr>
                  </w:pPr>
                  <w:r w:rsidRPr="008819AF">
                    <w:rPr>
                      <w:sz w:val="18"/>
                      <w:szCs w:val="18"/>
                    </w:rPr>
                    <w:t>od</w:t>
                  </w:r>
                </w:p>
              </w:tc>
              <w:tc>
                <w:tcPr>
                  <w:tcW w:w="765" w:type="dxa"/>
                  <w:vAlign w:val="center"/>
                </w:tcPr>
                <w:p w14:paraId="151347AB" w14:textId="77777777" w:rsidR="00785695" w:rsidRPr="008819AF" w:rsidRDefault="00785695" w:rsidP="00445A6C">
                  <w:pPr>
                    <w:jc w:val="center"/>
                    <w:rPr>
                      <w:sz w:val="18"/>
                      <w:szCs w:val="18"/>
                    </w:rPr>
                  </w:pPr>
                  <w:r w:rsidRPr="008819AF">
                    <w:rPr>
                      <w:sz w:val="18"/>
                      <w:szCs w:val="18"/>
                    </w:rPr>
                    <w:t>do</w:t>
                  </w:r>
                </w:p>
              </w:tc>
              <w:tc>
                <w:tcPr>
                  <w:tcW w:w="1929" w:type="dxa"/>
                  <w:vAlign w:val="center"/>
                </w:tcPr>
                <w:p w14:paraId="151347AC" w14:textId="77777777" w:rsidR="00785695" w:rsidRPr="008819AF" w:rsidRDefault="00785695"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 xml:space="preserve">TOC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w:t>
                  </w:r>
                  <w:r w:rsidRPr="008819AF">
                    <w:rPr>
                      <w:rFonts w:ascii="Times New Roman" w:hAnsi="Times New Roman" w:cs="Times New Roman"/>
                      <w:b/>
                      <w:sz w:val="18"/>
                      <w:szCs w:val="18"/>
                      <w:vertAlign w:val="superscript"/>
                    </w:rPr>
                    <w:t>3</w:t>
                  </w:r>
                  <w:r w:rsidRPr="008819AF">
                    <w:rPr>
                      <w:rFonts w:ascii="Times New Roman" w:hAnsi="Times New Roman" w:cs="Times New Roman"/>
                      <w:b/>
                      <w:sz w:val="18"/>
                      <w:szCs w:val="18"/>
                    </w:rPr>
                    <w:sym w:font="Symbol" w:char="F05D"/>
                  </w:r>
                </w:p>
              </w:tc>
              <w:tc>
                <w:tcPr>
                  <w:tcW w:w="1671" w:type="dxa"/>
                  <w:vAlign w:val="center"/>
                </w:tcPr>
                <w:p w14:paraId="151347AD" w14:textId="77777777" w:rsidR="00785695" w:rsidRPr="008819AF" w:rsidRDefault="00785695"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c>
                <w:tcPr>
                  <w:tcW w:w="1875" w:type="dxa"/>
                  <w:vAlign w:val="center"/>
                </w:tcPr>
                <w:p w14:paraId="151347AE" w14:textId="77777777" w:rsidR="00785695" w:rsidRPr="008819AF" w:rsidRDefault="00785695" w:rsidP="00445A6C">
                  <w:pPr>
                    <w:keepNext/>
                    <w:jc w:val="center"/>
                    <w:rPr>
                      <w:sz w:val="18"/>
                      <w:szCs w:val="18"/>
                    </w:rPr>
                  </w:pPr>
                  <w:r w:rsidRPr="008819AF">
                    <w:rPr>
                      <w:b/>
                      <w:sz w:val="18"/>
                      <w:szCs w:val="18"/>
                    </w:rPr>
                    <w:t xml:space="preserve">VOC </w:t>
                  </w:r>
                  <w:r w:rsidRPr="008819AF">
                    <w:rPr>
                      <w:b/>
                      <w:sz w:val="18"/>
                      <w:szCs w:val="18"/>
                    </w:rPr>
                    <w:sym w:font="Symbol" w:char="F05B"/>
                  </w:r>
                  <w:r w:rsidRPr="008819AF">
                    <w:rPr>
                      <w:b/>
                      <w:sz w:val="18"/>
                      <w:szCs w:val="18"/>
                    </w:rPr>
                    <w:t>kg/m</w:t>
                  </w:r>
                  <w:r w:rsidRPr="008819AF">
                    <w:rPr>
                      <w:b/>
                      <w:sz w:val="18"/>
                      <w:szCs w:val="18"/>
                      <w:vertAlign w:val="superscript"/>
                    </w:rPr>
                    <w:t>3</w:t>
                  </w:r>
                  <w:r w:rsidRPr="008819AF">
                    <w:rPr>
                      <w:b/>
                      <w:sz w:val="18"/>
                      <w:szCs w:val="18"/>
                    </w:rPr>
                    <w:sym w:font="Symbol" w:char="F05D"/>
                  </w:r>
                </w:p>
              </w:tc>
            </w:tr>
            <w:tr w:rsidR="00785695" w:rsidRPr="008819AF" w14:paraId="151347B7" w14:textId="77777777" w:rsidTr="00445A6C">
              <w:trPr>
                <w:cantSplit/>
                <w:trHeight w:val="20"/>
                <w:jc w:val="center"/>
              </w:trPr>
              <w:tc>
                <w:tcPr>
                  <w:tcW w:w="708" w:type="dxa"/>
                  <w:vMerge w:val="restart"/>
                  <w:vAlign w:val="center"/>
                </w:tcPr>
                <w:p w14:paraId="151347B0" w14:textId="77777777" w:rsidR="00785695" w:rsidRPr="008819AF" w:rsidRDefault="00785695" w:rsidP="00445A6C">
                  <w:pPr>
                    <w:keepNext/>
                    <w:jc w:val="center"/>
                    <w:rPr>
                      <w:b/>
                      <w:sz w:val="18"/>
                      <w:szCs w:val="18"/>
                    </w:rPr>
                  </w:pPr>
                  <w:r w:rsidRPr="008819AF">
                    <w:rPr>
                      <w:b/>
                      <w:sz w:val="18"/>
                      <w:szCs w:val="18"/>
                    </w:rPr>
                    <w:t>XIV</w:t>
                  </w:r>
                </w:p>
              </w:tc>
              <w:tc>
                <w:tcPr>
                  <w:tcW w:w="1362" w:type="dxa"/>
                  <w:vMerge w:val="restart"/>
                </w:tcPr>
                <w:p w14:paraId="151347B1" w14:textId="77777777" w:rsidR="00785695" w:rsidRPr="008819AF" w:rsidRDefault="00785695" w:rsidP="00445A6C">
                  <w:pPr>
                    <w:keepNext/>
                    <w:jc w:val="both"/>
                    <w:rPr>
                      <w:sz w:val="18"/>
                      <w:szCs w:val="18"/>
                    </w:rPr>
                  </w:pPr>
                </w:p>
              </w:tc>
              <w:tc>
                <w:tcPr>
                  <w:tcW w:w="765" w:type="dxa"/>
                  <w:vAlign w:val="center"/>
                </w:tcPr>
                <w:p w14:paraId="151347B2" w14:textId="77777777" w:rsidR="00785695" w:rsidRPr="008819AF" w:rsidRDefault="00785695" w:rsidP="00445A6C">
                  <w:pPr>
                    <w:keepNext/>
                    <w:jc w:val="center"/>
                    <w:rPr>
                      <w:sz w:val="18"/>
                      <w:szCs w:val="18"/>
                    </w:rPr>
                  </w:pPr>
                  <w:r w:rsidRPr="008819AF">
                    <w:rPr>
                      <w:sz w:val="18"/>
                      <w:szCs w:val="18"/>
                    </w:rPr>
                    <w:t xml:space="preserve">&gt;25 </w:t>
                  </w:r>
                </w:p>
              </w:tc>
              <w:tc>
                <w:tcPr>
                  <w:tcW w:w="765" w:type="dxa"/>
                  <w:vAlign w:val="center"/>
                </w:tcPr>
                <w:p w14:paraId="151347B3" w14:textId="77777777" w:rsidR="00785695" w:rsidRPr="008819AF" w:rsidRDefault="00785695" w:rsidP="00445A6C">
                  <w:pPr>
                    <w:keepNext/>
                    <w:jc w:val="center"/>
                    <w:rPr>
                      <w:sz w:val="18"/>
                      <w:szCs w:val="18"/>
                    </w:rPr>
                  </w:pPr>
                  <w:r w:rsidRPr="008819AF">
                    <w:rPr>
                      <w:sz w:val="18"/>
                      <w:szCs w:val="18"/>
                    </w:rPr>
                    <w:t>≤ 200</w:t>
                  </w:r>
                </w:p>
              </w:tc>
              <w:tc>
                <w:tcPr>
                  <w:tcW w:w="1929" w:type="dxa"/>
                  <w:vAlign w:val="center"/>
                </w:tcPr>
                <w:p w14:paraId="151347B4" w14:textId="77777777" w:rsidR="00785695" w:rsidRPr="008819AF" w:rsidRDefault="00785695" w:rsidP="00445A6C">
                  <w:pPr>
                    <w:keepNext/>
                    <w:jc w:val="center"/>
                    <w:rPr>
                      <w:sz w:val="18"/>
                      <w:szCs w:val="18"/>
                    </w:rPr>
                  </w:pPr>
                  <w:r w:rsidRPr="008819AF">
                    <w:rPr>
                      <w:sz w:val="18"/>
                      <w:szCs w:val="18"/>
                    </w:rPr>
                    <w:t>100</w:t>
                  </w:r>
                  <w:r w:rsidRPr="008819AF">
                    <w:rPr>
                      <w:sz w:val="18"/>
                      <w:szCs w:val="18"/>
                      <w:vertAlign w:val="superscript"/>
                    </w:rPr>
                    <w:t>2</w:t>
                  </w:r>
                  <w:r w:rsidRPr="008819AF">
                    <w:rPr>
                      <w:sz w:val="18"/>
                      <w:szCs w:val="18"/>
                    </w:rPr>
                    <w:t xml:space="preserve">)   </w:t>
                  </w:r>
                </w:p>
              </w:tc>
              <w:tc>
                <w:tcPr>
                  <w:tcW w:w="1671" w:type="dxa"/>
                  <w:vAlign w:val="center"/>
                </w:tcPr>
                <w:p w14:paraId="151347B5" w14:textId="77777777" w:rsidR="00785695" w:rsidRPr="008819AF" w:rsidRDefault="00785695" w:rsidP="00445A6C">
                  <w:pPr>
                    <w:keepNext/>
                    <w:jc w:val="center"/>
                    <w:rPr>
                      <w:sz w:val="18"/>
                      <w:szCs w:val="18"/>
                    </w:rPr>
                  </w:pPr>
                  <w:r w:rsidRPr="008819AF">
                    <w:rPr>
                      <w:sz w:val="18"/>
                      <w:szCs w:val="18"/>
                    </w:rPr>
                    <w:t>45</w:t>
                  </w:r>
                </w:p>
              </w:tc>
              <w:tc>
                <w:tcPr>
                  <w:tcW w:w="1875" w:type="dxa"/>
                  <w:vAlign w:val="center"/>
                </w:tcPr>
                <w:p w14:paraId="151347B6" w14:textId="77777777" w:rsidR="00785695" w:rsidRPr="008819AF" w:rsidRDefault="00785695" w:rsidP="00445A6C">
                  <w:pPr>
                    <w:keepNext/>
                    <w:jc w:val="center"/>
                    <w:rPr>
                      <w:sz w:val="18"/>
                      <w:szCs w:val="18"/>
                    </w:rPr>
                  </w:pPr>
                  <w:r w:rsidRPr="008819AF">
                    <w:rPr>
                      <w:sz w:val="18"/>
                      <w:szCs w:val="18"/>
                    </w:rPr>
                    <w:t>11</w:t>
                  </w:r>
                </w:p>
              </w:tc>
            </w:tr>
            <w:tr w:rsidR="00785695" w:rsidRPr="008819AF" w14:paraId="151347BE" w14:textId="77777777" w:rsidTr="00445A6C">
              <w:trPr>
                <w:cantSplit/>
                <w:trHeight w:val="20"/>
                <w:jc w:val="center"/>
              </w:trPr>
              <w:tc>
                <w:tcPr>
                  <w:tcW w:w="708" w:type="dxa"/>
                  <w:vMerge/>
                  <w:vAlign w:val="center"/>
                </w:tcPr>
                <w:p w14:paraId="151347B8" w14:textId="77777777" w:rsidR="00785695" w:rsidRPr="008819AF" w:rsidRDefault="00785695" w:rsidP="00445A6C">
                  <w:pPr>
                    <w:keepNext/>
                    <w:jc w:val="center"/>
                    <w:rPr>
                      <w:b/>
                      <w:sz w:val="18"/>
                      <w:szCs w:val="18"/>
                    </w:rPr>
                  </w:pPr>
                </w:p>
              </w:tc>
              <w:tc>
                <w:tcPr>
                  <w:tcW w:w="1362" w:type="dxa"/>
                  <w:vMerge/>
                </w:tcPr>
                <w:p w14:paraId="151347B9" w14:textId="77777777" w:rsidR="00785695" w:rsidRPr="008819AF" w:rsidRDefault="00785695" w:rsidP="00445A6C">
                  <w:pPr>
                    <w:keepNext/>
                    <w:jc w:val="both"/>
                    <w:rPr>
                      <w:sz w:val="18"/>
                      <w:szCs w:val="18"/>
                    </w:rPr>
                  </w:pPr>
                </w:p>
              </w:tc>
              <w:tc>
                <w:tcPr>
                  <w:tcW w:w="1530" w:type="dxa"/>
                  <w:gridSpan w:val="2"/>
                  <w:vAlign w:val="center"/>
                </w:tcPr>
                <w:p w14:paraId="151347BA" w14:textId="77777777" w:rsidR="00785695" w:rsidRPr="008819AF" w:rsidRDefault="00785695" w:rsidP="00445A6C">
                  <w:pPr>
                    <w:keepNext/>
                    <w:jc w:val="center"/>
                    <w:rPr>
                      <w:sz w:val="18"/>
                      <w:szCs w:val="18"/>
                    </w:rPr>
                  </w:pPr>
                  <w:r w:rsidRPr="008819AF">
                    <w:rPr>
                      <w:sz w:val="18"/>
                      <w:szCs w:val="18"/>
                    </w:rPr>
                    <w:t>&gt; 200</w:t>
                  </w:r>
                </w:p>
              </w:tc>
              <w:tc>
                <w:tcPr>
                  <w:tcW w:w="1929" w:type="dxa"/>
                  <w:vAlign w:val="center"/>
                </w:tcPr>
                <w:p w14:paraId="151347BB" w14:textId="77777777" w:rsidR="00785695" w:rsidRPr="008819AF" w:rsidRDefault="00785695" w:rsidP="00445A6C">
                  <w:pPr>
                    <w:keepNext/>
                    <w:jc w:val="center"/>
                    <w:rPr>
                      <w:sz w:val="18"/>
                      <w:szCs w:val="18"/>
                    </w:rPr>
                  </w:pPr>
                  <w:r w:rsidRPr="008819AF">
                    <w:rPr>
                      <w:sz w:val="18"/>
                      <w:szCs w:val="18"/>
                    </w:rPr>
                    <w:t>100</w:t>
                  </w:r>
                  <w:r w:rsidRPr="008819AF">
                    <w:rPr>
                      <w:sz w:val="18"/>
                      <w:szCs w:val="18"/>
                      <w:vertAlign w:val="superscript"/>
                    </w:rPr>
                    <w:t>2</w:t>
                  </w:r>
                  <w:r w:rsidRPr="008819AF">
                    <w:rPr>
                      <w:sz w:val="18"/>
                      <w:szCs w:val="18"/>
                    </w:rPr>
                    <w:t xml:space="preserve">)   </w:t>
                  </w:r>
                </w:p>
              </w:tc>
              <w:tc>
                <w:tcPr>
                  <w:tcW w:w="1671" w:type="dxa"/>
                  <w:vAlign w:val="center"/>
                </w:tcPr>
                <w:p w14:paraId="151347BC" w14:textId="77777777" w:rsidR="00785695" w:rsidRPr="008819AF" w:rsidRDefault="00785695" w:rsidP="00445A6C">
                  <w:pPr>
                    <w:keepNext/>
                    <w:jc w:val="center"/>
                    <w:rPr>
                      <w:sz w:val="18"/>
                      <w:szCs w:val="18"/>
                    </w:rPr>
                  </w:pPr>
                  <w:r w:rsidRPr="008819AF">
                    <w:rPr>
                      <w:sz w:val="18"/>
                      <w:szCs w:val="18"/>
                    </w:rPr>
                    <w:t xml:space="preserve">35 </w:t>
                  </w:r>
                </w:p>
              </w:tc>
              <w:tc>
                <w:tcPr>
                  <w:tcW w:w="1875" w:type="dxa"/>
                  <w:vAlign w:val="center"/>
                </w:tcPr>
                <w:p w14:paraId="151347BD" w14:textId="77777777" w:rsidR="00785695" w:rsidRPr="008819AF" w:rsidRDefault="00785695" w:rsidP="00445A6C">
                  <w:pPr>
                    <w:keepNext/>
                    <w:jc w:val="center"/>
                    <w:rPr>
                      <w:sz w:val="18"/>
                      <w:szCs w:val="18"/>
                    </w:rPr>
                  </w:pPr>
                  <w:r w:rsidRPr="008819AF">
                    <w:rPr>
                      <w:sz w:val="18"/>
                      <w:szCs w:val="18"/>
                    </w:rPr>
                    <w:t xml:space="preserve"> 9</w:t>
                  </w:r>
                </w:p>
              </w:tc>
            </w:tr>
          </w:tbl>
          <w:p w14:paraId="151347BF" w14:textId="77777777" w:rsidR="00785695" w:rsidRPr="008819AF" w:rsidRDefault="00785695" w:rsidP="00785695">
            <w:pPr>
              <w:pStyle w:val="Zkladntext2"/>
              <w:spacing w:before="60"/>
              <w:ind w:left="238" w:hanging="238"/>
              <w:rPr>
                <w:rFonts w:ascii="Times New Roman" w:hAnsi="Times New Roman" w:cs="Times New Roman"/>
                <w:sz w:val="20"/>
                <w:szCs w:val="20"/>
              </w:rPr>
            </w:pPr>
            <w:r w:rsidRPr="008819AF">
              <w:rPr>
                <w:rFonts w:ascii="Times New Roman" w:hAnsi="Times New Roman" w:cs="Times New Roman"/>
                <w:sz w:val="20"/>
                <w:szCs w:val="20"/>
                <w:vertAlign w:val="superscript"/>
              </w:rPr>
              <w:t>1</w:t>
            </w:r>
            <w:r w:rsidRPr="008819AF">
              <w:rPr>
                <w:rFonts w:ascii="Times New Roman" w:hAnsi="Times New Roman" w:cs="Times New Roman"/>
                <w:sz w:val="20"/>
                <w:szCs w:val="20"/>
              </w:rPr>
              <w:t>)  Podiel hmotnosti celkových emisií a celkového objemu produktu.</w:t>
            </w:r>
          </w:p>
          <w:p w14:paraId="151347C0" w14:textId="77777777" w:rsidR="007170C3" w:rsidRPr="008819AF" w:rsidRDefault="00785695" w:rsidP="00785695">
            <w:pPr>
              <w:ind w:left="284" w:hanging="284"/>
              <w:jc w:val="both"/>
              <w:rPr>
                <w:lang w:bidi="cs-CZ"/>
              </w:rPr>
            </w:pPr>
            <w:r w:rsidRPr="008819AF">
              <w:rPr>
                <w:vertAlign w:val="superscript"/>
              </w:rPr>
              <w:t>2</w:t>
            </w:r>
            <w:r w:rsidRPr="008819AF">
              <w:t xml:space="preserve">) Neplatí pre zariadenia, kde sa používa na impregnáciu kreozot. </w:t>
            </w:r>
          </w:p>
        </w:tc>
        <w:tc>
          <w:tcPr>
            <w:tcW w:w="709" w:type="dxa"/>
            <w:tcBorders>
              <w:top w:val="single" w:sz="4" w:space="0" w:color="000000"/>
              <w:left w:val="single" w:sz="6" w:space="0" w:color="000000"/>
              <w:bottom w:val="single" w:sz="4" w:space="0" w:color="000000"/>
              <w:right w:val="single" w:sz="6" w:space="0" w:color="000000"/>
            </w:tcBorders>
          </w:tcPr>
          <w:p w14:paraId="151347C1"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7C2" w14:textId="77777777" w:rsidR="007170C3" w:rsidRPr="008819AF" w:rsidRDefault="007170C3">
            <w:pPr>
              <w:ind w:left="215" w:hanging="215"/>
              <w:rPr>
                <w:rFonts w:eastAsia="Arial"/>
              </w:rPr>
            </w:pPr>
          </w:p>
        </w:tc>
      </w:tr>
      <w:tr w:rsidR="00F80158" w:rsidRPr="008819AF" w14:paraId="151347F1"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7C4"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13</w:t>
            </w:r>
          </w:p>
        </w:tc>
        <w:tc>
          <w:tcPr>
            <w:tcW w:w="5386" w:type="dxa"/>
            <w:tcBorders>
              <w:top w:val="single" w:sz="4" w:space="0" w:color="000000"/>
              <w:left w:val="single" w:sz="6" w:space="0" w:color="000000"/>
              <w:bottom w:val="single" w:sz="4" w:space="0" w:color="000000"/>
              <w:right w:val="single" w:sz="6" w:space="0" w:color="000000"/>
            </w:tcBorders>
          </w:tcPr>
          <w:p w14:paraId="151347C5"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Povrchová úprava kože</w:t>
            </w:r>
          </w:p>
          <w:p w14:paraId="151347C6"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10)</w:t>
            </w:r>
          </w:p>
        </w:tc>
        <w:tc>
          <w:tcPr>
            <w:tcW w:w="881" w:type="dxa"/>
            <w:tcBorders>
              <w:top w:val="single" w:sz="4" w:space="0" w:color="000000"/>
              <w:left w:val="single" w:sz="6" w:space="0" w:color="000000"/>
              <w:bottom w:val="single" w:sz="4" w:space="0" w:color="000000"/>
              <w:right w:val="single" w:sz="6" w:space="0" w:color="000000"/>
            </w:tcBorders>
          </w:tcPr>
          <w:p w14:paraId="151347C7" w14:textId="77777777" w:rsidR="007170C3" w:rsidRPr="008819AF" w:rsidRDefault="00785695">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7C8"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7C9" w14:textId="77777777" w:rsidR="00785695" w:rsidRPr="008819AF" w:rsidRDefault="00785695" w:rsidP="00785695">
            <w:r w:rsidRPr="008819AF">
              <w:t>Pr.6</w:t>
            </w:r>
          </w:p>
          <w:p w14:paraId="151347CA" w14:textId="77777777" w:rsidR="007170C3" w:rsidRPr="008819AF" w:rsidRDefault="00785695" w:rsidP="00785695">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7CB" w14:textId="77777777" w:rsidR="00785695" w:rsidRPr="008819AF" w:rsidRDefault="00785695" w:rsidP="00785695">
            <w:pPr>
              <w:jc w:val="both"/>
              <w:rPr>
                <w:b/>
              </w:rPr>
            </w:pPr>
            <w:r w:rsidRPr="008819AF">
              <w:rPr>
                <w:b/>
              </w:rPr>
              <w:t>4.   NANÁŠANIE NÁTEROV (IV)</w:t>
            </w:r>
          </w:p>
          <w:p w14:paraId="151347CC" w14:textId="77777777" w:rsidR="00785695" w:rsidRPr="008819AF" w:rsidRDefault="00785695">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740"/>
              <w:gridCol w:w="478"/>
              <w:gridCol w:w="478"/>
              <w:gridCol w:w="478"/>
              <w:gridCol w:w="724"/>
              <w:gridCol w:w="2530"/>
            </w:tblGrid>
            <w:tr w:rsidR="00785695" w:rsidRPr="008819AF" w14:paraId="151347D3" w14:textId="77777777" w:rsidTr="00445A6C">
              <w:trPr>
                <w:trHeigh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CD" w14:textId="77777777" w:rsidR="00785695" w:rsidRPr="008819AF" w:rsidRDefault="00785695" w:rsidP="00445A6C">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CE" w14:textId="77777777" w:rsidR="00785695" w:rsidRPr="008819AF" w:rsidRDefault="00785695" w:rsidP="00445A6C">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CF" w14:textId="77777777" w:rsidR="00785695" w:rsidRPr="008819AF" w:rsidRDefault="00785695" w:rsidP="00445A6C">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D0" w14:textId="77777777" w:rsidR="00785695" w:rsidRPr="008819AF" w:rsidRDefault="00785695" w:rsidP="00445A6C">
                  <w:pPr>
                    <w:pStyle w:val="Zkladntext2"/>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D1" w14:textId="77777777" w:rsidR="00785695" w:rsidRPr="008819AF" w:rsidRDefault="00785695" w:rsidP="00445A6C">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Odpad. plyny</w:t>
                  </w:r>
                </w:p>
              </w:tc>
              <w:tc>
                <w:tcPr>
                  <w:tcW w:w="425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D2" w14:textId="77777777" w:rsidR="00785695" w:rsidRPr="008819AF" w:rsidRDefault="00785695" w:rsidP="00445A6C">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Celkové emisie</w:t>
                  </w:r>
                  <w:r w:rsidRPr="008819AF">
                    <w:rPr>
                      <w:rFonts w:ascii="Times New Roman" w:hAnsi="Times New Roman" w:cs="Times New Roman"/>
                      <w:b/>
                      <w:sz w:val="18"/>
                      <w:szCs w:val="18"/>
                      <w:vertAlign w:val="superscript"/>
                    </w:rPr>
                    <w:t>6</w:t>
                  </w:r>
                  <w:r w:rsidRPr="008819AF">
                    <w:rPr>
                      <w:rFonts w:ascii="Times New Roman" w:hAnsi="Times New Roman" w:cs="Times New Roman"/>
                      <w:b/>
                      <w:sz w:val="18"/>
                      <w:szCs w:val="18"/>
                    </w:rPr>
                    <w:t>)</w:t>
                  </w:r>
                </w:p>
              </w:tc>
            </w:tr>
            <w:tr w:rsidR="00785695" w:rsidRPr="008819AF" w14:paraId="151347DB" w14:textId="77777777" w:rsidTr="00445A6C">
              <w:trPr>
                <w:trHeight w:val="397"/>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151347D4" w14:textId="77777777" w:rsidR="00785695" w:rsidRPr="008819AF" w:rsidRDefault="00785695" w:rsidP="00445A6C">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151347D5" w14:textId="77777777" w:rsidR="00785695" w:rsidRPr="008819AF" w:rsidRDefault="00785695" w:rsidP="00445A6C">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151347D6" w14:textId="77777777" w:rsidR="00785695" w:rsidRPr="008819AF" w:rsidRDefault="00785695" w:rsidP="00445A6C">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151347D7" w14:textId="77777777" w:rsidR="00785695" w:rsidRPr="008819AF" w:rsidRDefault="00785695" w:rsidP="00445A6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D8" w14:textId="77777777" w:rsidR="00785695" w:rsidRPr="008819AF" w:rsidRDefault="00785695" w:rsidP="00445A6C">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TZL</w:t>
                  </w:r>
                  <w:r w:rsidRPr="008819AF">
                    <w:rPr>
                      <w:rFonts w:ascii="Times New Roman" w:hAnsi="Times New Roman" w:cs="Times New Roman"/>
                      <w:b/>
                      <w:sz w:val="18"/>
                      <w:szCs w:val="18"/>
                      <w:vertAlign w:val="superscript"/>
                    </w:rPr>
                    <w:t>1</w:t>
                  </w:r>
                  <w:r w:rsidRPr="008819AF">
                    <w:rPr>
                      <w:rFonts w:ascii="Times New Roman" w:hAnsi="Times New Roman" w:cs="Times New Roman"/>
                      <w:b/>
                      <w:sz w:val="18"/>
                      <w:szCs w:val="18"/>
                    </w:rPr>
                    <w:t>)</w:t>
                  </w:r>
                </w:p>
                <w:p w14:paraId="151347D9" w14:textId="77777777" w:rsidR="00785695" w:rsidRPr="008819AF" w:rsidRDefault="00785695" w:rsidP="00445A6C">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mg/m3</w:t>
                  </w:r>
                  <w:r w:rsidRPr="008819AF">
                    <w:rPr>
                      <w:rFonts w:ascii="Times New Roman" w:hAnsi="Times New Roman" w:cs="Times New Roman"/>
                      <w:b/>
                      <w:sz w:val="18"/>
                      <w:szCs w:val="18"/>
                    </w:rPr>
                    <w:sym w:font="Symbol" w:char="F05D"/>
                  </w:r>
                </w:p>
              </w:tc>
              <w:tc>
                <w:tcPr>
                  <w:tcW w:w="425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DA" w14:textId="77777777" w:rsidR="00785695" w:rsidRPr="008819AF" w:rsidRDefault="00785695" w:rsidP="00445A6C">
                  <w:pPr>
                    <w:pStyle w:val="Zkladntext2"/>
                    <w:ind w:left="-9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g/m2</w:t>
                  </w:r>
                  <w:r w:rsidRPr="008819AF">
                    <w:rPr>
                      <w:rFonts w:ascii="Times New Roman" w:hAnsi="Times New Roman" w:cs="Times New Roman"/>
                      <w:b/>
                      <w:sz w:val="18"/>
                      <w:szCs w:val="18"/>
                    </w:rPr>
                    <w:sym w:font="Symbol" w:char="F05D"/>
                  </w:r>
                </w:p>
              </w:tc>
            </w:tr>
            <w:tr w:rsidR="00785695" w:rsidRPr="008819AF" w14:paraId="151347E3" w14:textId="77777777" w:rsidTr="00445A6C">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DC" w14:textId="77777777" w:rsidR="00785695" w:rsidRPr="008819AF" w:rsidRDefault="00785695" w:rsidP="00445A6C">
                  <w:pPr>
                    <w:pStyle w:val="Zkladntext2"/>
                    <w:rPr>
                      <w:rFonts w:ascii="Times New Roman" w:hAnsi="Times New Roman" w:cs="Times New Roman"/>
                      <w:b/>
                      <w:sz w:val="18"/>
                      <w:szCs w:val="18"/>
                    </w:rPr>
                  </w:pPr>
                  <w:r w:rsidRPr="008819AF">
                    <w:rPr>
                      <w:rFonts w:ascii="Times New Roman" w:hAnsi="Times New Roman" w:cs="Times New Roman"/>
                      <w:b/>
                      <w:sz w:val="18"/>
                      <w:szCs w:val="18"/>
                    </w:rPr>
                    <w:t>IVc</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DD" w14:textId="77777777" w:rsidR="00785695" w:rsidRPr="008819AF" w:rsidRDefault="00785695" w:rsidP="00445A6C">
                  <w:pPr>
                    <w:pStyle w:val="Zkladntext2"/>
                    <w:rPr>
                      <w:rFonts w:ascii="Times New Roman" w:hAnsi="Times New Roman" w:cs="Times New Roman"/>
                      <w:sz w:val="18"/>
                      <w:szCs w:val="18"/>
                    </w:rPr>
                  </w:pPr>
                  <w:r w:rsidRPr="008819AF">
                    <w:rPr>
                      <w:rFonts w:ascii="Times New Roman" w:hAnsi="Times New Roman" w:cs="Times New Roman"/>
                      <w:sz w:val="18"/>
                      <w:szCs w:val="18"/>
                    </w:rPr>
                    <w:t>na kožu</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DE"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DF"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10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E0"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sym w:font="Symbol" w:char="F0A3"/>
                  </w:r>
                  <w:r w:rsidRPr="008819AF">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E1"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425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E2"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85, 150</w:t>
                  </w:r>
                  <w:r w:rsidRPr="008819AF">
                    <w:rPr>
                      <w:rFonts w:ascii="Times New Roman" w:hAnsi="Times New Roman" w:cs="Times New Roman"/>
                      <w:sz w:val="18"/>
                      <w:szCs w:val="18"/>
                      <w:vertAlign w:val="superscript"/>
                    </w:rPr>
                    <w:t>7</w:t>
                  </w:r>
                  <w:r w:rsidRPr="008819AF">
                    <w:rPr>
                      <w:rFonts w:ascii="Times New Roman" w:hAnsi="Times New Roman" w:cs="Times New Roman"/>
                      <w:sz w:val="18"/>
                      <w:szCs w:val="18"/>
                    </w:rPr>
                    <w:t>)</w:t>
                  </w:r>
                </w:p>
              </w:tc>
            </w:tr>
            <w:tr w:rsidR="00785695" w:rsidRPr="008819AF" w14:paraId="151347EB"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151347E4" w14:textId="77777777" w:rsidR="00785695" w:rsidRPr="008819AF" w:rsidRDefault="00785695" w:rsidP="00445A6C">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151347E5" w14:textId="77777777" w:rsidR="00785695" w:rsidRPr="008819AF" w:rsidRDefault="00785695" w:rsidP="00445A6C">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E6" w14:textId="77777777" w:rsidR="00785695" w:rsidRPr="008819AF" w:rsidRDefault="00785695" w:rsidP="00445A6C">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E7"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E8"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E9"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3</w:t>
                  </w:r>
                </w:p>
              </w:tc>
              <w:tc>
                <w:tcPr>
                  <w:tcW w:w="425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7EA" w14:textId="77777777" w:rsidR="00785695" w:rsidRPr="008819AF" w:rsidRDefault="00785695" w:rsidP="00445A6C">
                  <w:pPr>
                    <w:pStyle w:val="Zkladntext2"/>
                    <w:ind w:left="-93" w:firstLine="0"/>
                    <w:jc w:val="center"/>
                    <w:rPr>
                      <w:rFonts w:ascii="Times New Roman" w:hAnsi="Times New Roman" w:cs="Times New Roman"/>
                      <w:sz w:val="18"/>
                      <w:szCs w:val="18"/>
                    </w:rPr>
                  </w:pPr>
                  <w:r w:rsidRPr="008819AF">
                    <w:rPr>
                      <w:rFonts w:ascii="Times New Roman" w:hAnsi="Times New Roman" w:cs="Times New Roman"/>
                      <w:sz w:val="18"/>
                      <w:szCs w:val="18"/>
                    </w:rPr>
                    <w:t>75, 150</w:t>
                  </w:r>
                  <w:r w:rsidRPr="008819AF">
                    <w:rPr>
                      <w:rFonts w:ascii="Times New Roman" w:hAnsi="Times New Roman" w:cs="Times New Roman"/>
                      <w:sz w:val="18"/>
                      <w:szCs w:val="18"/>
                      <w:vertAlign w:val="superscript"/>
                    </w:rPr>
                    <w:t>7</w:t>
                  </w:r>
                  <w:r w:rsidRPr="008819AF">
                    <w:rPr>
                      <w:rFonts w:ascii="Times New Roman" w:hAnsi="Times New Roman" w:cs="Times New Roman"/>
                      <w:sz w:val="18"/>
                      <w:szCs w:val="18"/>
                    </w:rPr>
                    <w:t>)</w:t>
                  </w:r>
                </w:p>
              </w:tc>
            </w:tr>
          </w:tbl>
          <w:p w14:paraId="151347EC" w14:textId="77777777" w:rsidR="00785695" w:rsidRPr="008819AF" w:rsidRDefault="00785695" w:rsidP="00785695">
            <w:pPr>
              <w:pStyle w:val="Zkladntext2"/>
              <w:spacing w:before="60"/>
              <w:rPr>
                <w:rFonts w:ascii="Times New Roman" w:hAnsi="Times New Roman" w:cs="Times New Roman"/>
                <w:sz w:val="20"/>
                <w:szCs w:val="20"/>
              </w:rPr>
            </w:pPr>
            <w:r w:rsidRPr="008819AF">
              <w:rPr>
                <w:rFonts w:ascii="Times New Roman" w:hAnsi="Times New Roman" w:cs="Times New Roman"/>
                <w:sz w:val="20"/>
                <w:szCs w:val="20"/>
                <w:vertAlign w:val="superscript"/>
              </w:rPr>
              <w:t>1</w:t>
            </w:r>
            <w:r w:rsidRPr="008819AF">
              <w:rPr>
                <w:rFonts w:ascii="Times New Roman" w:hAnsi="Times New Roman" w:cs="Times New Roman"/>
                <w:sz w:val="20"/>
                <w:szCs w:val="20"/>
              </w:rPr>
              <w:t>) Emisný limit pre TZL platí iba pre proces striekania.</w:t>
            </w:r>
          </w:p>
          <w:p w14:paraId="151347ED" w14:textId="77777777" w:rsidR="00785695" w:rsidRPr="008819AF" w:rsidRDefault="00785695" w:rsidP="00785695">
            <w:pPr>
              <w:pStyle w:val="Zkladntext2"/>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6</w:t>
            </w:r>
            <w:r w:rsidRPr="008819AF">
              <w:rPr>
                <w:rFonts w:ascii="Times New Roman" w:hAnsi="Times New Roman" w:cs="Times New Roman"/>
                <w:sz w:val="20"/>
                <w:szCs w:val="20"/>
              </w:rPr>
              <w:t>) Podiel hmotnosti celkových emisií VOC a celkovej plochy produktu.</w:t>
            </w:r>
          </w:p>
          <w:p w14:paraId="151347EE" w14:textId="77777777" w:rsidR="007170C3" w:rsidRPr="008819AF" w:rsidRDefault="00785695" w:rsidP="00785695">
            <w:pPr>
              <w:pStyle w:val="Zkladntext2"/>
              <w:ind w:left="284" w:hanging="284"/>
              <w:rPr>
                <w:rFonts w:ascii="Times New Roman" w:hAnsi="Times New Roman" w:cs="Times New Roman"/>
              </w:rPr>
            </w:pPr>
            <w:r w:rsidRPr="008819AF">
              <w:rPr>
                <w:rFonts w:ascii="Times New Roman" w:hAnsi="Times New Roman" w:cs="Times New Roman"/>
                <w:sz w:val="20"/>
                <w:szCs w:val="20"/>
                <w:vertAlign w:val="superscript"/>
              </w:rPr>
              <w:t>7</w:t>
            </w:r>
            <w:r w:rsidRPr="008819AF">
              <w:rPr>
                <w:rFonts w:ascii="Times New Roman" w:hAnsi="Times New Roman" w:cs="Times New Roman"/>
                <w:sz w:val="20"/>
                <w:szCs w:val="20"/>
              </w:rPr>
              <w:t>) Platí, ak ide o výrobu koženého nábytku a drobných kožených predmetov ako sú tašky, peňaženky, opasky a pod.</w:t>
            </w:r>
            <w:r w:rsidR="006F0418" w:rsidRPr="008819AF">
              <w:rPr>
                <w:rFonts w:ascii="Times New Roman" w:hAnsi="Times New Roman" w:cs="Times New Roman"/>
              </w:rPr>
              <w:t>.</w:t>
            </w:r>
          </w:p>
        </w:tc>
        <w:tc>
          <w:tcPr>
            <w:tcW w:w="709" w:type="dxa"/>
            <w:tcBorders>
              <w:top w:val="single" w:sz="4" w:space="0" w:color="000000"/>
              <w:left w:val="single" w:sz="6" w:space="0" w:color="000000"/>
              <w:bottom w:val="single" w:sz="4" w:space="0" w:color="000000"/>
              <w:right w:val="single" w:sz="6" w:space="0" w:color="000000"/>
            </w:tcBorders>
          </w:tcPr>
          <w:p w14:paraId="151347EF"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7F0" w14:textId="77777777" w:rsidR="007170C3" w:rsidRPr="008819AF" w:rsidRDefault="007170C3">
            <w:pPr>
              <w:ind w:left="215" w:hanging="215"/>
              <w:rPr>
                <w:rFonts w:eastAsia="Arial"/>
              </w:rPr>
            </w:pPr>
          </w:p>
        </w:tc>
      </w:tr>
      <w:tr w:rsidR="00F80158" w:rsidRPr="008819AF" w14:paraId="1513480F"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7F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14</w:t>
            </w:r>
          </w:p>
        </w:tc>
        <w:tc>
          <w:tcPr>
            <w:tcW w:w="5386" w:type="dxa"/>
            <w:tcBorders>
              <w:top w:val="single" w:sz="4" w:space="0" w:color="000000"/>
              <w:left w:val="single" w:sz="6" w:space="0" w:color="000000"/>
              <w:bottom w:val="single" w:sz="4" w:space="0" w:color="000000"/>
              <w:right w:val="single" w:sz="6" w:space="0" w:color="000000"/>
            </w:tcBorders>
          </w:tcPr>
          <w:p w14:paraId="151347F3"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Výroba obuvi</w:t>
            </w:r>
          </w:p>
          <w:p w14:paraId="151347F4"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w:t>
            </w:r>
          </w:p>
        </w:tc>
        <w:tc>
          <w:tcPr>
            <w:tcW w:w="881" w:type="dxa"/>
            <w:tcBorders>
              <w:top w:val="single" w:sz="4" w:space="0" w:color="000000"/>
              <w:left w:val="single" w:sz="6" w:space="0" w:color="000000"/>
              <w:bottom w:val="single" w:sz="4" w:space="0" w:color="000000"/>
              <w:right w:val="single" w:sz="6" w:space="0" w:color="000000"/>
            </w:tcBorders>
          </w:tcPr>
          <w:p w14:paraId="151347F5" w14:textId="77777777" w:rsidR="007170C3" w:rsidRPr="008819AF" w:rsidRDefault="00785695">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7F6"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7F7" w14:textId="77777777" w:rsidR="00785695" w:rsidRPr="008819AF" w:rsidRDefault="00785695" w:rsidP="00785695">
            <w:r w:rsidRPr="008819AF">
              <w:t>Pr.6</w:t>
            </w:r>
          </w:p>
          <w:p w14:paraId="151347F8" w14:textId="77777777" w:rsidR="007170C3" w:rsidRPr="008819AF" w:rsidRDefault="00785695" w:rsidP="00785695">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7F9" w14:textId="77777777" w:rsidR="00785695" w:rsidRPr="008819AF" w:rsidRDefault="00785695" w:rsidP="00785695">
            <w:pPr>
              <w:jc w:val="both"/>
              <w:rPr>
                <w:b/>
              </w:rPr>
            </w:pPr>
            <w:r w:rsidRPr="008819AF">
              <w:rPr>
                <w:b/>
              </w:rPr>
              <w:t>9.   VÝROBA OBUVI (IX)</w:t>
            </w:r>
          </w:p>
          <w:p w14:paraId="151347FA" w14:textId="77777777" w:rsidR="00785695" w:rsidRPr="008819AF" w:rsidRDefault="00785695" w:rsidP="00785695">
            <w:pPr>
              <w:ind w:left="426"/>
              <w:jc w:val="both"/>
            </w:pPr>
            <w:r w:rsidRPr="008819AF">
              <w:t>Činnosť na výrobu celej obuvi alebo častí obuvi.</w:t>
            </w:r>
          </w:p>
          <w:p w14:paraId="151347FB" w14:textId="77777777" w:rsidR="00785695" w:rsidRPr="008819AF" w:rsidRDefault="00785695" w:rsidP="00785695">
            <w:pPr>
              <w:spacing w:after="120"/>
              <w:rPr>
                <w:b/>
              </w:rPr>
            </w:pPr>
            <w:r w:rsidRPr="008819AF">
              <w:rPr>
                <w:b/>
              </w:rPr>
              <w:t>9.1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47"/>
              <w:gridCol w:w="1531"/>
              <w:gridCol w:w="1915"/>
              <w:gridCol w:w="1915"/>
            </w:tblGrid>
            <w:tr w:rsidR="00785695" w:rsidRPr="008819AF" w14:paraId="151347FE" w14:textId="77777777" w:rsidTr="00445A6C">
              <w:trPr>
                <w:trHeight w:val="397"/>
                <w:jc w:val="center"/>
              </w:trPr>
              <w:tc>
                <w:tcPr>
                  <w:tcW w:w="3070" w:type="dxa"/>
                  <w:gridSpan w:val="2"/>
                  <w:vMerge w:val="restart"/>
                  <w:vAlign w:val="center"/>
                </w:tcPr>
                <w:p w14:paraId="151347FC" w14:textId="77777777" w:rsidR="00785695" w:rsidRPr="008819AF" w:rsidRDefault="00785695" w:rsidP="00445A6C">
                  <w:pPr>
                    <w:keepNext/>
                    <w:jc w:val="both"/>
                    <w:rPr>
                      <w:b/>
                      <w:sz w:val="18"/>
                      <w:szCs w:val="18"/>
                    </w:rPr>
                  </w:pPr>
                  <w:r w:rsidRPr="008819AF">
                    <w:rPr>
                      <w:b/>
                      <w:sz w:val="18"/>
                      <w:szCs w:val="18"/>
                    </w:rPr>
                    <w:t>Činnosť</w:t>
                  </w:r>
                </w:p>
              </w:tc>
              <w:tc>
                <w:tcPr>
                  <w:tcW w:w="6140" w:type="dxa"/>
                  <w:gridSpan w:val="2"/>
                  <w:vAlign w:val="center"/>
                </w:tcPr>
                <w:p w14:paraId="151347FD" w14:textId="77777777" w:rsidR="00785695" w:rsidRPr="008819AF" w:rsidRDefault="00785695"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Emisný limit</w:t>
                  </w:r>
                </w:p>
              </w:tc>
            </w:tr>
            <w:tr w:rsidR="00785695" w:rsidRPr="008819AF" w14:paraId="15134802" w14:textId="77777777" w:rsidTr="00445A6C">
              <w:trPr>
                <w:trHeight w:val="427"/>
                <w:jc w:val="center"/>
              </w:trPr>
              <w:tc>
                <w:tcPr>
                  <w:tcW w:w="3070" w:type="dxa"/>
                  <w:gridSpan w:val="2"/>
                  <w:vMerge/>
                  <w:vAlign w:val="center"/>
                </w:tcPr>
                <w:p w14:paraId="151347FF" w14:textId="77777777" w:rsidR="00785695" w:rsidRPr="008819AF" w:rsidRDefault="00785695" w:rsidP="00445A6C">
                  <w:pPr>
                    <w:rPr>
                      <w:b/>
                      <w:sz w:val="18"/>
                      <w:szCs w:val="18"/>
                    </w:rPr>
                  </w:pPr>
                </w:p>
              </w:tc>
              <w:tc>
                <w:tcPr>
                  <w:tcW w:w="3070" w:type="dxa"/>
                  <w:vMerge w:val="restart"/>
                  <w:vAlign w:val="center"/>
                </w:tcPr>
                <w:p w14:paraId="15134800" w14:textId="77777777" w:rsidR="00785695" w:rsidRPr="008819AF" w:rsidRDefault="00785695" w:rsidP="00445A6C">
                  <w:pPr>
                    <w:keepNext/>
                    <w:rPr>
                      <w:b/>
                      <w:sz w:val="18"/>
                      <w:szCs w:val="18"/>
                    </w:rPr>
                  </w:pPr>
                  <w:r w:rsidRPr="008819AF">
                    <w:rPr>
                      <w:b/>
                      <w:sz w:val="18"/>
                      <w:szCs w:val="18"/>
                    </w:rPr>
                    <w:t xml:space="preserve">Prahová spotreba rozpúšťadla    </w:t>
                  </w:r>
                  <w:r w:rsidRPr="008819AF">
                    <w:rPr>
                      <w:b/>
                      <w:sz w:val="18"/>
                      <w:szCs w:val="18"/>
                    </w:rPr>
                    <w:sym w:font="Symbol" w:char="F05B"/>
                  </w:r>
                  <w:r w:rsidRPr="008819AF">
                    <w:rPr>
                      <w:b/>
                      <w:sz w:val="18"/>
                      <w:szCs w:val="18"/>
                    </w:rPr>
                    <w:t>t/rok</w:t>
                  </w:r>
                  <w:r w:rsidRPr="008819AF">
                    <w:rPr>
                      <w:b/>
                      <w:sz w:val="18"/>
                      <w:szCs w:val="18"/>
                    </w:rPr>
                    <w:sym w:font="Symbol" w:char="F05D"/>
                  </w:r>
                </w:p>
              </w:tc>
              <w:tc>
                <w:tcPr>
                  <w:tcW w:w="3070" w:type="dxa"/>
                  <w:vAlign w:val="center"/>
                </w:tcPr>
                <w:p w14:paraId="15134801" w14:textId="77777777" w:rsidR="00785695" w:rsidRPr="008819AF" w:rsidRDefault="00785695" w:rsidP="00445A6C">
                  <w:pPr>
                    <w:keepNext/>
                    <w:jc w:val="center"/>
                    <w:rPr>
                      <w:b/>
                      <w:sz w:val="18"/>
                      <w:szCs w:val="18"/>
                    </w:rPr>
                  </w:pPr>
                  <w:r w:rsidRPr="008819AF">
                    <w:rPr>
                      <w:b/>
                      <w:sz w:val="18"/>
                      <w:szCs w:val="18"/>
                    </w:rPr>
                    <w:t>Celkové emisie</w:t>
                  </w:r>
                  <w:r w:rsidRPr="008819AF">
                    <w:rPr>
                      <w:b/>
                      <w:sz w:val="18"/>
                      <w:szCs w:val="18"/>
                      <w:vertAlign w:val="superscript"/>
                    </w:rPr>
                    <w:t>1</w:t>
                  </w:r>
                  <w:r w:rsidRPr="008819AF">
                    <w:rPr>
                      <w:b/>
                      <w:sz w:val="18"/>
                      <w:szCs w:val="18"/>
                    </w:rPr>
                    <w:t>)</w:t>
                  </w:r>
                </w:p>
              </w:tc>
            </w:tr>
            <w:tr w:rsidR="00785695" w:rsidRPr="008819AF" w14:paraId="15134806" w14:textId="77777777" w:rsidTr="00445A6C">
              <w:trPr>
                <w:trHeight w:val="405"/>
                <w:jc w:val="center"/>
              </w:trPr>
              <w:tc>
                <w:tcPr>
                  <w:tcW w:w="3070" w:type="dxa"/>
                  <w:gridSpan w:val="2"/>
                  <w:vMerge/>
                  <w:vAlign w:val="center"/>
                </w:tcPr>
                <w:p w14:paraId="15134803" w14:textId="77777777" w:rsidR="00785695" w:rsidRPr="008819AF" w:rsidRDefault="00785695" w:rsidP="00445A6C">
                  <w:pPr>
                    <w:rPr>
                      <w:b/>
                      <w:sz w:val="18"/>
                      <w:szCs w:val="18"/>
                    </w:rPr>
                  </w:pPr>
                </w:p>
              </w:tc>
              <w:tc>
                <w:tcPr>
                  <w:tcW w:w="3070" w:type="dxa"/>
                  <w:vMerge/>
                  <w:vAlign w:val="center"/>
                </w:tcPr>
                <w:p w14:paraId="15134804" w14:textId="77777777" w:rsidR="00785695" w:rsidRPr="008819AF" w:rsidRDefault="00785695" w:rsidP="00445A6C">
                  <w:pPr>
                    <w:keepNext/>
                    <w:jc w:val="center"/>
                    <w:rPr>
                      <w:sz w:val="18"/>
                      <w:szCs w:val="18"/>
                    </w:rPr>
                  </w:pPr>
                </w:p>
              </w:tc>
              <w:tc>
                <w:tcPr>
                  <w:tcW w:w="3070" w:type="dxa"/>
                  <w:vAlign w:val="center"/>
                </w:tcPr>
                <w:p w14:paraId="15134805" w14:textId="77777777" w:rsidR="00785695" w:rsidRPr="008819AF" w:rsidRDefault="00785695" w:rsidP="00445A6C">
                  <w:pPr>
                    <w:keepNext/>
                    <w:jc w:val="center"/>
                    <w:rPr>
                      <w:b/>
                      <w:sz w:val="18"/>
                      <w:szCs w:val="18"/>
                      <w:vertAlign w:val="superscript"/>
                    </w:rPr>
                  </w:pPr>
                  <w:r w:rsidRPr="008819AF">
                    <w:rPr>
                      <w:b/>
                      <w:sz w:val="18"/>
                      <w:szCs w:val="18"/>
                    </w:rPr>
                    <w:t xml:space="preserve">VOC </w:t>
                  </w:r>
                  <w:r w:rsidRPr="008819AF">
                    <w:rPr>
                      <w:b/>
                      <w:sz w:val="18"/>
                      <w:szCs w:val="18"/>
                    </w:rPr>
                    <w:sym w:font="Symbol" w:char="F05B"/>
                  </w:r>
                  <w:r w:rsidRPr="008819AF">
                    <w:rPr>
                      <w:b/>
                      <w:sz w:val="18"/>
                      <w:szCs w:val="18"/>
                    </w:rPr>
                    <w:t>g/pár obuvi</w:t>
                  </w:r>
                  <w:r w:rsidRPr="008819AF">
                    <w:rPr>
                      <w:b/>
                      <w:sz w:val="18"/>
                      <w:szCs w:val="18"/>
                    </w:rPr>
                    <w:sym w:font="Symbol" w:char="F05D"/>
                  </w:r>
                </w:p>
              </w:tc>
            </w:tr>
            <w:tr w:rsidR="00785695" w:rsidRPr="008819AF" w14:paraId="1513480B" w14:textId="77777777" w:rsidTr="00445A6C">
              <w:trPr>
                <w:trHeight w:val="397"/>
                <w:jc w:val="center"/>
              </w:trPr>
              <w:tc>
                <w:tcPr>
                  <w:tcW w:w="637" w:type="dxa"/>
                  <w:vAlign w:val="center"/>
                </w:tcPr>
                <w:p w14:paraId="15134807" w14:textId="77777777" w:rsidR="00785695" w:rsidRPr="008819AF" w:rsidRDefault="00785695" w:rsidP="00445A6C">
                  <w:pPr>
                    <w:keepNext/>
                    <w:jc w:val="center"/>
                    <w:rPr>
                      <w:b/>
                      <w:sz w:val="18"/>
                      <w:szCs w:val="18"/>
                    </w:rPr>
                  </w:pPr>
                  <w:r w:rsidRPr="008819AF">
                    <w:rPr>
                      <w:b/>
                      <w:sz w:val="18"/>
                      <w:szCs w:val="18"/>
                    </w:rPr>
                    <w:lastRenderedPageBreak/>
                    <w:t>IX</w:t>
                  </w:r>
                </w:p>
              </w:tc>
              <w:tc>
                <w:tcPr>
                  <w:tcW w:w="2433" w:type="dxa"/>
                  <w:vAlign w:val="center"/>
                </w:tcPr>
                <w:p w14:paraId="15134808" w14:textId="77777777" w:rsidR="00785695" w:rsidRPr="008819AF" w:rsidRDefault="00785695" w:rsidP="00445A6C">
                  <w:pPr>
                    <w:keepNext/>
                    <w:jc w:val="both"/>
                    <w:rPr>
                      <w:sz w:val="18"/>
                      <w:szCs w:val="18"/>
                    </w:rPr>
                  </w:pPr>
                  <w:r w:rsidRPr="008819AF">
                    <w:rPr>
                      <w:sz w:val="18"/>
                      <w:szCs w:val="18"/>
                    </w:rPr>
                    <w:t>Výroba obuvi</w:t>
                  </w:r>
                </w:p>
              </w:tc>
              <w:tc>
                <w:tcPr>
                  <w:tcW w:w="3070" w:type="dxa"/>
                  <w:vAlign w:val="center"/>
                </w:tcPr>
                <w:p w14:paraId="15134809" w14:textId="77777777" w:rsidR="00785695" w:rsidRPr="008819AF" w:rsidRDefault="00785695" w:rsidP="00445A6C">
                  <w:pPr>
                    <w:keepNext/>
                    <w:jc w:val="center"/>
                    <w:rPr>
                      <w:sz w:val="18"/>
                      <w:szCs w:val="18"/>
                    </w:rPr>
                  </w:pPr>
                  <w:r w:rsidRPr="008819AF">
                    <w:rPr>
                      <w:sz w:val="18"/>
                      <w:szCs w:val="18"/>
                    </w:rPr>
                    <w:t xml:space="preserve">&gt; 5  </w:t>
                  </w:r>
                </w:p>
              </w:tc>
              <w:tc>
                <w:tcPr>
                  <w:tcW w:w="3070" w:type="dxa"/>
                  <w:vAlign w:val="center"/>
                </w:tcPr>
                <w:p w14:paraId="1513480A" w14:textId="77777777" w:rsidR="00785695" w:rsidRPr="008819AF" w:rsidRDefault="00785695" w:rsidP="00445A6C">
                  <w:pPr>
                    <w:keepNext/>
                    <w:jc w:val="center"/>
                    <w:rPr>
                      <w:sz w:val="18"/>
                      <w:szCs w:val="18"/>
                    </w:rPr>
                  </w:pPr>
                  <w:r w:rsidRPr="008819AF">
                    <w:rPr>
                      <w:sz w:val="18"/>
                      <w:szCs w:val="18"/>
                    </w:rPr>
                    <w:t>25</w:t>
                  </w:r>
                </w:p>
              </w:tc>
            </w:tr>
          </w:tbl>
          <w:p w14:paraId="1513480C" w14:textId="77777777" w:rsidR="007170C3" w:rsidRPr="008819AF" w:rsidRDefault="00785695" w:rsidP="00785695">
            <w:pPr>
              <w:spacing w:before="60"/>
              <w:rPr>
                <w:lang w:bidi="cs-CZ"/>
              </w:rPr>
            </w:pPr>
            <w:r w:rsidRPr="008819AF">
              <w:rPr>
                <w:vertAlign w:val="superscript"/>
              </w:rPr>
              <w:t>1</w:t>
            </w:r>
            <w:r w:rsidRPr="008819AF">
              <w:t>) Podiel hmotnosti celkových  emisií a počtu vyrobených párov obuvi.</w:t>
            </w:r>
          </w:p>
        </w:tc>
        <w:tc>
          <w:tcPr>
            <w:tcW w:w="709" w:type="dxa"/>
            <w:tcBorders>
              <w:top w:val="single" w:sz="4" w:space="0" w:color="000000"/>
              <w:left w:val="single" w:sz="6" w:space="0" w:color="000000"/>
              <w:bottom w:val="single" w:sz="4" w:space="0" w:color="000000"/>
              <w:right w:val="single" w:sz="6" w:space="0" w:color="000000"/>
            </w:tcBorders>
          </w:tcPr>
          <w:p w14:paraId="1513480D"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80E" w14:textId="77777777" w:rsidR="007170C3" w:rsidRPr="008819AF" w:rsidRDefault="007170C3">
            <w:pPr>
              <w:ind w:left="215" w:hanging="215"/>
              <w:rPr>
                <w:rFonts w:eastAsia="Arial"/>
              </w:rPr>
            </w:pPr>
          </w:p>
        </w:tc>
      </w:tr>
      <w:tr w:rsidR="00F80158" w:rsidRPr="008819AF" w14:paraId="1513482E"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810"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w:t>
            </w:r>
          </w:p>
        </w:tc>
        <w:tc>
          <w:tcPr>
            <w:tcW w:w="5386" w:type="dxa"/>
            <w:tcBorders>
              <w:top w:val="single" w:sz="4" w:space="0" w:color="000000"/>
              <w:left w:val="single" w:sz="6" w:space="0" w:color="000000"/>
              <w:bottom w:val="single" w:sz="4" w:space="0" w:color="000000"/>
              <w:right w:val="single" w:sz="6" w:space="0" w:color="000000"/>
            </w:tcBorders>
          </w:tcPr>
          <w:p w14:paraId="15134811"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Laminovanie dreva a plastov</w:t>
            </w:r>
          </w:p>
          <w:p w14:paraId="1513481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w:t>
            </w:r>
          </w:p>
        </w:tc>
        <w:tc>
          <w:tcPr>
            <w:tcW w:w="881" w:type="dxa"/>
            <w:tcBorders>
              <w:top w:val="single" w:sz="4" w:space="0" w:color="000000"/>
              <w:left w:val="single" w:sz="6" w:space="0" w:color="000000"/>
              <w:bottom w:val="single" w:sz="4" w:space="0" w:color="000000"/>
              <w:right w:val="single" w:sz="6" w:space="0" w:color="000000"/>
            </w:tcBorders>
          </w:tcPr>
          <w:p w14:paraId="15134813" w14:textId="77777777" w:rsidR="007170C3" w:rsidRPr="008819AF" w:rsidRDefault="00785695">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814"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815" w14:textId="77777777" w:rsidR="00785695" w:rsidRPr="008819AF" w:rsidRDefault="00785695" w:rsidP="00785695">
            <w:r w:rsidRPr="008819AF">
              <w:t>Pr.6</w:t>
            </w:r>
          </w:p>
          <w:p w14:paraId="15134816" w14:textId="77777777" w:rsidR="007170C3" w:rsidRPr="008819AF" w:rsidRDefault="00785695" w:rsidP="00785695">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817" w14:textId="77777777" w:rsidR="00A00E34" w:rsidRPr="008819AF" w:rsidRDefault="00A00E34" w:rsidP="00A00E34">
            <w:pPr>
              <w:jc w:val="both"/>
              <w:rPr>
                <w:b/>
              </w:rPr>
            </w:pPr>
            <w:r w:rsidRPr="008819AF">
              <w:rPr>
                <w:b/>
              </w:rPr>
              <w:t>15.  LAMINOVANIE DREVA A PLASTOV (XV)</w:t>
            </w:r>
          </w:p>
          <w:p w14:paraId="15134818" w14:textId="77777777" w:rsidR="00A00E34" w:rsidRPr="008819AF" w:rsidRDefault="00A00E34" w:rsidP="00A00E34">
            <w:pPr>
              <w:ind w:left="425"/>
              <w:jc w:val="both"/>
            </w:pPr>
            <w:r w:rsidRPr="008819AF">
              <w:t xml:space="preserve">Činnosť, pri ktorej sa spája drevo a/alebo plasty s cieľom výroby laminátov. </w:t>
            </w:r>
          </w:p>
          <w:p w14:paraId="15134819" w14:textId="77777777" w:rsidR="00A00E34" w:rsidRPr="008819AF" w:rsidRDefault="00A00E34" w:rsidP="00A00E34">
            <w:pPr>
              <w:ind w:left="425"/>
              <w:jc w:val="both"/>
            </w:pPr>
          </w:p>
          <w:p w14:paraId="1513481A" w14:textId="77777777" w:rsidR="00A00E34" w:rsidRPr="008819AF" w:rsidRDefault="00A00E34" w:rsidP="00A00E34">
            <w:pPr>
              <w:spacing w:after="120"/>
              <w:rPr>
                <w:b/>
              </w:rPr>
            </w:pPr>
            <w:r w:rsidRPr="008819AF">
              <w:rPr>
                <w:b/>
              </w:rPr>
              <w:t>15.1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530"/>
              <w:gridCol w:w="1841"/>
              <w:gridCol w:w="1756"/>
              <w:gridCol w:w="1681"/>
            </w:tblGrid>
            <w:tr w:rsidR="00A00E34" w:rsidRPr="008819AF" w14:paraId="1513481D" w14:textId="77777777" w:rsidTr="00445A6C">
              <w:trPr>
                <w:trHeight w:val="397"/>
                <w:jc w:val="center"/>
              </w:trPr>
              <w:tc>
                <w:tcPr>
                  <w:tcW w:w="3756" w:type="dxa"/>
                  <w:gridSpan w:val="2"/>
                  <w:vMerge w:val="restart"/>
                  <w:vAlign w:val="center"/>
                </w:tcPr>
                <w:p w14:paraId="1513481B" w14:textId="77777777" w:rsidR="00A00E34" w:rsidRPr="008819AF" w:rsidRDefault="00A00E34" w:rsidP="00445A6C">
                  <w:pPr>
                    <w:keepNext/>
                    <w:jc w:val="both"/>
                    <w:rPr>
                      <w:b/>
                      <w:sz w:val="18"/>
                      <w:szCs w:val="18"/>
                    </w:rPr>
                  </w:pPr>
                  <w:r w:rsidRPr="008819AF">
                    <w:rPr>
                      <w:b/>
                      <w:sz w:val="18"/>
                      <w:szCs w:val="18"/>
                    </w:rPr>
                    <w:t>Činnosť</w:t>
                  </w:r>
                </w:p>
              </w:tc>
              <w:tc>
                <w:tcPr>
                  <w:tcW w:w="5544" w:type="dxa"/>
                  <w:gridSpan w:val="2"/>
                  <w:vAlign w:val="center"/>
                </w:tcPr>
                <w:p w14:paraId="1513481C" w14:textId="77777777" w:rsidR="00A00E34" w:rsidRPr="008819AF" w:rsidRDefault="00A00E34"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Emisný limit</w:t>
                  </w:r>
                </w:p>
              </w:tc>
            </w:tr>
            <w:tr w:rsidR="00A00E34" w:rsidRPr="008819AF" w14:paraId="15134821" w14:textId="77777777" w:rsidTr="00445A6C">
              <w:trPr>
                <w:trHeight w:val="397"/>
                <w:jc w:val="center"/>
              </w:trPr>
              <w:tc>
                <w:tcPr>
                  <w:tcW w:w="3756" w:type="dxa"/>
                  <w:gridSpan w:val="2"/>
                  <w:vMerge/>
                  <w:vAlign w:val="center"/>
                </w:tcPr>
                <w:p w14:paraId="1513481E" w14:textId="77777777" w:rsidR="00A00E34" w:rsidRPr="008819AF" w:rsidRDefault="00A00E34" w:rsidP="00445A6C">
                  <w:pPr>
                    <w:rPr>
                      <w:b/>
                      <w:sz w:val="18"/>
                      <w:szCs w:val="18"/>
                    </w:rPr>
                  </w:pPr>
                </w:p>
              </w:tc>
              <w:tc>
                <w:tcPr>
                  <w:tcW w:w="2835" w:type="dxa"/>
                  <w:vMerge w:val="restart"/>
                  <w:vAlign w:val="center"/>
                </w:tcPr>
                <w:p w14:paraId="1513481F" w14:textId="77777777" w:rsidR="00A00E34" w:rsidRPr="008819AF" w:rsidRDefault="00A00E34" w:rsidP="00445A6C">
                  <w:pPr>
                    <w:jc w:val="center"/>
                    <w:rPr>
                      <w:b/>
                      <w:sz w:val="18"/>
                      <w:szCs w:val="18"/>
                    </w:rPr>
                  </w:pPr>
                  <w:r w:rsidRPr="008819AF">
                    <w:rPr>
                      <w:b/>
                      <w:sz w:val="18"/>
                      <w:szCs w:val="18"/>
                    </w:rPr>
                    <w:t xml:space="preserve">Prahová spotreba rozpúšťadla  </w:t>
                  </w:r>
                  <w:r w:rsidRPr="008819AF">
                    <w:rPr>
                      <w:b/>
                      <w:sz w:val="18"/>
                      <w:szCs w:val="18"/>
                    </w:rPr>
                    <w:sym w:font="Symbol" w:char="F05B"/>
                  </w:r>
                  <w:r w:rsidRPr="008819AF">
                    <w:rPr>
                      <w:b/>
                      <w:sz w:val="18"/>
                      <w:szCs w:val="18"/>
                    </w:rPr>
                    <w:t>t/rok</w:t>
                  </w:r>
                  <w:r w:rsidRPr="008819AF">
                    <w:rPr>
                      <w:b/>
                      <w:sz w:val="18"/>
                      <w:szCs w:val="18"/>
                    </w:rPr>
                    <w:sym w:font="Symbol" w:char="F05D"/>
                  </w:r>
                </w:p>
              </w:tc>
              <w:tc>
                <w:tcPr>
                  <w:tcW w:w="2709" w:type="dxa"/>
                  <w:vAlign w:val="center"/>
                </w:tcPr>
                <w:p w14:paraId="15134820" w14:textId="77777777" w:rsidR="00A00E34" w:rsidRPr="008819AF" w:rsidRDefault="00A00E34" w:rsidP="00445A6C">
                  <w:pPr>
                    <w:keepNext/>
                    <w:jc w:val="center"/>
                    <w:rPr>
                      <w:b/>
                      <w:sz w:val="18"/>
                      <w:szCs w:val="18"/>
                    </w:rPr>
                  </w:pPr>
                  <w:r w:rsidRPr="008819AF">
                    <w:rPr>
                      <w:b/>
                      <w:sz w:val="18"/>
                      <w:szCs w:val="18"/>
                    </w:rPr>
                    <w:t>Celkové emisie</w:t>
                  </w:r>
                  <w:r w:rsidRPr="008819AF">
                    <w:rPr>
                      <w:b/>
                      <w:sz w:val="18"/>
                      <w:szCs w:val="18"/>
                      <w:vertAlign w:val="superscript"/>
                    </w:rPr>
                    <w:t>1</w:t>
                  </w:r>
                  <w:r w:rsidRPr="008819AF">
                    <w:rPr>
                      <w:b/>
                      <w:sz w:val="18"/>
                      <w:szCs w:val="18"/>
                    </w:rPr>
                    <w:t>)</w:t>
                  </w:r>
                </w:p>
              </w:tc>
            </w:tr>
            <w:tr w:rsidR="00A00E34" w:rsidRPr="008819AF" w14:paraId="15134825" w14:textId="77777777" w:rsidTr="00445A6C">
              <w:trPr>
                <w:trHeight w:val="302"/>
                <w:jc w:val="center"/>
              </w:trPr>
              <w:tc>
                <w:tcPr>
                  <w:tcW w:w="3756" w:type="dxa"/>
                  <w:gridSpan w:val="2"/>
                  <w:vMerge/>
                  <w:vAlign w:val="center"/>
                </w:tcPr>
                <w:p w14:paraId="15134822" w14:textId="77777777" w:rsidR="00A00E34" w:rsidRPr="008819AF" w:rsidRDefault="00A00E34" w:rsidP="00445A6C">
                  <w:pPr>
                    <w:rPr>
                      <w:b/>
                      <w:sz w:val="18"/>
                      <w:szCs w:val="18"/>
                    </w:rPr>
                  </w:pPr>
                </w:p>
              </w:tc>
              <w:tc>
                <w:tcPr>
                  <w:tcW w:w="2835" w:type="dxa"/>
                  <w:vMerge/>
                  <w:vAlign w:val="center"/>
                </w:tcPr>
                <w:p w14:paraId="15134823" w14:textId="77777777" w:rsidR="00A00E34" w:rsidRPr="008819AF" w:rsidRDefault="00A00E34" w:rsidP="00445A6C">
                  <w:pPr>
                    <w:rPr>
                      <w:b/>
                      <w:sz w:val="18"/>
                      <w:szCs w:val="18"/>
                    </w:rPr>
                  </w:pPr>
                </w:p>
              </w:tc>
              <w:tc>
                <w:tcPr>
                  <w:tcW w:w="2709" w:type="dxa"/>
                  <w:vAlign w:val="center"/>
                </w:tcPr>
                <w:p w14:paraId="15134824" w14:textId="77777777" w:rsidR="00A00E34" w:rsidRPr="008819AF" w:rsidRDefault="00A00E34" w:rsidP="00445A6C">
                  <w:pPr>
                    <w:keepNext/>
                    <w:jc w:val="center"/>
                    <w:rPr>
                      <w:sz w:val="18"/>
                      <w:szCs w:val="18"/>
                    </w:rPr>
                  </w:pPr>
                  <w:r w:rsidRPr="008819AF">
                    <w:rPr>
                      <w:b/>
                      <w:sz w:val="18"/>
                      <w:szCs w:val="18"/>
                    </w:rPr>
                    <w:t xml:space="preserve">VOC </w:t>
                  </w:r>
                  <w:r w:rsidRPr="008819AF">
                    <w:rPr>
                      <w:b/>
                      <w:sz w:val="18"/>
                      <w:szCs w:val="18"/>
                    </w:rPr>
                    <w:sym w:font="Symbol" w:char="F05B"/>
                  </w:r>
                  <w:r w:rsidRPr="008819AF">
                    <w:rPr>
                      <w:b/>
                      <w:sz w:val="18"/>
                      <w:szCs w:val="18"/>
                    </w:rPr>
                    <w:t>g/m</w:t>
                  </w:r>
                  <w:r w:rsidRPr="008819AF">
                    <w:rPr>
                      <w:b/>
                      <w:sz w:val="18"/>
                      <w:szCs w:val="18"/>
                      <w:vertAlign w:val="superscript"/>
                    </w:rPr>
                    <w:t>2</w:t>
                  </w:r>
                  <w:r w:rsidRPr="008819AF">
                    <w:rPr>
                      <w:b/>
                      <w:sz w:val="18"/>
                      <w:szCs w:val="18"/>
                    </w:rPr>
                    <w:sym w:font="Symbol" w:char="F05D"/>
                  </w:r>
                </w:p>
              </w:tc>
            </w:tr>
            <w:tr w:rsidR="00A00E34" w:rsidRPr="008819AF" w14:paraId="1513482A" w14:textId="77777777" w:rsidTr="00445A6C">
              <w:trPr>
                <w:trHeight w:val="397"/>
                <w:jc w:val="center"/>
              </w:trPr>
              <w:tc>
                <w:tcPr>
                  <w:tcW w:w="779" w:type="dxa"/>
                  <w:vAlign w:val="center"/>
                </w:tcPr>
                <w:p w14:paraId="15134826" w14:textId="77777777" w:rsidR="00A00E34" w:rsidRPr="008819AF" w:rsidRDefault="00A00E34" w:rsidP="00445A6C">
                  <w:pPr>
                    <w:widowControl w:val="0"/>
                    <w:jc w:val="center"/>
                    <w:rPr>
                      <w:b/>
                      <w:sz w:val="18"/>
                      <w:szCs w:val="18"/>
                    </w:rPr>
                  </w:pPr>
                  <w:r w:rsidRPr="008819AF">
                    <w:rPr>
                      <w:b/>
                      <w:sz w:val="18"/>
                      <w:szCs w:val="18"/>
                    </w:rPr>
                    <w:t>XV</w:t>
                  </w:r>
                </w:p>
              </w:tc>
              <w:tc>
                <w:tcPr>
                  <w:tcW w:w="2977" w:type="dxa"/>
                  <w:vAlign w:val="center"/>
                </w:tcPr>
                <w:p w14:paraId="15134827" w14:textId="77777777" w:rsidR="00A00E34" w:rsidRPr="008819AF" w:rsidRDefault="00A00E34" w:rsidP="00445A6C">
                  <w:pPr>
                    <w:keepNext/>
                    <w:jc w:val="both"/>
                    <w:rPr>
                      <w:sz w:val="18"/>
                      <w:szCs w:val="18"/>
                    </w:rPr>
                  </w:pPr>
                  <w:r w:rsidRPr="008819AF">
                    <w:rPr>
                      <w:sz w:val="18"/>
                      <w:szCs w:val="18"/>
                    </w:rPr>
                    <w:t>Laminovanie dreva a plastov</w:t>
                  </w:r>
                </w:p>
              </w:tc>
              <w:tc>
                <w:tcPr>
                  <w:tcW w:w="2835" w:type="dxa"/>
                  <w:vAlign w:val="center"/>
                </w:tcPr>
                <w:p w14:paraId="15134828" w14:textId="77777777" w:rsidR="00A00E34" w:rsidRPr="008819AF" w:rsidRDefault="00A00E34" w:rsidP="00445A6C">
                  <w:pPr>
                    <w:keepNext/>
                    <w:jc w:val="center"/>
                    <w:rPr>
                      <w:sz w:val="18"/>
                      <w:szCs w:val="18"/>
                    </w:rPr>
                  </w:pPr>
                  <w:r w:rsidRPr="008819AF">
                    <w:rPr>
                      <w:sz w:val="18"/>
                      <w:szCs w:val="18"/>
                    </w:rPr>
                    <w:t>&gt; 5</w:t>
                  </w:r>
                </w:p>
              </w:tc>
              <w:tc>
                <w:tcPr>
                  <w:tcW w:w="2709" w:type="dxa"/>
                  <w:vAlign w:val="center"/>
                </w:tcPr>
                <w:p w14:paraId="15134829" w14:textId="77777777" w:rsidR="00A00E34" w:rsidRPr="008819AF" w:rsidRDefault="00A00E34" w:rsidP="00445A6C">
                  <w:pPr>
                    <w:keepNext/>
                    <w:jc w:val="center"/>
                    <w:rPr>
                      <w:sz w:val="18"/>
                      <w:szCs w:val="18"/>
                    </w:rPr>
                  </w:pPr>
                  <w:r w:rsidRPr="008819AF">
                    <w:rPr>
                      <w:sz w:val="18"/>
                      <w:szCs w:val="18"/>
                    </w:rPr>
                    <w:t>30</w:t>
                  </w:r>
                </w:p>
              </w:tc>
            </w:tr>
          </w:tbl>
          <w:p w14:paraId="1513482B" w14:textId="77777777" w:rsidR="007170C3" w:rsidRPr="008819AF" w:rsidRDefault="00A00E34" w:rsidP="00A00E34">
            <w:pPr>
              <w:spacing w:before="60"/>
              <w:rPr>
                <w:lang w:bidi="cs-CZ"/>
              </w:rPr>
            </w:pPr>
            <w:r w:rsidRPr="008819AF">
              <w:rPr>
                <w:vertAlign w:val="superscript"/>
              </w:rPr>
              <w:t>1</w:t>
            </w:r>
            <w:r w:rsidRPr="008819AF">
              <w:t>) Podiel hmotnosti celkových emisií a celkovej plochy produktu.</w:t>
            </w:r>
            <w:r w:rsidR="006F0418" w:rsidRPr="008819AF">
              <w:t>.</w:t>
            </w:r>
          </w:p>
        </w:tc>
        <w:tc>
          <w:tcPr>
            <w:tcW w:w="709" w:type="dxa"/>
            <w:tcBorders>
              <w:top w:val="single" w:sz="4" w:space="0" w:color="000000"/>
              <w:left w:val="single" w:sz="6" w:space="0" w:color="000000"/>
              <w:bottom w:val="single" w:sz="4" w:space="0" w:color="000000"/>
              <w:right w:val="single" w:sz="6" w:space="0" w:color="000000"/>
            </w:tcBorders>
          </w:tcPr>
          <w:p w14:paraId="1513482C"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82D" w14:textId="77777777" w:rsidR="007170C3" w:rsidRPr="008819AF" w:rsidRDefault="007170C3">
            <w:pPr>
              <w:ind w:left="215" w:hanging="215"/>
              <w:rPr>
                <w:rFonts w:eastAsia="Arial"/>
              </w:rPr>
            </w:pPr>
          </w:p>
        </w:tc>
      </w:tr>
      <w:tr w:rsidR="00F80158" w:rsidRPr="008819AF" w14:paraId="15134880"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82F"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16</w:t>
            </w:r>
          </w:p>
        </w:tc>
        <w:tc>
          <w:tcPr>
            <w:tcW w:w="5386" w:type="dxa"/>
            <w:tcBorders>
              <w:top w:val="single" w:sz="4" w:space="0" w:color="000000"/>
              <w:left w:val="single" w:sz="6" w:space="0" w:color="000000"/>
              <w:bottom w:val="single" w:sz="4" w:space="0" w:color="000000"/>
              <w:right w:val="single" w:sz="6" w:space="0" w:color="000000"/>
            </w:tcBorders>
          </w:tcPr>
          <w:p w14:paraId="15134830"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Nanášanie lepidla</w:t>
            </w:r>
          </w:p>
          <w:p w14:paraId="15134831"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w:t>
            </w:r>
          </w:p>
        </w:tc>
        <w:tc>
          <w:tcPr>
            <w:tcW w:w="881" w:type="dxa"/>
            <w:tcBorders>
              <w:top w:val="single" w:sz="4" w:space="0" w:color="000000"/>
              <w:left w:val="single" w:sz="6" w:space="0" w:color="000000"/>
              <w:bottom w:val="single" w:sz="4" w:space="0" w:color="000000"/>
              <w:right w:val="single" w:sz="6" w:space="0" w:color="000000"/>
            </w:tcBorders>
          </w:tcPr>
          <w:p w14:paraId="15134832" w14:textId="77777777" w:rsidR="007170C3" w:rsidRPr="008819AF" w:rsidRDefault="00785695">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833"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834" w14:textId="77777777" w:rsidR="00785695" w:rsidRPr="008819AF" w:rsidRDefault="00785695" w:rsidP="00785695">
            <w:r w:rsidRPr="008819AF">
              <w:t>Pr.6</w:t>
            </w:r>
          </w:p>
          <w:p w14:paraId="15134835" w14:textId="77777777" w:rsidR="007170C3" w:rsidRPr="008819AF" w:rsidRDefault="00785695" w:rsidP="00785695">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836" w14:textId="77777777" w:rsidR="00A00E34" w:rsidRPr="008819AF" w:rsidRDefault="00A00E34" w:rsidP="00A00E34">
            <w:pPr>
              <w:jc w:val="both"/>
              <w:rPr>
                <w:b/>
              </w:rPr>
            </w:pPr>
            <w:r w:rsidRPr="008819AF">
              <w:rPr>
                <w:b/>
              </w:rPr>
              <w:t>8.  NANÁŠANIE LEPIDLA (VIII)</w:t>
            </w:r>
          </w:p>
          <w:p w14:paraId="15134837" w14:textId="77777777" w:rsidR="00A00E34" w:rsidRPr="008819AF" w:rsidRDefault="00A00E34" w:rsidP="00A00E34">
            <w:pPr>
              <w:ind w:left="284"/>
              <w:jc w:val="both"/>
            </w:pPr>
            <w:r w:rsidRPr="008819AF">
              <w:t>Činnosť, pri ktorej sa aplikuje lepidlo okrem nanášania lepidla a laminovania, ktoré je súčasťou tlačiarenských činností.</w:t>
            </w:r>
          </w:p>
          <w:p w14:paraId="15134838" w14:textId="77777777" w:rsidR="00A00E34" w:rsidRPr="008819AF" w:rsidRDefault="00A00E34" w:rsidP="00A00E34">
            <w:pPr>
              <w:keepNext/>
              <w:spacing w:after="120"/>
              <w:jc w:val="both"/>
              <w:rPr>
                <w:b/>
              </w:rPr>
            </w:pPr>
            <w:r w:rsidRPr="008819AF">
              <w:rPr>
                <w:b/>
              </w:rPr>
              <w:t xml:space="preserve">8.1 Prahová spotreba rozpúšťadiel a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94"/>
              <w:gridCol w:w="617"/>
              <w:gridCol w:w="285"/>
              <w:gridCol w:w="565"/>
              <w:gridCol w:w="540"/>
              <w:gridCol w:w="687"/>
              <w:gridCol w:w="900"/>
              <w:gridCol w:w="801"/>
              <w:gridCol w:w="919"/>
            </w:tblGrid>
            <w:tr w:rsidR="00A00E34" w:rsidRPr="008819AF" w14:paraId="1513483B" w14:textId="77777777" w:rsidTr="00A00E34">
              <w:trPr>
                <w:jc w:val="center"/>
              </w:trPr>
              <w:tc>
                <w:tcPr>
                  <w:tcW w:w="2501" w:type="dxa"/>
                  <w:gridSpan w:val="5"/>
                  <w:vAlign w:val="center"/>
                </w:tcPr>
                <w:p w14:paraId="15134839" w14:textId="77777777" w:rsidR="00A00E34" w:rsidRPr="008819AF" w:rsidRDefault="00A00E34" w:rsidP="00445A6C">
                  <w:pPr>
                    <w:pStyle w:val="Normln"/>
                    <w:keepNext/>
                    <w:rPr>
                      <w:b/>
                      <w:sz w:val="18"/>
                      <w:szCs w:val="18"/>
                      <w:lang w:val="sk-SK"/>
                    </w:rPr>
                  </w:pPr>
                  <w:r w:rsidRPr="008819AF">
                    <w:rPr>
                      <w:b/>
                      <w:sz w:val="18"/>
                      <w:szCs w:val="18"/>
                      <w:lang w:val="sk-SK"/>
                    </w:rPr>
                    <w:t>Podmienky platnosti EL</w:t>
                  </w:r>
                </w:p>
              </w:tc>
              <w:tc>
                <w:tcPr>
                  <w:tcW w:w="3307" w:type="dxa"/>
                  <w:gridSpan w:val="4"/>
                  <w:vAlign w:val="center"/>
                </w:tcPr>
                <w:p w14:paraId="1513483A" w14:textId="77777777" w:rsidR="00A00E34" w:rsidRPr="008819AF" w:rsidRDefault="00A00E34" w:rsidP="00A00E34">
                  <w:pPr>
                    <w:pStyle w:val="Normln"/>
                    <w:keepNext/>
                    <w:rPr>
                      <w:sz w:val="18"/>
                      <w:szCs w:val="18"/>
                      <w:lang w:val="sk-SK"/>
                    </w:rPr>
                  </w:pPr>
                  <w:r w:rsidRPr="008819AF">
                    <w:rPr>
                      <w:sz w:val="18"/>
                      <w:szCs w:val="18"/>
                      <w:lang w:val="sk-SK"/>
                    </w:rPr>
                    <w:t>Štandardné stavové podmienky,  vlhký plyn</w:t>
                  </w:r>
                </w:p>
              </w:tc>
            </w:tr>
            <w:tr w:rsidR="00A00E34" w:rsidRPr="008819AF" w14:paraId="15134840" w14:textId="77777777" w:rsidTr="00A00E34">
              <w:trPr>
                <w:cantSplit/>
                <w:trHeight w:val="321"/>
                <w:jc w:val="center"/>
              </w:trPr>
              <w:tc>
                <w:tcPr>
                  <w:tcW w:w="1111" w:type="dxa"/>
                  <w:gridSpan w:val="2"/>
                  <w:vMerge w:val="restart"/>
                  <w:tcMar>
                    <w:top w:w="0" w:type="dxa"/>
                    <w:left w:w="70" w:type="dxa"/>
                    <w:bottom w:w="0" w:type="dxa"/>
                    <w:right w:w="70" w:type="dxa"/>
                  </w:tcMar>
                  <w:vAlign w:val="center"/>
                </w:tcPr>
                <w:p w14:paraId="1513483C" w14:textId="77777777" w:rsidR="00A00E34" w:rsidRPr="008819AF" w:rsidRDefault="00A00E34" w:rsidP="00445A6C">
                  <w:pPr>
                    <w:pStyle w:val="Zkladntext2"/>
                    <w:rPr>
                      <w:rFonts w:ascii="Times New Roman" w:hAnsi="Times New Roman" w:cs="Times New Roman"/>
                      <w:b/>
                      <w:sz w:val="18"/>
                      <w:szCs w:val="18"/>
                    </w:rPr>
                  </w:pPr>
                  <w:r w:rsidRPr="008819AF">
                    <w:rPr>
                      <w:rFonts w:ascii="Times New Roman" w:hAnsi="Times New Roman" w:cs="Times New Roman"/>
                      <w:b/>
                      <w:sz w:val="18"/>
                      <w:szCs w:val="18"/>
                    </w:rPr>
                    <w:t xml:space="preserve"> Činnosť</w:t>
                  </w:r>
                </w:p>
              </w:tc>
              <w:tc>
                <w:tcPr>
                  <w:tcW w:w="1390" w:type="dxa"/>
                  <w:gridSpan w:val="3"/>
                  <w:vMerge w:val="restart"/>
                  <w:tcMar>
                    <w:top w:w="0" w:type="dxa"/>
                    <w:left w:w="70" w:type="dxa"/>
                    <w:bottom w:w="0" w:type="dxa"/>
                    <w:right w:w="70" w:type="dxa"/>
                  </w:tcMar>
                  <w:vAlign w:val="center"/>
                </w:tcPr>
                <w:p w14:paraId="1513483D" w14:textId="77777777" w:rsidR="00A00E34" w:rsidRPr="008819AF" w:rsidRDefault="00A00E34" w:rsidP="00A00E34">
                  <w:pPr>
                    <w:keepNext/>
                    <w:ind w:right="-70"/>
                    <w:jc w:val="center"/>
                    <w:rPr>
                      <w:b/>
                      <w:sz w:val="18"/>
                      <w:szCs w:val="18"/>
                    </w:rPr>
                  </w:pPr>
                  <w:r w:rsidRPr="008819AF">
                    <w:rPr>
                      <w:b/>
                      <w:sz w:val="18"/>
                      <w:szCs w:val="18"/>
                    </w:rPr>
                    <w:t xml:space="preserve">Prahová spotreba rozpúšťadla </w:t>
                  </w:r>
                  <w:r w:rsidRPr="008819AF">
                    <w:rPr>
                      <w:b/>
                      <w:sz w:val="18"/>
                      <w:szCs w:val="18"/>
                    </w:rPr>
                    <w:sym w:font="Symbol" w:char="F05B"/>
                  </w:r>
                  <w:r w:rsidRPr="008819AF">
                    <w:rPr>
                      <w:b/>
                      <w:sz w:val="18"/>
                      <w:szCs w:val="18"/>
                    </w:rPr>
                    <w:t>t/rok</w:t>
                  </w:r>
                  <w:r w:rsidRPr="008819AF">
                    <w:rPr>
                      <w:b/>
                      <w:sz w:val="18"/>
                      <w:szCs w:val="18"/>
                    </w:rPr>
                    <w:sym w:font="Symbol" w:char="F05D"/>
                  </w:r>
                </w:p>
              </w:tc>
              <w:tc>
                <w:tcPr>
                  <w:tcW w:w="2388" w:type="dxa"/>
                  <w:gridSpan w:val="3"/>
                  <w:tcMar>
                    <w:top w:w="0" w:type="dxa"/>
                    <w:left w:w="70" w:type="dxa"/>
                    <w:bottom w:w="0" w:type="dxa"/>
                    <w:right w:w="70" w:type="dxa"/>
                  </w:tcMar>
                  <w:vAlign w:val="center"/>
                </w:tcPr>
                <w:p w14:paraId="1513483E" w14:textId="77777777" w:rsidR="00A00E34" w:rsidRPr="008819AF" w:rsidRDefault="00A00E34" w:rsidP="00A00E34">
                  <w:pPr>
                    <w:keepNext/>
                    <w:ind w:right="-70"/>
                    <w:jc w:val="center"/>
                    <w:rPr>
                      <w:b/>
                      <w:sz w:val="18"/>
                      <w:szCs w:val="18"/>
                    </w:rPr>
                  </w:pPr>
                  <w:r w:rsidRPr="008819AF">
                    <w:rPr>
                      <w:b/>
                      <w:sz w:val="18"/>
                      <w:szCs w:val="18"/>
                    </w:rPr>
                    <w:t>Emisný limit</w:t>
                  </w:r>
                </w:p>
              </w:tc>
              <w:tc>
                <w:tcPr>
                  <w:tcW w:w="919" w:type="dxa"/>
                  <w:vMerge w:val="restart"/>
                  <w:vAlign w:val="center"/>
                </w:tcPr>
                <w:p w14:paraId="1513483F" w14:textId="77777777" w:rsidR="00A00E34" w:rsidRPr="008819AF" w:rsidRDefault="00A00E34" w:rsidP="00A00E34">
                  <w:pPr>
                    <w:keepNext/>
                    <w:ind w:right="-70"/>
                    <w:jc w:val="center"/>
                    <w:rPr>
                      <w:b/>
                      <w:sz w:val="18"/>
                      <w:szCs w:val="18"/>
                    </w:rPr>
                  </w:pPr>
                  <w:r w:rsidRPr="008819AF">
                    <w:rPr>
                      <w:b/>
                      <w:sz w:val="18"/>
                      <w:szCs w:val="18"/>
                    </w:rPr>
                    <w:t>Emisný faktor pre RP</w:t>
                  </w:r>
                </w:p>
              </w:tc>
            </w:tr>
            <w:tr w:rsidR="00A00E34" w:rsidRPr="008819AF" w14:paraId="15134846" w14:textId="77777777" w:rsidTr="00A00E34">
              <w:trPr>
                <w:cantSplit/>
                <w:trHeight w:val="567"/>
                <w:jc w:val="center"/>
              </w:trPr>
              <w:tc>
                <w:tcPr>
                  <w:tcW w:w="1111" w:type="dxa"/>
                  <w:gridSpan w:val="2"/>
                  <w:vMerge/>
                  <w:vAlign w:val="center"/>
                </w:tcPr>
                <w:p w14:paraId="15134841" w14:textId="77777777" w:rsidR="00A00E34" w:rsidRPr="008819AF" w:rsidRDefault="00A00E34" w:rsidP="00445A6C">
                  <w:pPr>
                    <w:rPr>
                      <w:b/>
                      <w:sz w:val="18"/>
                      <w:szCs w:val="18"/>
                    </w:rPr>
                  </w:pPr>
                </w:p>
              </w:tc>
              <w:tc>
                <w:tcPr>
                  <w:tcW w:w="1390" w:type="dxa"/>
                  <w:gridSpan w:val="3"/>
                  <w:vMerge/>
                  <w:vAlign w:val="center"/>
                </w:tcPr>
                <w:p w14:paraId="15134842" w14:textId="77777777" w:rsidR="00A00E34" w:rsidRPr="008819AF" w:rsidRDefault="00A00E34" w:rsidP="00445A6C">
                  <w:pPr>
                    <w:rPr>
                      <w:sz w:val="18"/>
                      <w:szCs w:val="18"/>
                    </w:rPr>
                  </w:pPr>
                </w:p>
              </w:tc>
              <w:tc>
                <w:tcPr>
                  <w:tcW w:w="1587" w:type="dxa"/>
                  <w:gridSpan w:val="2"/>
                  <w:tcMar>
                    <w:top w:w="0" w:type="dxa"/>
                    <w:left w:w="70" w:type="dxa"/>
                    <w:bottom w:w="0" w:type="dxa"/>
                    <w:right w:w="70" w:type="dxa"/>
                  </w:tcMar>
                  <w:vAlign w:val="center"/>
                </w:tcPr>
                <w:p w14:paraId="15134843" w14:textId="77777777" w:rsidR="00A00E34" w:rsidRPr="008819AF" w:rsidRDefault="00A00E34" w:rsidP="00A00E34">
                  <w:pPr>
                    <w:keepNext/>
                    <w:ind w:right="-70"/>
                    <w:jc w:val="center"/>
                    <w:rPr>
                      <w:b/>
                      <w:sz w:val="18"/>
                      <w:szCs w:val="18"/>
                    </w:rPr>
                  </w:pPr>
                  <w:r w:rsidRPr="008819AF">
                    <w:rPr>
                      <w:b/>
                      <w:sz w:val="18"/>
                      <w:szCs w:val="18"/>
                    </w:rPr>
                    <w:t>Odpadové plyny</w:t>
                  </w:r>
                </w:p>
              </w:tc>
              <w:tc>
                <w:tcPr>
                  <w:tcW w:w="801" w:type="dxa"/>
                  <w:tcMar>
                    <w:top w:w="0" w:type="dxa"/>
                    <w:left w:w="70" w:type="dxa"/>
                    <w:bottom w:w="0" w:type="dxa"/>
                    <w:right w:w="70" w:type="dxa"/>
                  </w:tcMar>
                  <w:vAlign w:val="center"/>
                </w:tcPr>
                <w:p w14:paraId="15134844" w14:textId="77777777" w:rsidR="00A00E34" w:rsidRPr="008819AF" w:rsidRDefault="00A00E34" w:rsidP="00A00E34">
                  <w:pPr>
                    <w:keepNext/>
                    <w:ind w:right="-70"/>
                    <w:jc w:val="center"/>
                    <w:rPr>
                      <w:b/>
                      <w:sz w:val="18"/>
                      <w:szCs w:val="18"/>
                    </w:rPr>
                  </w:pPr>
                  <w:r w:rsidRPr="008819AF">
                    <w:rPr>
                      <w:b/>
                      <w:sz w:val="18"/>
                      <w:szCs w:val="18"/>
                    </w:rPr>
                    <w:t>Fugitívne emisie</w:t>
                  </w:r>
                </w:p>
              </w:tc>
              <w:tc>
                <w:tcPr>
                  <w:tcW w:w="919" w:type="dxa"/>
                  <w:vMerge/>
                  <w:vAlign w:val="center"/>
                </w:tcPr>
                <w:p w14:paraId="15134845" w14:textId="77777777" w:rsidR="00A00E34" w:rsidRPr="008819AF" w:rsidRDefault="00A00E34" w:rsidP="00445A6C">
                  <w:pPr>
                    <w:pStyle w:val="Zkladntext2"/>
                    <w:ind w:left="-65" w:right="-108"/>
                    <w:jc w:val="center"/>
                    <w:rPr>
                      <w:rFonts w:ascii="Times New Roman" w:hAnsi="Times New Roman" w:cs="Times New Roman"/>
                      <w:b/>
                      <w:sz w:val="18"/>
                      <w:szCs w:val="18"/>
                    </w:rPr>
                  </w:pPr>
                </w:p>
              </w:tc>
            </w:tr>
            <w:tr w:rsidR="00A00E34" w:rsidRPr="008819AF" w14:paraId="15134852" w14:textId="77777777" w:rsidTr="00A00E34">
              <w:trPr>
                <w:cantSplit/>
                <w:jc w:val="center"/>
              </w:trPr>
              <w:tc>
                <w:tcPr>
                  <w:tcW w:w="1111" w:type="dxa"/>
                  <w:gridSpan w:val="2"/>
                  <w:vMerge/>
                  <w:vAlign w:val="center"/>
                </w:tcPr>
                <w:p w14:paraId="15134847" w14:textId="77777777" w:rsidR="00A00E34" w:rsidRPr="008819AF" w:rsidRDefault="00A00E34" w:rsidP="00445A6C">
                  <w:pPr>
                    <w:rPr>
                      <w:b/>
                      <w:sz w:val="18"/>
                      <w:szCs w:val="18"/>
                    </w:rPr>
                  </w:pPr>
                </w:p>
              </w:tc>
              <w:tc>
                <w:tcPr>
                  <w:tcW w:w="285" w:type="dxa"/>
                  <w:vAlign w:val="center"/>
                </w:tcPr>
                <w:p w14:paraId="15134848" w14:textId="77777777" w:rsidR="00A00E34" w:rsidRPr="008819AF" w:rsidRDefault="00A00E34" w:rsidP="00445A6C">
                  <w:pPr>
                    <w:rPr>
                      <w:sz w:val="18"/>
                      <w:szCs w:val="18"/>
                    </w:rPr>
                  </w:pPr>
                </w:p>
              </w:tc>
              <w:tc>
                <w:tcPr>
                  <w:tcW w:w="565" w:type="dxa"/>
                  <w:vAlign w:val="center"/>
                </w:tcPr>
                <w:p w14:paraId="15134849" w14:textId="77777777" w:rsidR="00A00E34" w:rsidRPr="008819AF" w:rsidRDefault="00A00E34" w:rsidP="00445A6C">
                  <w:pPr>
                    <w:jc w:val="center"/>
                    <w:rPr>
                      <w:b/>
                      <w:sz w:val="18"/>
                      <w:szCs w:val="18"/>
                    </w:rPr>
                  </w:pPr>
                  <w:r w:rsidRPr="008819AF">
                    <w:rPr>
                      <w:b/>
                      <w:sz w:val="18"/>
                      <w:szCs w:val="18"/>
                    </w:rPr>
                    <w:t>od</w:t>
                  </w:r>
                </w:p>
              </w:tc>
              <w:tc>
                <w:tcPr>
                  <w:tcW w:w="540" w:type="dxa"/>
                  <w:vAlign w:val="center"/>
                </w:tcPr>
                <w:p w14:paraId="1513484A" w14:textId="77777777" w:rsidR="00A00E34" w:rsidRPr="008819AF" w:rsidRDefault="00A00E34" w:rsidP="00445A6C">
                  <w:pPr>
                    <w:jc w:val="center"/>
                    <w:rPr>
                      <w:b/>
                      <w:sz w:val="18"/>
                      <w:szCs w:val="18"/>
                    </w:rPr>
                  </w:pPr>
                  <w:r w:rsidRPr="008819AF">
                    <w:rPr>
                      <w:b/>
                      <w:sz w:val="18"/>
                      <w:szCs w:val="18"/>
                    </w:rPr>
                    <w:t>do</w:t>
                  </w:r>
                </w:p>
              </w:tc>
              <w:tc>
                <w:tcPr>
                  <w:tcW w:w="687" w:type="dxa"/>
                  <w:tcMar>
                    <w:top w:w="0" w:type="dxa"/>
                    <w:left w:w="70" w:type="dxa"/>
                    <w:bottom w:w="0" w:type="dxa"/>
                    <w:right w:w="70" w:type="dxa"/>
                  </w:tcMar>
                </w:tcPr>
                <w:p w14:paraId="1513484B" w14:textId="77777777" w:rsidR="00A00E34" w:rsidRPr="008819AF" w:rsidRDefault="00A00E34" w:rsidP="00A00E34">
                  <w:pPr>
                    <w:keepNext/>
                    <w:ind w:right="-70"/>
                    <w:jc w:val="center"/>
                    <w:rPr>
                      <w:b/>
                      <w:sz w:val="18"/>
                      <w:szCs w:val="18"/>
                    </w:rPr>
                  </w:pPr>
                  <w:r w:rsidRPr="008819AF">
                    <w:rPr>
                      <w:b/>
                      <w:sz w:val="18"/>
                      <w:szCs w:val="18"/>
                    </w:rPr>
                    <w:t>TZL1)</w:t>
                  </w:r>
                </w:p>
                <w:p w14:paraId="1513484C" w14:textId="77777777" w:rsidR="00A00E34" w:rsidRPr="008819AF" w:rsidRDefault="00A00E34" w:rsidP="00A00E34">
                  <w:pPr>
                    <w:keepNext/>
                    <w:ind w:left="-92" w:right="-70"/>
                    <w:jc w:val="center"/>
                    <w:rPr>
                      <w:b/>
                      <w:sz w:val="18"/>
                      <w:szCs w:val="18"/>
                    </w:rPr>
                  </w:pPr>
                  <w:r w:rsidRPr="008819AF">
                    <w:rPr>
                      <w:b/>
                      <w:sz w:val="18"/>
                      <w:szCs w:val="18"/>
                    </w:rPr>
                    <w:sym w:font="Symbol" w:char="F05B"/>
                  </w:r>
                  <w:r w:rsidRPr="008819AF">
                    <w:rPr>
                      <w:b/>
                      <w:sz w:val="18"/>
                      <w:szCs w:val="18"/>
                    </w:rPr>
                    <w:t>mg/m3</w:t>
                  </w:r>
                  <w:r w:rsidRPr="008819AF">
                    <w:rPr>
                      <w:b/>
                      <w:sz w:val="18"/>
                      <w:szCs w:val="18"/>
                    </w:rPr>
                    <w:sym w:font="Symbol" w:char="F05D"/>
                  </w:r>
                </w:p>
              </w:tc>
              <w:tc>
                <w:tcPr>
                  <w:tcW w:w="900" w:type="dxa"/>
                </w:tcPr>
                <w:p w14:paraId="1513484D" w14:textId="77777777" w:rsidR="00A00E34" w:rsidRPr="008819AF" w:rsidRDefault="00A00E34" w:rsidP="00A00E34">
                  <w:pPr>
                    <w:keepNext/>
                    <w:ind w:right="-70"/>
                    <w:jc w:val="center"/>
                    <w:rPr>
                      <w:b/>
                      <w:sz w:val="18"/>
                      <w:szCs w:val="18"/>
                    </w:rPr>
                  </w:pPr>
                  <w:r w:rsidRPr="008819AF">
                    <w:rPr>
                      <w:b/>
                      <w:sz w:val="18"/>
                      <w:szCs w:val="18"/>
                    </w:rPr>
                    <w:t xml:space="preserve">TOC </w:t>
                  </w:r>
                  <w:r w:rsidRPr="008819AF">
                    <w:rPr>
                      <w:b/>
                      <w:sz w:val="18"/>
                      <w:szCs w:val="18"/>
                    </w:rPr>
                    <w:sym w:font="Symbol" w:char="F05B"/>
                  </w:r>
                  <w:r w:rsidRPr="008819AF">
                    <w:rPr>
                      <w:b/>
                      <w:sz w:val="18"/>
                      <w:szCs w:val="18"/>
                    </w:rPr>
                    <w:t>mg/m3</w:t>
                  </w:r>
                  <w:r w:rsidRPr="008819AF">
                    <w:rPr>
                      <w:b/>
                      <w:sz w:val="18"/>
                      <w:szCs w:val="18"/>
                    </w:rPr>
                    <w:sym w:font="Symbol" w:char="F05D"/>
                  </w:r>
                </w:p>
              </w:tc>
              <w:tc>
                <w:tcPr>
                  <w:tcW w:w="801" w:type="dxa"/>
                  <w:tcMar>
                    <w:top w:w="0" w:type="dxa"/>
                    <w:left w:w="70" w:type="dxa"/>
                    <w:bottom w:w="0" w:type="dxa"/>
                    <w:right w:w="70" w:type="dxa"/>
                  </w:tcMar>
                </w:tcPr>
                <w:p w14:paraId="1513484E" w14:textId="77777777" w:rsidR="00A00E34" w:rsidRPr="008819AF" w:rsidRDefault="00A00E34" w:rsidP="00A00E34">
                  <w:pPr>
                    <w:keepNext/>
                    <w:ind w:right="-70"/>
                    <w:jc w:val="center"/>
                    <w:rPr>
                      <w:b/>
                      <w:sz w:val="18"/>
                      <w:szCs w:val="18"/>
                    </w:rPr>
                  </w:pPr>
                  <w:r w:rsidRPr="008819AF">
                    <w:rPr>
                      <w:b/>
                      <w:sz w:val="18"/>
                      <w:szCs w:val="18"/>
                    </w:rPr>
                    <w:t xml:space="preserve">VOC </w:t>
                  </w:r>
                </w:p>
                <w:p w14:paraId="1513484F" w14:textId="77777777" w:rsidR="00A00E34" w:rsidRPr="008819AF" w:rsidRDefault="00A00E34" w:rsidP="00A00E34">
                  <w:pPr>
                    <w:keepNext/>
                    <w:ind w:right="-70"/>
                    <w:jc w:val="center"/>
                    <w:rPr>
                      <w:b/>
                      <w:sz w:val="18"/>
                      <w:szCs w:val="18"/>
                    </w:rPr>
                  </w:pPr>
                  <w:r w:rsidRPr="008819AF">
                    <w:rPr>
                      <w:b/>
                      <w:sz w:val="18"/>
                      <w:szCs w:val="18"/>
                    </w:rPr>
                    <w:sym w:font="Symbol" w:char="F05B"/>
                  </w:r>
                  <w:r w:rsidRPr="008819AF">
                    <w:rPr>
                      <w:b/>
                      <w:sz w:val="18"/>
                      <w:szCs w:val="18"/>
                    </w:rPr>
                    <w:t>%</w:t>
                  </w:r>
                  <w:r w:rsidRPr="008819AF">
                    <w:rPr>
                      <w:b/>
                      <w:sz w:val="18"/>
                      <w:szCs w:val="18"/>
                    </w:rPr>
                    <w:sym w:font="Symbol" w:char="F05D"/>
                  </w:r>
                </w:p>
              </w:tc>
              <w:tc>
                <w:tcPr>
                  <w:tcW w:w="919" w:type="dxa"/>
                </w:tcPr>
                <w:p w14:paraId="15134850" w14:textId="77777777" w:rsidR="00A00E34" w:rsidRPr="008819AF" w:rsidRDefault="00A00E34" w:rsidP="00A00E34">
                  <w:pPr>
                    <w:keepNext/>
                    <w:ind w:right="-70"/>
                    <w:jc w:val="center"/>
                    <w:rPr>
                      <w:b/>
                      <w:sz w:val="18"/>
                      <w:szCs w:val="18"/>
                    </w:rPr>
                  </w:pPr>
                  <w:r w:rsidRPr="008819AF">
                    <w:rPr>
                      <w:b/>
                      <w:sz w:val="18"/>
                      <w:szCs w:val="18"/>
                    </w:rPr>
                    <w:t>VOC</w:t>
                  </w:r>
                </w:p>
                <w:p w14:paraId="15134851" w14:textId="77777777" w:rsidR="00A00E34" w:rsidRPr="008819AF" w:rsidRDefault="00A00E34" w:rsidP="00A00E34">
                  <w:pPr>
                    <w:keepNext/>
                    <w:ind w:right="-70"/>
                    <w:jc w:val="center"/>
                    <w:rPr>
                      <w:b/>
                      <w:sz w:val="18"/>
                      <w:szCs w:val="18"/>
                    </w:rPr>
                  </w:pPr>
                  <w:r w:rsidRPr="008819AF">
                    <w:rPr>
                      <w:b/>
                      <w:sz w:val="18"/>
                      <w:szCs w:val="18"/>
                    </w:rPr>
                    <w:sym w:font="Symbol" w:char="F05B"/>
                  </w:r>
                  <w:r w:rsidRPr="008819AF">
                    <w:rPr>
                      <w:b/>
                      <w:sz w:val="18"/>
                      <w:szCs w:val="18"/>
                    </w:rPr>
                    <w:t>kg /kg sušiny</w:t>
                  </w:r>
                  <w:r w:rsidRPr="008819AF">
                    <w:rPr>
                      <w:b/>
                      <w:sz w:val="18"/>
                      <w:szCs w:val="18"/>
                    </w:rPr>
                    <w:sym w:font="Symbol" w:char="F05D"/>
                  </w:r>
                </w:p>
              </w:tc>
            </w:tr>
            <w:tr w:rsidR="00A00E34" w:rsidRPr="008819AF" w14:paraId="1513485C" w14:textId="77777777" w:rsidTr="00A00E34">
              <w:trPr>
                <w:cantSplit/>
                <w:trHeight w:val="313"/>
                <w:jc w:val="center"/>
              </w:trPr>
              <w:tc>
                <w:tcPr>
                  <w:tcW w:w="494" w:type="dxa"/>
                  <w:vMerge w:val="restart"/>
                  <w:tcMar>
                    <w:top w:w="0" w:type="dxa"/>
                    <w:left w:w="70" w:type="dxa"/>
                    <w:bottom w:w="0" w:type="dxa"/>
                    <w:right w:w="70" w:type="dxa"/>
                  </w:tcMar>
                  <w:vAlign w:val="center"/>
                </w:tcPr>
                <w:p w14:paraId="15134853" w14:textId="77777777" w:rsidR="00A00E34" w:rsidRPr="008819AF" w:rsidRDefault="00A00E34" w:rsidP="00A00E34">
                  <w:pPr>
                    <w:pStyle w:val="Zkladntext2"/>
                    <w:rPr>
                      <w:rFonts w:ascii="Times New Roman" w:hAnsi="Times New Roman" w:cs="Times New Roman"/>
                      <w:b/>
                      <w:sz w:val="18"/>
                      <w:szCs w:val="18"/>
                    </w:rPr>
                  </w:pPr>
                  <w:r w:rsidRPr="008819AF">
                    <w:rPr>
                      <w:rFonts w:ascii="Times New Roman" w:hAnsi="Times New Roman" w:cs="Times New Roman"/>
                      <w:b/>
                      <w:sz w:val="18"/>
                      <w:szCs w:val="18"/>
                    </w:rPr>
                    <w:t>VIII</w:t>
                  </w:r>
                </w:p>
              </w:tc>
              <w:tc>
                <w:tcPr>
                  <w:tcW w:w="617" w:type="dxa"/>
                  <w:vMerge w:val="restart"/>
                  <w:tcMar>
                    <w:top w:w="0" w:type="dxa"/>
                    <w:left w:w="70" w:type="dxa"/>
                    <w:bottom w:w="0" w:type="dxa"/>
                    <w:right w:w="70" w:type="dxa"/>
                  </w:tcMar>
                  <w:vAlign w:val="center"/>
                </w:tcPr>
                <w:p w14:paraId="15134854" w14:textId="77777777" w:rsidR="00A00E34" w:rsidRPr="008819AF" w:rsidRDefault="00A00E34" w:rsidP="00A00E34">
                  <w:pPr>
                    <w:keepNext/>
                    <w:ind w:right="-70"/>
                    <w:jc w:val="center"/>
                    <w:rPr>
                      <w:sz w:val="18"/>
                      <w:szCs w:val="18"/>
                    </w:rPr>
                  </w:pPr>
                  <w:r w:rsidRPr="008819AF">
                    <w:rPr>
                      <w:sz w:val="18"/>
                      <w:szCs w:val="18"/>
                    </w:rPr>
                    <w:t>Naná-šanie lepidla</w:t>
                  </w:r>
                </w:p>
              </w:tc>
              <w:tc>
                <w:tcPr>
                  <w:tcW w:w="285" w:type="dxa"/>
                  <w:tcMar>
                    <w:top w:w="0" w:type="dxa"/>
                    <w:left w:w="70" w:type="dxa"/>
                    <w:bottom w:w="0" w:type="dxa"/>
                    <w:right w:w="70" w:type="dxa"/>
                  </w:tcMar>
                  <w:vAlign w:val="center"/>
                </w:tcPr>
                <w:p w14:paraId="15134855" w14:textId="77777777" w:rsidR="00A00E34" w:rsidRPr="008819AF" w:rsidRDefault="00A00E34" w:rsidP="00445A6C">
                  <w:pPr>
                    <w:keepNext/>
                    <w:jc w:val="center"/>
                    <w:rPr>
                      <w:sz w:val="18"/>
                      <w:szCs w:val="18"/>
                    </w:rPr>
                  </w:pPr>
                  <w:r w:rsidRPr="008819AF">
                    <w:rPr>
                      <w:sz w:val="18"/>
                      <w:szCs w:val="18"/>
                    </w:rPr>
                    <w:t>Z</w:t>
                  </w:r>
                </w:p>
              </w:tc>
              <w:tc>
                <w:tcPr>
                  <w:tcW w:w="565" w:type="dxa"/>
                  <w:tcMar>
                    <w:top w:w="0" w:type="dxa"/>
                    <w:left w:w="70" w:type="dxa"/>
                    <w:bottom w:w="0" w:type="dxa"/>
                    <w:right w:w="70" w:type="dxa"/>
                  </w:tcMar>
                  <w:vAlign w:val="center"/>
                </w:tcPr>
                <w:p w14:paraId="15134856" w14:textId="77777777" w:rsidR="00A00E34" w:rsidRPr="008819AF" w:rsidRDefault="00A00E34" w:rsidP="00445A6C">
                  <w:pPr>
                    <w:keepNext/>
                    <w:jc w:val="center"/>
                    <w:rPr>
                      <w:sz w:val="18"/>
                      <w:szCs w:val="18"/>
                    </w:rPr>
                  </w:pPr>
                  <w:r w:rsidRPr="008819AF">
                    <w:rPr>
                      <w:sz w:val="18"/>
                      <w:szCs w:val="18"/>
                    </w:rPr>
                    <w:t>&gt; 0,6</w:t>
                  </w:r>
                </w:p>
              </w:tc>
              <w:tc>
                <w:tcPr>
                  <w:tcW w:w="540" w:type="dxa"/>
                  <w:tcMar>
                    <w:top w:w="0" w:type="dxa"/>
                    <w:left w:w="70" w:type="dxa"/>
                    <w:bottom w:w="0" w:type="dxa"/>
                    <w:right w:w="70" w:type="dxa"/>
                  </w:tcMar>
                  <w:vAlign w:val="center"/>
                </w:tcPr>
                <w:p w14:paraId="15134857" w14:textId="77777777" w:rsidR="00A00E34" w:rsidRPr="008819AF" w:rsidRDefault="00A00E34" w:rsidP="00445A6C">
                  <w:pPr>
                    <w:keepNext/>
                    <w:jc w:val="center"/>
                    <w:rPr>
                      <w:sz w:val="18"/>
                      <w:szCs w:val="18"/>
                    </w:rPr>
                  </w:pPr>
                  <w:r w:rsidRPr="008819AF">
                    <w:rPr>
                      <w:sz w:val="18"/>
                      <w:szCs w:val="18"/>
                    </w:rPr>
                    <w:sym w:font="Symbol" w:char="F0A3"/>
                  </w:r>
                  <w:r w:rsidRPr="008819AF">
                    <w:rPr>
                      <w:sz w:val="18"/>
                      <w:szCs w:val="18"/>
                    </w:rPr>
                    <w:t xml:space="preserve"> 5</w:t>
                  </w:r>
                </w:p>
              </w:tc>
              <w:tc>
                <w:tcPr>
                  <w:tcW w:w="687" w:type="dxa"/>
                  <w:tcMar>
                    <w:top w:w="0" w:type="dxa"/>
                    <w:left w:w="70" w:type="dxa"/>
                    <w:bottom w:w="0" w:type="dxa"/>
                    <w:right w:w="70" w:type="dxa"/>
                  </w:tcMar>
                  <w:vAlign w:val="center"/>
                </w:tcPr>
                <w:p w14:paraId="15134858" w14:textId="77777777" w:rsidR="00A00E34" w:rsidRPr="008819AF" w:rsidRDefault="00A00E34" w:rsidP="00445A6C">
                  <w:pPr>
                    <w:keepNext/>
                    <w:jc w:val="center"/>
                    <w:rPr>
                      <w:sz w:val="18"/>
                      <w:szCs w:val="18"/>
                    </w:rPr>
                  </w:pPr>
                  <w:r w:rsidRPr="008819AF">
                    <w:rPr>
                      <w:sz w:val="18"/>
                      <w:szCs w:val="18"/>
                    </w:rPr>
                    <w:t>3</w:t>
                  </w:r>
                </w:p>
              </w:tc>
              <w:tc>
                <w:tcPr>
                  <w:tcW w:w="900" w:type="dxa"/>
                  <w:vAlign w:val="center"/>
                </w:tcPr>
                <w:p w14:paraId="15134859" w14:textId="77777777" w:rsidR="00A00E34" w:rsidRPr="008819AF" w:rsidRDefault="00A00E34" w:rsidP="00445A6C">
                  <w:pPr>
                    <w:keepNext/>
                    <w:jc w:val="center"/>
                    <w:rPr>
                      <w:sz w:val="18"/>
                      <w:szCs w:val="18"/>
                    </w:rPr>
                  </w:pPr>
                  <w:r w:rsidRPr="008819AF">
                    <w:rPr>
                      <w:sz w:val="18"/>
                      <w:szCs w:val="18"/>
                    </w:rPr>
                    <w:t>50, 150</w:t>
                  </w:r>
                  <w:r w:rsidRPr="008819AF">
                    <w:rPr>
                      <w:sz w:val="18"/>
                      <w:szCs w:val="18"/>
                      <w:vertAlign w:val="superscript"/>
                    </w:rPr>
                    <w:t>2</w:t>
                  </w:r>
                  <w:r w:rsidRPr="008819AF">
                    <w:rPr>
                      <w:sz w:val="18"/>
                      <w:szCs w:val="18"/>
                    </w:rPr>
                    <w:t>)</w:t>
                  </w:r>
                </w:p>
              </w:tc>
              <w:tc>
                <w:tcPr>
                  <w:tcW w:w="801" w:type="dxa"/>
                  <w:tcMar>
                    <w:top w:w="0" w:type="dxa"/>
                    <w:left w:w="70" w:type="dxa"/>
                    <w:bottom w:w="0" w:type="dxa"/>
                    <w:right w:w="70" w:type="dxa"/>
                  </w:tcMar>
                  <w:vAlign w:val="center"/>
                </w:tcPr>
                <w:p w14:paraId="1513485A" w14:textId="77777777" w:rsidR="00A00E34" w:rsidRPr="008819AF" w:rsidRDefault="00A00E34" w:rsidP="00445A6C">
                  <w:pPr>
                    <w:keepNext/>
                    <w:jc w:val="center"/>
                    <w:rPr>
                      <w:sz w:val="18"/>
                      <w:szCs w:val="18"/>
                    </w:rPr>
                  </w:pPr>
                  <w:r w:rsidRPr="008819AF">
                    <w:rPr>
                      <w:sz w:val="18"/>
                      <w:szCs w:val="18"/>
                    </w:rPr>
                    <w:t>-</w:t>
                  </w:r>
                </w:p>
              </w:tc>
              <w:tc>
                <w:tcPr>
                  <w:tcW w:w="919" w:type="dxa"/>
                  <w:vAlign w:val="center"/>
                </w:tcPr>
                <w:p w14:paraId="1513485B" w14:textId="77777777" w:rsidR="00A00E34" w:rsidRPr="008819AF" w:rsidRDefault="00A00E34" w:rsidP="00445A6C">
                  <w:pPr>
                    <w:keepNext/>
                    <w:jc w:val="center"/>
                    <w:rPr>
                      <w:sz w:val="18"/>
                      <w:szCs w:val="18"/>
                    </w:rPr>
                  </w:pPr>
                  <w:r w:rsidRPr="008819AF">
                    <w:rPr>
                      <w:sz w:val="18"/>
                      <w:szCs w:val="18"/>
                    </w:rPr>
                    <w:t>-</w:t>
                  </w:r>
                </w:p>
              </w:tc>
            </w:tr>
            <w:tr w:rsidR="00A00E34" w:rsidRPr="008819AF" w14:paraId="15134866" w14:textId="77777777" w:rsidTr="00A00E34">
              <w:trPr>
                <w:cantSplit/>
                <w:trHeight w:val="289"/>
                <w:jc w:val="center"/>
              </w:trPr>
              <w:tc>
                <w:tcPr>
                  <w:tcW w:w="494" w:type="dxa"/>
                  <w:vMerge/>
                  <w:vAlign w:val="center"/>
                </w:tcPr>
                <w:p w14:paraId="1513485D" w14:textId="77777777" w:rsidR="00A00E34" w:rsidRPr="008819AF" w:rsidRDefault="00A00E34" w:rsidP="00445A6C">
                  <w:pPr>
                    <w:rPr>
                      <w:sz w:val="18"/>
                      <w:szCs w:val="18"/>
                    </w:rPr>
                  </w:pPr>
                </w:p>
              </w:tc>
              <w:tc>
                <w:tcPr>
                  <w:tcW w:w="617" w:type="dxa"/>
                  <w:vMerge/>
                  <w:vAlign w:val="center"/>
                </w:tcPr>
                <w:p w14:paraId="1513485E" w14:textId="77777777" w:rsidR="00A00E34" w:rsidRPr="008819AF" w:rsidRDefault="00A00E34" w:rsidP="00445A6C">
                  <w:pPr>
                    <w:rPr>
                      <w:sz w:val="18"/>
                      <w:szCs w:val="18"/>
                    </w:rPr>
                  </w:pPr>
                </w:p>
              </w:tc>
              <w:tc>
                <w:tcPr>
                  <w:tcW w:w="285" w:type="dxa"/>
                  <w:tcMar>
                    <w:top w:w="0" w:type="dxa"/>
                    <w:left w:w="70" w:type="dxa"/>
                    <w:bottom w:w="0" w:type="dxa"/>
                    <w:right w:w="70" w:type="dxa"/>
                  </w:tcMar>
                  <w:vAlign w:val="center"/>
                </w:tcPr>
                <w:p w14:paraId="1513485F" w14:textId="77777777" w:rsidR="00A00E34" w:rsidRPr="008819AF" w:rsidRDefault="00A00E34" w:rsidP="00445A6C">
                  <w:pPr>
                    <w:keepNext/>
                    <w:jc w:val="center"/>
                    <w:rPr>
                      <w:sz w:val="18"/>
                      <w:szCs w:val="18"/>
                    </w:rPr>
                  </w:pPr>
                  <w:r w:rsidRPr="008819AF">
                    <w:rPr>
                      <w:sz w:val="18"/>
                      <w:szCs w:val="18"/>
                    </w:rPr>
                    <w:t>Z</w:t>
                  </w:r>
                </w:p>
              </w:tc>
              <w:tc>
                <w:tcPr>
                  <w:tcW w:w="565" w:type="dxa"/>
                  <w:tcMar>
                    <w:top w:w="0" w:type="dxa"/>
                    <w:left w:w="70" w:type="dxa"/>
                    <w:bottom w:w="0" w:type="dxa"/>
                    <w:right w:w="70" w:type="dxa"/>
                  </w:tcMar>
                  <w:vAlign w:val="center"/>
                </w:tcPr>
                <w:p w14:paraId="15134860" w14:textId="77777777" w:rsidR="00A00E34" w:rsidRPr="008819AF" w:rsidRDefault="00A00E34" w:rsidP="00445A6C">
                  <w:pPr>
                    <w:keepNext/>
                    <w:jc w:val="center"/>
                    <w:rPr>
                      <w:sz w:val="18"/>
                      <w:szCs w:val="18"/>
                    </w:rPr>
                  </w:pPr>
                  <w:r w:rsidRPr="008819AF">
                    <w:rPr>
                      <w:sz w:val="18"/>
                      <w:szCs w:val="18"/>
                    </w:rPr>
                    <w:t>&gt; 5</w:t>
                  </w:r>
                </w:p>
              </w:tc>
              <w:tc>
                <w:tcPr>
                  <w:tcW w:w="540" w:type="dxa"/>
                  <w:tcMar>
                    <w:top w:w="0" w:type="dxa"/>
                    <w:left w:w="70" w:type="dxa"/>
                    <w:bottom w:w="0" w:type="dxa"/>
                    <w:right w:w="70" w:type="dxa"/>
                  </w:tcMar>
                  <w:vAlign w:val="center"/>
                </w:tcPr>
                <w:p w14:paraId="15134861" w14:textId="77777777" w:rsidR="00A00E34" w:rsidRPr="008819AF" w:rsidRDefault="00A00E34" w:rsidP="00445A6C">
                  <w:pPr>
                    <w:keepNext/>
                    <w:jc w:val="center"/>
                    <w:rPr>
                      <w:sz w:val="18"/>
                      <w:szCs w:val="18"/>
                    </w:rPr>
                  </w:pPr>
                  <w:r w:rsidRPr="008819AF">
                    <w:rPr>
                      <w:sz w:val="18"/>
                      <w:szCs w:val="18"/>
                    </w:rPr>
                    <w:sym w:font="Symbol" w:char="F0A3"/>
                  </w:r>
                  <w:r w:rsidRPr="008819AF">
                    <w:rPr>
                      <w:sz w:val="18"/>
                      <w:szCs w:val="18"/>
                    </w:rPr>
                    <w:t>15</w:t>
                  </w:r>
                </w:p>
              </w:tc>
              <w:tc>
                <w:tcPr>
                  <w:tcW w:w="687" w:type="dxa"/>
                  <w:tcMar>
                    <w:top w:w="0" w:type="dxa"/>
                    <w:left w:w="70" w:type="dxa"/>
                    <w:bottom w:w="0" w:type="dxa"/>
                    <w:right w:w="70" w:type="dxa"/>
                  </w:tcMar>
                  <w:vAlign w:val="center"/>
                </w:tcPr>
                <w:p w14:paraId="15134862" w14:textId="77777777" w:rsidR="00A00E34" w:rsidRPr="008819AF" w:rsidRDefault="00A00E34" w:rsidP="00445A6C">
                  <w:pPr>
                    <w:keepNext/>
                    <w:jc w:val="center"/>
                    <w:rPr>
                      <w:sz w:val="18"/>
                      <w:szCs w:val="18"/>
                    </w:rPr>
                  </w:pPr>
                  <w:r w:rsidRPr="008819AF">
                    <w:rPr>
                      <w:sz w:val="18"/>
                      <w:szCs w:val="18"/>
                    </w:rPr>
                    <w:t>3</w:t>
                  </w:r>
                </w:p>
              </w:tc>
              <w:tc>
                <w:tcPr>
                  <w:tcW w:w="900" w:type="dxa"/>
                  <w:vAlign w:val="center"/>
                </w:tcPr>
                <w:p w14:paraId="15134863" w14:textId="77777777" w:rsidR="00A00E34" w:rsidRPr="008819AF" w:rsidRDefault="00A00E34" w:rsidP="00445A6C">
                  <w:pPr>
                    <w:keepNext/>
                    <w:jc w:val="center"/>
                    <w:rPr>
                      <w:sz w:val="18"/>
                      <w:szCs w:val="18"/>
                    </w:rPr>
                  </w:pPr>
                  <w:r w:rsidRPr="008819AF">
                    <w:rPr>
                      <w:sz w:val="18"/>
                      <w:szCs w:val="18"/>
                    </w:rPr>
                    <w:t>50, 150</w:t>
                  </w:r>
                  <w:r w:rsidRPr="008819AF">
                    <w:rPr>
                      <w:sz w:val="18"/>
                      <w:szCs w:val="18"/>
                      <w:vertAlign w:val="superscript"/>
                    </w:rPr>
                    <w:t>2</w:t>
                  </w:r>
                  <w:r w:rsidRPr="008819AF">
                    <w:rPr>
                      <w:sz w:val="18"/>
                      <w:szCs w:val="18"/>
                    </w:rPr>
                    <w:t>)</w:t>
                  </w:r>
                </w:p>
              </w:tc>
              <w:tc>
                <w:tcPr>
                  <w:tcW w:w="801" w:type="dxa"/>
                  <w:tcMar>
                    <w:top w:w="0" w:type="dxa"/>
                    <w:left w:w="70" w:type="dxa"/>
                    <w:bottom w:w="0" w:type="dxa"/>
                    <w:right w:w="70" w:type="dxa"/>
                  </w:tcMar>
                  <w:vAlign w:val="center"/>
                </w:tcPr>
                <w:p w14:paraId="15134864" w14:textId="77777777" w:rsidR="00A00E34" w:rsidRPr="008819AF" w:rsidRDefault="00A00E34" w:rsidP="00445A6C">
                  <w:pPr>
                    <w:keepNext/>
                    <w:jc w:val="center"/>
                    <w:rPr>
                      <w:sz w:val="18"/>
                      <w:szCs w:val="18"/>
                    </w:rPr>
                  </w:pPr>
                  <w:r w:rsidRPr="008819AF">
                    <w:rPr>
                      <w:sz w:val="18"/>
                      <w:szCs w:val="18"/>
                    </w:rPr>
                    <w:t>25</w:t>
                  </w:r>
                </w:p>
              </w:tc>
              <w:tc>
                <w:tcPr>
                  <w:tcW w:w="919" w:type="dxa"/>
                  <w:vAlign w:val="center"/>
                </w:tcPr>
                <w:p w14:paraId="15134865" w14:textId="77777777" w:rsidR="00A00E34" w:rsidRPr="008819AF" w:rsidRDefault="00A00E34" w:rsidP="00445A6C">
                  <w:pPr>
                    <w:keepNext/>
                    <w:jc w:val="center"/>
                    <w:rPr>
                      <w:sz w:val="18"/>
                      <w:szCs w:val="18"/>
                    </w:rPr>
                  </w:pPr>
                  <w:r w:rsidRPr="008819AF">
                    <w:rPr>
                      <w:sz w:val="18"/>
                      <w:szCs w:val="18"/>
                    </w:rPr>
                    <w:t>1,2</w:t>
                  </w:r>
                </w:p>
              </w:tc>
            </w:tr>
            <w:tr w:rsidR="00A00E34" w:rsidRPr="008819AF" w14:paraId="15134870" w14:textId="77777777" w:rsidTr="00A00E34">
              <w:trPr>
                <w:cantSplit/>
                <w:trHeight w:val="265"/>
                <w:jc w:val="center"/>
              </w:trPr>
              <w:tc>
                <w:tcPr>
                  <w:tcW w:w="494" w:type="dxa"/>
                  <w:vMerge/>
                  <w:vAlign w:val="center"/>
                </w:tcPr>
                <w:p w14:paraId="15134867" w14:textId="77777777" w:rsidR="00A00E34" w:rsidRPr="008819AF" w:rsidRDefault="00A00E34" w:rsidP="00445A6C">
                  <w:pPr>
                    <w:rPr>
                      <w:sz w:val="18"/>
                      <w:szCs w:val="18"/>
                    </w:rPr>
                  </w:pPr>
                </w:p>
              </w:tc>
              <w:tc>
                <w:tcPr>
                  <w:tcW w:w="617" w:type="dxa"/>
                  <w:vMerge/>
                  <w:vAlign w:val="center"/>
                </w:tcPr>
                <w:p w14:paraId="15134868" w14:textId="77777777" w:rsidR="00A00E34" w:rsidRPr="008819AF" w:rsidRDefault="00A00E34" w:rsidP="00445A6C">
                  <w:pPr>
                    <w:rPr>
                      <w:sz w:val="18"/>
                      <w:szCs w:val="18"/>
                    </w:rPr>
                  </w:pPr>
                </w:p>
              </w:tc>
              <w:tc>
                <w:tcPr>
                  <w:tcW w:w="285" w:type="dxa"/>
                  <w:tcMar>
                    <w:top w:w="0" w:type="dxa"/>
                    <w:left w:w="70" w:type="dxa"/>
                    <w:bottom w:w="0" w:type="dxa"/>
                    <w:right w:w="70" w:type="dxa"/>
                  </w:tcMar>
                  <w:vAlign w:val="center"/>
                </w:tcPr>
                <w:p w14:paraId="15134869" w14:textId="77777777" w:rsidR="00A00E34" w:rsidRPr="008819AF" w:rsidRDefault="00A00E34" w:rsidP="00445A6C">
                  <w:pPr>
                    <w:keepNext/>
                    <w:jc w:val="center"/>
                    <w:rPr>
                      <w:sz w:val="18"/>
                      <w:szCs w:val="18"/>
                    </w:rPr>
                  </w:pPr>
                </w:p>
              </w:tc>
              <w:tc>
                <w:tcPr>
                  <w:tcW w:w="565" w:type="dxa"/>
                  <w:tcMar>
                    <w:top w:w="0" w:type="dxa"/>
                    <w:left w:w="70" w:type="dxa"/>
                    <w:bottom w:w="0" w:type="dxa"/>
                    <w:right w:w="70" w:type="dxa"/>
                  </w:tcMar>
                  <w:vAlign w:val="center"/>
                </w:tcPr>
                <w:p w14:paraId="1513486A" w14:textId="77777777" w:rsidR="00A00E34" w:rsidRPr="008819AF" w:rsidRDefault="00A00E34" w:rsidP="00445A6C">
                  <w:pPr>
                    <w:keepNext/>
                    <w:jc w:val="center"/>
                    <w:rPr>
                      <w:sz w:val="18"/>
                      <w:szCs w:val="18"/>
                    </w:rPr>
                  </w:pPr>
                  <w:r w:rsidRPr="008819AF">
                    <w:rPr>
                      <w:sz w:val="18"/>
                      <w:szCs w:val="18"/>
                    </w:rPr>
                    <w:t>&gt; 15</w:t>
                  </w:r>
                </w:p>
              </w:tc>
              <w:tc>
                <w:tcPr>
                  <w:tcW w:w="540" w:type="dxa"/>
                  <w:tcMar>
                    <w:top w:w="0" w:type="dxa"/>
                    <w:left w:w="70" w:type="dxa"/>
                    <w:bottom w:w="0" w:type="dxa"/>
                    <w:right w:w="70" w:type="dxa"/>
                  </w:tcMar>
                  <w:vAlign w:val="center"/>
                </w:tcPr>
                <w:p w14:paraId="1513486B" w14:textId="77777777" w:rsidR="00A00E34" w:rsidRPr="008819AF" w:rsidRDefault="00A00E34" w:rsidP="00A00E34">
                  <w:pPr>
                    <w:keepNext/>
                    <w:ind w:right="-70"/>
                    <w:jc w:val="center"/>
                    <w:rPr>
                      <w:sz w:val="18"/>
                      <w:szCs w:val="18"/>
                    </w:rPr>
                  </w:pPr>
                  <w:r w:rsidRPr="008819AF">
                    <w:rPr>
                      <w:sz w:val="18"/>
                      <w:szCs w:val="18"/>
                    </w:rPr>
                    <w:t>&lt; 200</w:t>
                  </w:r>
                </w:p>
              </w:tc>
              <w:tc>
                <w:tcPr>
                  <w:tcW w:w="687" w:type="dxa"/>
                  <w:tcMar>
                    <w:top w:w="0" w:type="dxa"/>
                    <w:left w:w="70" w:type="dxa"/>
                    <w:bottom w:w="0" w:type="dxa"/>
                    <w:right w:w="70" w:type="dxa"/>
                  </w:tcMar>
                  <w:vAlign w:val="center"/>
                </w:tcPr>
                <w:p w14:paraId="1513486C" w14:textId="77777777" w:rsidR="00A00E34" w:rsidRPr="008819AF" w:rsidRDefault="00A00E34" w:rsidP="00445A6C">
                  <w:pPr>
                    <w:keepNext/>
                    <w:jc w:val="center"/>
                    <w:rPr>
                      <w:sz w:val="18"/>
                      <w:szCs w:val="18"/>
                    </w:rPr>
                  </w:pPr>
                  <w:r w:rsidRPr="008819AF">
                    <w:rPr>
                      <w:sz w:val="18"/>
                      <w:szCs w:val="18"/>
                    </w:rPr>
                    <w:t>3</w:t>
                  </w:r>
                </w:p>
              </w:tc>
              <w:tc>
                <w:tcPr>
                  <w:tcW w:w="900" w:type="dxa"/>
                  <w:vAlign w:val="center"/>
                </w:tcPr>
                <w:p w14:paraId="1513486D" w14:textId="77777777" w:rsidR="00A00E34" w:rsidRPr="008819AF" w:rsidRDefault="00A00E34" w:rsidP="00445A6C">
                  <w:pPr>
                    <w:keepNext/>
                    <w:jc w:val="center"/>
                    <w:rPr>
                      <w:sz w:val="18"/>
                      <w:szCs w:val="18"/>
                    </w:rPr>
                  </w:pPr>
                  <w:r w:rsidRPr="008819AF">
                    <w:rPr>
                      <w:sz w:val="18"/>
                      <w:szCs w:val="18"/>
                    </w:rPr>
                    <w:t>50, 150</w:t>
                  </w:r>
                  <w:r w:rsidRPr="008819AF">
                    <w:rPr>
                      <w:sz w:val="18"/>
                      <w:szCs w:val="18"/>
                      <w:vertAlign w:val="superscript"/>
                    </w:rPr>
                    <w:t>2</w:t>
                  </w:r>
                  <w:r w:rsidRPr="008819AF">
                    <w:rPr>
                      <w:sz w:val="18"/>
                      <w:szCs w:val="18"/>
                    </w:rPr>
                    <w:t>)</w:t>
                  </w:r>
                </w:p>
              </w:tc>
              <w:tc>
                <w:tcPr>
                  <w:tcW w:w="801" w:type="dxa"/>
                  <w:tcMar>
                    <w:top w:w="0" w:type="dxa"/>
                    <w:left w:w="70" w:type="dxa"/>
                    <w:bottom w:w="0" w:type="dxa"/>
                    <w:right w:w="70" w:type="dxa"/>
                  </w:tcMar>
                  <w:vAlign w:val="center"/>
                </w:tcPr>
                <w:p w14:paraId="1513486E" w14:textId="77777777" w:rsidR="00A00E34" w:rsidRPr="008819AF" w:rsidRDefault="00A00E34" w:rsidP="00445A6C">
                  <w:pPr>
                    <w:keepNext/>
                    <w:jc w:val="center"/>
                    <w:rPr>
                      <w:sz w:val="18"/>
                      <w:szCs w:val="18"/>
                    </w:rPr>
                  </w:pPr>
                  <w:r w:rsidRPr="008819AF">
                    <w:rPr>
                      <w:sz w:val="18"/>
                      <w:szCs w:val="18"/>
                    </w:rPr>
                    <w:t>20</w:t>
                  </w:r>
                </w:p>
              </w:tc>
              <w:tc>
                <w:tcPr>
                  <w:tcW w:w="919" w:type="dxa"/>
                  <w:vAlign w:val="center"/>
                </w:tcPr>
                <w:p w14:paraId="1513486F" w14:textId="77777777" w:rsidR="00A00E34" w:rsidRPr="008819AF" w:rsidRDefault="00A00E34" w:rsidP="00445A6C">
                  <w:pPr>
                    <w:keepNext/>
                    <w:jc w:val="center"/>
                    <w:rPr>
                      <w:sz w:val="18"/>
                      <w:szCs w:val="18"/>
                    </w:rPr>
                  </w:pPr>
                  <w:r w:rsidRPr="008819AF">
                    <w:rPr>
                      <w:sz w:val="18"/>
                      <w:szCs w:val="18"/>
                    </w:rPr>
                    <w:t>1</w:t>
                  </w:r>
                </w:p>
              </w:tc>
            </w:tr>
            <w:tr w:rsidR="00A00E34" w:rsidRPr="008819AF" w14:paraId="1513487A" w14:textId="77777777" w:rsidTr="00A00E34">
              <w:trPr>
                <w:cantSplit/>
                <w:trHeight w:val="288"/>
                <w:jc w:val="center"/>
              </w:trPr>
              <w:tc>
                <w:tcPr>
                  <w:tcW w:w="494" w:type="dxa"/>
                  <w:vMerge/>
                  <w:shd w:val="clear" w:color="auto" w:fill="FFFF00"/>
                  <w:vAlign w:val="center"/>
                </w:tcPr>
                <w:p w14:paraId="15134871" w14:textId="77777777" w:rsidR="00A00E34" w:rsidRPr="008819AF" w:rsidRDefault="00A00E34" w:rsidP="00445A6C">
                  <w:pPr>
                    <w:rPr>
                      <w:sz w:val="18"/>
                      <w:szCs w:val="18"/>
                    </w:rPr>
                  </w:pPr>
                </w:p>
              </w:tc>
              <w:tc>
                <w:tcPr>
                  <w:tcW w:w="617" w:type="dxa"/>
                  <w:vMerge/>
                  <w:shd w:val="clear" w:color="auto" w:fill="FFFF00"/>
                  <w:vAlign w:val="center"/>
                </w:tcPr>
                <w:p w14:paraId="15134872" w14:textId="77777777" w:rsidR="00A00E34" w:rsidRPr="008819AF" w:rsidRDefault="00A00E34" w:rsidP="00445A6C">
                  <w:pPr>
                    <w:rPr>
                      <w:sz w:val="18"/>
                      <w:szCs w:val="18"/>
                    </w:rPr>
                  </w:pPr>
                </w:p>
              </w:tc>
              <w:tc>
                <w:tcPr>
                  <w:tcW w:w="285" w:type="dxa"/>
                  <w:tcMar>
                    <w:top w:w="0" w:type="dxa"/>
                    <w:left w:w="70" w:type="dxa"/>
                    <w:bottom w:w="0" w:type="dxa"/>
                    <w:right w:w="70" w:type="dxa"/>
                  </w:tcMar>
                  <w:vAlign w:val="center"/>
                </w:tcPr>
                <w:p w14:paraId="15134873" w14:textId="77777777" w:rsidR="00A00E34" w:rsidRPr="008819AF" w:rsidRDefault="00A00E34" w:rsidP="00445A6C">
                  <w:pPr>
                    <w:keepNext/>
                    <w:jc w:val="center"/>
                    <w:rPr>
                      <w:sz w:val="18"/>
                      <w:szCs w:val="18"/>
                    </w:rPr>
                  </w:pPr>
                </w:p>
              </w:tc>
              <w:tc>
                <w:tcPr>
                  <w:tcW w:w="565" w:type="dxa"/>
                  <w:tcMar>
                    <w:top w:w="0" w:type="dxa"/>
                    <w:left w:w="70" w:type="dxa"/>
                    <w:bottom w:w="0" w:type="dxa"/>
                    <w:right w:w="70" w:type="dxa"/>
                  </w:tcMar>
                  <w:vAlign w:val="center"/>
                </w:tcPr>
                <w:p w14:paraId="15134874" w14:textId="77777777" w:rsidR="00A00E34" w:rsidRPr="008819AF" w:rsidRDefault="00A00E34" w:rsidP="00445A6C">
                  <w:pPr>
                    <w:keepNext/>
                    <w:jc w:val="center"/>
                    <w:rPr>
                      <w:sz w:val="18"/>
                      <w:szCs w:val="18"/>
                    </w:rPr>
                  </w:pPr>
                  <w:r w:rsidRPr="008819AF">
                    <w:rPr>
                      <w:sz w:val="18"/>
                      <w:szCs w:val="18"/>
                    </w:rPr>
                    <w:t>≥ 200</w:t>
                  </w:r>
                </w:p>
              </w:tc>
              <w:tc>
                <w:tcPr>
                  <w:tcW w:w="540" w:type="dxa"/>
                  <w:tcMar>
                    <w:top w:w="0" w:type="dxa"/>
                    <w:left w:w="70" w:type="dxa"/>
                    <w:bottom w:w="0" w:type="dxa"/>
                    <w:right w:w="70" w:type="dxa"/>
                  </w:tcMar>
                  <w:vAlign w:val="center"/>
                </w:tcPr>
                <w:p w14:paraId="15134875" w14:textId="77777777" w:rsidR="00A00E34" w:rsidRPr="008819AF" w:rsidRDefault="00A00E34" w:rsidP="00445A6C">
                  <w:pPr>
                    <w:keepNext/>
                    <w:jc w:val="center"/>
                    <w:rPr>
                      <w:sz w:val="18"/>
                      <w:szCs w:val="18"/>
                    </w:rPr>
                  </w:pPr>
                  <w:r w:rsidRPr="008819AF">
                    <w:rPr>
                      <w:sz w:val="18"/>
                      <w:szCs w:val="18"/>
                    </w:rPr>
                    <w:t>-</w:t>
                  </w:r>
                </w:p>
              </w:tc>
              <w:tc>
                <w:tcPr>
                  <w:tcW w:w="687" w:type="dxa"/>
                  <w:tcMar>
                    <w:top w:w="0" w:type="dxa"/>
                    <w:left w:w="70" w:type="dxa"/>
                    <w:bottom w:w="0" w:type="dxa"/>
                    <w:right w:w="70" w:type="dxa"/>
                  </w:tcMar>
                  <w:vAlign w:val="center"/>
                </w:tcPr>
                <w:p w14:paraId="15134876" w14:textId="77777777" w:rsidR="00A00E34" w:rsidRPr="008819AF" w:rsidRDefault="00A00E34" w:rsidP="00445A6C">
                  <w:pPr>
                    <w:keepNext/>
                    <w:jc w:val="center"/>
                    <w:rPr>
                      <w:sz w:val="18"/>
                      <w:szCs w:val="18"/>
                    </w:rPr>
                  </w:pPr>
                  <w:r w:rsidRPr="008819AF">
                    <w:rPr>
                      <w:sz w:val="18"/>
                      <w:szCs w:val="18"/>
                    </w:rPr>
                    <w:t>3</w:t>
                  </w:r>
                </w:p>
              </w:tc>
              <w:tc>
                <w:tcPr>
                  <w:tcW w:w="900" w:type="dxa"/>
                  <w:vAlign w:val="center"/>
                </w:tcPr>
                <w:p w14:paraId="15134877" w14:textId="77777777" w:rsidR="00A00E34" w:rsidRPr="008819AF" w:rsidRDefault="00A00E34" w:rsidP="00445A6C">
                  <w:pPr>
                    <w:jc w:val="center"/>
                    <w:rPr>
                      <w:sz w:val="18"/>
                      <w:szCs w:val="18"/>
                    </w:rPr>
                  </w:pPr>
                  <w:r w:rsidRPr="008819AF">
                    <w:rPr>
                      <w:sz w:val="18"/>
                      <w:szCs w:val="18"/>
                    </w:rPr>
                    <w:t>50, 100</w:t>
                  </w:r>
                  <w:r w:rsidRPr="008819AF">
                    <w:rPr>
                      <w:sz w:val="18"/>
                      <w:szCs w:val="18"/>
                      <w:vertAlign w:val="superscript"/>
                    </w:rPr>
                    <w:t>2</w:t>
                  </w:r>
                  <w:r w:rsidRPr="008819AF">
                    <w:rPr>
                      <w:sz w:val="18"/>
                      <w:szCs w:val="18"/>
                    </w:rPr>
                    <w:t xml:space="preserve">) </w:t>
                  </w:r>
                </w:p>
              </w:tc>
              <w:tc>
                <w:tcPr>
                  <w:tcW w:w="801" w:type="dxa"/>
                  <w:tcMar>
                    <w:top w:w="0" w:type="dxa"/>
                    <w:left w:w="70" w:type="dxa"/>
                    <w:bottom w:w="0" w:type="dxa"/>
                    <w:right w:w="70" w:type="dxa"/>
                  </w:tcMar>
                  <w:vAlign w:val="center"/>
                </w:tcPr>
                <w:p w14:paraId="15134878" w14:textId="77777777" w:rsidR="00A00E34" w:rsidRPr="008819AF" w:rsidRDefault="00A00E34" w:rsidP="00445A6C">
                  <w:pPr>
                    <w:keepNext/>
                    <w:jc w:val="center"/>
                    <w:rPr>
                      <w:sz w:val="18"/>
                      <w:szCs w:val="18"/>
                    </w:rPr>
                  </w:pPr>
                  <w:r w:rsidRPr="008819AF">
                    <w:rPr>
                      <w:sz w:val="18"/>
                      <w:szCs w:val="18"/>
                    </w:rPr>
                    <w:t xml:space="preserve">15, </w:t>
                  </w:r>
                </w:p>
              </w:tc>
              <w:tc>
                <w:tcPr>
                  <w:tcW w:w="919" w:type="dxa"/>
                  <w:vAlign w:val="center"/>
                </w:tcPr>
                <w:p w14:paraId="15134879" w14:textId="77777777" w:rsidR="00A00E34" w:rsidRPr="008819AF" w:rsidRDefault="00A00E34" w:rsidP="00445A6C">
                  <w:pPr>
                    <w:keepNext/>
                    <w:jc w:val="center"/>
                    <w:rPr>
                      <w:sz w:val="18"/>
                      <w:szCs w:val="18"/>
                    </w:rPr>
                  </w:pPr>
                  <w:r w:rsidRPr="008819AF">
                    <w:rPr>
                      <w:sz w:val="18"/>
                      <w:szCs w:val="18"/>
                    </w:rPr>
                    <w:t>0,8</w:t>
                  </w:r>
                </w:p>
              </w:tc>
            </w:tr>
          </w:tbl>
          <w:p w14:paraId="1513487B" w14:textId="77777777" w:rsidR="00A00E34" w:rsidRPr="008819AF" w:rsidRDefault="00A00E34" w:rsidP="00A00E34">
            <w:pPr>
              <w:pStyle w:val="Zkladntext2"/>
              <w:spacing w:before="60"/>
              <w:ind w:left="284" w:hanging="284"/>
              <w:rPr>
                <w:rFonts w:ascii="Times New Roman" w:hAnsi="Times New Roman" w:cs="Times New Roman"/>
                <w:strike/>
                <w:sz w:val="20"/>
                <w:szCs w:val="20"/>
              </w:rPr>
            </w:pPr>
            <w:r w:rsidRPr="008819AF">
              <w:rPr>
                <w:rFonts w:ascii="Times New Roman" w:hAnsi="Times New Roman" w:cs="Times New Roman"/>
                <w:sz w:val="20"/>
                <w:szCs w:val="20"/>
                <w:vertAlign w:val="superscript"/>
              </w:rPr>
              <w:t>1</w:t>
            </w:r>
            <w:r w:rsidRPr="008819AF">
              <w:rPr>
                <w:rFonts w:ascii="Times New Roman" w:hAnsi="Times New Roman" w:cs="Times New Roman"/>
                <w:sz w:val="20"/>
                <w:szCs w:val="20"/>
              </w:rPr>
              <w:t xml:space="preserve">) Emisný limit pre TZL platí iba pre proces striekania. </w:t>
            </w:r>
          </w:p>
          <w:p w14:paraId="1513487C" w14:textId="77777777" w:rsidR="007170C3" w:rsidRPr="008819AF" w:rsidRDefault="00A00E34" w:rsidP="00A00E34">
            <w:pPr>
              <w:ind w:left="284" w:right="-143" w:hanging="284"/>
              <w:jc w:val="both"/>
            </w:pPr>
            <w:r w:rsidRPr="008819AF">
              <w:rPr>
                <w:vertAlign w:val="superscript"/>
              </w:rPr>
              <w:t>2</w:t>
            </w:r>
            <w:r w:rsidRPr="008819AF">
              <w:t>)  Platí pre zariadenia používajúce technológiu na opätovné využitie regenerovaných organických rozpúšťadiel.</w:t>
            </w:r>
            <w:r w:rsidR="006F0418" w:rsidRPr="008819AF">
              <w:t>.</w:t>
            </w:r>
          </w:p>
          <w:p w14:paraId="1513487D" w14:textId="77777777" w:rsidR="00A00E34" w:rsidRPr="008819AF" w:rsidRDefault="00A00E34" w:rsidP="00A00E34">
            <w:pPr>
              <w:ind w:left="284" w:right="-143" w:hanging="284"/>
              <w:jc w:val="both"/>
              <w:rPr>
                <w:lang w:bidi="cs-CZ"/>
              </w:rPr>
            </w:pPr>
          </w:p>
        </w:tc>
        <w:tc>
          <w:tcPr>
            <w:tcW w:w="709" w:type="dxa"/>
            <w:tcBorders>
              <w:top w:val="single" w:sz="4" w:space="0" w:color="000000"/>
              <w:left w:val="single" w:sz="6" w:space="0" w:color="000000"/>
              <w:bottom w:val="single" w:sz="4" w:space="0" w:color="000000"/>
              <w:right w:val="single" w:sz="6" w:space="0" w:color="000000"/>
            </w:tcBorders>
          </w:tcPr>
          <w:p w14:paraId="1513487E"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87F" w14:textId="77777777" w:rsidR="007170C3" w:rsidRPr="008819AF" w:rsidRDefault="007170C3">
            <w:pPr>
              <w:ind w:left="215" w:hanging="215"/>
              <w:rPr>
                <w:rFonts w:eastAsia="Arial"/>
              </w:rPr>
            </w:pPr>
          </w:p>
        </w:tc>
      </w:tr>
      <w:tr w:rsidR="00F80158" w:rsidRPr="008819AF" w14:paraId="151348B8"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881"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17</w:t>
            </w:r>
          </w:p>
        </w:tc>
        <w:tc>
          <w:tcPr>
            <w:tcW w:w="5386" w:type="dxa"/>
            <w:tcBorders>
              <w:top w:val="single" w:sz="4" w:space="0" w:color="000000"/>
              <w:left w:val="single" w:sz="6" w:space="0" w:color="000000"/>
              <w:bottom w:val="single" w:sz="4" w:space="0" w:color="000000"/>
              <w:right w:val="single" w:sz="6" w:space="0" w:color="000000"/>
            </w:tcBorders>
          </w:tcPr>
          <w:p w14:paraId="1513488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Výroba náterových zmesí, lakov, tlačiarenských farieb a lepidiel</w:t>
            </w:r>
          </w:p>
          <w:p w14:paraId="15134883"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100)</w:t>
            </w:r>
          </w:p>
        </w:tc>
        <w:tc>
          <w:tcPr>
            <w:tcW w:w="881" w:type="dxa"/>
            <w:tcBorders>
              <w:top w:val="single" w:sz="4" w:space="0" w:color="000000"/>
              <w:left w:val="single" w:sz="6" w:space="0" w:color="000000"/>
              <w:bottom w:val="single" w:sz="4" w:space="0" w:color="000000"/>
              <w:right w:val="single" w:sz="6" w:space="0" w:color="000000"/>
            </w:tcBorders>
          </w:tcPr>
          <w:p w14:paraId="15134884" w14:textId="77777777" w:rsidR="007170C3" w:rsidRPr="008819AF" w:rsidRDefault="00A00E34">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885"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886" w14:textId="77777777" w:rsidR="00A00E34" w:rsidRPr="008819AF" w:rsidRDefault="00A00E34" w:rsidP="00A00E34">
            <w:r w:rsidRPr="008819AF">
              <w:t>Pr.6</w:t>
            </w:r>
          </w:p>
          <w:p w14:paraId="15134887" w14:textId="77777777" w:rsidR="007170C3" w:rsidRPr="008819AF" w:rsidRDefault="00A00E34" w:rsidP="00A00E34">
            <w:r w:rsidRPr="008819AF">
              <w:t xml:space="preserve">Časť </w:t>
            </w:r>
            <w:r w:rsidRPr="008819AF">
              <w:lastRenderedPageBreak/>
              <w:t>IV</w:t>
            </w:r>
          </w:p>
        </w:tc>
        <w:tc>
          <w:tcPr>
            <w:tcW w:w="5954" w:type="dxa"/>
            <w:tcBorders>
              <w:top w:val="single" w:sz="4" w:space="0" w:color="000000"/>
              <w:left w:val="single" w:sz="6" w:space="0" w:color="000000"/>
              <w:bottom w:val="single" w:sz="4" w:space="0" w:color="000000"/>
              <w:right w:val="single" w:sz="6" w:space="0" w:color="000000"/>
            </w:tcBorders>
          </w:tcPr>
          <w:p w14:paraId="15134888" w14:textId="77777777" w:rsidR="00A00E34" w:rsidRPr="008819AF" w:rsidRDefault="00A00E34" w:rsidP="00A00E34">
            <w:pPr>
              <w:rPr>
                <w:b/>
              </w:rPr>
            </w:pPr>
            <w:r w:rsidRPr="008819AF">
              <w:rPr>
                <w:b/>
              </w:rPr>
              <w:lastRenderedPageBreak/>
              <w:t>10. VÝROBA NÁTEROVÝCH ZMESÍ, LAKOV, TLAČIARENSKÝCH FARIEB A LEPIDIEL (X)</w:t>
            </w:r>
          </w:p>
          <w:p w14:paraId="15134889" w14:textId="77777777" w:rsidR="00A00E34" w:rsidRPr="008819AF" w:rsidRDefault="00A00E34" w:rsidP="00A00E34">
            <w:pPr>
              <w:ind w:left="284"/>
              <w:jc w:val="both"/>
            </w:pPr>
          </w:p>
          <w:p w14:paraId="1513488A" w14:textId="77777777" w:rsidR="00A00E34" w:rsidRPr="008819AF" w:rsidRDefault="00A00E34" w:rsidP="00A00E34">
            <w:pPr>
              <w:keepNext/>
              <w:spacing w:after="120"/>
              <w:rPr>
                <w:b/>
              </w:rPr>
            </w:pPr>
            <w:r w:rsidRPr="008819AF">
              <w:rPr>
                <w:b/>
              </w:rPr>
              <w:t>10.1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349"/>
              <w:gridCol w:w="1118"/>
              <w:gridCol w:w="302"/>
              <w:gridCol w:w="550"/>
              <w:gridCol w:w="549"/>
              <w:gridCol w:w="960"/>
              <w:gridCol w:w="1030"/>
              <w:gridCol w:w="950"/>
            </w:tblGrid>
            <w:tr w:rsidR="00A00E34" w:rsidRPr="008819AF" w14:paraId="1513488D" w14:textId="77777777" w:rsidTr="00445A6C">
              <w:trPr>
                <w:cantSplit/>
                <w:jc w:val="center"/>
              </w:trPr>
              <w:tc>
                <w:tcPr>
                  <w:tcW w:w="4463" w:type="dxa"/>
                  <w:gridSpan w:val="5"/>
                  <w:vAlign w:val="center"/>
                </w:tcPr>
                <w:p w14:paraId="1513488B" w14:textId="77777777" w:rsidR="00A00E34" w:rsidRPr="008819AF" w:rsidRDefault="00A00E34" w:rsidP="00445A6C">
                  <w:pPr>
                    <w:pStyle w:val="Normln"/>
                    <w:keepNext/>
                    <w:rPr>
                      <w:b/>
                      <w:sz w:val="18"/>
                      <w:szCs w:val="18"/>
                      <w:lang w:val="sk-SK"/>
                    </w:rPr>
                  </w:pPr>
                  <w:r w:rsidRPr="008819AF">
                    <w:rPr>
                      <w:b/>
                      <w:sz w:val="18"/>
                      <w:szCs w:val="18"/>
                      <w:lang w:val="sk-SK"/>
                    </w:rPr>
                    <w:t>Podmienky platnosti EL</w:t>
                  </w:r>
                </w:p>
              </w:tc>
              <w:tc>
                <w:tcPr>
                  <w:tcW w:w="4837" w:type="dxa"/>
                  <w:gridSpan w:val="3"/>
                  <w:vAlign w:val="center"/>
                </w:tcPr>
                <w:p w14:paraId="1513488C" w14:textId="77777777" w:rsidR="00A00E34" w:rsidRPr="008819AF" w:rsidRDefault="00A00E34" w:rsidP="00445A6C">
                  <w:pPr>
                    <w:pStyle w:val="Normln"/>
                    <w:keepNext/>
                    <w:rPr>
                      <w:sz w:val="18"/>
                      <w:szCs w:val="18"/>
                      <w:lang w:val="sk-SK"/>
                    </w:rPr>
                  </w:pPr>
                  <w:r w:rsidRPr="008819AF">
                    <w:rPr>
                      <w:sz w:val="18"/>
                      <w:szCs w:val="18"/>
                      <w:lang w:val="sk-SK"/>
                    </w:rPr>
                    <w:t xml:space="preserve">Štandardné stavové podmienky, vlhký plyn </w:t>
                  </w:r>
                </w:p>
              </w:tc>
            </w:tr>
            <w:tr w:rsidR="00A00E34" w:rsidRPr="008819AF" w14:paraId="15134891" w14:textId="77777777" w:rsidTr="00445A6C">
              <w:trPr>
                <w:cantSplit/>
                <w:trHeight w:val="387"/>
                <w:jc w:val="center"/>
              </w:trPr>
              <w:tc>
                <w:tcPr>
                  <w:tcW w:w="2353" w:type="dxa"/>
                  <w:gridSpan w:val="2"/>
                  <w:vMerge w:val="restart"/>
                  <w:vAlign w:val="center"/>
                </w:tcPr>
                <w:p w14:paraId="1513488E" w14:textId="77777777" w:rsidR="00A00E34" w:rsidRPr="008819AF" w:rsidRDefault="00A00E34" w:rsidP="00445A6C">
                  <w:pPr>
                    <w:keepNext/>
                    <w:jc w:val="center"/>
                    <w:rPr>
                      <w:b/>
                      <w:sz w:val="18"/>
                      <w:szCs w:val="18"/>
                    </w:rPr>
                  </w:pPr>
                  <w:r w:rsidRPr="008819AF">
                    <w:rPr>
                      <w:b/>
                      <w:sz w:val="18"/>
                      <w:szCs w:val="18"/>
                    </w:rPr>
                    <w:t>Činnosť</w:t>
                  </w:r>
                </w:p>
              </w:tc>
              <w:tc>
                <w:tcPr>
                  <w:tcW w:w="2110" w:type="dxa"/>
                  <w:gridSpan w:val="3"/>
                  <w:vMerge w:val="restart"/>
                  <w:vAlign w:val="center"/>
                </w:tcPr>
                <w:p w14:paraId="1513488F" w14:textId="77777777" w:rsidR="00A00E34" w:rsidRPr="008819AF" w:rsidRDefault="00A00E34" w:rsidP="00445A6C">
                  <w:pPr>
                    <w:keepNext/>
                    <w:ind w:right="-70"/>
                    <w:jc w:val="center"/>
                    <w:rPr>
                      <w:b/>
                      <w:sz w:val="18"/>
                      <w:szCs w:val="18"/>
                    </w:rPr>
                  </w:pPr>
                  <w:r w:rsidRPr="008819AF">
                    <w:rPr>
                      <w:b/>
                      <w:sz w:val="18"/>
                      <w:szCs w:val="18"/>
                    </w:rPr>
                    <w:t xml:space="preserve">Prahová spotreba rozpúšťadla </w:t>
                  </w:r>
                  <w:r w:rsidRPr="008819AF">
                    <w:rPr>
                      <w:b/>
                      <w:sz w:val="18"/>
                      <w:szCs w:val="18"/>
                    </w:rPr>
                    <w:sym w:font="Symbol" w:char="F05B"/>
                  </w:r>
                  <w:r w:rsidRPr="008819AF">
                    <w:rPr>
                      <w:b/>
                      <w:sz w:val="18"/>
                      <w:szCs w:val="18"/>
                    </w:rPr>
                    <w:t>t/rok</w:t>
                  </w:r>
                  <w:r w:rsidRPr="008819AF">
                    <w:rPr>
                      <w:b/>
                      <w:sz w:val="18"/>
                      <w:szCs w:val="18"/>
                    </w:rPr>
                    <w:sym w:font="Symbol" w:char="F05D"/>
                  </w:r>
                </w:p>
              </w:tc>
              <w:tc>
                <w:tcPr>
                  <w:tcW w:w="4837" w:type="dxa"/>
                  <w:gridSpan w:val="3"/>
                  <w:vAlign w:val="center"/>
                </w:tcPr>
                <w:p w14:paraId="15134890" w14:textId="77777777" w:rsidR="00A00E34" w:rsidRPr="008819AF" w:rsidRDefault="00A00E34" w:rsidP="00445A6C">
                  <w:pPr>
                    <w:keepNext/>
                    <w:jc w:val="center"/>
                    <w:rPr>
                      <w:sz w:val="18"/>
                      <w:szCs w:val="18"/>
                    </w:rPr>
                  </w:pPr>
                  <w:r w:rsidRPr="008819AF">
                    <w:rPr>
                      <w:b/>
                      <w:sz w:val="18"/>
                      <w:szCs w:val="18"/>
                    </w:rPr>
                    <w:t>Emisný limit</w:t>
                  </w:r>
                </w:p>
              </w:tc>
            </w:tr>
            <w:tr w:rsidR="00A00E34" w:rsidRPr="008819AF" w14:paraId="15134899" w14:textId="77777777" w:rsidTr="00445A6C">
              <w:trPr>
                <w:cantSplit/>
                <w:trHeight w:val="532"/>
                <w:jc w:val="center"/>
              </w:trPr>
              <w:tc>
                <w:tcPr>
                  <w:tcW w:w="2353" w:type="dxa"/>
                  <w:gridSpan w:val="2"/>
                  <w:vMerge/>
                  <w:vAlign w:val="center"/>
                </w:tcPr>
                <w:p w14:paraId="15134892" w14:textId="77777777" w:rsidR="00A00E34" w:rsidRPr="008819AF" w:rsidRDefault="00A00E34" w:rsidP="00445A6C">
                  <w:pPr>
                    <w:rPr>
                      <w:b/>
                      <w:sz w:val="18"/>
                      <w:szCs w:val="18"/>
                    </w:rPr>
                  </w:pPr>
                </w:p>
              </w:tc>
              <w:tc>
                <w:tcPr>
                  <w:tcW w:w="2110" w:type="dxa"/>
                  <w:gridSpan w:val="3"/>
                  <w:vMerge/>
                  <w:vAlign w:val="center"/>
                </w:tcPr>
                <w:p w14:paraId="15134893" w14:textId="77777777" w:rsidR="00A00E34" w:rsidRPr="008819AF" w:rsidRDefault="00A00E34" w:rsidP="00445A6C">
                  <w:pPr>
                    <w:rPr>
                      <w:b/>
                      <w:sz w:val="18"/>
                      <w:szCs w:val="18"/>
                    </w:rPr>
                  </w:pPr>
                </w:p>
              </w:tc>
              <w:tc>
                <w:tcPr>
                  <w:tcW w:w="1577" w:type="dxa"/>
                  <w:vAlign w:val="center"/>
                </w:tcPr>
                <w:p w14:paraId="15134894" w14:textId="77777777" w:rsidR="00A00E34" w:rsidRPr="008819AF" w:rsidRDefault="00A00E34" w:rsidP="00A00E34">
                  <w:pPr>
                    <w:keepNext/>
                    <w:ind w:right="-70"/>
                    <w:jc w:val="center"/>
                    <w:rPr>
                      <w:b/>
                      <w:sz w:val="18"/>
                      <w:szCs w:val="18"/>
                    </w:rPr>
                  </w:pPr>
                  <w:r w:rsidRPr="008819AF">
                    <w:rPr>
                      <w:b/>
                      <w:sz w:val="18"/>
                      <w:szCs w:val="18"/>
                    </w:rPr>
                    <w:t xml:space="preserve">Odpadové plyny </w:t>
                  </w:r>
                </w:p>
              </w:tc>
              <w:tc>
                <w:tcPr>
                  <w:tcW w:w="1701" w:type="dxa"/>
                  <w:vAlign w:val="center"/>
                </w:tcPr>
                <w:p w14:paraId="15134895" w14:textId="77777777" w:rsidR="00A00E34" w:rsidRPr="008819AF" w:rsidRDefault="00A00E34" w:rsidP="00A00E34">
                  <w:pPr>
                    <w:keepNext/>
                    <w:ind w:right="-70"/>
                    <w:jc w:val="center"/>
                    <w:rPr>
                      <w:b/>
                      <w:sz w:val="18"/>
                      <w:szCs w:val="18"/>
                    </w:rPr>
                  </w:pPr>
                  <w:r w:rsidRPr="008819AF">
                    <w:rPr>
                      <w:b/>
                      <w:sz w:val="18"/>
                      <w:szCs w:val="18"/>
                    </w:rPr>
                    <w:t>Fugitívne</w:t>
                  </w:r>
                </w:p>
                <w:p w14:paraId="15134896" w14:textId="77777777" w:rsidR="00A00E34" w:rsidRPr="008819AF" w:rsidRDefault="00A00E34" w:rsidP="00A00E34">
                  <w:pPr>
                    <w:keepNext/>
                    <w:ind w:right="-70"/>
                    <w:jc w:val="center"/>
                    <w:rPr>
                      <w:b/>
                      <w:sz w:val="18"/>
                      <w:szCs w:val="18"/>
                    </w:rPr>
                  </w:pPr>
                  <w:r w:rsidRPr="008819AF">
                    <w:rPr>
                      <w:b/>
                      <w:sz w:val="18"/>
                      <w:szCs w:val="18"/>
                    </w:rPr>
                    <w:t>emisie1)</w:t>
                  </w:r>
                </w:p>
              </w:tc>
              <w:tc>
                <w:tcPr>
                  <w:tcW w:w="1559" w:type="dxa"/>
                  <w:vAlign w:val="center"/>
                </w:tcPr>
                <w:p w14:paraId="15134897" w14:textId="77777777" w:rsidR="00A00E34" w:rsidRPr="008819AF" w:rsidRDefault="00A00E34" w:rsidP="00445A6C">
                  <w:pPr>
                    <w:jc w:val="center"/>
                    <w:rPr>
                      <w:b/>
                      <w:sz w:val="18"/>
                      <w:szCs w:val="18"/>
                    </w:rPr>
                  </w:pPr>
                  <w:r w:rsidRPr="008819AF">
                    <w:rPr>
                      <w:b/>
                      <w:sz w:val="18"/>
                      <w:szCs w:val="18"/>
                    </w:rPr>
                    <w:t>Celkové</w:t>
                  </w:r>
                </w:p>
                <w:p w14:paraId="15134898" w14:textId="77777777" w:rsidR="00A00E34" w:rsidRPr="008819AF" w:rsidRDefault="00A00E34" w:rsidP="00445A6C">
                  <w:pPr>
                    <w:keepNext/>
                    <w:jc w:val="center"/>
                    <w:rPr>
                      <w:sz w:val="18"/>
                      <w:szCs w:val="18"/>
                    </w:rPr>
                  </w:pPr>
                  <w:r w:rsidRPr="008819AF">
                    <w:rPr>
                      <w:b/>
                      <w:sz w:val="18"/>
                      <w:szCs w:val="18"/>
                    </w:rPr>
                    <w:t>emisie</w:t>
                  </w:r>
                  <w:r w:rsidRPr="008819AF">
                    <w:rPr>
                      <w:b/>
                      <w:sz w:val="18"/>
                      <w:szCs w:val="18"/>
                      <w:vertAlign w:val="superscript"/>
                    </w:rPr>
                    <w:t>2</w:t>
                  </w:r>
                  <w:r w:rsidRPr="008819AF">
                    <w:rPr>
                      <w:b/>
                      <w:sz w:val="18"/>
                      <w:szCs w:val="18"/>
                    </w:rPr>
                    <w:t>)</w:t>
                  </w:r>
                </w:p>
              </w:tc>
            </w:tr>
            <w:tr w:rsidR="00A00E34" w:rsidRPr="008819AF" w14:paraId="151348A1" w14:textId="77777777" w:rsidTr="00445A6C">
              <w:trPr>
                <w:cantSplit/>
                <w:trHeight w:val="427"/>
                <w:jc w:val="center"/>
              </w:trPr>
              <w:tc>
                <w:tcPr>
                  <w:tcW w:w="2353" w:type="dxa"/>
                  <w:gridSpan w:val="2"/>
                  <w:vMerge/>
                  <w:vAlign w:val="center"/>
                </w:tcPr>
                <w:p w14:paraId="1513489A" w14:textId="77777777" w:rsidR="00A00E34" w:rsidRPr="008819AF" w:rsidRDefault="00A00E34" w:rsidP="00445A6C">
                  <w:pPr>
                    <w:rPr>
                      <w:b/>
                      <w:sz w:val="18"/>
                      <w:szCs w:val="18"/>
                    </w:rPr>
                  </w:pPr>
                </w:p>
              </w:tc>
              <w:tc>
                <w:tcPr>
                  <w:tcW w:w="411" w:type="dxa"/>
                  <w:vAlign w:val="center"/>
                </w:tcPr>
                <w:p w14:paraId="1513489B" w14:textId="77777777" w:rsidR="00A00E34" w:rsidRPr="008819AF" w:rsidRDefault="00A00E34" w:rsidP="00445A6C">
                  <w:pPr>
                    <w:rPr>
                      <w:b/>
                      <w:sz w:val="18"/>
                      <w:szCs w:val="18"/>
                    </w:rPr>
                  </w:pPr>
                </w:p>
              </w:tc>
              <w:tc>
                <w:tcPr>
                  <w:tcW w:w="850" w:type="dxa"/>
                  <w:vAlign w:val="center"/>
                </w:tcPr>
                <w:p w14:paraId="1513489C" w14:textId="77777777" w:rsidR="00A00E34" w:rsidRPr="008819AF" w:rsidRDefault="00A00E34" w:rsidP="00445A6C">
                  <w:pPr>
                    <w:jc w:val="center"/>
                    <w:rPr>
                      <w:b/>
                      <w:sz w:val="18"/>
                      <w:szCs w:val="18"/>
                    </w:rPr>
                  </w:pPr>
                  <w:r w:rsidRPr="008819AF">
                    <w:rPr>
                      <w:b/>
                      <w:sz w:val="18"/>
                      <w:szCs w:val="18"/>
                    </w:rPr>
                    <w:t>od</w:t>
                  </w:r>
                </w:p>
              </w:tc>
              <w:tc>
                <w:tcPr>
                  <w:tcW w:w="849" w:type="dxa"/>
                  <w:vAlign w:val="center"/>
                </w:tcPr>
                <w:p w14:paraId="1513489D" w14:textId="77777777" w:rsidR="00A00E34" w:rsidRPr="008819AF" w:rsidRDefault="00A00E34" w:rsidP="00445A6C">
                  <w:pPr>
                    <w:jc w:val="center"/>
                    <w:rPr>
                      <w:b/>
                      <w:sz w:val="18"/>
                      <w:szCs w:val="18"/>
                    </w:rPr>
                  </w:pPr>
                  <w:r w:rsidRPr="008819AF">
                    <w:rPr>
                      <w:b/>
                      <w:sz w:val="18"/>
                      <w:szCs w:val="18"/>
                    </w:rPr>
                    <w:t>do</w:t>
                  </w:r>
                </w:p>
              </w:tc>
              <w:tc>
                <w:tcPr>
                  <w:tcW w:w="1577" w:type="dxa"/>
                  <w:vAlign w:val="center"/>
                </w:tcPr>
                <w:p w14:paraId="1513489E" w14:textId="77777777" w:rsidR="00A00E34" w:rsidRPr="008819AF" w:rsidRDefault="00A00E34" w:rsidP="00A00E34">
                  <w:pPr>
                    <w:keepNext/>
                    <w:ind w:right="-70"/>
                    <w:jc w:val="center"/>
                    <w:rPr>
                      <w:b/>
                      <w:sz w:val="18"/>
                      <w:szCs w:val="18"/>
                    </w:rPr>
                  </w:pPr>
                  <w:r w:rsidRPr="008819AF">
                    <w:rPr>
                      <w:b/>
                      <w:sz w:val="18"/>
                      <w:szCs w:val="18"/>
                    </w:rPr>
                    <w:t xml:space="preserve">TOC  </w:t>
                  </w:r>
                  <w:r w:rsidRPr="008819AF">
                    <w:rPr>
                      <w:b/>
                      <w:sz w:val="18"/>
                      <w:szCs w:val="18"/>
                    </w:rPr>
                    <w:sym w:font="Symbol" w:char="F05B"/>
                  </w:r>
                  <w:r w:rsidRPr="008819AF">
                    <w:rPr>
                      <w:b/>
                      <w:sz w:val="18"/>
                      <w:szCs w:val="18"/>
                    </w:rPr>
                    <w:t>mg/m3</w:t>
                  </w:r>
                  <w:r w:rsidRPr="008819AF">
                    <w:rPr>
                      <w:b/>
                      <w:sz w:val="18"/>
                      <w:szCs w:val="18"/>
                    </w:rPr>
                    <w:sym w:font="Symbol" w:char="F05D"/>
                  </w:r>
                </w:p>
              </w:tc>
              <w:tc>
                <w:tcPr>
                  <w:tcW w:w="1701" w:type="dxa"/>
                  <w:vAlign w:val="center"/>
                </w:tcPr>
                <w:p w14:paraId="1513489F" w14:textId="77777777" w:rsidR="00A00E34" w:rsidRPr="008819AF" w:rsidRDefault="00A00E34"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c>
                <w:tcPr>
                  <w:tcW w:w="1559" w:type="dxa"/>
                  <w:vAlign w:val="center"/>
                </w:tcPr>
                <w:p w14:paraId="151348A0" w14:textId="77777777" w:rsidR="00A00E34" w:rsidRPr="008819AF" w:rsidRDefault="00A00E34" w:rsidP="00445A6C">
                  <w:pPr>
                    <w:keepNext/>
                    <w:jc w:val="center"/>
                    <w:rPr>
                      <w:sz w:val="18"/>
                      <w:szCs w:val="18"/>
                    </w:rPr>
                  </w:pPr>
                  <w:r w:rsidRPr="008819AF">
                    <w:rPr>
                      <w:b/>
                      <w:sz w:val="18"/>
                      <w:szCs w:val="18"/>
                    </w:rPr>
                    <w:t xml:space="preserve">VOC </w:t>
                  </w:r>
                  <w:r w:rsidRPr="008819AF">
                    <w:rPr>
                      <w:b/>
                      <w:sz w:val="18"/>
                      <w:szCs w:val="18"/>
                    </w:rPr>
                    <w:sym w:font="Symbol" w:char="F05B"/>
                  </w:r>
                  <w:r w:rsidRPr="008819AF">
                    <w:rPr>
                      <w:b/>
                      <w:sz w:val="18"/>
                      <w:szCs w:val="18"/>
                    </w:rPr>
                    <w:t>%</w:t>
                  </w:r>
                  <w:r w:rsidRPr="008819AF">
                    <w:rPr>
                      <w:b/>
                      <w:sz w:val="18"/>
                      <w:szCs w:val="18"/>
                    </w:rPr>
                    <w:sym w:font="Symbol" w:char="F05D"/>
                  </w:r>
                </w:p>
              </w:tc>
            </w:tr>
            <w:tr w:rsidR="00A00E34" w:rsidRPr="008819AF" w14:paraId="151348AA" w14:textId="77777777" w:rsidTr="00445A6C">
              <w:trPr>
                <w:cantSplit/>
                <w:trHeight w:val="546"/>
                <w:jc w:val="center"/>
              </w:trPr>
              <w:tc>
                <w:tcPr>
                  <w:tcW w:w="496" w:type="dxa"/>
                  <w:vMerge w:val="restart"/>
                  <w:vAlign w:val="center"/>
                </w:tcPr>
                <w:p w14:paraId="151348A2" w14:textId="77777777" w:rsidR="00A00E34" w:rsidRPr="008819AF" w:rsidRDefault="00A00E34" w:rsidP="00445A6C">
                  <w:pPr>
                    <w:keepNext/>
                    <w:ind w:right="-70"/>
                    <w:jc w:val="center"/>
                    <w:rPr>
                      <w:b/>
                      <w:sz w:val="18"/>
                      <w:szCs w:val="18"/>
                    </w:rPr>
                  </w:pPr>
                  <w:r w:rsidRPr="008819AF">
                    <w:rPr>
                      <w:b/>
                      <w:sz w:val="18"/>
                      <w:szCs w:val="18"/>
                    </w:rPr>
                    <w:t>X</w:t>
                  </w:r>
                </w:p>
              </w:tc>
              <w:tc>
                <w:tcPr>
                  <w:tcW w:w="1857" w:type="dxa"/>
                  <w:vMerge w:val="restart"/>
                  <w:vAlign w:val="center"/>
                </w:tcPr>
                <w:p w14:paraId="151348A3" w14:textId="77777777" w:rsidR="00A00E34" w:rsidRPr="008819AF" w:rsidRDefault="00A00E34" w:rsidP="00A00E34">
                  <w:pPr>
                    <w:keepNext/>
                    <w:rPr>
                      <w:sz w:val="18"/>
                      <w:szCs w:val="18"/>
                    </w:rPr>
                  </w:pPr>
                  <w:r w:rsidRPr="008819AF">
                    <w:rPr>
                      <w:sz w:val="18"/>
                      <w:szCs w:val="18"/>
                    </w:rPr>
                    <w:t>Výroba náterových zmesí, lakov, tlačiaren-ských farieb a lepidiel</w:t>
                  </w:r>
                </w:p>
              </w:tc>
              <w:tc>
                <w:tcPr>
                  <w:tcW w:w="411" w:type="dxa"/>
                  <w:vAlign w:val="center"/>
                </w:tcPr>
                <w:p w14:paraId="151348A4" w14:textId="77777777" w:rsidR="00A00E34" w:rsidRPr="008819AF" w:rsidRDefault="00A00E34" w:rsidP="00445A6C">
                  <w:pPr>
                    <w:keepNext/>
                    <w:jc w:val="center"/>
                    <w:rPr>
                      <w:sz w:val="18"/>
                      <w:szCs w:val="18"/>
                    </w:rPr>
                  </w:pPr>
                  <w:r w:rsidRPr="008819AF">
                    <w:rPr>
                      <w:sz w:val="18"/>
                      <w:szCs w:val="18"/>
                    </w:rPr>
                    <w:t>Z</w:t>
                  </w:r>
                </w:p>
              </w:tc>
              <w:tc>
                <w:tcPr>
                  <w:tcW w:w="850" w:type="dxa"/>
                  <w:vAlign w:val="center"/>
                </w:tcPr>
                <w:p w14:paraId="151348A5" w14:textId="77777777" w:rsidR="00A00E34" w:rsidRPr="008819AF" w:rsidRDefault="00A00E34" w:rsidP="00445A6C">
                  <w:pPr>
                    <w:keepNext/>
                    <w:jc w:val="center"/>
                    <w:rPr>
                      <w:sz w:val="18"/>
                      <w:szCs w:val="18"/>
                    </w:rPr>
                  </w:pPr>
                  <w:r w:rsidRPr="008819AF">
                    <w:rPr>
                      <w:sz w:val="18"/>
                      <w:szCs w:val="18"/>
                    </w:rPr>
                    <w:t>&gt; 5</w:t>
                  </w:r>
                </w:p>
              </w:tc>
              <w:tc>
                <w:tcPr>
                  <w:tcW w:w="849" w:type="dxa"/>
                  <w:vAlign w:val="center"/>
                </w:tcPr>
                <w:p w14:paraId="151348A6" w14:textId="77777777" w:rsidR="00A00E34" w:rsidRPr="008819AF" w:rsidRDefault="00A00E34" w:rsidP="00445A6C">
                  <w:pPr>
                    <w:keepNext/>
                    <w:jc w:val="center"/>
                    <w:rPr>
                      <w:sz w:val="18"/>
                      <w:szCs w:val="18"/>
                    </w:rPr>
                  </w:pPr>
                  <w:r w:rsidRPr="008819AF">
                    <w:rPr>
                      <w:sz w:val="18"/>
                      <w:szCs w:val="18"/>
                    </w:rPr>
                    <w:sym w:font="Symbol" w:char="F0A3"/>
                  </w:r>
                  <w:r w:rsidRPr="008819AF">
                    <w:rPr>
                      <w:sz w:val="18"/>
                      <w:szCs w:val="18"/>
                    </w:rPr>
                    <w:t xml:space="preserve"> 1000</w:t>
                  </w:r>
                </w:p>
              </w:tc>
              <w:tc>
                <w:tcPr>
                  <w:tcW w:w="1577" w:type="dxa"/>
                  <w:vAlign w:val="center"/>
                </w:tcPr>
                <w:p w14:paraId="151348A7" w14:textId="77777777" w:rsidR="00A00E34" w:rsidRPr="008819AF" w:rsidRDefault="00A00E34" w:rsidP="00445A6C">
                  <w:pPr>
                    <w:keepNext/>
                    <w:jc w:val="center"/>
                    <w:rPr>
                      <w:sz w:val="18"/>
                      <w:szCs w:val="18"/>
                    </w:rPr>
                  </w:pPr>
                  <w:r w:rsidRPr="008819AF">
                    <w:rPr>
                      <w:sz w:val="18"/>
                      <w:szCs w:val="18"/>
                    </w:rPr>
                    <w:t>150</w:t>
                  </w:r>
                </w:p>
              </w:tc>
              <w:tc>
                <w:tcPr>
                  <w:tcW w:w="1701" w:type="dxa"/>
                  <w:vAlign w:val="center"/>
                </w:tcPr>
                <w:p w14:paraId="151348A8" w14:textId="77777777" w:rsidR="00A00E34" w:rsidRPr="008819AF" w:rsidRDefault="00A00E34" w:rsidP="00445A6C">
                  <w:pPr>
                    <w:keepNext/>
                    <w:jc w:val="center"/>
                    <w:rPr>
                      <w:sz w:val="18"/>
                      <w:szCs w:val="18"/>
                    </w:rPr>
                  </w:pPr>
                  <w:r w:rsidRPr="008819AF">
                    <w:rPr>
                      <w:sz w:val="18"/>
                      <w:szCs w:val="18"/>
                    </w:rPr>
                    <w:t>5</w:t>
                  </w:r>
                </w:p>
              </w:tc>
              <w:tc>
                <w:tcPr>
                  <w:tcW w:w="1559" w:type="dxa"/>
                  <w:vAlign w:val="center"/>
                </w:tcPr>
                <w:p w14:paraId="151348A9" w14:textId="77777777" w:rsidR="00A00E34" w:rsidRPr="008819AF" w:rsidRDefault="00A00E34" w:rsidP="00445A6C">
                  <w:pPr>
                    <w:keepNext/>
                    <w:jc w:val="center"/>
                    <w:rPr>
                      <w:sz w:val="18"/>
                      <w:szCs w:val="18"/>
                    </w:rPr>
                  </w:pPr>
                  <w:r w:rsidRPr="008819AF">
                    <w:rPr>
                      <w:sz w:val="18"/>
                      <w:szCs w:val="18"/>
                    </w:rPr>
                    <w:t>5</w:t>
                  </w:r>
                </w:p>
              </w:tc>
            </w:tr>
            <w:tr w:rsidR="00A00E34" w:rsidRPr="008819AF" w14:paraId="151348B3" w14:textId="77777777" w:rsidTr="00445A6C">
              <w:trPr>
                <w:cantSplit/>
                <w:trHeight w:val="694"/>
                <w:jc w:val="center"/>
              </w:trPr>
              <w:tc>
                <w:tcPr>
                  <w:tcW w:w="496" w:type="dxa"/>
                  <w:vMerge/>
                  <w:vAlign w:val="center"/>
                </w:tcPr>
                <w:p w14:paraId="151348AB" w14:textId="77777777" w:rsidR="00A00E34" w:rsidRPr="008819AF" w:rsidRDefault="00A00E34" w:rsidP="00445A6C">
                  <w:pPr>
                    <w:rPr>
                      <w:b/>
                      <w:sz w:val="18"/>
                      <w:szCs w:val="18"/>
                    </w:rPr>
                  </w:pPr>
                </w:p>
              </w:tc>
              <w:tc>
                <w:tcPr>
                  <w:tcW w:w="1857" w:type="dxa"/>
                  <w:vMerge/>
                  <w:vAlign w:val="center"/>
                </w:tcPr>
                <w:p w14:paraId="151348AC" w14:textId="77777777" w:rsidR="00A00E34" w:rsidRPr="008819AF" w:rsidRDefault="00A00E34" w:rsidP="00445A6C">
                  <w:pPr>
                    <w:rPr>
                      <w:sz w:val="18"/>
                      <w:szCs w:val="18"/>
                    </w:rPr>
                  </w:pPr>
                </w:p>
              </w:tc>
              <w:tc>
                <w:tcPr>
                  <w:tcW w:w="411" w:type="dxa"/>
                  <w:vAlign w:val="center"/>
                </w:tcPr>
                <w:p w14:paraId="151348AD" w14:textId="77777777" w:rsidR="00A00E34" w:rsidRPr="008819AF" w:rsidRDefault="00A00E34" w:rsidP="00445A6C">
                  <w:pPr>
                    <w:keepNext/>
                    <w:jc w:val="center"/>
                    <w:rPr>
                      <w:sz w:val="18"/>
                      <w:szCs w:val="18"/>
                    </w:rPr>
                  </w:pPr>
                </w:p>
              </w:tc>
              <w:tc>
                <w:tcPr>
                  <w:tcW w:w="850" w:type="dxa"/>
                  <w:vAlign w:val="center"/>
                </w:tcPr>
                <w:p w14:paraId="151348AE" w14:textId="77777777" w:rsidR="00A00E34" w:rsidRPr="008819AF" w:rsidRDefault="00A00E34" w:rsidP="00445A6C">
                  <w:pPr>
                    <w:keepNext/>
                    <w:ind w:left="-70" w:right="-70"/>
                    <w:jc w:val="center"/>
                    <w:rPr>
                      <w:sz w:val="18"/>
                      <w:szCs w:val="18"/>
                    </w:rPr>
                  </w:pPr>
                  <w:r w:rsidRPr="008819AF">
                    <w:rPr>
                      <w:sz w:val="18"/>
                      <w:szCs w:val="18"/>
                    </w:rPr>
                    <w:t>&gt; 1000</w:t>
                  </w:r>
                </w:p>
              </w:tc>
              <w:tc>
                <w:tcPr>
                  <w:tcW w:w="849" w:type="dxa"/>
                  <w:vAlign w:val="center"/>
                </w:tcPr>
                <w:p w14:paraId="151348AF" w14:textId="77777777" w:rsidR="00A00E34" w:rsidRPr="008819AF" w:rsidRDefault="00A00E34" w:rsidP="00445A6C">
                  <w:pPr>
                    <w:keepNext/>
                    <w:jc w:val="center"/>
                    <w:rPr>
                      <w:sz w:val="18"/>
                      <w:szCs w:val="18"/>
                    </w:rPr>
                  </w:pPr>
                  <w:r w:rsidRPr="008819AF">
                    <w:rPr>
                      <w:sz w:val="18"/>
                      <w:szCs w:val="18"/>
                    </w:rPr>
                    <w:t>-</w:t>
                  </w:r>
                </w:p>
              </w:tc>
              <w:tc>
                <w:tcPr>
                  <w:tcW w:w="1577" w:type="dxa"/>
                  <w:vAlign w:val="center"/>
                </w:tcPr>
                <w:p w14:paraId="151348B0" w14:textId="77777777" w:rsidR="00A00E34" w:rsidRPr="008819AF" w:rsidRDefault="00A00E34" w:rsidP="00445A6C">
                  <w:pPr>
                    <w:keepNext/>
                    <w:jc w:val="center"/>
                    <w:rPr>
                      <w:sz w:val="18"/>
                      <w:szCs w:val="18"/>
                    </w:rPr>
                  </w:pPr>
                  <w:r w:rsidRPr="008819AF">
                    <w:rPr>
                      <w:sz w:val="18"/>
                      <w:szCs w:val="18"/>
                    </w:rPr>
                    <w:t>150</w:t>
                  </w:r>
                </w:p>
              </w:tc>
              <w:tc>
                <w:tcPr>
                  <w:tcW w:w="1701" w:type="dxa"/>
                  <w:vAlign w:val="center"/>
                </w:tcPr>
                <w:p w14:paraId="151348B1" w14:textId="77777777" w:rsidR="00A00E34" w:rsidRPr="008819AF" w:rsidRDefault="00A00E34" w:rsidP="00445A6C">
                  <w:pPr>
                    <w:keepNext/>
                    <w:jc w:val="center"/>
                    <w:rPr>
                      <w:sz w:val="18"/>
                      <w:szCs w:val="18"/>
                    </w:rPr>
                  </w:pPr>
                  <w:r w:rsidRPr="008819AF">
                    <w:rPr>
                      <w:sz w:val="18"/>
                      <w:szCs w:val="18"/>
                    </w:rPr>
                    <w:t>3</w:t>
                  </w:r>
                </w:p>
              </w:tc>
              <w:tc>
                <w:tcPr>
                  <w:tcW w:w="1559" w:type="dxa"/>
                  <w:vAlign w:val="center"/>
                </w:tcPr>
                <w:p w14:paraId="151348B2" w14:textId="77777777" w:rsidR="00A00E34" w:rsidRPr="008819AF" w:rsidRDefault="00A00E34" w:rsidP="00445A6C">
                  <w:pPr>
                    <w:keepNext/>
                    <w:jc w:val="center"/>
                    <w:rPr>
                      <w:sz w:val="18"/>
                      <w:szCs w:val="18"/>
                    </w:rPr>
                  </w:pPr>
                  <w:r w:rsidRPr="008819AF">
                    <w:rPr>
                      <w:sz w:val="18"/>
                      <w:szCs w:val="18"/>
                    </w:rPr>
                    <w:t>3</w:t>
                  </w:r>
                </w:p>
              </w:tc>
            </w:tr>
          </w:tbl>
          <w:p w14:paraId="151348B4" w14:textId="77777777" w:rsidR="00A00E34" w:rsidRPr="008819AF" w:rsidRDefault="00A00E34" w:rsidP="00A00E34">
            <w:pPr>
              <w:pStyle w:val="Zkladntext2"/>
              <w:spacing w:before="60"/>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1</w:t>
            </w:r>
            <w:r w:rsidRPr="008819AF">
              <w:rPr>
                <w:rFonts w:ascii="Times New Roman" w:hAnsi="Times New Roman" w:cs="Times New Roman"/>
                <w:sz w:val="20"/>
                <w:szCs w:val="20"/>
              </w:rPr>
              <w:t>) Emisný limit pre fugitívne emisie nezahŕňa množstvo organického rozpúšťadla predaného alebo expedovaného ako súčasť náterových zmesí.</w:t>
            </w:r>
          </w:p>
          <w:p w14:paraId="151348B5" w14:textId="77777777" w:rsidR="007170C3" w:rsidRPr="008819AF" w:rsidRDefault="00A00E34" w:rsidP="00A00E34">
            <w:pPr>
              <w:ind w:left="270" w:hanging="270"/>
              <w:jc w:val="both"/>
              <w:rPr>
                <w:lang w:bidi="cs-CZ"/>
              </w:rPr>
            </w:pPr>
            <w:r w:rsidRPr="008819AF">
              <w:rPr>
                <w:vertAlign w:val="superscript"/>
              </w:rPr>
              <w:t>2</w:t>
            </w:r>
            <w:r w:rsidRPr="008819AF">
              <w:t xml:space="preserve">) Podiel hmotnosti celkových emisií VOC a celkovej hmotnosti vstupu organického rozpúšťadla. </w:t>
            </w:r>
          </w:p>
        </w:tc>
        <w:tc>
          <w:tcPr>
            <w:tcW w:w="709" w:type="dxa"/>
            <w:tcBorders>
              <w:top w:val="single" w:sz="4" w:space="0" w:color="000000"/>
              <w:left w:val="single" w:sz="6" w:space="0" w:color="000000"/>
              <w:bottom w:val="single" w:sz="4" w:space="0" w:color="000000"/>
              <w:right w:val="single" w:sz="6" w:space="0" w:color="000000"/>
            </w:tcBorders>
          </w:tcPr>
          <w:p w14:paraId="151348B6"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8B7" w14:textId="77777777" w:rsidR="007170C3" w:rsidRPr="008819AF" w:rsidRDefault="007170C3">
            <w:pPr>
              <w:ind w:left="215" w:hanging="215"/>
              <w:rPr>
                <w:rFonts w:eastAsia="Arial"/>
              </w:rPr>
            </w:pPr>
          </w:p>
        </w:tc>
      </w:tr>
      <w:tr w:rsidR="00F80158" w:rsidRPr="008819AF" w14:paraId="151348F1"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8B9"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18</w:t>
            </w:r>
          </w:p>
        </w:tc>
        <w:tc>
          <w:tcPr>
            <w:tcW w:w="5386" w:type="dxa"/>
            <w:tcBorders>
              <w:top w:val="single" w:sz="4" w:space="0" w:color="000000"/>
              <w:left w:val="single" w:sz="6" w:space="0" w:color="000000"/>
              <w:bottom w:val="single" w:sz="4" w:space="0" w:color="000000"/>
              <w:right w:val="single" w:sz="6" w:space="0" w:color="000000"/>
            </w:tcBorders>
          </w:tcPr>
          <w:p w14:paraId="151348BA"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Spracovanie kaučuku</w:t>
            </w:r>
          </w:p>
          <w:p w14:paraId="151348BB"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15)</w:t>
            </w:r>
          </w:p>
        </w:tc>
        <w:tc>
          <w:tcPr>
            <w:tcW w:w="881" w:type="dxa"/>
            <w:tcBorders>
              <w:top w:val="single" w:sz="4" w:space="0" w:color="000000"/>
              <w:left w:val="single" w:sz="6" w:space="0" w:color="000000"/>
              <w:bottom w:val="single" w:sz="4" w:space="0" w:color="000000"/>
              <w:right w:val="single" w:sz="6" w:space="0" w:color="000000"/>
            </w:tcBorders>
          </w:tcPr>
          <w:p w14:paraId="151348BC" w14:textId="77777777" w:rsidR="007170C3" w:rsidRPr="008819AF" w:rsidRDefault="00A00E34">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8BD"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8BE" w14:textId="77777777" w:rsidR="00A00E34" w:rsidRPr="008819AF" w:rsidRDefault="00A00E34" w:rsidP="00A00E34">
            <w:r w:rsidRPr="008819AF">
              <w:t>Pr.6</w:t>
            </w:r>
          </w:p>
          <w:p w14:paraId="151348BF" w14:textId="77777777" w:rsidR="007170C3" w:rsidRPr="008819AF" w:rsidRDefault="00A00E34" w:rsidP="00A00E34">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8C0" w14:textId="77777777" w:rsidR="00587212" w:rsidRPr="008819AF" w:rsidRDefault="00587212" w:rsidP="00587212">
            <w:pPr>
              <w:jc w:val="both"/>
              <w:rPr>
                <w:b/>
              </w:rPr>
            </w:pPr>
            <w:r w:rsidRPr="008819AF">
              <w:rPr>
                <w:b/>
              </w:rPr>
              <w:t>12.   VÝROBA A SPRACOVANIE GUMY (XII)</w:t>
            </w:r>
          </w:p>
          <w:p w14:paraId="151348C1" w14:textId="77777777" w:rsidR="00587212" w:rsidRPr="008819AF" w:rsidRDefault="00587212" w:rsidP="00587212">
            <w:pPr>
              <w:pStyle w:val="ListParagraph1"/>
              <w:spacing w:after="120"/>
              <w:rPr>
                <w:b/>
                <w:sz w:val="20"/>
                <w:szCs w:val="20"/>
              </w:rPr>
            </w:pPr>
            <w:r w:rsidRPr="008819AF">
              <w:rPr>
                <w:b/>
                <w:sz w:val="20"/>
                <w:szCs w:val="20"/>
              </w:rPr>
              <w:t>12.1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399"/>
              <w:gridCol w:w="1236"/>
              <w:gridCol w:w="567"/>
              <w:gridCol w:w="567"/>
              <w:gridCol w:w="1069"/>
              <w:gridCol w:w="985"/>
              <w:gridCol w:w="985"/>
            </w:tblGrid>
            <w:tr w:rsidR="00587212" w:rsidRPr="008819AF" w14:paraId="151348C4" w14:textId="77777777" w:rsidTr="00445A6C">
              <w:trPr>
                <w:cantSplit/>
                <w:trHeight w:val="340"/>
                <w:jc w:val="center"/>
              </w:trPr>
              <w:tc>
                <w:tcPr>
                  <w:tcW w:w="4253" w:type="dxa"/>
                  <w:gridSpan w:val="4"/>
                  <w:vAlign w:val="center"/>
                </w:tcPr>
                <w:p w14:paraId="151348C2" w14:textId="77777777" w:rsidR="00587212" w:rsidRPr="008819AF" w:rsidRDefault="00587212" w:rsidP="00445A6C">
                  <w:pPr>
                    <w:pStyle w:val="Normln"/>
                    <w:keepNext/>
                    <w:rPr>
                      <w:b/>
                      <w:sz w:val="18"/>
                      <w:szCs w:val="18"/>
                      <w:lang w:val="sk-SK"/>
                    </w:rPr>
                  </w:pPr>
                  <w:r w:rsidRPr="008819AF">
                    <w:rPr>
                      <w:b/>
                      <w:sz w:val="18"/>
                      <w:szCs w:val="18"/>
                      <w:lang w:val="sk-SK"/>
                    </w:rPr>
                    <w:t>Podmienky platnosti EL</w:t>
                  </w:r>
                </w:p>
              </w:tc>
              <w:tc>
                <w:tcPr>
                  <w:tcW w:w="4822" w:type="dxa"/>
                  <w:gridSpan w:val="3"/>
                  <w:vAlign w:val="center"/>
                </w:tcPr>
                <w:p w14:paraId="151348C3" w14:textId="77777777" w:rsidR="00587212" w:rsidRPr="008819AF" w:rsidRDefault="00587212" w:rsidP="00445A6C">
                  <w:pPr>
                    <w:pStyle w:val="Normln"/>
                    <w:keepNext/>
                    <w:rPr>
                      <w:sz w:val="18"/>
                      <w:szCs w:val="18"/>
                      <w:lang w:val="sk-SK"/>
                    </w:rPr>
                  </w:pPr>
                  <w:r w:rsidRPr="008819AF">
                    <w:rPr>
                      <w:sz w:val="18"/>
                      <w:szCs w:val="18"/>
                      <w:lang w:val="sk-SK"/>
                    </w:rPr>
                    <w:t xml:space="preserve">Štandardné stavové podmienky, vlhký plyn </w:t>
                  </w:r>
                </w:p>
              </w:tc>
            </w:tr>
            <w:tr w:rsidR="00587212" w:rsidRPr="008819AF" w14:paraId="151348CC" w14:textId="77777777" w:rsidTr="00445A6C">
              <w:trPr>
                <w:cantSplit/>
                <w:trHeight w:val="340"/>
                <w:jc w:val="center"/>
              </w:trPr>
              <w:tc>
                <w:tcPr>
                  <w:tcW w:w="2552" w:type="dxa"/>
                  <w:gridSpan w:val="2"/>
                  <w:vMerge w:val="restart"/>
                </w:tcPr>
                <w:p w14:paraId="151348C5" w14:textId="77777777" w:rsidR="00587212" w:rsidRPr="008819AF" w:rsidRDefault="00587212" w:rsidP="00445A6C">
                  <w:pPr>
                    <w:jc w:val="center"/>
                    <w:rPr>
                      <w:b/>
                      <w:sz w:val="18"/>
                      <w:szCs w:val="18"/>
                    </w:rPr>
                  </w:pPr>
                </w:p>
                <w:p w14:paraId="151348C6" w14:textId="77777777" w:rsidR="00587212" w:rsidRPr="008819AF" w:rsidRDefault="00587212" w:rsidP="00445A6C">
                  <w:pPr>
                    <w:jc w:val="center"/>
                    <w:rPr>
                      <w:b/>
                      <w:sz w:val="18"/>
                      <w:szCs w:val="18"/>
                    </w:rPr>
                  </w:pPr>
                </w:p>
                <w:p w14:paraId="151348C7" w14:textId="77777777" w:rsidR="00587212" w:rsidRPr="008819AF" w:rsidRDefault="00587212" w:rsidP="00445A6C">
                  <w:pPr>
                    <w:keepNext/>
                    <w:rPr>
                      <w:sz w:val="18"/>
                      <w:szCs w:val="18"/>
                    </w:rPr>
                  </w:pPr>
                  <w:r w:rsidRPr="008819AF">
                    <w:rPr>
                      <w:b/>
                      <w:sz w:val="18"/>
                      <w:szCs w:val="18"/>
                    </w:rPr>
                    <w:t xml:space="preserve">Činnosť </w:t>
                  </w:r>
                </w:p>
              </w:tc>
              <w:tc>
                <w:tcPr>
                  <w:tcW w:w="1701" w:type="dxa"/>
                  <w:gridSpan w:val="2"/>
                  <w:vMerge w:val="restart"/>
                  <w:vAlign w:val="center"/>
                </w:tcPr>
                <w:p w14:paraId="151348C8" w14:textId="77777777" w:rsidR="00587212" w:rsidRPr="008819AF" w:rsidRDefault="00587212" w:rsidP="00587212">
                  <w:pPr>
                    <w:keepNext/>
                    <w:ind w:right="-70"/>
                    <w:jc w:val="center"/>
                    <w:rPr>
                      <w:b/>
                      <w:sz w:val="18"/>
                      <w:szCs w:val="18"/>
                    </w:rPr>
                  </w:pPr>
                  <w:r w:rsidRPr="008819AF">
                    <w:rPr>
                      <w:b/>
                      <w:sz w:val="18"/>
                      <w:szCs w:val="18"/>
                    </w:rPr>
                    <w:t xml:space="preserve">Prahová </w:t>
                  </w:r>
                </w:p>
                <w:p w14:paraId="151348C9" w14:textId="77777777" w:rsidR="00587212" w:rsidRPr="008819AF" w:rsidRDefault="00587212" w:rsidP="00587212">
                  <w:pPr>
                    <w:keepNext/>
                    <w:ind w:right="-70"/>
                    <w:jc w:val="center"/>
                    <w:rPr>
                      <w:b/>
                      <w:sz w:val="18"/>
                      <w:szCs w:val="18"/>
                    </w:rPr>
                  </w:pPr>
                  <w:r w:rsidRPr="008819AF">
                    <w:rPr>
                      <w:b/>
                      <w:sz w:val="18"/>
                      <w:szCs w:val="18"/>
                    </w:rPr>
                    <w:t xml:space="preserve">spotreba rozpúšťadla   </w:t>
                  </w:r>
                </w:p>
                <w:p w14:paraId="151348CA" w14:textId="77777777" w:rsidR="00587212" w:rsidRPr="008819AF" w:rsidRDefault="00587212" w:rsidP="00587212">
                  <w:pPr>
                    <w:keepNext/>
                    <w:ind w:left="639" w:right="-70" w:hanging="639"/>
                    <w:jc w:val="center"/>
                    <w:rPr>
                      <w:b/>
                      <w:sz w:val="18"/>
                      <w:szCs w:val="18"/>
                    </w:rPr>
                  </w:pPr>
                  <w:r w:rsidRPr="008819AF">
                    <w:rPr>
                      <w:b/>
                      <w:sz w:val="18"/>
                      <w:szCs w:val="18"/>
                    </w:rPr>
                    <w:sym w:font="Symbol" w:char="F05B"/>
                  </w:r>
                  <w:r w:rsidRPr="008819AF">
                    <w:rPr>
                      <w:b/>
                      <w:sz w:val="18"/>
                      <w:szCs w:val="18"/>
                    </w:rPr>
                    <w:t>t/rok</w:t>
                  </w:r>
                  <w:r w:rsidRPr="008819AF">
                    <w:rPr>
                      <w:b/>
                      <w:sz w:val="18"/>
                      <w:szCs w:val="18"/>
                    </w:rPr>
                    <w:sym w:font="Symbol" w:char="F05D"/>
                  </w:r>
                </w:p>
              </w:tc>
              <w:tc>
                <w:tcPr>
                  <w:tcW w:w="4822" w:type="dxa"/>
                  <w:gridSpan w:val="3"/>
                  <w:vAlign w:val="center"/>
                </w:tcPr>
                <w:p w14:paraId="151348CB" w14:textId="77777777" w:rsidR="00587212" w:rsidRPr="008819AF" w:rsidRDefault="00587212"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Emisný limit</w:t>
                  </w:r>
                </w:p>
              </w:tc>
            </w:tr>
            <w:tr w:rsidR="00587212" w:rsidRPr="008819AF" w14:paraId="151348D4" w14:textId="77777777" w:rsidTr="00445A6C">
              <w:trPr>
                <w:cantSplit/>
                <w:trHeight w:val="340"/>
                <w:jc w:val="center"/>
              </w:trPr>
              <w:tc>
                <w:tcPr>
                  <w:tcW w:w="2552" w:type="dxa"/>
                  <w:gridSpan w:val="2"/>
                  <w:vMerge/>
                  <w:vAlign w:val="center"/>
                </w:tcPr>
                <w:p w14:paraId="151348CD" w14:textId="77777777" w:rsidR="00587212" w:rsidRPr="008819AF" w:rsidRDefault="00587212" w:rsidP="00445A6C">
                  <w:pPr>
                    <w:rPr>
                      <w:sz w:val="18"/>
                      <w:szCs w:val="18"/>
                    </w:rPr>
                  </w:pPr>
                </w:p>
              </w:tc>
              <w:tc>
                <w:tcPr>
                  <w:tcW w:w="1701" w:type="dxa"/>
                  <w:gridSpan w:val="2"/>
                  <w:vMerge/>
                  <w:vAlign w:val="center"/>
                </w:tcPr>
                <w:p w14:paraId="151348CE" w14:textId="77777777" w:rsidR="00587212" w:rsidRPr="008819AF" w:rsidRDefault="00587212" w:rsidP="00445A6C">
                  <w:pPr>
                    <w:rPr>
                      <w:b/>
                      <w:sz w:val="18"/>
                      <w:szCs w:val="18"/>
                    </w:rPr>
                  </w:pPr>
                </w:p>
              </w:tc>
              <w:tc>
                <w:tcPr>
                  <w:tcW w:w="1702" w:type="dxa"/>
                  <w:vAlign w:val="center"/>
                </w:tcPr>
                <w:p w14:paraId="151348CF" w14:textId="77777777" w:rsidR="00587212" w:rsidRPr="008819AF" w:rsidRDefault="00587212" w:rsidP="00587212">
                  <w:pPr>
                    <w:keepNext/>
                    <w:ind w:right="-70"/>
                    <w:jc w:val="center"/>
                    <w:rPr>
                      <w:b/>
                      <w:sz w:val="18"/>
                      <w:szCs w:val="18"/>
                    </w:rPr>
                  </w:pPr>
                  <w:r w:rsidRPr="008819AF">
                    <w:rPr>
                      <w:b/>
                      <w:sz w:val="18"/>
                      <w:szCs w:val="18"/>
                    </w:rPr>
                    <w:t>Odpadové plyny</w:t>
                  </w:r>
                </w:p>
              </w:tc>
              <w:tc>
                <w:tcPr>
                  <w:tcW w:w="1560" w:type="dxa"/>
                  <w:vAlign w:val="center"/>
                </w:tcPr>
                <w:p w14:paraId="151348D0" w14:textId="77777777" w:rsidR="00587212" w:rsidRPr="008819AF" w:rsidRDefault="00587212"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Fugitívne</w:t>
                  </w:r>
                </w:p>
                <w:p w14:paraId="151348D1" w14:textId="77777777" w:rsidR="00587212" w:rsidRPr="008819AF" w:rsidRDefault="00587212"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emisie</w:t>
                  </w:r>
                  <w:r w:rsidRPr="008819AF">
                    <w:rPr>
                      <w:rFonts w:ascii="Times New Roman" w:hAnsi="Times New Roman" w:cs="Times New Roman"/>
                      <w:b/>
                      <w:sz w:val="18"/>
                      <w:szCs w:val="18"/>
                      <w:vertAlign w:val="superscript"/>
                    </w:rPr>
                    <w:t>1</w:t>
                  </w:r>
                  <w:r w:rsidRPr="008819AF">
                    <w:rPr>
                      <w:rFonts w:ascii="Times New Roman" w:hAnsi="Times New Roman" w:cs="Times New Roman"/>
                      <w:b/>
                      <w:sz w:val="18"/>
                      <w:szCs w:val="18"/>
                    </w:rPr>
                    <w:t>)</w:t>
                  </w:r>
                </w:p>
              </w:tc>
              <w:tc>
                <w:tcPr>
                  <w:tcW w:w="1560" w:type="dxa"/>
                  <w:vAlign w:val="center"/>
                </w:tcPr>
                <w:p w14:paraId="151348D2" w14:textId="77777777" w:rsidR="00587212" w:rsidRPr="008819AF" w:rsidRDefault="00587212" w:rsidP="00445A6C">
                  <w:pPr>
                    <w:jc w:val="center"/>
                    <w:rPr>
                      <w:b/>
                      <w:sz w:val="18"/>
                      <w:szCs w:val="18"/>
                    </w:rPr>
                  </w:pPr>
                  <w:r w:rsidRPr="008819AF">
                    <w:rPr>
                      <w:b/>
                      <w:sz w:val="18"/>
                      <w:szCs w:val="18"/>
                    </w:rPr>
                    <w:t xml:space="preserve">Celkové </w:t>
                  </w:r>
                </w:p>
                <w:p w14:paraId="151348D3" w14:textId="77777777" w:rsidR="00587212" w:rsidRPr="008819AF" w:rsidRDefault="00587212" w:rsidP="00445A6C">
                  <w:pPr>
                    <w:keepNext/>
                    <w:jc w:val="center"/>
                    <w:rPr>
                      <w:sz w:val="18"/>
                      <w:szCs w:val="18"/>
                    </w:rPr>
                  </w:pPr>
                  <w:r w:rsidRPr="008819AF">
                    <w:rPr>
                      <w:b/>
                      <w:sz w:val="18"/>
                      <w:szCs w:val="18"/>
                    </w:rPr>
                    <w:t>emisie</w:t>
                  </w:r>
                  <w:r w:rsidRPr="008819AF">
                    <w:rPr>
                      <w:b/>
                      <w:sz w:val="18"/>
                      <w:szCs w:val="18"/>
                      <w:vertAlign w:val="superscript"/>
                    </w:rPr>
                    <w:t>2</w:t>
                  </w:r>
                  <w:r w:rsidRPr="008819AF">
                    <w:rPr>
                      <w:b/>
                      <w:sz w:val="18"/>
                      <w:szCs w:val="18"/>
                    </w:rPr>
                    <w:t>)</w:t>
                  </w:r>
                </w:p>
              </w:tc>
            </w:tr>
            <w:tr w:rsidR="00587212" w:rsidRPr="008819AF" w14:paraId="151348DB" w14:textId="77777777" w:rsidTr="00445A6C">
              <w:trPr>
                <w:cantSplit/>
                <w:trHeight w:val="340"/>
                <w:jc w:val="center"/>
              </w:trPr>
              <w:tc>
                <w:tcPr>
                  <w:tcW w:w="2552" w:type="dxa"/>
                  <w:gridSpan w:val="2"/>
                  <w:vMerge/>
                  <w:vAlign w:val="center"/>
                </w:tcPr>
                <w:p w14:paraId="151348D5" w14:textId="77777777" w:rsidR="00587212" w:rsidRPr="008819AF" w:rsidRDefault="00587212" w:rsidP="00445A6C">
                  <w:pPr>
                    <w:rPr>
                      <w:sz w:val="18"/>
                      <w:szCs w:val="18"/>
                    </w:rPr>
                  </w:pPr>
                </w:p>
              </w:tc>
              <w:tc>
                <w:tcPr>
                  <w:tcW w:w="850" w:type="dxa"/>
                  <w:vAlign w:val="center"/>
                </w:tcPr>
                <w:p w14:paraId="151348D6" w14:textId="77777777" w:rsidR="00587212" w:rsidRPr="008819AF" w:rsidRDefault="00587212" w:rsidP="00445A6C">
                  <w:pPr>
                    <w:jc w:val="center"/>
                    <w:rPr>
                      <w:b/>
                      <w:sz w:val="18"/>
                      <w:szCs w:val="18"/>
                    </w:rPr>
                  </w:pPr>
                  <w:r w:rsidRPr="008819AF">
                    <w:rPr>
                      <w:b/>
                      <w:sz w:val="18"/>
                      <w:szCs w:val="18"/>
                    </w:rPr>
                    <w:t>od</w:t>
                  </w:r>
                </w:p>
              </w:tc>
              <w:tc>
                <w:tcPr>
                  <w:tcW w:w="851" w:type="dxa"/>
                  <w:vAlign w:val="center"/>
                </w:tcPr>
                <w:p w14:paraId="151348D7" w14:textId="77777777" w:rsidR="00587212" w:rsidRPr="008819AF" w:rsidRDefault="00587212" w:rsidP="00445A6C">
                  <w:pPr>
                    <w:jc w:val="center"/>
                    <w:rPr>
                      <w:b/>
                      <w:sz w:val="18"/>
                      <w:szCs w:val="18"/>
                    </w:rPr>
                  </w:pPr>
                  <w:r w:rsidRPr="008819AF">
                    <w:rPr>
                      <w:b/>
                      <w:sz w:val="18"/>
                      <w:szCs w:val="18"/>
                    </w:rPr>
                    <w:t>do</w:t>
                  </w:r>
                </w:p>
              </w:tc>
              <w:tc>
                <w:tcPr>
                  <w:tcW w:w="1702" w:type="dxa"/>
                  <w:vAlign w:val="center"/>
                </w:tcPr>
                <w:p w14:paraId="151348D8" w14:textId="77777777" w:rsidR="00587212" w:rsidRPr="008819AF" w:rsidRDefault="00587212" w:rsidP="00587212">
                  <w:pPr>
                    <w:keepNext/>
                    <w:ind w:right="-70"/>
                    <w:jc w:val="center"/>
                    <w:rPr>
                      <w:b/>
                      <w:sz w:val="18"/>
                      <w:szCs w:val="18"/>
                    </w:rPr>
                  </w:pPr>
                  <w:r w:rsidRPr="008819AF">
                    <w:rPr>
                      <w:b/>
                      <w:sz w:val="18"/>
                      <w:szCs w:val="18"/>
                    </w:rPr>
                    <w:t xml:space="preserve">TOC </w:t>
                  </w:r>
                  <w:r w:rsidRPr="008819AF">
                    <w:rPr>
                      <w:b/>
                      <w:sz w:val="18"/>
                      <w:szCs w:val="18"/>
                    </w:rPr>
                    <w:sym w:font="Symbol" w:char="F05B"/>
                  </w:r>
                  <w:r w:rsidRPr="008819AF">
                    <w:rPr>
                      <w:b/>
                      <w:sz w:val="18"/>
                      <w:szCs w:val="18"/>
                    </w:rPr>
                    <w:t>mg/m3</w:t>
                  </w:r>
                  <w:r w:rsidRPr="008819AF">
                    <w:rPr>
                      <w:b/>
                      <w:sz w:val="18"/>
                      <w:szCs w:val="18"/>
                    </w:rPr>
                    <w:sym w:font="Symbol" w:char="F05D"/>
                  </w:r>
                </w:p>
              </w:tc>
              <w:tc>
                <w:tcPr>
                  <w:tcW w:w="1560" w:type="dxa"/>
                  <w:vAlign w:val="center"/>
                </w:tcPr>
                <w:p w14:paraId="151348D9" w14:textId="77777777" w:rsidR="00587212" w:rsidRPr="008819AF" w:rsidRDefault="00587212"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c>
                <w:tcPr>
                  <w:tcW w:w="1560" w:type="dxa"/>
                  <w:vAlign w:val="center"/>
                </w:tcPr>
                <w:p w14:paraId="151348DA" w14:textId="77777777" w:rsidR="00587212" w:rsidRPr="008819AF" w:rsidRDefault="00587212" w:rsidP="00445A6C">
                  <w:pPr>
                    <w:keepNext/>
                    <w:jc w:val="center"/>
                    <w:rPr>
                      <w:sz w:val="18"/>
                      <w:szCs w:val="18"/>
                    </w:rPr>
                  </w:pPr>
                  <w:r w:rsidRPr="008819AF">
                    <w:rPr>
                      <w:b/>
                      <w:sz w:val="18"/>
                      <w:szCs w:val="18"/>
                    </w:rPr>
                    <w:t xml:space="preserve">VOC </w:t>
                  </w:r>
                  <w:r w:rsidRPr="008819AF">
                    <w:rPr>
                      <w:b/>
                      <w:sz w:val="18"/>
                      <w:szCs w:val="18"/>
                    </w:rPr>
                    <w:sym w:font="Symbol" w:char="F05B"/>
                  </w:r>
                  <w:r w:rsidRPr="008819AF">
                    <w:rPr>
                      <w:b/>
                      <w:sz w:val="18"/>
                      <w:szCs w:val="18"/>
                    </w:rPr>
                    <w:t>%</w:t>
                  </w:r>
                  <w:r w:rsidRPr="008819AF">
                    <w:rPr>
                      <w:b/>
                      <w:sz w:val="18"/>
                      <w:szCs w:val="18"/>
                    </w:rPr>
                    <w:sym w:font="Symbol" w:char="F05D"/>
                  </w:r>
                </w:p>
              </w:tc>
            </w:tr>
            <w:tr w:rsidR="00587212" w:rsidRPr="008819AF" w14:paraId="151348E3" w14:textId="77777777" w:rsidTr="00445A6C">
              <w:trPr>
                <w:cantSplit/>
                <w:trHeight w:val="340"/>
                <w:jc w:val="center"/>
              </w:trPr>
              <w:tc>
                <w:tcPr>
                  <w:tcW w:w="566" w:type="dxa"/>
                  <w:vMerge w:val="restart"/>
                  <w:vAlign w:val="center"/>
                </w:tcPr>
                <w:p w14:paraId="151348DC" w14:textId="77777777" w:rsidR="00587212" w:rsidRPr="008819AF" w:rsidRDefault="00587212" w:rsidP="00587212">
                  <w:pPr>
                    <w:keepNext/>
                    <w:ind w:right="-70"/>
                    <w:jc w:val="center"/>
                    <w:rPr>
                      <w:b/>
                      <w:sz w:val="18"/>
                      <w:szCs w:val="18"/>
                    </w:rPr>
                  </w:pPr>
                  <w:r w:rsidRPr="008819AF">
                    <w:rPr>
                      <w:b/>
                      <w:sz w:val="18"/>
                      <w:szCs w:val="18"/>
                    </w:rPr>
                    <w:t>XII</w:t>
                  </w:r>
                </w:p>
              </w:tc>
              <w:tc>
                <w:tcPr>
                  <w:tcW w:w="1986" w:type="dxa"/>
                  <w:vMerge w:val="restart"/>
                  <w:vAlign w:val="center"/>
                </w:tcPr>
                <w:p w14:paraId="151348DD" w14:textId="77777777" w:rsidR="00587212" w:rsidRPr="008819AF" w:rsidRDefault="00587212" w:rsidP="00445A6C">
                  <w:pPr>
                    <w:keepNext/>
                    <w:ind w:right="-70"/>
                    <w:rPr>
                      <w:sz w:val="18"/>
                      <w:szCs w:val="18"/>
                    </w:rPr>
                  </w:pPr>
                  <w:r w:rsidRPr="008819AF">
                    <w:rPr>
                      <w:sz w:val="18"/>
                      <w:szCs w:val="18"/>
                    </w:rPr>
                    <w:t>Výroba a spracovanie gumy</w:t>
                  </w:r>
                </w:p>
              </w:tc>
              <w:tc>
                <w:tcPr>
                  <w:tcW w:w="850" w:type="dxa"/>
                  <w:vAlign w:val="center"/>
                </w:tcPr>
                <w:p w14:paraId="151348DE" w14:textId="77777777" w:rsidR="00587212" w:rsidRPr="008819AF" w:rsidRDefault="00587212" w:rsidP="00445A6C">
                  <w:pPr>
                    <w:keepNext/>
                    <w:jc w:val="center"/>
                    <w:rPr>
                      <w:sz w:val="18"/>
                      <w:szCs w:val="18"/>
                    </w:rPr>
                  </w:pPr>
                  <w:r w:rsidRPr="008819AF">
                    <w:rPr>
                      <w:sz w:val="18"/>
                      <w:szCs w:val="18"/>
                    </w:rPr>
                    <w:t xml:space="preserve">&gt; 5 </w:t>
                  </w:r>
                </w:p>
              </w:tc>
              <w:tc>
                <w:tcPr>
                  <w:tcW w:w="851" w:type="dxa"/>
                  <w:vAlign w:val="center"/>
                </w:tcPr>
                <w:p w14:paraId="151348DF" w14:textId="77777777" w:rsidR="00587212" w:rsidRPr="008819AF" w:rsidRDefault="00587212" w:rsidP="00445A6C">
                  <w:pPr>
                    <w:keepNext/>
                    <w:jc w:val="center"/>
                    <w:rPr>
                      <w:sz w:val="18"/>
                      <w:szCs w:val="18"/>
                    </w:rPr>
                  </w:pPr>
                  <w:r w:rsidRPr="008819AF">
                    <w:rPr>
                      <w:sz w:val="18"/>
                      <w:szCs w:val="18"/>
                    </w:rPr>
                    <w:sym w:font="Symbol" w:char="F0A3"/>
                  </w:r>
                  <w:r w:rsidRPr="008819AF">
                    <w:rPr>
                      <w:sz w:val="18"/>
                      <w:szCs w:val="18"/>
                    </w:rPr>
                    <w:t xml:space="preserve"> 15</w:t>
                  </w:r>
                </w:p>
              </w:tc>
              <w:tc>
                <w:tcPr>
                  <w:tcW w:w="1702" w:type="dxa"/>
                  <w:vAlign w:val="center"/>
                </w:tcPr>
                <w:p w14:paraId="151348E0" w14:textId="77777777" w:rsidR="00587212" w:rsidRPr="008819AF" w:rsidRDefault="00587212" w:rsidP="00445A6C">
                  <w:pPr>
                    <w:keepNext/>
                    <w:jc w:val="center"/>
                    <w:rPr>
                      <w:sz w:val="18"/>
                      <w:szCs w:val="18"/>
                    </w:rPr>
                  </w:pPr>
                  <w:r w:rsidRPr="008819AF">
                    <w:rPr>
                      <w:sz w:val="18"/>
                      <w:szCs w:val="18"/>
                    </w:rPr>
                    <w:t>20, 150</w:t>
                  </w:r>
                  <w:r w:rsidRPr="008819AF">
                    <w:rPr>
                      <w:sz w:val="18"/>
                      <w:szCs w:val="18"/>
                      <w:vertAlign w:val="superscript"/>
                    </w:rPr>
                    <w:t>3</w:t>
                  </w:r>
                  <w:r w:rsidRPr="008819AF">
                    <w:rPr>
                      <w:sz w:val="18"/>
                      <w:szCs w:val="18"/>
                    </w:rPr>
                    <w:t>)</w:t>
                  </w:r>
                </w:p>
              </w:tc>
              <w:tc>
                <w:tcPr>
                  <w:tcW w:w="1560" w:type="dxa"/>
                  <w:vAlign w:val="center"/>
                </w:tcPr>
                <w:p w14:paraId="151348E1" w14:textId="77777777" w:rsidR="00587212" w:rsidRPr="008819AF" w:rsidRDefault="00587212" w:rsidP="00445A6C">
                  <w:pPr>
                    <w:keepNext/>
                    <w:jc w:val="center"/>
                    <w:rPr>
                      <w:sz w:val="18"/>
                      <w:szCs w:val="18"/>
                    </w:rPr>
                  </w:pPr>
                  <w:r w:rsidRPr="008819AF">
                    <w:rPr>
                      <w:sz w:val="18"/>
                      <w:szCs w:val="18"/>
                    </w:rPr>
                    <w:t>25</w:t>
                  </w:r>
                </w:p>
              </w:tc>
              <w:tc>
                <w:tcPr>
                  <w:tcW w:w="1560" w:type="dxa"/>
                  <w:vAlign w:val="center"/>
                </w:tcPr>
                <w:p w14:paraId="151348E2" w14:textId="77777777" w:rsidR="00587212" w:rsidRPr="008819AF" w:rsidRDefault="00587212" w:rsidP="00445A6C">
                  <w:pPr>
                    <w:keepNext/>
                    <w:jc w:val="center"/>
                    <w:rPr>
                      <w:sz w:val="18"/>
                      <w:szCs w:val="18"/>
                    </w:rPr>
                  </w:pPr>
                  <w:r w:rsidRPr="008819AF">
                    <w:rPr>
                      <w:sz w:val="18"/>
                      <w:szCs w:val="18"/>
                    </w:rPr>
                    <w:t>25</w:t>
                  </w:r>
                </w:p>
              </w:tc>
            </w:tr>
            <w:tr w:rsidR="00587212" w:rsidRPr="008819AF" w14:paraId="151348EB" w14:textId="77777777" w:rsidTr="00445A6C">
              <w:trPr>
                <w:cantSplit/>
                <w:trHeight w:val="340"/>
                <w:jc w:val="center"/>
              </w:trPr>
              <w:tc>
                <w:tcPr>
                  <w:tcW w:w="566" w:type="dxa"/>
                  <w:vMerge/>
                  <w:vAlign w:val="center"/>
                </w:tcPr>
                <w:p w14:paraId="151348E4" w14:textId="77777777" w:rsidR="00587212" w:rsidRPr="008819AF" w:rsidRDefault="00587212" w:rsidP="00445A6C">
                  <w:pPr>
                    <w:rPr>
                      <w:b/>
                      <w:sz w:val="18"/>
                      <w:szCs w:val="18"/>
                    </w:rPr>
                  </w:pPr>
                </w:p>
              </w:tc>
              <w:tc>
                <w:tcPr>
                  <w:tcW w:w="1986" w:type="dxa"/>
                  <w:vMerge/>
                  <w:vAlign w:val="center"/>
                </w:tcPr>
                <w:p w14:paraId="151348E5" w14:textId="77777777" w:rsidR="00587212" w:rsidRPr="008819AF" w:rsidRDefault="00587212" w:rsidP="00445A6C">
                  <w:pPr>
                    <w:rPr>
                      <w:sz w:val="18"/>
                      <w:szCs w:val="18"/>
                    </w:rPr>
                  </w:pPr>
                </w:p>
              </w:tc>
              <w:tc>
                <w:tcPr>
                  <w:tcW w:w="850" w:type="dxa"/>
                  <w:vAlign w:val="center"/>
                </w:tcPr>
                <w:p w14:paraId="151348E6" w14:textId="77777777" w:rsidR="00587212" w:rsidRPr="008819AF" w:rsidRDefault="00587212" w:rsidP="00445A6C">
                  <w:pPr>
                    <w:keepNext/>
                    <w:jc w:val="center"/>
                    <w:rPr>
                      <w:sz w:val="18"/>
                      <w:szCs w:val="18"/>
                    </w:rPr>
                  </w:pPr>
                  <w:r w:rsidRPr="008819AF">
                    <w:rPr>
                      <w:sz w:val="18"/>
                      <w:szCs w:val="18"/>
                    </w:rPr>
                    <w:t>&gt; 15</w:t>
                  </w:r>
                </w:p>
              </w:tc>
              <w:tc>
                <w:tcPr>
                  <w:tcW w:w="851" w:type="dxa"/>
                  <w:vAlign w:val="center"/>
                </w:tcPr>
                <w:p w14:paraId="151348E7" w14:textId="77777777" w:rsidR="00587212" w:rsidRPr="008819AF" w:rsidRDefault="00587212" w:rsidP="00445A6C">
                  <w:pPr>
                    <w:keepNext/>
                    <w:jc w:val="center"/>
                    <w:rPr>
                      <w:sz w:val="18"/>
                      <w:szCs w:val="18"/>
                    </w:rPr>
                  </w:pPr>
                  <w:r w:rsidRPr="008819AF">
                    <w:rPr>
                      <w:sz w:val="18"/>
                      <w:szCs w:val="18"/>
                    </w:rPr>
                    <w:t>-</w:t>
                  </w:r>
                </w:p>
              </w:tc>
              <w:tc>
                <w:tcPr>
                  <w:tcW w:w="1702" w:type="dxa"/>
                  <w:vAlign w:val="center"/>
                </w:tcPr>
                <w:p w14:paraId="151348E8" w14:textId="77777777" w:rsidR="00587212" w:rsidRPr="008819AF" w:rsidRDefault="00587212" w:rsidP="00445A6C">
                  <w:pPr>
                    <w:keepNext/>
                    <w:jc w:val="center"/>
                    <w:rPr>
                      <w:sz w:val="18"/>
                      <w:szCs w:val="18"/>
                    </w:rPr>
                  </w:pPr>
                  <w:r w:rsidRPr="008819AF">
                    <w:rPr>
                      <w:sz w:val="18"/>
                      <w:szCs w:val="18"/>
                    </w:rPr>
                    <w:t>20, 150</w:t>
                  </w:r>
                  <w:r w:rsidRPr="008819AF">
                    <w:rPr>
                      <w:sz w:val="18"/>
                      <w:szCs w:val="18"/>
                      <w:vertAlign w:val="superscript"/>
                    </w:rPr>
                    <w:t>3</w:t>
                  </w:r>
                  <w:r w:rsidRPr="008819AF">
                    <w:rPr>
                      <w:sz w:val="18"/>
                      <w:szCs w:val="18"/>
                    </w:rPr>
                    <w:t>)</w:t>
                  </w:r>
                </w:p>
              </w:tc>
              <w:tc>
                <w:tcPr>
                  <w:tcW w:w="1560" w:type="dxa"/>
                  <w:vAlign w:val="center"/>
                </w:tcPr>
                <w:p w14:paraId="151348E9" w14:textId="77777777" w:rsidR="00587212" w:rsidRPr="008819AF" w:rsidRDefault="00587212" w:rsidP="00445A6C">
                  <w:pPr>
                    <w:keepNext/>
                    <w:jc w:val="center"/>
                    <w:rPr>
                      <w:sz w:val="18"/>
                      <w:szCs w:val="18"/>
                    </w:rPr>
                  </w:pPr>
                  <w:r w:rsidRPr="008819AF">
                    <w:rPr>
                      <w:sz w:val="18"/>
                      <w:szCs w:val="18"/>
                    </w:rPr>
                    <w:t>25</w:t>
                  </w:r>
                </w:p>
              </w:tc>
              <w:tc>
                <w:tcPr>
                  <w:tcW w:w="1560" w:type="dxa"/>
                  <w:vAlign w:val="center"/>
                </w:tcPr>
                <w:p w14:paraId="151348EA" w14:textId="77777777" w:rsidR="00587212" w:rsidRPr="008819AF" w:rsidRDefault="00587212" w:rsidP="00445A6C">
                  <w:pPr>
                    <w:keepNext/>
                    <w:jc w:val="center"/>
                    <w:rPr>
                      <w:sz w:val="18"/>
                      <w:szCs w:val="18"/>
                    </w:rPr>
                  </w:pPr>
                  <w:r w:rsidRPr="008819AF">
                    <w:rPr>
                      <w:sz w:val="18"/>
                      <w:szCs w:val="18"/>
                    </w:rPr>
                    <w:t>25</w:t>
                  </w:r>
                </w:p>
              </w:tc>
            </w:tr>
          </w:tbl>
          <w:p w14:paraId="151348EC" w14:textId="77777777" w:rsidR="00587212" w:rsidRPr="008819AF" w:rsidRDefault="00587212" w:rsidP="00587212">
            <w:pPr>
              <w:spacing w:before="60"/>
              <w:ind w:left="284" w:hanging="284"/>
              <w:jc w:val="both"/>
            </w:pPr>
            <w:r w:rsidRPr="008819AF">
              <w:rPr>
                <w:vertAlign w:val="superscript"/>
              </w:rPr>
              <w:t>1</w:t>
            </w:r>
            <w:r w:rsidRPr="008819AF">
              <w:t>) Emisný limit pre fugitívne emisie nezahŕňa množstvo organického rozpúšťadla predaného alebo expedovaného ako súčasť náterových zmesí v uzatvorených obaloch.</w:t>
            </w:r>
          </w:p>
          <w:p w14:paraId="151348ED" w14:textId="77777777" w:rsidR="00587212" w:rsidRPr="008819AF" w:rsidRDefault="00587212" w:rsidP="00587212">
            <w:pPr>
              <w:pStyle w:val="Zkladntext2"/>
              <w:ind w:left="284" w:hanging="284"/>
              <w:rPr>
                <w:rFonts w:ascii="Times New Roman" w:hAnsi="Times New Roman" w:cs="Times New Roman"/>
                <w:sz w:val="20"/>
                <w:szCs w:val="20"/>
              </w:rPr>
            </w:pPr>
            <w:r w:rsidRPr="008819AF">
              <w:rPr>
                <w:rFonts w:ascii="Times New Roman" w:hAnsi="Times New Roman" w:cs="Times New Roman"/>
                <w:sz w:val="20"/>
                <w:szCs w:val="20"/>
                <w:vertAlign w:val="superscript"/>
              </w:rPr>
              <w:t>2</w:t>
            </w:r>
            <w:r w:rsidRPr="008819AF">
              <w:rPr>
                <w:rFonts w:ascii="Times New Roman" w:hAnsi="Times New Roman" w:cs="Times New Roman"/>
                <w:sz w:val="20"/>
                <w:szCs w:val="20"/>
              </w:rPr>
              <w:t>) Podiel hmotnosti celkových emisií a celkovej hmotnosti vstupu organického  rozpúšťadla.</w:t>
            </w:r>
          </w:p>
          <w:p w14:paraId="151348EE" w14:textId="77777777" w:rsidR="007170C3" w:rsidRPr="008819AF" w:rsidRDefault="00587212" w:rsidP="00587212">
            <w:pPr>
              <w:ind w:left="270" w:right="-284" w:hanging="270"/>
              <w:jc w:val="both"/>
              <w:rPr>
                <w:lang w:bidi="cs-CZ"/>
              </w:rPr>
            </w:pPr>
            <w:r w:rsidRPr="008819AF">
              <w:rPr>
                <w:vertAlign w:val="superscript"/>
              </w:rPr>
              <w:t>3</w:t>
            </w:r>
            <w:r w:rsidRPr="008819AF">
              <w:t>) Platí pre zariadenia používajúce technológiu na opätovné využitie regenerovaných organických rozpúšťadiel.</w:t>
            </w:r>
            <w:r w:rsidR="006F0418" w:rsidRPr="008819AF">
              <w:t>.</w:t>
            </w:r>
          </w:p>
        </w:tc>
        <w:tc>
          <w:tcPr>
            <w:tcW w:w="709" w:type="dxa"/>
            <w:tcBorders>
              <w:top w:val="single" w:sz="4" w:space="0" w:color="000000"/>
              <w:left w:val="single" w:sz="6" w:space="0" w:color="000000"/>
              <w:bottom w:val="single" w:sz="4" w:space="0" w:color="000000"/>
              <w:right w:val="single" w:sz="6" w:space="0" w:color="000000"/>
            </w:tcBorders>
          </w:tcPr>
          <w:p w14:paraId="151348EF"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8F0" w14:textId="77777777" w:rsidR="007170C3" w:rsidRPr="008819AF" w:rsidRDefault="007170C3">
            <w:pPr>
              <w:ind w:left="215" w:hanging="215"/>
              <w:rPr>
                <w:rFonts w:eastAsia="Arial"/>
              </w:rPr>
            </w:pPr>
          </w:p>
        </w:tc>
      </w:tr>
      <w:tr w:rsidR="00F80158" w:rsidRPr="008819AF" w14:paraId="1513493A"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8F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19</w:t>
            </w:r>
          </w:p>
        </w:tc>
        <w:tc>
          <w:tcPr>
            <w:tcW w:w="5386" w:type="dxa"/>
            <w:tcBorders>
              <w:top w:val="single" w:sz="4" w:space="0" w:color="000000"/>
              <w:left w:val="single" w:sz="6" w:space="0" w:color="000000"/>
              <w:bottom w:val="single" w:sz="4" w:space="0" w:color="000000"/>
              <w:right w:val="single" w:sz="6" w:space="0" w:color="000000"/>
            </w:tcBorders>
          </w:tcPr>
          <w:p w14:paraId="151348F3"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Extrakcia rastlinných olejov a živočíšnych tukov a rafinácia rastlinných olejov (&gt; 10)</w:t>
            </w:r>
          </w:p>
        </w:tc>
        <w:tc>
          <w:tcPr>
            <w:tcW w:w="881" w:type="dxa"/>
            <w:tcBorders>
              <w:top w:val="single" w:sz="4" w:space="0" w:color="000000"/>
              <w:left w:val="single" w:sz="6" w:space="0" w:color="000000"/>
              <w:bottom w:val="single" w:sz="4" w:space="0" w:color="000000"/>
              <w:right w:val="single" w:sz="6" w:space="0" w:color="000000"/>
            </w:tcBorders>
          </w:tcPr>
          <w:p w14:paraId="151348F4" w14:textId="77777777" w:rsidR="007170C3" w:rsidRPr="008819AF" w:rsidRDefault="00587212">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8F5"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8F6" w14:textId="77777777" w:rsidR="00A00E34" w:rsidRPr="008819AF" w:rsidRDefault="00A00E34" w:rsidP="00A00E34">
            <w:r w:rsidRPr="008819AF">
              <w:t>Pr.6</w:t>
            </w:r>
          </w:p>
          <w:p w14:paraId="151348F7" w14:textId="77777777" w:rsidR="007170C3" w:rsidRPr="008819AF" w:rsidRDefault="00A00E34" w:rsidP="00A00E34">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8F8" w14:textId="77777777" w:rsidR="00587212" w:rsidRPr="008819AF" w:rsidRDefault="00587212" w:rsidP="00587212">
            <w:pPr>
              <w:ind w:left="426" w:hanging="426"/>
              <w:rPr>
                <w:b/>
              </w:rPr>
            </w:pPr>
            <w:r w:rsidRPr="008819AF">
              <w:rPr>
                <w:b/>
              </w:rPr>
              <w:t>13.   EXTRAKCIA RASTLINNÝCH OLEJOV A  ŽIVOČÍŠNYCH  TUKOV A RAFINÁCIA RASTLINNÝCH OLEJOV (XIII)</w:t>
            </w:r>
          </w:p>
          <w:p w14:paraId="151348F9" w14:textId="77777777" w:rsidR="00587212" w:rsidRPr="008819AF" w:rsidRDefault="00587212" w:rsidP="00587212">
            <w:pPr>
              <w:pStyle w:val="Zkladntext2"/>
              <w:rPr>
                <w:rFonts w:ascii="Times New Roman" w:hAnsi="Times New Roman" w:cs="Times New Roman"/>
                <w:sz w:val="20"/>
                <w:szCs w:val="20"/>
              </w:rPr>
            </w:pPr>
            <w:r w:rsidRPr="008819AF">
              <w:rPr>
                <w:rFonts w:ascii="Times New Roman" w:hAnsi="Times New Roman" w:cs="Times New Roman"/>
                <w:b/>
                <w:sz w:val="20"/>
                <w:szCs w:val="20"/>
              </w:rPr>
              <w:t>13.2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98"/>
              <w:gridCol w:w="2655"/>
              <w:gridCol w:w="1222"/>
              <w:gridCol w:w="1433"/>
            </w:tblGrid>
            <w:tr w:rsidR="00587212" w:rsidRPr="008819AF" w14:paraId="151348FE" w14:textId="77777777" w:rsidTr="00445A6C">
              <w:trPr>
                <w:cantSplit/>
                <w:trHeight w:hRule="exact" w:val="340"/>
                <w:jc w:val="center"/>
              </w:trPr>
              <w:tc>
                <w:tcPr>
                  <w:tcW w:w="4920" w:type="dxa"/>
                  <w:gridSpan w:val="2"/>
                  <w:vAlign w:val="center"/>
                </w:tcPr>
                <w:p w14:paraId="151348FA" w14:textId="77777777" w:rsidR="00587212" w:rsidRPr="008819AF" w:rsidRDefault="00587212" w:rsidP="00445A6C">
                  <w:pPr>
                    <w:pStyle w:val="Zkladntext2"/>
                    <w:rPr>
                      <w:rFonts w:ascii="Times New Roman" w:hAnsi="Times New Roman" w:cs="Times New Roman"/>
                      <w:b/>
                      <w:sz w:val="18"/>
                      <w:szCs w:val="18"/>
                    </w:rPr>
                  </w:pPr>
                  <w:r w:rsidRPr="008819AF">
                    <w:rPr>
                      <w:rFonts w:ascii="Times New Roman" w:hAnsi="Times New Roman" w:cs="Times New Roman"/>
                      <w:sz w:val="18"/>
                      <w:szCs w:val="18"/>
                    </w:rPr>
                    <w:t>        </w:t>
                  </w:r>
                  <w:r w:rsidRPr="008819AF">
                    <w:rPr>
                      <w:rFonts w:ascii="Times New Roman" w:hAnsi="Times New Roman" w:cs="Times New Roman"/>
                      <w:b/>
                      <w:sz w:val="18"/>
                      <w:szCs w:val="18"/>
                    </w:rPr>
                    <w:t xml:space="preserve">Činnosť </w:t>
                  </w:r>
                </w:p>
              </w:tc>
              <w:tc>
                <w:tcPr>
                  <w:tcW w:w="1884" w:type="dxa"/>
                  <w:vMerge w:val="restart"/>
                  <w:vAlign w:val="center"/>
                </w:tcPr>
                <w:p w14:paraId="151348FB" w14:textId="77777777" w:rsidR="00587212" w:rsidRPr="008819AF" w:rsidRDefault="00587212" w:rsidP="00587212">
                  <w:pPr>
                    <w:keepNext/>
                    <w:ind w:right="-70"/>
                    <w:jc w:val="center"/>
                    <w:rPr>
                      <w:b/>
                      <w:sz w:val="18"/>
                      <w:szCs w:val="18"/>
                    </w:rPr>
                  </w:pPr>
                  <w:r w:rsidRPr="008819AF">
                    <w:rPr>
                      <w:b/>
                      <w:sz w:val="18"/>
                      <w:szCs w:val="18"/>
                    </w:rPr>
                    <w:t>Prahová spotreba</w:t>
                  </w:r>
                </w:p>
                <w:p w14:paraId="151348FC" w14:textId="77777777" w:rsidR="00587212" w:rsidRPr="008819AF" w:rsidRDefault="00587212" w:rsidP="00587212">
                  <w:pPr>
                    <w:keepNext/>
                    <w:ind w:right="-70"/>
                    <w:jc w:val="center"/>
                    <w:rPr>
                      <w:b/>
                      <w:sz w:val="18"/>
                      <w:szCs w:val="18"/>
                    </w:rPr>
                  </w:pPr>
                  <w:r w:rsidRPr="008819AF">
                    <w:rPr>
                      <w:b/>
                      <w:sz w:val="18"/>
                      <w:szCs w:val="18"/>
                    </w:rPr>
                    <w:t xml:space="preserve">rozpúšťadla </w:t>
                  </w:r>
                  <w:r w:rsidRPr="008819AF">
                    <w:rPr>
                      <w:b/>
                      <w:sz w:val="18"/>
                      <w:szCs w:val="18"/>
                    </w:rPr>
                    <w:sym w:font="Symbol" w:char="F05B"/>
                  </w:r>
                  <w:r w:rsidRPr="008819AF">
                    <w:rPr>
                      <w:b/>
                      <w:sz w:val="18"/>
                      <w:szCs w:val="18"/>
                    </w:rPr>
                    <w:t>t/rok</w:t>
                  </w:r>
                  <w:r w:rsidRPr="008819AF">
                    <w:rPr>
                      <w:b/>
                      <w:sz w:val="18"/>
                      <w:szCs w:val="18"/>
                    </w:rPr>
                    <w:sym w:font="Symbol" w:char="F05D"/>
                  </w:r>
                </w:p>
              </w:tc>
              <w:tc>
                <w:tcPr>
                  <w:tcW w:w="2226" w:type="dxa"/>
                  <w:vAlign w:val="center"/>
                </w:tcPr>
                <w:p w14:paraId="151348FD" w14:textId="77777777" w:rsidR="00587212" w:rsidRPr="008819AF" w:rsidRDefault="00587212"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Emisný limit</w:t>
                  </w:r>
                </w:p>
              </w:tc>
            </w:tr>
            <w:tr w:rsidR="00587212" w:rsidRPr="008819AF" w14:paraId="15134903" w14:textId="77777777" w:rsidTr="00445A6C">
              <w:trPr>
                <w:cantSplit/>
                <w:trHeight w:val="383"/>
                <w:jc w:val="center"/>
              </w:trPr>
              <w:tc>
                <w:tcPr>
                  <w:tcW w:w="710" w:type="dxa"/>
                  <w:vMerge w:val="restart"/>
                  <w:vAlign w:val="center"/>
                </w:tcPr>
                <w:p w14:paraId="151348FF" w14:textId="77777777" w:rsidR="00587212" w:rsidRPr="008819AF" w:rsidRDefault="00587212" w:rsidP="00445A6C">
                  <w:pPr>
                    <w:pStyle w:val="Zkladntext2"/>
                    <w:rPr>
                      <w:rFonts w:ascii="Times New Roman" w:hAnsi="Times New Roman" w:cs="Times New Roman"/>
                      <w:b/>
                      <w:sz w:val="18"/>
                      <w:szCs w:val="18"/>
                    </w:rPr>
                  </w:pPr>
                  <w:r w:rsidRPr="008819AF">
                    <w:rPr>
                      <w:rFonts w:ascii="Times New Roman" w:hAnsi="Times New Roman" w:cs="Times New Roman"/>
                      <w:b/>
                      <w:sz w:val="18"/>
                      <w:szCs w:val="18"/>
                    </w:rPr>
                    <w:t>XIII</w:t>
                  </w:r>
                </w:p>
              </w:tc>
              <w:tc>
                <w:tcPr>
                  <w:tcW w:w="4210" w:type="dxa"/>
                  <w:vMerge w:val="restart"/>
                </w:tcPr>
                <w:p w14:paraId="15134900" w14:textId="77777777" w:rsidR="00587212" w:rsidRPr="008819AF" w:rsidRDefault="00587212" w:rsidP="00587212">
                  <w:pPr>
                    <w:keepNext/>
                    <w:ind w:right="-70"/>
                    <w:rPr>
                      <w:b/>
                      <w:sz w:val="18"/>
                      <w:szCs w:val="18"/>
                    </w:rPr>
                  </w:pPr>
                  <w:r w:rsidRPr="008819AF">
                    <w:rPr>
                      <w:b/>
                      <w:sz w:val="18"/>
                      <w:szCs w:val="18"/>
                    </w:rPr>
                    <w:t>Extrakcia rastlinných olejov, a živočíšnych tukov a rafinácia rastlinných olejov z týchto materiálov</w:t>
                  </w:r>
                </w:p>
              </w:tc>
              <w:tc>
                <w:tcPr>
                  <w:tcW w:w="1884" w:type="dxa"/>
                  <w:vMerge/>
                  <w:vAlign w:val="center"/>
                </w:tcPr>
                <w:p w14:paraId="15134901" w14:textId="77777777" w:rsidR="00587212" w:rsidRPr="008819AF" w:rsidRDefault="00587212" w:rsidP="00445A6C">
                  <w:pPr>
                    <w:rPr>
                      <w:b/>
                      <w:sz w:val="18"/>
                      <w:szCs w:val="18"/>
                    </w:rPr>
                  </w:pPr>
                </w:p>
              </w:tc>
              <w:tc>
                <w:tcPr>
                  <w:tcW w:w="2226" w:type="dxa"/>
                  <w:vAlign w:val="center"/>
                </w:tcPr>
                <w:p w14:paraId="15134902" w14:textId="77777777" w:rsidR="00587212" w:rsidRPr="008819AF" w:rsidRDefault="00587212"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Celkové emisie</w:t>
                  </w:r>
                  <w:r w:rsidRPr="008819AF">
                    <w:rPr>
                      <w:rFonts w:ascii="Times New Roman" w:hAnsi="Times New Roman" w:cs="Times New Roman"/>
                      <w:b/>
                      <w:sz w:val="18"/>
                      <w:szCs w:val="18"/>
                      <w:vertAlign w:val="superscript"/>
                    </w:rPr>
                    <w:t>1</w:t>
                  </w:r>
                  <w:r w:rsidRPr="008819AF">
                    <w:rPr>
                      <w:rFonts w:ascii="Times New Roman" w:hAnsi="Times New Roman" w:cs="Times New Roman"/>
                      <w:b/>
                      <w:sz w:val="18"/>
                      <w:szCs w:val="18"/>
                    </w:rPr>
                    <w:t>)</w:t>
                  </w:r>
                </w:p>
              </w:tc>
            </w:tr>
            <w:tr w:rsidR="00587212" w:rsidRPr="008819AF" w14:paraId="15134908" w14:textId="77777777" w:rsidTr="00445A6C">
              <w:trPr>
                <w:cantSplit/>
                <w:trHeight w:val="340"/>
                <w:jc w:val="center"/>
              </w:trPr>
              <w:tc>
                <w:tcPr>
                  <w:tcW w:w="710" w:type="dxa"/>
                  <w:vMerge/>
                  <w:vAlign w:val="center"/>
                </w:tcPr>
                <w:p w14:paraId="15134904" w14:textId="77777777" w:rsidR="00587212" w:rsidRPr="008819AF" w:rsidRDefault="00587212" w:rsidP="00445A6C">
                  <w:pPr>
                    <w:rPr>
                      <w:b/>
                      <w:sz w:val="18"/>
                      <w:szCs w:val="18"/>
                    </w:rPr>
                  </w:pPr>
                </w:p>
              </w:tc>
              <w:tc>
                <w:tcPr>
                  <w:tcW w:w="4210" w:type="dxa"/>
                  <w:vMerge/>
                  <w:vAlign w:val="center"/>
                </w:tcPr>
                <w:p w14:paraId="15134905" w14:textId="77777777" w:rsidR="00587212" w:rsidRPr="008819AF" w:rsidRDefault="00587212" w:rsidP="00445A6C">
                  <w:pPr>
                    <w:rPr>
                      <w:b/>
                      <w:sz w:val="18"/>
                      <w:szCs w:val="18"/>
                    </w:rPr>
                  </w:pPr>
                </w:p>
              </w:tc>
              <w:tc>
                <w:tcPr>
                  <w:tcW w:w="1884" w:type="dxa"/>
                  <w:vMerge/>
                  <w:vAlign w:val="center"/>
                </w:tcPr>
                <w:p w14:paraId="15134906" w14:textId="77777777" w:rsidR="00587212" w:rsidRPr="008819AF" w:rsidRDefault="00587212" w:rsidP="00445A6C">
                  <w:pPr>
                    <w:rPr>
                      <w:b/>
                      <w:sz w:val="18"/>
                      <w:szCs w:val="18"/>
                    </w:rPr>
                  </w:pPr>
                </w:p>
              </w:tc>
              <w:tc>
                <w:tcPr>
                  <w:tcW w:w="2226" w:type="dxa"/>
                  <w:vAlign w:val="center"/>
                </w:tcPr>
                <w:p w14:paraId="15134907" w14:textId="77777777" w:rsidR="00587212" w:rsidRPr="008819AF" w:rsidRDefault="00587212" w:rsidP="00445A6C">
                  <w:pPr>
                    <w:pStyle w:val="Zkladntext2"/>
                    <w:jc w:val="center"/>
                    <w:rPr>
                      <w:rFonts w:ascii="Times New Roman" w:hAnsi="Times New Roman" w:cs="Times New Roman"/>
                      <w:sz w:val="18"/>
                      <w:szCs w:val="18"/>
                      <w:vertAlign w:val="superscript"/>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kg/t</w:t>
                  </w:r>
                  <w:r w:rsidRPr="008819AF">
                    <w:rPr>
                      <w:rFonts w:ascii="Times New Roman" w:hAnsi="Times New Roman" w:cs="Times New Roman"/>
                      <w:b/>
                      <w:sz w:val="18"/>
                      <w:szCs w:val="18"/>
                    </w:rPr>
                    <w:sym w:font="Symbol" w:char="F05D"/>
                  </w:r>
                </w:p>
              </w:tc>
            </w:tr>
            <w:tr w:rsidR="00587212" w:rsidRPr="008819AF" w14:paraId="1513490D" w14:textId="77777777" w:rsidTr="00445A6C">
              <w:trPr>
                <w:trHeight w:val="340"/>
                <w:jc w:val="center"/>
              </w:trPr>
              <w:tc>
                <w:tcPr>
                  <w:tcW w:w="710" w:type="dxa"/>
                  <w:vMerge/>
                  <w:vAlign w:val="center"/>
                </w:tcPr>
                <w:p w14:paraId="15134909" w14:textId="77777777" w:rsidR="00587212" w:rsidRPr="008819AF" w:rsidRDefault="00587212" w:rsidP="00445A6C">
                  <w:pPr>
                    <w:rPr>
                      <w:b/>
                      <w:sz w:val="18"/>
                      <w:szCs w:val="18"/>
                    </w:rPr>
                  </w:pPr>
                </w:p>
              </w:tc>
              <w:tc>
                <w:tcPr>
                  <w:tcW w:w="4210" w:type="dxa"/>
                  <w:vAlign w:val="center"/>
                </w:tcPr>
                <w:p w14:paraId="1513490A" w14:textId="77777777" w:rsidR="00587212" w:rsidRPr="008819AF" w:rsidRDefault="00587212" w:rsidP="00445A6C">
                  <w:pPr>
                    <w:pStyle w:val="Zkladntext2"/>
                    <w:rPr>
                      <w:rFonts w:ascii="Times New Roman" w:hAnsi="Times New Roman" w:cs="Times New Roman"/>
                      <w:sz w:val="18"/>
                      <w:szCs w:val="18"/>
                    </w:rPr>
                  </w:pPr>
                  <w:r w:rsidRPr="008819AF">
                    <w:rPr>
                      <w:rFonts w:ascii="Times New Roman" w:hAnsi="Times New Roman" w:cs="Times New Roman"/>
                      <w:sz w:val="18"/>
                      <w:szCs w:val="18"/>
                    </w:rPr>
                    <w:t>Živočíšny tuk</w:t>
                  </w:r>
                </w:p>
              </w:tc>
              <w:tc>
                <w:tcPr>
                  <w:tcW w:w="1884" w:type="dxa"/>
                  <w:vAlign w:val="center"/>
                </w:tcPr>
                <w:p w14:paraId="1513490B"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2226" w:type="dxa"/>
                  <w:vAlign w:val="center"/>
                </w:tcPr>
                <w:p w14:paraId="1513490C"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1,5</w:t>
                  </w:r>
                </w:p>
              </w:tc>
            </w:tr>
            <w:tr w:rsidR="00587212" w:rsidRPr="008819AF" w14:paraId="15134912" w14:textId="77777777" w:rsidTr="00445A6C">
              <w:trPr>
                <w:trHeight w:val="340"/>
                <w:jc w:val="center"/>
              </w:trPr>
              <w:tc>
                <w:tcPr>
                  <w:tcW w:w="710" w:type="dxa"/>
                  <w:vMerge/>
                  <w:vAlign w:val="center"/>
                </w:tcPr>
                <w:p w14:paraId="1513490E" w14:textId="77777777" w:rsidR="00587212" w:rsidRPr="008819AF" w:rsidRDefault="00587212" w:rsidP="00445A6C">
                  <w:pPr>
                    <w:rPr>
                      <w:b/>
                      <w:sz w:val="18"/>
                      <w:szCs w:val="18"/>
                    </w:rPr>
                  </w:pPr>
                </w:p>
              </w:tc>
              <w:tc>
                <w:tcPr>
                  <w:tcW w:w="4210" w:type="dxa"/>
                  <w:vAlign w:val="center"/>
                </w:tcPr>
                <w:p w14:paraId="1513490F" w14:textId="77777777" w:rsidR="00587212" w:rsidRPr="008819AF" w:rsidRDefault="00587212" w:rsidP="00445A6C">
                  <w:pPr>
                    <w:pStyle w:val="Zkladntext2"/>
                    <w:rPr>
                      <w:rFonts w:ascii="Times New Roman" w:hAnsi="Times New Roman" w:cs="Times New Roman"/>
                      <w:sz w:val="18"/>
                      <w:szCs w:val="18"/>
                    </w:rPr>
                  </w:pPr>
                  <w:r w:rsidRPr="008819AF">
                    <w:rPr>
                      <w:rFonts w:ascii="Times New Roman" w:hAnsi="Times New Roman" w:cs="Times New Roman"/>
                      <w:sz w:val="18"/>
                      <w:szCs w:val="18"/>
                    </w:rPr>
                    <w:t>Ricín</w:t>
                  </w:r>
                </w:p>
              </w:tc>
              <w:tc>
                <w:tcPr>
                  <w:tcW w:w="1884" w:type="dxa"/>
                  <w:vAlign w:val="center"/>
                </w:tcPr>
                <w:p w14:paraId="15134910"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2226" w:type="dxa"/>
                  <w:vAlign w:val="center"/>
                </w:tcPr>
                <w:p w14:paraId="15134911"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3</w:t>
                  </w:r>
                </w:p>
              </w:tc>
            </w:tr>
            <w:tr w:rsidR="00587212" w:rsidRPr="008819AF" w14:paraId="15134917" w14:textId="77777777" w:rsidTr="00445A6C">
              <w:trPr>
                <w:trHeight w:val="340"/>
                <w:jc w:val="center"/>
              </w:trPr>
              <w:tc>
                <w:tcPr>
                  <w:tcW w:w="710" w:type="dxa"/>
                  <w:vMerge/>
                  <w:vAlign w:val="center"/>
                </w:tcPr>
                <w:p w14:paraId="15134913" w14:textId="77777777" w:rsidR="00587212" w:rsidRPr="008819AF" w:rsidRDefault="00587212" w:rsidP="00445A6C">
                  <w:pPr>
                    <w:rPr>
                      <w:b/>
                      <w:sz w:val="18"/>
                      <w:szCs w:val="18"/>
                    </w:rPr>
                  </w:pPr>
                </w:p>
              </w:tc>
              <w:tc>
                <w:tcPr>
                  <w:tcW w:w="4210" w:type="dxa"/>
                  <w:vAlign w:val="center"/>
                </w:tcPr>
                <w:p w14:paraId="15134914" w14:textId="77777777" w:rsidR="00587212" w:rsidRPr="008819AF" w:rsidRDefault="00587212" w:rsidP="00445A6C">
                  <w:pPr>
                    <w:pStyle w:val="Zkladntext2"/>
                    <w:rPr>
                      <w:rFonts w:ascii="Times New Roman" w:hAnsi="Times New Roman" w:cs="Times New Roman"/>
                      <w:sz w:val="18"/>
                      <w:szCs w:val="18"/>
                    </w:rPr>
                  </w:pPr>
                  <w:r w:rsidRPr="008819AF">
                    <w:rPr>
                      <w:rFonts w:ascii="Times New Roman" w:hAnsi="Times New Roman" w:cs="Times New Roman"/>
                      <w:sz w:val="18"/>
                      <w:szCs w:val="18"/>
                    </w:rPr>
                    <w:t>Repkové semená</w:t>
                  </w:r>
                </w:p>
              </w:tc>
              <w:tc>
                <w:tcPr>
                  <w:tcW w:w="1884" w:type="dxa"/>
                  <w:vAlign w:val="center"/>
                </w:tcPr>
                <w:p w14:paraId="15134915"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2226" w:type="dxa"/>
                  <w:vAlign w:val="center"/>
                </w:tcPr>
                <w:p w14:paraId="15134916"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1</w:t>
                  </w:r>
                </w:p>
              </w:tc>
            </w:tr>
            <w:tr w:rsidR="00587212" w:rsidRPr="008819AF" w14:paraId="1513491C" w14:textId="77777777" w:rsidTr="00445A6C">
              <w:trPr>
                <w:trHeight w:val="340"/>
                <w:jc w:val="center"/>
              </w:trPr>
              <w:tc>
                <w:tcPr>
                  <w:tcW w:w="710" w:type="dxa"/>
                  <w:vMerge/>
                  <w:vAlign w:val="center"/>
                </w:tcPr>
                <w:p w14:paraId="15134918" w14:textId="77777777" w:rsidR="00587212" w:rsidRPr="008819AF" w:rsidRDefault="00587212" w:rsidP="00445A6C">
                  <w:pPr>
                    <w:rPr>
                      <w:b/>
                      <w:sz w:val="18"/>
                      <w:szCs w:val="18"/>
                    </w:rPr>
                  </w:pPr>
                </w:p>
              </w:tc>
              <w:tc>
                <w:tcPr>
                  <w:tcW w:w="4210" w:type="dxa"/>
                  <w:vAlign w:val="center"/>
                </w:tcPr>
                <w:p w14:paraId="15134919" w14:textId="77777777" w:rsidR="00587212" w:rsidRPr="008819AF" w:rsidRDefault="00587212" w:rsidP="00445A6C">
                  <w:pPr>
                    <w:pStyle w:val="Zkladntext2"/>
                    <w:rPr>
                      <w:rFonts w:ascii="Times New Roman" w:hAnsi="Times New Roman" w:cs="Times New Roman"/>
                      <w:sz w:val="18"/>
                      <w:szCs w:val="18"/>
                    </w:rPr>
                  </w:pPr>
                  <w:r w:rsidRPr="008819AF">
                    <w:rPr>
                      <w:rFonts w:ascii="Times New Roman" w:hAnsi="Times New Roman" w:cs="Times New Roman"/>
                      <w:sz w:val="18"/>
                      <w:szCs w:val="18"/>
                    </w:rPr>
                    <w:t>Slnečnicové semená</w:t>
                  </w:r>
                </w:p>
              </w:tc>
              <w:tc>
                <w:tcPr>
                  <w:tcW w:w="1884" w:type="dxa"/>
                  <w:vAlign w:val="center"/>
                </w:tcPr>
                <w:p w14:paraId="1513491A"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2226" w:type="dxa"/>
                  <w:vAlign w:val="center"/>
                </w:tcPr>
                <w:p w14:paraId="1513491B"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1</w:t>
                  </w:r>
                </w:p>
              </w:tc>
            </w:tr>
            <w:tr w:rsidR="00587212" w:rsidRPr="008819AF" w14:paraId="15134921" w14:textId="77777777" w:rsidTr="00445A6C">
              <w:trPr>
                <w:trHeight w:val="262"/>
                <w:jc w:val="center"/>
              </w:trPr>
              <w:tc>
                <w:tcPr>
                  <w:tcW w:w="710" w:type="dxa"/>
                  <w:vMerge/>
                  <w:vAlign w:val="center"/>
                </w:tcPr>
                <w:p w14:paraId="1513491D" w14:textId="77777777" w:rsidR="00587212" w:rsidRPr="008819AF" w:rsidRDefault="00587212" w:rsidP="00445A6C">
                  <w:pPr>
                    <w:rPr>
                      <w:b/>
                      <w:sz w:val="18"/>
                      <w:szCs w:val="18"/>
                    </w:rPr>
                  </w:pPr>
                </w:p>
              </w:tc>
              <w:tc>
                <w:tcPr>
                  <w:tcW w:w="4210" w:type="dxa"/>
                  <w:vAlign w:val="center"/>
                </w:tcPr>
                <w:p w14:paraId="1513491E" w14:textId="77777777" w:rsidR="00587212" w:rsidRPr="008819AF" w:rsidRDefault="00587212" w:rsidP="00445A6C">
                  <w:pPr>
                    <w:pStyle w:val="Zkladntext2"/>
                    <w:rPr>
                      <w:rFonts w:ascii="Times New Roman" w:hAnsi="Times New Roman" w:cs="Times New Roman"/>
                      <w:sz w:val="18"/>
                      <w:szCs w:val="18"/>
                    </w:rPr>
                  </w:pPr>
                  <w:r w:rsidRPr="008819AF">
                    <w:rPr>
                      <w:rFonts w:ascii="Times New Roman" w:hAnsi="Times New Roman" w:cs="Times New Roman"/>
                      <w:sz w:val="18"/>
                      <w:szCs w:val="18"/>
                    </w:rPr>
                    <w:t>Sójové bôby (normálne drvenie)</w:t>
                  </w:r>
                </w:p>
              </w:tc>
              <w:tc>
                <w:tcPr>
                  <w:tcW w:w="1884" w:type="dxa"/>
                  <w:vAlign w:val="center"/>
                </w:tcPr>
                <w:p w14:paraId="1513491F"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2226" w:type="dxa"/>
                  <w:vAlign w:val="center"/>
                </w:tcPr>
                <w:p w14:paraId="15134920"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0,8</w:t>
                  </w:r>
                </w:p>
              </w:tc>
            </w:tr>
            <w:tr w:rsidR="00587212" w:rsidRPr="008819AF" w14:paraId="15134926" w14:textId="77777777" w:rsidTr="00445A6C">
              <w:trPr>
                <w:trHeight w:val="340"/>
                <w:jc w:val="center"/>
              </w:trPr>
              <w:tc>
                <w:tcPr>
                  <w:tcW w:w="710" w:type="dxa"/>
                  <w:vMerge/>
                  <w:vAlign w:val="center"/>
                </w:tcPr>
                <w:p w14:paraId="15134922" w14:textId="77777777" w:rsidR="00587212" w:rsidRPr="008819AF" w:rsidRDefault="00587212" w:rsidP="00445A6C">
                  <w:pPr>
                    <w:rPr>
                      <w:b/>
                      <w:sz w:val="18"/>
                      <w:szCs w:val="18"/>
                    </w:rPr>
                  </w:pPr>
                </w:p>
              </w:tc>
              <w:tc>
                <w:tcPr>
                  <w:tcW w:w="4210" w:type="dxa"/>
                  <w:vAlign w:val="center"/>
                </w:tcPr>
                <w:p w14:paraId="15134923" w14:textId="77777777" w:rsidR="00587212" w:rsidRPr="008819AF" w:rsidRDefault="00587212" w:rsidP="00445A6C">
                  <w:pPr>
                    <w:pStyle w:val="Zkladntext2"/>
                    <w:rPr>
                      <w:rFonts w:ascii="Times New Roman" w:hAnsi="Times New Roman" w:cs="Times New Roman"/>
                      <w:sz w:val="18"/>
                      <w:szCs w:val="18"/>
                    </w:rPr>
                  </w:pPr>
                  <w:r w:rsidRPr="008819AF">
                    <w:rPr>
                      <w:rFonts w:ascii="Times New Roman" w:hAnsi="Times New Roman" w:cs="Times New Roman"/>
                      <w:sz w:val="18"/>
                      <w:szCs w:val="18"/>
                    </w:rPr>
                    <w:t>Sójové bôby (biele vločky)</w:t>
                  </w:r>
                </w:p>
              </w:tc>
              <w:tc>
                <w:tcPr>
                  <w:tcW w:w="1884" w:type="dxa"/>
                  <w:vAlign w:val="center"/>
                </w:tcPr>
                <w:p w14:paraId="15134924"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2226" w:type="dxa"/>
                  <w:vAlign w:val="center"/>
                </w:tcPr>
                <w:p w14:paraId="15134925"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1,2</w:t>
                  </w:r>
                </w:p>
              </w:tc>
            </w:tr>
            <w:tr w:rsidR="00587212" w:rsidRPr="008819AF" w14:paraId="1513492B" w14:textId="77777777" w:rsidTr="00445A6C">
              <w:trPr>
                <w:trHeight w:val="340"/>
                <w:jc w:val="center"/>
              </w:trPr>
              <w:tc>
                <w:tcPr>
                  <w:tcW w:w="710" w:type="dxa"/>
                  <w:vMerge/>
                  <w:vAlign w:val="center"/>
                </w:tcPr>
                <w:p w14:paraId="15134927" w14:textId="77777777" w:rsidR="00587212" w:rsidRPr="008819AF" w:rsidRDefault="00587212" w:rsidP="00445A6C">
                  <w:pPr>
                    <w:rPr>
                      <w:b/>
                      <w:sz w:val="18"/>
                      <w:szCs w:val="18"/>
                    </w:rPr>
                  </w:pPr>
                </w:p>
              </w:tc>
              <w:tc>
                <w:tcPr>
                  <w:tcW w:w="4210" w:type="dxa"/>
                  <w:vAlign w:val="center"/>
                </w:tcPr>
                <w:p w14:paraId="15134928" w14:textId="77777777" w:rsidR="00587212" w:rsidRPr="008819AF" w:rsidRDefault="00587212" w:rsidP="00587212">
                  <w:pPr>
                    <w:pStyle w:val="Normln"/>
                    <w:keepNext/>
                    <w:rPr>
                      <w:sz w:val="18"/>
                      <w:szCs w:val="18"/>
                      <w:lang w:val="sk-SK"/>
                    </w:rPr>
                  </w:pPr>
                  <w:r w:rsidRPr="008819AF">
                    <w:rPr>
                      <w:sz w:val="18"/>
                      <w:szCs w:val="18"/>
                      <w:lang w:val="sk-SK"/>
                    </w:rPr>
                    <w:t>Ostatné semená a iný rastlinný materiál</w:t>
                  </w:r>
                </w:p>
              </w:tc>
              <w:tc>
                <w:tcPr>
                  <w:tcW w:w="1884" w:type="dxa"/>
                  <w:vAlign w:val="center"/>
                </w:tcPr>
                <w:p w14:paraId="15134929"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2226" w:type="dxa"/>
                  <w:vAlign w:val="center"/>
                </w:tcPr>
                <w:p w14:paraId="1513492A"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3</w:t>
                  </w:r>
                  <w:r w:rsidRPr="008819AF">
                    <w:rPr>
                      <w:rFonts w:ascii="Times New Roman" w:hAnsi="Times New Roman" w:cs="Times New Roman"/>
                      <w:sz w:val="18"/>
                      <w:szCs w:val="18"/>
                      <w:vertAlign w:val="superscript"/>
                    </w:rPr>
                    <w:t>2</w:t>
                  </w:r>
                  <w:r w:rsidRPr="008819AF">
                    <w:rPr>
                      <w:rFonts w:ascii="Times New Roman" w:hAnsi="Times New Roman" w:cs="Times New Roman"/>
                      <w:sz w:val="18"/>
                      <w:szCs w:val="18"/>
                    </w:rPr>
                    <w:t>)</w:t>
                  </w:r>
                </w:p>
              </w:tc>
            </w:tr>
            <w:tr w:rsidR="00587212" w:rsidRPr="008819AF" w14:paraId="15134930" w14:textId="77777777" w:rsidTr="00445A6C">
              <w:trPr>
                <w:trHeight w:val="340"/>
                <w:jc w:val="center"/>
              </w:trPr>
              <w:tc>
                <w:tcPr>
                  <w:tcW w:w="710" w:type="dxa"/>
                  <w:vMerge/>
                  <w:vAlign w:val="center"/>
                </w:tcPr>
                <w:p w14:paraId="1513492C" w14:textId="77777777" w:rsidR="00587212" w:rsidRPr="008819AF" w:rsidRDefault="00587212" w:rsidP="00445A6C">
                  <w:pPr>
                    <w:rPr>
                      <w:b/>
                      <w:sz w:val="18"/>
                      <w:szCs w:val="18"/>
                    </w:rPr>
                  </w:pPr>
                </w:p>
              </w:tc>
              <w:tc>
                <w:tcPr>
                  <w:tcW w:w="4210" w:type="dxa"/>
                  <w:vAlign w:val="center"/>
                </w:tcPr>
                <w:p w14:paraId="1513492D" w14:textId="77777777" w:rsidR="00587212" w:rsidRPr="008819AF" w:rsidRDefault="00587212" w:rsidP="00587212">
                  <w:pPr>
                    <w:pStyle w:val="Normln"/>
                    <w:keepNext/>
                    <w:rPr>
                      <w:sz w:val="18"/>
                      <w:szCs w:val="18"/>
                      <w:lang w:val="sk-SK"/>
                    </w:rPr>
                  </w:pPr>
                  <w:r w:rsidRPr="008819AF">
                    <w:rPr>
                      <w:sz w:val="18"/>
                      <w:szCs w:val="18"/>
                      <w:lang w:val="sk-SK"/>
                    </w:rPr>
                    <w:t>Frakcionovanie s výnimkou odglejovania</w:t>
                  </w:r>
                </w:p>
              </w:tc>
              <w:tc>
                <w:tcPr>
                  <w:tcW w:w="1884" w:type="dxa"/>
                  <w:vAlign w:val="center"/>
                </w:tcPr>
                <w:p w14:paraId="1513492E"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2226" w:type="dxa"/>
                  <w:vAlign w:val="center"/>
                </w:tcPr>
                <w:p w14:paraId="1513492F"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1,5</w:t>
                  </w:r>
                </w:p>
              </w:tc>
            </w:tr>
            <w:tr w:rsidR="00587212" w:rsidRPr="008819AF" w14:paraId="15134935" w14:textId="77777777" w:rsidTr="00445A6C">
              <w:trPr>
                <w:trHeight w:val="340"/>
                <w:jc w:val="center"/>
              </w:trPr>
              <w:tc>
                <w:tcPr>
                  <w:tcW w:w="710" w:type="dxa"/>
                  <w:vMerge/>
                  <w:vAlign w:val="center"/>
                </w:tcPr>
                <w:p w14:paraId="15134931" w14:textId="77777777" w:rsidR="00587212" w:rsidRPr="008819AF" w:rsidRDefault="00587212" w:rsidP="00445A6C">
                  <w:pPr>
                    <w:rPr>
                      <w:b/>
                      <w:sz w:val="18"/>
                      <w:szCs w:val="18"/>
                    </w:rPr>
                  </w:pPr>
                </w:p>
              </w:tc>
              <w:tc>
                <w:tcPr>
                  <w:tcW w:w="4210" w:type="dxa"/>
                  <w:vAlign w:val="center"/>
                </w:tcPr>
                <w:p w14:paraId="15134932" w14:textId="77777777" w:rsidR="00587212" w:rsidRPr="008819AF" w:rsidRDefault="00587212" w:rsidP="00587212">
                  <w:pPr>
                    <w:pStyle w:val="Normln"/>
                    <w:keepNext/>
                    <w:rPr>
                      <w:sz w:val="18"/>
                      <w:szCs w:val="18"/>
                      <w:lang w:val="sk-SK"/>
                    </w:rPr>
                  </w:pPr>
                  <w:r w:rsidRPr="008819AF">
                    <w:rPr>
                      <w:sz w:val="18"/>
                      <w:szCs w:val="18"/>
                      <w:lang w:val="sk-SK"/>
                    </w:rPr>
                    <w:t>Odglejovanie (odstraňovanie živice z oleja)</w:t>
                  </w:r>
                </w:p>
              </w:tc>
              <w:tc>
                <w:tcPr>
                  <w:tcW w:w="1884" w:type="dxa"/>
                  <w:vAlign w:val="center"/>
                </w:tcPr>
                <w:p w14:paraId="15134933"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&gt; 5</w:t>
                  </w:r>
                </w:p>
              </w:tc>
              <w:tc>
                <w:tcPr>
                  <w:tcW w:w="2226" w:type="dxa"/>
                  <w:vAlign w:val="center"/>
                </w:tcPr>
                <w:p w14:paraId="15134934" w14:textId="77777777" w:rsidR="00587212" w:rsidRPr="008819AF" w:rsidRDefault="00587212" w:rsidP="00445A6C">
                  <w:pPr>
                    <w:pStyle w:val="Zkladntext2"/>
                    <w:jc w:val="center"/>
                    <w:rPr>
                      <w:rFonts w:ascii="Times New Roman" w:hAnsi="Times New Roman" w:cs="Times New Roman"/>
                      <w:sz w:val="18"/>
                      <w:szCs w:val="18"/>
                    </w:rPr>
                  </w:pPr>
                  <w:r w:rsidRPr="008819AF">
                    <w:rPr>
                      <w:rFonts w:ascii="Times New Roman" w:hAnsi="Times New Roman" w:cs="Times New Roman"/>
                      <w:sz w:val="18"/>
                      <w:szCs w:val="18"/>
                    </w:rPr>
                    <w:t>4</w:t>
                  </w:r>
                </w:p>
              </w:tc>
            </w:tr>
          </w:tbl>
          <w:p w14:paraId="15134936" w14:textId="77777777" w:rsidR="00587212" w:rsidRPr="008819AF" w:rsidRDefault="00587212" w:rsidP="00587212">
            <w:pPr>
              <w:spacing w:before="60"/>
              <w:ind w:left="284" w:hanging="284"/>
              <w:jc w:val="both"/>
            </w:pPr>
            <w:r w:rsidRPr="008819AF">
              <w:rPr>
                <w:vertAlign w:val="superscript"/>
              </w:rPr>
              <w:t>1</w:t>
            </w:r>
            <w:r w:rsidRPr="008819AF">
              <w:t>) Podiel hmotnosti celkových emisií organického rozpúšťadla a celkovej hmotnosti spracovanej  suroviny.</w:t>
            </w:r>
          </w:p>
          <w:p w14:paraId="15134937" w14:textId="77777777" w:rsidR="007170C3" w:rsidRPr="008819AF" w:rsidRDefault="00587212" w:rsidP="00B53793">
            <w:pPr>
              <w:pStyle w:val="Zkladntext2"/>
              <w:ind w:left="360" w:hanging="360"/>
              <w:rPr>
                <w:rFonts w:ascii="Times New Roman" w:hAnsi="Times New Roman" w:cs="Times New Roman"/>
              </w:rPr>
            </w:pPr>
            <w:r w:rsidRPr="008819AF">
              <w:rPr>
                <w:rFonts w:ascii="Times New Roman" w:hAnsi="Times New Roman" w:cs="Times New Roman"/>
                <w:sz w:val="20"/>
                <w:szCs w:val="20"/>
                <w:vertAlign w:val="superscript"/>
              </w:rPr>
              <w:t>2</w:t>
            </w:r>
            <w:r w:rsidRPr="008819AF">
              <w:rPr>
                <w:rFonts w:ascii="Times New Roman" w:hAnsi="Times New Roman" w:cs="Times New Roman"/>
                <w:sz w:val="20"/>
                <w:szCs w:val="20"/>
              </w:rPr>
              <w:t>) Emisný limit pre celkové emisie pre zariadenia spracúvajúce rôzne druhy semien a iných rastlinných častí určí správny orgán individuálne s ohľadom na požiadavky najlepších dostupných techník. Všeobecné emisné limity pre prchavé znečisťujúce zlúčeniny sa neuplatňujú.</w:t>
            </w:r>
          </w:p>
        </w:tc>
        <w:tc>
          <w:tcPr>
            <w:tcW w:w="709" w:type="dxa"/>
            <w:tcBorders>
              <w:top w:val="single" w:sz="4" w:space="0" w:color="000000"/>
              <w:left w:val="single" w:sz="6" w:space="0" w:color="000000"/>
              <w:bottom w:val="single" w:sz="4" w:space="0" w:color="000000"/>
              <w:right w:val="single" w:sz="6" w:space="0" w:color="000000"/>
            </w:tcBorders>
          </w:tcPr>
          <w:p w14:paraId="15134938"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939" w14:textId="77777777" w:rsidR="007170C3" w:rsidRPr="008819AF" w:rsidRDefault="007170C3">
            <w:pPr>
              <w:ind w:left="215" w:hanging="215"/>
              <w:rPr>
                <w:rFonts w:eastAsia="Arial"/>
              </w:rPr>
            </w:pPr>
          </w:p>
        </w:tc>
      </w:tr>
      <w:tr w:rsidR="007170C3" w:rsidRPr="008819AF" w14:paraId="15134971" w14:textId="77777777" w:rsidTr="00EC5B90">
        <w:tc>
          <w:tcPr>
            <w:tcW w:w="496" w:type="dxa"/>
            <w:tcBorders>
              <w:top w:val="single" w:sz="4" w:space="0" w:color="000000"/>
              <w:left w:val="single" w:sz="6" w:space="0" w:color="000000"/>
              <w:bottom w:val="single" w:sz="4" w:space="0" w:color="000000"/>
              <w:right w:val="single" w:sz="6" w:space="0" w:color="000000"/>
            </w:tcBorders>
          </w:tcPr>
          <w:p w14:paraId="1513493B"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20</w:t>
            </w:r>
          </w:p>
        </w:tc>
        <w:tc>
          <w:tcPr>
            <w:tcW w:w="5386" w:type="dxa"/>
            <w:tcBorders>
              <w:top w:val="single" w:sz="4" w:space="0" w:color="000000"/>
              <w:left w:val="single" w:sz="6" w:space="0" w:color="000000"/>
              <w:bottom w:val="single" w:sz="4" w:space="0" w:color="000000"/>
              <w:right w:val="single" w:sz="6" w:space="0" w:color="000000"/>
            </w:tcBorders>
          </w:tcPr>
          <w:p w14:paraId="1513493C"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Výroba farmaceutických výrobkov</w:t>
            </w:r>
          </w:p>
          <w:p w14:paraId="1513493D"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50)</w:t>
            </w:r>
          </w:p>
        </w:tc>
        <w:tc>
          <w:tcPr>
            <w:tcW w:w="881" w:type="dxa"/>
            <w:tcBorders>
              <w:top w:val="single" w:sz="4" w:space="0" w:color="000000"/>
              <w:left w:val="single" w:sz="6" w:space="0" w:color="000000"/>
              <w:bottom w:val="single" w:sz="4" w:space="0" w:color="000000"/>
              <w:right w:val="single" w:sz="6" w:space="0" w:color="000000"/>
            </w:tcBorders>
          </w:tcPr>
          <w:p w14:paraId="1513493E" w14:textId="77777777" w:rsidR="007170C3" w:rsidRPr="008819AF" w:rsidRDefault="00587212">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1513493F"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15134940" w14:textId="77777777" w:rsidR="00A00E34" w:rsidRPr="008819AF" w:rsidRDefault="00A00E34" w:rsidP="00A00E34">
            <w:r w:rsidRPr="008819AF">
              <w:t>Pr.6</w:t>
            </w:r>
          </w:p>
          <w:p w14:paraId="15134941" w14:textId="77777777" w:rsidR="007170C3" w:rsidRPr="008819AF" w:rsidRDefault="00A00E34" w:rsidP="00A00E34">
            <w:r w:rsidRPr="008819AF">
              <w:t>Časť IV</w:t>
            </w:r>
          </w:p>
        </w:tc>
        <w:tc>
          <w:tcPr>
            <w:tcW w:w="5954" w:type="dxa"/>
            <w:tcBorders>
              <w:top w:val="single" w:sz="4" w:space="0" w:color="000000"/>
              <w:left w:val="single" w:sz="6" w:space="0" w:color="000000"/>
              <w:bottom w:val="single" w:sz="4" w:space="0" w:color="000000"/>
              <w:right w:val="single" w:sz="6" w:space="0" w:color="000000"/>
            </w:tcBorders>
          </w:tcPr>
          <w:p w14:paraId="15134942" w14:textId="77777777" w:rsidR="00E90C08" w:rsidRPr="008819AF" w:rsidRDefault="00E90C08" w:rsidP="00E90C08">
            <w:pPr>
              <w:jc w:val="both"/>
              <w:rPr>
                <w:b/>
              </w:rPr>
            </w:pPr>
            <w:r w:rsidRPr="008819AF">
              <w:rPr>
                <w:b/>
              </w:rPr>
              <w:t>11.  VÝROBA FARMACEUTICKÝCH VÝROBKOV (XI)</w:t>
            </w:r>
          </w:p>
          <w:p w14:paraId="15134943" w14:textId="77777777" w:rsidR="00E90C08" w:rsidRPr="008819AF" w:rsidRDefault="00E90C08" w:rsidP="00E90C08">
            <w:pPr>
              <w:jc w:val="both"/>
            </w:pPr>
            <w:r w:rsidRPr="008819AF">
              <w:t>Chemická syntéza, fermentácia, extrakcia, príprava a konečná úprava farmaceutických výrobkov a výroba medziproduktov, ak sa vyrábajú na tom istom mieste.</w:t>
            </w:r>
          </w:p>
          <w:p w14:paraId="15134944" w14:textId="77777777" w:rsidR="00E90C08" w:rsidRPr="008819AF" w:rsidRDefault="00E90C08" w:rsidP="00E90C08">
            <w:pPr>
              <w:spacing w:after="120"/>
              <w:rPr>
                <w:b/>
              </w:rPr>
            </w:pPr>
            <w:r w:rsidRPr="008819AF">
              <w:rPr>
                <w:b/>
              </w:rPr>
              <w:t>11.1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356"/>
              <w:gridCol w:w="1272"/>
              <w:gridCol w:w="603"/>
              <w:gridCol w:w="481"/>
              <w:gridCol w:w="1061"/>
              <w:gridCol w:w="1061"/>
              <w:gridCol w:w="974"/>
            </w:tblGrid>
            <w:tr w:rsidR="00E90C08" w:rsidRPr="008819AF" w14:paraId="15134947" w14:textId="77777777" w:rsidTr="00E90C08">
              <w:trPr>
                <w:cantSplit/>
                <w:jc w:val="center"/>
              </w:trPr>
              <w:tc>
                <w:tcPr>
                  <w:tcW w:w="2712" w:type="dxa"/>
                  <w:gridSpan w:val="4"/>
                  <w:vAlign w:val="center"/>
                </w:tcPr>
                <w:p w14:paraId="15134945" w14:textId="77777777" w:rsidR="00E90C08" w:rsidRPr="008819AF" w:rsidRDefault="00E90C08" w:rsidP="00445A6C">
                  <w:pPr>
                    <w:pStyle w:val="Normln"/>
                    <w:keepNext/>
                    <w:rPr>
                      <w:b/>
                      <w:sz w:val="18"/>
                      <w:szCs w:val="18"/>
                      <w:lang w:val="sk-SK"/>
                    </w:rPr>
                  </w:pPr>
                  <w:r w:rsidRPr="008819AF">
                    <w:rPr>
                      <w:b/>
                      <w:sz w:val="18"/>
                      <w:szCs w:val="18"/>
                      <w:lang w:val="sk-SK"/>
                    </w:rPr>
                    <w:t>Podmienky platnosti EL</w:t>
                  </w:r>
                </w:p>
              </w:tc>
              <w:tc>
                <w:tcPr>
                  <w:tcW w:w="3096" w:type="dxa"/>
                  <w:gridSpan w:val="3"/>
                  <w:vAlign w:val="center"/>
                </w:tcPr>
                <w:p w14:paraId="15134946" w14:textId="77777777" w:rsidR="00E90C08" w:rsidRPr="008819AF" w:rsidRDefault="00E90C08" w:rsidP="00445A6C">
                  <w:pPr>
                    <w:pStyle w:val="Normln"/>
                    <w:keepNext/>
                    <w:rPr>
                      <w:sz w:val="18"/>
                      <w:szCs w:val="18"/>
                      <w:lang w:val="sk-SK"/>
                    </w:rPr>
                  </w:pPr>
                  <w:r w:rsidRPr="008819AF">
                    <w:rPr>
                      <w:sz w:val="18"/>
                      <w:szCs w:val="18"/>
                      <w:lang w:val="sk-SK"/>
                    </w:rPr>
                    <w:t xml:space="preserve">Štandardné stavové podmienky, vlhký plyn </w:t>
                  </w:r>
                </w:p>
              </w:tc>
            </w:tr>
            <w:tr w:rsidR="00E90C08" w:rsidRPr="008819AF" w14:paraId="1513494C" w14:textId="77777777" w:rsidTr="00E90C08">
              <w:trPr>
                <w:cantSplit/>
                <w:trHeight w:val="397"/>
                <w:jc w:val="center"/>
              </w:trPr>
              <w:tc>
                <w:tcPr>
                  <w:tcW w:w="1628" w:type="dxa"/>
                  <w:gridSpan w:val="2"/>
                  <w:vMerge w:val="restart"/>
                  <w:vAlign w:val="center"/>
                </w:tcPr>
                <w:p w14:paraId="15134948" w14:textId="77777777" w:rsidR="00E90C08" w:rsidRPr="008819AF" w:rsidRDefault="00E90C08" w:rsidP="00445A6C">
                  <w:pPr>
                    <w:keepNext/>
                    <w:jc w:val="both"/>
                    <w:rPr>
                      <w:b/>
                      <w:sz w:val="18"/>
                      <w:szCs w:val="18"/>
                    </w:rPr>
                  </w:pPr>
                  <w:r w:rsidRPr="008819AF">
                    <w:rPr>
                      <w:b/>
                      <w:sz w:val="18"/>
                      <w:szCs w:val="18"/>
                    </w:rPr>
                    <w:t>Činnosť</w:t>
                  </w:r>
                </w:p>
                <w:p w14:paraId="15134949" w14:textId="77777777" w:rsidR="00E90C08" w:rsidRPr="008819AF" w:rsidRDefault="00E90C08" w:rsidP="00445A6C">
                  <w:pPr>
                    <w:keepNext/>
                    <w:jc w:val="both"/>
                    <w:rPr>
                      <w:b/>
                      <w:sz w:val="18"/>
                      <w:szCs w:val="18"/>
                    </w:rPr>
                  </w:pPr>
                </w:p>
              </w:tc>
              <w:tc>
                <w:tcPr>
                  <w:tcW w:w="1084" w:type="dxa"/>
                  <w:gridSpan w:val="2"/>
                  <w:vMerge w:val="restart"/>
                  <w:vAlign w:val="center"/>
                </w:tcPr>
                <w:p w14:paraId="1513494A" w14:textId="77777777" w:rsidR="00E90C08" w:rsidRPr="008819AF" w:rsidRDefault="00E90C08" w:rsidP="00E90C08">
                  <w:pPr>
                    <w:keepNext/>
                    <w:ind w:right="-70"/>
                    <w:jc w:val="center"/>
                    <w:rPr>
                      <w:b/>
                      <w:sz w:val="18"/>
                      <w:szCs w:val="18"/>
                    </w:rPr>
                  </w:pPr>
                  <w:r w:rsidRPr="008819AF">
                    <w:rPr>
                      <w:b/>
                      <w:sz w:val="18"/>
                      <w:szCs w:val="18"/>
                    </w:rPr>
                    <w:t xml:space="preserve">Prahová spotreba rozpúšťadla </w:t>
                  </w:r>
                  <w:r w:rsidRPr="008819AF">
                    <w:rPr>
                      <w:b/>
                      <w:sz w:val="18"/>
                      <w:szCs w:val="18"/>
                    </w:rPr>
                    <w:sym w:font="Symbol" w:char="F05B"/>
                  </w:r>
                  <w:r w:rsidRPr="008819AF">
                    <w:rPr>
                      <w:b/>
                      <w:sz w:val="18"/>
                      <w:szCs w:val="18"/>
                    </w:rPr>
                    <w:t>t/rok</w:t>
                  </w:r>
                  <w:r w:rsidRPr="008819AF">
                    <w:rPr>
                      <w:b/>
                      <w:sz w:val="18"/>
                      <w:szCs w:val="18"/>
                    </w:rPr>
                    <w:sym w:font="Symbol" w:char="F05D"/>
                  </w:r>
                </w:p>
              </w:tc>
              <w:tc>
                <w:tcPr>
                  <w:tcW w:w="3096" w:type="dxa"/>
                  <w:gridSpan w:val="3"/>
                  <w:vAlign w:val="center"/>
                </w:tcPr>
                <w:p w14:paraId="1513494B" w14:textId="77777777" w:rsidR="00E90C08" w:rsidRPr="008819AF" w:rsidRDefault="00E90C08" w:rsidP="00445A6C">
                  <w:pPr>
                    <w:keepNext/>
                    <w:jc w:val="center"/>
                    <w:rPr>
                      <w:sz w:val="18"/>
                      <w:szCs w:val="18"/>
                    </w:rPr>
                  </w:pPr>
                  <w:r w:rsidRPr="008819AF">
                    <w:rPr>
                      <w:b/>
                      <w:sz w:val="18"/>
                      <w:szCs w:val="18"/>
                    </w:rPr>
                    <w:t>Emisný limit</w:t>
                  </w:r>
                </w:p>
              </w:tc>
            </w:tr>
            <w:tr w:rsidR="00E90C08" w:rsidRPr="008819AF" w14:paraId="15134953" w14:textId="77777777" w:rsidTr="00E90C08">
              <w:trPr>
                <w:cantSplit/>
                <w:trHeight w:val="671"/>
                <w:jc w:val="center"/>
              </w:trPr>
              <w:tc>
                <w:tcPr>
                  <w:tcW w:w="1628" w:type="dxa"/>
                  <w:gridSpan w:val="2"/>
                  <w:vMerge/>
                  <w:vAlign w:val="center"/>
                </w:tcPr>
                <w:p w14:paraId="1513494D" w14:textId="77777777" w:rsidR="00E90C08" w:rsidRPr="008819AF" w:rsidRDefault="00E90C08" w:rsidP="00445A6C">
                  <w:pPr>
                    <w:rPr>
                      <w:b/>
                      <w:sz w:val="18"/>
                      <w:szCs w:val="18"/>
                    </w:rPr>
                  </w:pPr>
                </w:p>
              </w:tc>
              <w:tc>
                <w:tcPr>
                  <w:tcW w:w="1084" w:type="dxa"/>
                  <w:gridSpan w:val="2"/>
                  <w:vMerge/>
                  <w:vAlign w:val="center"/>
                </w:tcPr>
                <w:p w14:paraId="1513494E" w14:textId="77777777" w:rsidR="00E90C08" w:rsidRPr="008819AF" w:rsidRDefault="00E90C08" w:rsidP="00445A6C">
                  <w:pPr>
                    <w:rPr>
                      <w:sz w:val="18"/>
                      <w:szCs w:val="18"/>
                    </w:rPr>
                  </w:pPr>
                </w:p>
              </w:tc>
              <w:tc>
                <w:tcPr>
                  <w:tcW w:w="1061" w:type="dxa"/>
                  <w:vAlign w:val="center"/>
                </w:tcPr>
                <w:p w14:paraId="1513494F" w14:textId="77777777" w:rsidR="00E90C08" w:rsidRPr="008819AF" w:rsidRDefault="00E90C08" w:rsidP="00E90C08">
                  <w:pPr>
                    <w:keepNext/>
                    <w:ind w:right="-70"/>
                    <w:jc w:val="center"/>
                    <w:rPr>
                      <w:b/>
                      <w:sz w:val="18"/>
                      <w:szCs w:val="18"/>
                    </w:rPr>
                  </w:pPr>
                  <w:r w:rsidRPr="008819AF">
                    <w:rPr>
                      <w:b/>
                      <w:sz w:val="18"/>
                      <w:szCs w:val="18"/>
                    </w:rPr>
                    <w:t xml:space="preserve">Odpadové plyny </w:t>
                  </w:r>
                </w:p>
              </w:tc>
              <w:tc>
                <w:tcPr>
                  <w:tcW w:w="1061" w:type="dxa"/>
                  <w:vAlign w:val="center"/>
                </w:tcPr>
                <w:p w14:paraId="15134950" w14:textId="77777777" w:rsidR="00E90C08" w:rsidRPr="008819AF" w:rsidRDefault="00E90C08" w:rsidP="00E90C08">
                  <w:pPr>
                    <w:keepNext/>
                    <w:ind w:right="-70"/>
                    <w:jc w:val="center"/>
                    <w:rPr>
                      <w:b/>
                      <w:sz w:val="18"/>
                      <w:szCs w:val="18"/>
                    </w:rPr>
                  </w:pPr>
                  <w:r w:rsidRPr="008819AF">
                    <w:rPr>
                      <w:b/>
                      <w:sz w:val="18"/>
                      <w:szCs w:val="18"/>
                    </w:rPr>
                    <w:t xml:space="preserve">Fugitívne </w:t>
                  </w:r>
                </w:p>
                <w:p w14:paraId="15134951" w14:textId="77777777" w:rsidR="00E90C08" w:rsidRPr="008819AF" w:rsidRDefault="00E90C08" w:rsidP="00E90C08">
                  <w:pPr>
                    <w:keepNext/>
                    <w:ind w:right="-70"/>
                    <w:jc w:val="center"/>
                    <w:rPr>
                      <w:b/>
                      <w:sz w:val="18"/>
                      <w:szCs w:val="18"/>
                    </w:rPr>
                  </w:pPr>
                  <w:r w:rsidRPr="008819AF">
                    <w:rPr>
                      <w:b/>
                      <w:sz w:val="18"/>
                      <w:szCs w:val="18"/>
                    </w:rPr>
                    <w:t>emisie</w:t>
                  </w:r>
                  <w:r w:rsidRPr="008819AF">
                    <w:rPr>
                      <w:b/>
                      <w:sz w:val="18"/>
                      <w:szCs w:val="18"/>
                      <w:vertAlign w:val="superscript"/>
                    </w:rPr>
                    <w:t>1</w:t>
                  </w:r>
                  <w:r w:rsidRPr="008819AF">
                    <w:rPr>
                      <w:b/>
                      <w:sz w:val="18"/>
                      <w:szCs w:val="18"/>
                    </w:rPr>
                    <w:t>)</w:t>
                  </w:r>
                </w:p>
              </w:tc>
              <w:tc>
                <w:tcPr>
                  <w:tcW w:w="974" w:type="dxa"/>
                  <w:vAlign w:val="center"/>
                </w:tcPr>
                <w:p w14:paraId="15134952" w14:textId="77777777" w:rsidR="00E90C08" w:rsidRPr="008819AF" w:rsidRDefault="00E90C08" w:rsidP="00445A6C">
                  <w:pPr>
                    <w:keepNext/>
                    <w:jc w:val="center"/>
                    <w:rPr>
                      <w:sz w:val="18"/>
                      <w:szCs w:val="18"/>
                    </w:rPr>
                  </w:pPr>
                  <w:r w:rsidRPr="008819AF">
                    <w:rPr>
                      <w:b/>
                      <w:sz w:val="18"/>
                      <w:szCs w:val="18"/>
                    </w:rPr>
                    <w:t>Celkové emisie</w:t>
                  </w:r>
                  <w:r w:rsidRPr="008819AF">
                    <w:rPr>
                      <w:b/>
                      <w:sz w:val="18"/>
                      <w:szCs w:val="18"/>
                      <w:vertAlign w:val="superscript"/>
                    </w:rPr>
                    <w:t>2</w:t>
                  </w:r>
                  <w:r w:rsidRPr="008819AF">
                    <w:rPr>
                      <w:b/>
                      <w:sz w:val="18"/>
                      <w:szCs w:val="18"/>
                    </w:rPr>
                    <w:t>)</w:t>
                  </w:r>
                </w:p>
              </w:tc>
            </w:tr>
            <w:tr w:rsidR="00E90C08" w:rsidRPr="008819AF" w14:paraId="1513495A" w14:textId="77777777" w:rsidTr="00E90C08">
              <w:trPr>
                <w:cantSplit/>
                <w:trHeight w:val="331"/>
                <w:jc w:val="center"/>
              </w:trPr>
              <w:tc>
                <w:tcPr>
                  <w:tcW w:w="1628" w:type="dxa"/>
                  <w:gridSpan w:val="2"/>
                  <w:vMerge/>
                  <w:vAlign w:val="center"/>
                </w:tcPr>
                <w:p w14:paraId="15134954" w14:textId="77777777" w:rsidR="00E90C08" w:rsidRPr="008819AF" w:rsidRDefault="00E90C08" w:rsidP="00445A6C">
                  <w:pPr>
                    <w:rPr>
                      <w:b/>
                      <w:sz w:val="18"/>
                      <w:szCs w:val="18"/>
                    </w:rPr>
                  </w:pPr>
                </w:p>
              </w:tc>
              <w:tc>
                <w:tcPr>
                  <w:tcW w:w="603" w:type="dxa"/>
                  <w:vAlign w:val="center"/>
                </w:tcPr>
                <w:p w14:paraId="15134955" w14:textId="77777777" w:rsidR="00E90C08" w:rsidRPr="008819AF" w:rsidRDefault="00E90C08" w:rsidP="00445A6C">
                  <w:pPr>
                    <w:jc w:val="center"/>
                    <w:rPr>
                      <w:b/>
                      <w:sz w:val="18"/>
                      <w:szCs w:val="18"/>
                    </w:rPr>
                  </w:pPr>
                  <w:r w:rsidRPr="008819AF">
                    <w:rPr>
                      <w:b/>
                      <w:sz w:val="18"/>
                      <w:szCs w:val="18"/>
                    </w:rPr>
                    <w:t>od</w:t>
                  </w:r>
                </w:p>
              </w:tc>
              <w:tc>
                <w:tcPr>
                  <w:tcW w:w="481" w:type="dxa"/>
                  <w:vAlign w:val="center"/>
                </w:tcPr>
                <w:p w14:paraId="15134956" w14:textId="77777777" w:rsidR="00E90C08" w:rsidRPr="008819AF" w:rsidRDefault="00E90C08" w:rsidP="00445A6C">
                  <w:pPr>
                    <w:jc w:val="center"/>
                    <w:rPr>
                      <w:b/>
                      <w:sz w:val="18"/>
                      <w:szCs w:val="18"/>
                    </w:rPr>
                  </w:pPr>
                  <w:r w:rsidRPr="008819AF">
                    <w:rPr>
                      <w:b/>
                      <w:sz w:val="18"/>
                      <w:szCs w:val="18"/>
                    </w:rPr>
                    <w:t>do</w:t>
                  </w:r>
                </w:p>
              </w:tc>
              <w:tc>
                <w:tcPr>
                  <w:tcW w:w="1061" w:type="dxa"/>
                  <w:vAlign w:val="center"/>
                </w:tcPr>
                <w:p w14:paraId="15134957" w14:textId="77777777" w:rsidR="00E90C08" w:rsidRPr="008819AF" w:rsidRDefault="00E90C08" w:rsidP="00E90C08">
                  <w:pPr>
                    <w:keepNext/>
                    <w:ind w:right="-70"/>
                    <w:jc w:val="center"/>
                    <w:rPr>
                      <w:b/>
                      <w:sz w:val="18"/>
                      <w:szCs w:val="18"/>
                    </w:rPr>
                  </w:pPr>
                  <w:r w:rsidRPr="008819AF">
                    <w:rPr>
                      <w:b/>
                      <w:sz w:val="18"/>
                      <w:szCs w:val="18"/>
                    </w:rPr>
                    <w:t xml:space="preserve">TOC  </w:t>
                  </w:r>
                  <w:r w:rsidRPr="008819AF">
                    <w:rPr>
                      <w:b/>
                      <w:sz w:val="18"/>
                      <w:szCs w:val="18"/>
                    </w:rPr>
                    <w:sym w:font="Symbol" w:char="F05B"/>
                  </w:r>
                  <w:r w:rsidRPr="008819AF">
                    <w:rPr>
                      <w:b/>
                      <w:sz w:val="18"/>
                      <w:szCs w:val="18"/>
                    </w:rPr>
                    <w:t>mg/m3</w:t>
                  </w:r>
                  <w:r w:rsidRPr="008819AF">
                    <w:rPr>
                      <w:b/>
                      <w:sz w:val="18"/>
                      <w:szCs w:val="18"/>
                    </w:rPr>
                    <w:sym w:font="Symbol" w:char="F05D"/>
                  </w:r>
                </w:p>
              </w:tc>
              <w:tc>
                <w:tcPr>
                  <w:tcW w:w="1061" w:type="dxa"/>
                  <w:vAlign w:val="center"/>
                </w:tcPr>
                <w:p w14:paraId="15134958" w14:textId="77777777" w:rsidR="00E90C08" w:rsidRPr="008819AF" w:rsidRDefault="00E90C08" w:rsidP="00445A6C">
                  <w:pPr>
                    <w:pStyle w:val="Zkladntext2"/>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w:t>
                  </w:r>
                  <w:r w:rsidRPr="008819AF">
                    <w:rPr>
                      <w:rFonts w:ascii="Times New Roman" w:hAnsi="Times New Roman" w:cs="Times New Roman"/>
                      <w:b/>
                      <w:sz w:val="18"/>
                      <w:szCs w:val="18"/>
                    </w:rPr>
                    <w:sym w:font="Symbol" w:char="F05D"/>
                  </w:r>
                </w:p>
              </w:tc>
              <w:tc>
                <w:tcPr>
                  <w:tcW w:w="974" w:type="dxa"/>
                  <w:vAlign w:val="center"/>
                </w:tcPr>
                <w:p w14:paraId="15134959" w14:textId="77777777" w:rsidR="00E90C08" w:rsidRPr="008819AF" w:rsidRDefault="00E90C08" w:rsidP="00445A6C">
                  <w:pPr>
                    <w:keepNext/>
                    <w:jc w:val="center"/>
                    <w:rPr>
                      <w:sz w:val="18"/>
                      <w:szCs w:val="18"/>
                    </w:rPr>
                  </w:pPr>
                  <w:r w:rsidRPr="008819AF">
                    <w:rPr>
                      <w:b/>
                      <w:sz w:val="18"/>
                      <w:szCs w:val="18"/>
                    </w:rPr>
                    <w:t xml:space="preserve">VOC  </w:t>
                  </w:r>
                  <w:r w:rsidRPr="008819AF">
                    <w:rPr>
                      <w:b/>
                      <w:sz w:val="18"/>
                      <w:szCs w:val="18"/>
                    </w:rPr>
                    <w:sym w:font="Symbol" w:char="F05B"/>
                  </w:r>
                  <w:r w:rsidRPr="008819AF">
                    <w:rPr>
                      <w:b/>
                      <w:sz w:val="18"/>
                      <w:szCs w:val="18"/>
                    </w:rPr>
                    <w:t>%</w:t>
                  </w:r>
                  <w:r w:rsidRPr="008819AF">
                    <w:rPr>
                      <w:b/>
                      <w:sz w:val="18"/>
                      <w:szCs w:val="18"/>
                    </w:rPr>
                    <w:sym w:font="Symbol" w:char="F05D"/>
                  </w:r>
                </w:p>
              </w:tc>
            </w:tr>
            <w:tr w:rsidR="00E90C08" w:rsidRPr="008819AF" w14:paraId="15134962" w14:textId="77777777" w:rsidTr="00E90C08">
              <w:trPr>
                <w:cantSplit/>
                <w:trHeight w:val="340"/>
                <w:jc w:val="center"/>
              </w:trPr>
              <w:tc>
                <w:tcPr>
                  <w:tcW w:w="356" w:type="dxa"/>
                  <w:vMerge w:val="restart"/>
                  <w:vAlign w:val="center"/>
                </w:tcPr>
                <w:p w14:paraId="1513495B" w14:textId="77777777" w:rsidR="00E90C08" w:rsidRPr="008819AF" w:rsidRDefault="00E90C08" w:rsidP="00445A6C">
                  <w:pPr>
                    <w:keepNext/>
                    <w:jc w:val="center"/>
                    <w:rPr>
                      <w:b/>
                      <w:sz w:val="18"/>
                      <w:szCs w:val="18"/>
                    </w:rPr>
                  </w:pPr>
                  <w:r w:rsidRPr="008819AF">
                    <w:rPr>
                      <w:b/>
                      <w:sz w:val="18"/>
                      <w:szCs w:val="18"/>
                    </w:rPr>
                    <w:t>XI</w:t>
                  </w:r>
                </w:p>
              </w:tc>
              <w:tc>
                <w:tcPr>
                  <w:tcW w:w="1272" w:type="dxa"/>
                  <w:vMerge w:val="restart"/>
                  <w:vAlign w:val="center"/>
                </w:tcPr>
                <w:p w14:paraId="1513495C" w14:textId="77777777" w:rsidR="00E90C08" w:rsidRPr="008819AF" w:rsidRDefault="00E90C08" w:rsidP="00445A6C">
                  <w:pPr>
                    <w:keepNext/>
                    <w:ind w:right="71"/>
                    <w:jc w:val="both"/>
                    <w:rPr>
                      <w:sz w:val="18"/>
                      <w:szCs w:val="18"/>
                    </w:rPr>
                  </w:pPr>
                  <w:r w:rsidRPr="008819AF">
                    <w:rPr>
                      <w:sz w:val="18"/>
                      <w:szCs w:val="18"/>
                    </w:rPr>
                    <w:t>Výroba farmaceutických zmesí</w:t>
                  </w:r>
                </w:p>
              </w:tc>
              <w:tc>
                <w:tcPr>
                  <w:tcW w:w="603" w:type="dxa"/>
                  <w:vAlign w:val="center"/>
                </w:tcPr>
                <w:p w14:paraId="1513495D" w14:textId="77777777" w:rsidR="00E90C08" w:rsidRPr="008819AF" w:rsidRDefault="00E90C08" w:rsidP="00445A6C">
                  <w:pPr>
                    <w:keepNext/>
                    <w:jc w:val="center"/>
                    <w:rPr>
                      <w:sz w:val="18"/>
                      <w:szCs w:val="18"/>
                    </w:rPr>
                  </w:pPr>
                  <w:r w:rsidRPr="008819AF">
                    <w:rPr>
                      <w:sz w:val="18"/>
                      <w:szCs w:val="18"/>
                    </w:rPr>
                    <w:t xml:space="preserve">&gt; 5  </w:t>
                  </w:r>
                </w:p>
              </w:tc>
              <w:tc>
                <w:tcPr>
                  <w:tcW w:w="481" w:type="dxa"/>
                  <w:vAlign w:val="center"/>
                </w:tcPr>
                <w:p w14:paraId="1513495E" w14:textId="77777777" w:rsidR="00E90C08" w:rsidRPr="008819AF" w:rsidRDefault="00E90C08" w:rsidP="00445A6C">
                  <w:pPr>
                    <w:keepNext/>
                    <w:tabs>
                      <w:tab w:val="left" w:pos="569"/>
                    </w:tabs>
                    <w:ind w:right="-70"/>
                    <w:jc w:val="center"/>
                    <w:rPr>
                      <w:sz w:val="18"/>
                      <w:szCs w:val="18"/>
                    </w:rPr>
                  </w:pPr>
                  <w:r w:rsidRPr="008819AF">
                    <w:rPr>
                      <w:sz w:val="18"/>
                      <w:szCs w:val="18"/>
                    </w:rPr>
                    <w:t>≤ 50</w:t>
                  </w:r>
                </w:p>
              </w:tc>
              <w:tc>
                <w:tcPr>
                  <w:tcW w:w="1061" w:type="dxa"/>
                  <w:vAlign w:val="center"/>
                </w:tcPr>
                <w:p w14:paraId="1513495F" w14:textId="77777777" w:rsidR="00E90C08" w:rsidRPr="008819AF" w:rsidRDefault="00E90C08" w:rsidP="00445A6C">
                  <w:pPr>
                    <w:keepNext/>
                    <w:jc w:val="center"/>
                    <w:rPr>
                      <w:sz w:val="18"/>
                      <w:szCs w:val="18"/>
                    </w:rPr>
                  </w:pPr>
                  <w:r w:rsidRPr="008819AF">
                    <w:rPr>
                      <w:sz w:val="18"/>
                      <w:szCs w:val="18"/>
                    </w:rPr>
                    <w:t>20, 150</w:t>
                  </w:r>
                  <w:r w:rsidRPr="008819AF">
                    <w:rPr>
                      <w:sz w:val="18"/>
                      <w:szCs w:val="18"/>
                      <w:vertAlign w:val="superscript"/>
                    </w:rPr>
                    <w:t>3</w:t>
                  </w:r>
                  <w:r w:rsidRPr="008819AF">
                    <w:rPr>
                      <w:sz w:val="18"/>
                      <w:szCs w:val="18"/>
                    </w:rPr>
                    <w:t>)</w:t>
                  </w:r>
                </w:p>
              </w:tc>
              <w:tc>
                <w:tcPr>
                  <w:tcW w:w="1061" w:type="dxa"/>
                  <w:vAlign w:val="center"/>
                </w:tcPr>
                <w:p w14:paraId="15134960" w14:textId="77777777" w:rsidR="00E90C08" w:rsidRPr="008819AF" w:rsidRDefault="00E90C08" w:rsidP="00445A6C">
                  <w:pPr>
                    <w:keepNext/>
                    <w:jc w:val="center"/>
                    <w:rPr>
                      <w:sz w:val="18"/>
                      <w:szCs w:val="18"/>
                    </w:rPr>
                  </w:pPr>
                  <w:r w:rsidRPr="008819AF">
                    <w:rPr>
                      <w:sz w:val="18"/>
                      <w:szCs w:val="18"/>
                    </w:rPr>
                    <w:t>5, 15</w:t>
                  </w:r>
                  <w:r w:rsidRPr="008819AF">
                    <w:rPr>
                      <w:sz w:val="18"/>
                      <w:szCs w:val="18"/>
                      <w:vertAlign w:val="superscript"/>
                    </w:rPr>
                    <w:t>4</w:t>
                  </w:r>
                  <w:r w:rsidRPr="008819AF">
                    <w:rPr>
                      <w:sz w:val="18"/>
                      <w:szCs w:val="18"/>
                    </w:rPr>
                    <w:t>)</w:t>
                  </w:r>
                </w:p>
              </w:tc>
              <w:tc>
                <w:tcPr>
                  <w:tcW w:w="974" w:type="dxa"/>
                  <w:vAlign w:val="center"/>
                </w:tcPr>
                <w:p w14:paraId="15134961" w14:textId="77777777" w:rsidR="00E90C08" w:rsidRPr="008819AF" w:rsidRDefault="00E90C08" w:rsidP="00445A6C">
                  <w:pPr>
                    <w:keepNext/>
                    <w:jc w:val="center"/>
                    <w:rPr>
                      <w:sz w:val="18"/>
                      <w:szCs w:val="18"/>
                    </w:rPr>
                  </w:pPr>
                  <w:r w:rsidRPr="008819AF">
                    <w:rPr>
                      <w:sz w:val="18"/>
                      <w:szCs w:val="18"/>
                    </w:rPr>
                    <w:t>5, 15</w:t>
                  </w:r>
                  <w:r w:rsidRPr="008819AF">
                    <w:rPr>
                      <w:sz w:val="18"/>
                      <w:szCs w:val="18"/>
                      <w:vertAlign w:val="superscript"/>
                    </w:rPr>
                    <w:t>4</w:t>
                  </w:r>
                  <w:r w:rsidRPr="008819AF">
                    <w:rPr>
                      <w:sz w:val="18"/>
                      <w:szCs w:val="18"/>
                    </w:rPr>
                    <w:t>)</w:t>
                  </w:r>
                </w:p>
              </w:tc>
            </w:tr>
            <w:tr w:rsidR="00E90C08" w:rsidRPr="008819AF" w14:paraId="1513496A" w14:textId="77777777" w:rsidTr="00E90C08">
              <w:trPr>
                <w:cantSplit/>
                <w:trHeight w:val="340"/>
                <w:jc w:val="center"/>
              </w:trPr>
              <w:tc>
                <w:tcPr>
                  <w:tcW w:w="356" w:type="dxa"/>
                  <w:vMerge/>
                  <w:vAlign w:val="center"/>
                </w:tcPr>
                <w:p w14:paraId="15134963" w14:textId="77777777" w:rsidR="00E90C08" w:rsidRPr="008819AF" w:rsidRDefault="00E90C08" w:rsidP="00445A6C">
                  <w:pPr>
                    <w:rPr>
                      <w:b/>
                      <w:sz w:val="18"/>
                      <w:szCs w:val="18"/>
                    </w:rPr>
                  </w:pPr>
                </w:p>
              </w:tc>
              <w:tc>
                <w:tcPr>
                  <w:tcW w:w="1272" w:type="dxa"/>
                  <w:vMerge/>
                  <w:vAlign w:val="center"/>
                </w:tcPr>
                <w:p w14:paraId="15134964" w14:textId="77777777" w:rsidR="00E90C08" w:rsidRPr="008819AF" w:rsidRDefault="00E90C08" w:rsidP="00445A6C">
                  <w:pPr>
                    <w:rPr>
                      <w:sz w:val="18"/>
                      <w:szCs w:val="18"/>
                    </w:rPr>
                  </w:pPr>
                </w:p>
              </w:tc>
              <w:tc>
                <w:tcPr>
                  <w:tcW w:w="603" w:type="dxa"/>
                  <w:vAlign w:val="center"/>
                </w:tcPr>
                <w:p w14:paraId="15134965" w14:textId="77777777" w:rsidR="00E90C08" w:rsidRPr="008819AF" w:rsidRDefault="00E90C08" w:rsidP="00445A6C">
                  <w:pPr>
                    <w:keepNext/>
                    <w:jc w:val="center"/>
                    <w:rPr>
                      <w:sz w:val="18"/>
                      <w:szCs w:val="18"/>
                    </w:rPr>
                  </w:pPr>
                  <w:r w:rsidRPr="008819AF">
                    <w:rPr>
                      <w:sz w:val="18"/>
                      <w:szCs w:val="18"/>
                    </w:rPr>
                    <w:t>&gt; 50</w:t>
                  </w:r>
                </w:p>
              </w:tc>
              <w:tc>
                <w:tcPr>
                  <w:tcW w:w="481" w:type="dxa"/>
                  <w:vAlign w:val="center"/>
                </w:tcPr>
                <w:p w14:paraId="15134966" w14:textId="77777777" w:rsidR="00E90C08" w:rsidRPr="008819AF" w:rsidRDefault="00E90C08" w:rsidP="00445A6C">
                  <w:pPr>
                    <w:keepNext/>
                    <w:jc w:val="center"/>
                    <w:rPr>
                      <w:sz w:val="18"/>
                      <w:szCs w:val="18"/>
                    </w:rPr>
                  </w:pPr>
                  <w:r w:rsidRPr="008819AF">
                    <w:rPr>
                      <w:sz w:val="18"/>
                      <w:szCs w:val="18"/>
                    </w:rPr>
                    <w:t>-</w:t>
                  </w:r>
                </w:p>
              </w:tc>
              <w:tc>
                <w:tcPr>
                  <w:tcW w:w="1061" w:type="dxa"/>
                  <w:vAlign w:val="center"/>
                </w:tcPr>
                <w:p w14:paraId="15134967" w14:textId="77777777" w:rsidR="00E90C08" w:rsidRPr="008819AF" w:rsidRDefault="00E90C08" w:rsidP="00445A6C">
                  <w:pPr>
                    <w:keepNext/>
                    <w:jc w:val="center"/>
                    <w:rPr>
                      <w:sz w:val="18"/>
                      <w:szCs w:val="18"/>
                    </w:rPr>
                  </w:pPr>
                  <w:r w:rsidRPr="008819AF">
                    <w:rPr>
                      <w:sz w:val="18"/>
                      <w:szCs w:val="18"/>
                    </w:rPr>
                    <w:t>20, 150</w:t>
                  </w:r>
                  <w:r w:rsidRPr="008819AF">
                    <w:rPr>
                      <w:sz w:val="18"/>
                      <w:szCs w:val="18"/>
                      <w:vertAlign w:val="superscript"/>
                    </w:rPr>
                    <w:t>3</w:t>
                  </w:r>
                  <w:r w:rsidRPr="008819AF">
                    <w:rPr>
                      <w:sz w:val="18"/>
                      <w:szCs w:val="18"/>
                    </w:rPr>
                    <w:t>)</w:t>
                  </w:r>
                </w:p>
              </w:tc>
              <w:tc>
                <w:tcPr>
                  <w:tcW w:w="1061" w:type="dxa"/>
                  <w:vAlign w:val="center"/>
                </w:tcPr>
                <w:p w14:paraId="15134968" w14:textId="77777777" w:rsidR="00E90C08" w:rsidRPr="008819AF" w:rsidRDefault="00E90C08" w:rsidP="00445A6C">
                  <w:pPr>
                    <w:keepNext/>
                    <w:jc w:val="center"/>
                    <w:rPr>
                      <w:sz w:val="18"/>
                      <w:szCs w:val="18"/>
                    </w:rPr>
                  </w:pPr>
                  <w:r w:rsidRPr="008819AF">
                    <w:rPr>
                      <w:sz w:val="18"/>
                      <w:szCs w:val="18"/>
                    </w:rPr>
                    <w:t>5, 15</w:t>
                  </w:r>
                  <w:r w:rsidRPr="008819AF">
                    <w:rPr>
                      <w:sz w:val="18"/>
                      <w:szCs w:val="18"/>
                      <w:vertAlign w:val="superscript"/>
                    </w:rPr>
                    <w:t>4</w:t>
                  </w:r>
                  <w:r w:rsidRPr="008819AF">
                    <w:rPr>
                      <w:sz w:val="18"/>
                      <w:szCs w:val="18"/>
                    </w:rPr>
                    <w:t>)</w:t>
                  </w:r>
                </w:p>
              </w:tc>
              <w:tc>
                <w:tcPr>
                  <w:tcW w:w="974" w:type="dxa"/>
                  <w:vAlign w:val="center"/>
                </w:tcPr>
                <w:p w14:paraId="15134969" w14:textId="77777777" w:rsidR="00E90C08" w:rsidRPr="008819AF" w:rsidRDefault="00E90C08" w:rsidP="00445A6C">
                  <w:pPr>
                    <w:keepNext/>
                    <w:jc w:val="center"/>
                    <w:rPr>
                      <w:sz w:val="18"/>
                      <w:szCs w:val="18"/>
                    </w:rPr>
                  </w:pPr>
                  <w:r w:rsidRPr="008819AF">
                    <w:rPr>
                      <w:sz w:val="18"/>
                      <w:szCs w:val="18"/>
                    </w:rPr>
                    <w:t>5, 15</w:t>
                  </w:r>
                  <w:r w:rsidRPr="008819AF">
                    <w:rPr>
                      <w:sz w:val="18"/>
                      <w:szCs w:val="18"/>
                      <w:vertAlign w:val="superscript"/>
                    </w:rPr>
                    <w:t>4</w:t>
                  </w:r>
                  <w:r w:rsidRPr="008819AF">
                    <w:rPr>
                      <w:sz w:val="18"/>
                      <w:szCs w:val="18"/>
                    </w:rPr>
                    <w:t>)</w:t>
                  </w:r>
                </w:p>
              </w:tc>
            </w:tr>
          </w:tbl>
          <w:p w14:paraId="1513496B" w14:textId="77777777" w:rsidR="00E90C08" w:rsidRPr="008819AF" w:rsidRDefault="00E90C08" w:rsidP="00E90C08">
            <w:pPr>
              <w:spacing w:before="60"/>
              <w:ind w:left="284" w:hanging="284"/>
              <w:jc w:val="both"/>
            </w:pPr>
            <w:r w:rsidRPr="008819AF">
              <w:rPr>
                <w:vertAlign w:val="superscript"/>
              </w:rPr>
              <w:t>1</w:t>
            </w:r>
            <w:r w:rsidRPr="008819AF">
              <w:t xml:space="preserve">) Emisný limit pre fugitívne emisie nezahŕňa množstvo organického rozpúšťadla predaného alebo expedovaného ako súčasť farmaceutických výrobkov v uzatvorených obaloch. </w:t>
            </w:r>
          </w:p>
          <w:p w14:paraId="1513496C" w14:textId="77777777" w:rsidR="00E90C08" w:rsidRPr="008819AF" w:rsidRDefault="00E90C08" w:rsidP="00E90C08">
            <w:pPr>
              <w:ind w:left="270" w:hanging="270"/>
              <w:jc w:val="both"/>
            </w:pPr>
            <w:r w:rsidRPr="008819AF">
              <w:rPr>
                <w:vertAlign w:val="superscript"/>
              </w:rPr>
              <w:t>2</w:t>
            </w:r>
            <w:r w:rsidRPr="008819AF">
              <w:t xml:space="preserve">) Podiel hmotnosti celkových emisií VOC a celkovej hmotnosti vstupu organického rozpúšťadla. </w:t>
            </w:r>
          </w:p>
          <w:p w14:paraId="1513496D" w14:textId="77777777" w:rsidR="00E90C08" w:rsidRPr="008819AF" w:rsidRDefault="00E90C08" w:rsidP="00E90C08">
            <w:pPr>
              <w:ind w:left="284" w:hanging="284"/>
              <w:jc w:val="both"/>
            </w:pPr>
            <w:r w:rsidRPr="008819AF">
              <w:rPr>
                <w:vertAlign w:val="superscript"/>
              </w:rPr>
              <w:t>3</w:t>
            </w:r>
            <w:r w:rsidRPr="008819AF">
              <w:t>) Platí pre zariadenia používajúce technológiu na opätovné využitie regenerovaných organických rozpúšťadiel.</w:t>
            </w:r>
          </w:p>
          <w:p w14:paraId="1513496E" w14:textId="77777777" w:rsidR="007170C3" w:rsidRPr="008819AF" w:rsidRDefault="00E90C08" w:rsidP="00E90C08">
            <w:pPr>
              <w:jc w:val="both"/>
              <w:rPr>
                <w:lang w:bidi="cs-CZ"/>
              </w:rPr>
            </w:pPr>
            <w:r w:rsidRPr="008819AF">
              <w:rPr>
                <w:vertAlign w:val="superscript"/>
              </w:rPr>
              <w:t>4</w:t>
            </w:r>
            <w:r w:rsidRPr="008819AF">
              <w:t>)  Platí pre jestvujúce zariadenia.</w:t>
            </w:r>
          </w:p>
        </w:tc>
        <w:tc>
          <w:tcPr>
            <w:tcW w:w="709" w:type="dxa"/>
            <w:tcBorders>
              <w:top w:val="single" w:sz="4" w:space="0" w:color="000000"/>
              <w:left w:val="single" w:sz="6" w:space="0" w:color="000000"/>
              <w:bottom w:val="single" w:sz="4" w:space="0" w:color="000000"/>
              <w:right w:val="single" w:sz="6" w:space="0" w:color="000000"/>
            </w:tcBorders>
          </w:tcPr>
          <w:p w14:paraId="1513496F"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970" w14:textId="77777777" w:rsidR="007170C3" w:rsidRPr="008819AF" w:rsidRDefault="007170C3">
            <w:pPr>
              <w:ind w:left="215" w:hanging="215"/>
              <w:rPr>
                <w:rFonts w:eastAsia="Arial"/>
              </w:rPr>
            </w:pPr>
          </w:p>
        </w:tc>
      </w:tr>
      <w:tr w:rsidR="00F80158" w:rsidRPr="008819AF" w14:paraId="15134A46" w14:textId="77777777" w:rsidTr="00EC5B90">
        <w:tc>
          <w:tcPr>
            <w:tcW w:w="496" w:type="dxa"/>
            <w:tcBorders>
              <w:top w:val="single" w:sz="4" w:space="0" w:color="000000"/>
              <w:left w:val="single" w:sz="6" w:space="0" w:color="000000"/>
              <w:bottom w:val="single" w:sz="6" w:space="0" w:color="000000"/>
              <w:right w:val="single" w:sz="6" w:space="0" w:color="000000"/>
            </w:tcBorders>
          </w:tcPr>
          <w:p w14:paraId="15134972"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973" w14:textId="77777777" w:rsidR="007170C3" w:rsidRPr="008819AF" w:rsidRDefault="006F0418">
            <w:pPr>
              <w:ind w:left="215" w:hanging="215"/>
              <w:rPr>
                <w:rFonts w:eastAsia="Arial"/>
                <w:lang w:bidi="cs-CZ"/>
              </w:rPr>
            </w:pPr>
            <w:r w:rsidRPr="008819AF">
              <w:rPr>
                <w:rFonts w:eastAsia="Arial"/>
                <w:lang w:bidi="cs-CZ"/>
              </w:rPr>
              <w:t>ČASŤ 3</w:t>
            </w:r>
          </w:p>
          <w:p w14:paraId="15134974" w14:textId="77777777" w:rsidR="007170C3" w:rsidRPr="008819AF" w:rsidRDefault="006F0418">
            <w:pPr>
              <w:rPr>
                <w:rFonts w:eastAsia="Arial"/>
                <w:i/>
                <w:iCs/>
                <w:lang w:bidi="cs-CZ"/>
              </w:rPr>
            </w:pPr>
            <w:r w:rsidRPr="008819AF">
              <w:rPr>
                <w:rFonts w:eastAsia="Arial"/>
                <w:i/>
                <w:iCs/>
                <w:lang w:bidi="cs-CZ"/>
              </w:rPr>
              <w:t>Emisné limity pre zariadenia v odvetví nastrekovania náterov na vozidlá</w:t>
            </w:r>
          </w:p>
          <w:p w14:paraId="15134975" w14:textId="77777777" w:rsidR="007170C3" w:rsidRPr="008819AF" w:rsidRDefault="006F0418">
            <w:pPr>
              <w:ind w:left="215" w:hanging="215"/>
              <w:rPr>
                <w:rFonts w:eastAsia="Arial"/>
                <w:lang w:bidi="cs-CZ"/>
              </w:rPr>
            </w:pPr>
            <w:r w:rsidRPr="008819AF">
              <w:rPr>
                <w:rFonts w:eastAsia="Arial"/>
                <w:lang w:bidi="cs-CZ"/>
              </w:rPr>
              <w:t>1. Celkové emisné limity sú vyjadrené v gramoch emitovaného organického rozpúšťadla vo vzťahu k ploche povrchu výrobku v metroch štvorcových a v kilogramoch emitovaného organického rozpúšťadla vo vzťahu ku karosérii vozidla.</w:t>
            </w:r>
          </w:p>
          <w:p w14:paraId="15134976" w14:textId="77777777" w:rsidR="007170C3" w:rsidRPr="008819AF" w:rsidRDefault="006F0418">
            <w:pPr>
              <w:ind w:left="215" w:hanging="215"/>
              <w:rPr>
                <w:rFonts w:eastAsia="Arial"/>
                <w:lang w:bidi="cs-CZ"/>
              </w:rPr>
            </w:pPr>
            <w:r w:rsidRPr="008819AF">
              <w:rPr>
                <w:rFonts w:eastAsia="Arial"/>
                <w:lang w:bidi="cs-CZ"/>
              </w:rPr>
              <w:t xml:space="preserve">2. Plocha povrchu ktoréhokoľvek výrobku z tabuľky v bode 3 je vymedzená ako plocha povrchu vypočítaná z celkovej elektroforeticky nastriekavanej plochy a plocha povrchu všetkých častí, ktoré by mohli byť pridané v ďalších fázach procesu nastriekavania, ktoré sú nastriekavané tým istým náterom ako príslušný výrobok, alebo celková plocha povrchu výrobku opatrená náterom v zariadení. </w:t>
            </w:r>
          </w:p>
          <w:p w14:paraId="15134977" w14:textId="77777777" w:rsidR="007170C3" w:rsidRPr="008819AF" w:rsidRDefault="006F0418">
            <w:pPr>
              <w:ind w:left="215" w:hanging="1"/>
              <w:rPr>
                <w:rFonts w:eastAsia="Arial"/>
                <w:lang w:bidi="cs-CZ"/>
              </w:rPr>
            </w:pPr>
            <w:r w:rsidRPr="008819AF">
              <w:rPr>
                <w:rFonts w:eastAsia="Arial"/>
                <w:lang w:bidi="cs-CZ"/>
              </w:rPr>
              <w:t xml:space="preserve">Povrch elektroforeticky nastriekavanej plochy sa vypočíta podľa tohto vzťahu: </w:t>
            </w:r>
          </w:p>
          <w:p w14:paraId="15134978" w14:textId="77777777" w:rsidR="007170C3" w:rsidRPr="008819AF" w:rsidRDefault="006F0418">
            <w:pPr>
              <w:ind w:left="215" w:hanging="215"/>
              <w:rPr>
                <w:rFonts w:eastAsia="Arial"/>
                <w:lang w:bidi="cs-CZ"/>
              </w:rPr>
            </w:pPr>
            <w:r w:rsidRPr="008819AF">
              <w:rPr>
                <w:rFonts w:eastAsia="Arial"/>
                <w:lang w:bidi="cs-CZ"/>
              </w:rPr>
              <w:t xml:space="preserve">    2 × celková hmotnosť karosérie opatrenej náterom </w:t>
            </w:r>
          </w:p>
          <w:p w14:paraId="15134979" w14:textId="77777777" w:rsidR="007170C3" w:rsidRPr="008819AF" w:rsidRDefault="006F0418">
            <w:pPr>
              <w:ind w:left="215" w:hanging="215"/>
              <w:rPr>
                <w:rFonts w:eastAsia="Arial"/>
                <w:lang w:bidi="cs-CZ"/>
              </w:rPr>
            </w:pPr>
            <w:r w:rsidRPr="008819AF">
              <w:rPr>
                <w:rFonts w:eastAsia="Arial"/>
                <w:lang w:bidi="cs-CZ"/>
              </w:rPr>
              <w:t xml:space="preserve">   --------------------------------------------------------------------</w:t>
            </w:r>
          </w:p>
          <w:p w14:paraId="1513497A" w14:textId="77777777" w:rsidR="007170C3" w:rsidRPr="008819AF" w:rsidRDefault="006F0418">
            <w:pPr>
              <w:ind w:left="215" w:hanging="215"/>
              <w:rPr>
                <w:rFonts w:eastAsia="Arial"/>
                <w:lang w:bidi="cs-CZ"/>
              </w:rPr>
            </w:pPr>
            <w:r w:rsidRPr="008819AF">
              <w:rPr>
                <w:rFonts w:eastAsia="Arial"/>
                <w:lang w:bidi="cs-CZ"/>
              </w:rPr>
              <w:t xml:space="preserve">   priemerná hrúbka kovového plášťa × hustota kovového plášťa</w:t>
            </w:r>
          </w:p>
          <w:p w14:paraId="1513497B" w14:textId="77777777" w:rsidR="007170C3" w:rsidRPr="008819AF" w:rsidRDefault="006F0418">
            <w:pPr>
              <w:ind w:left="215" w:hanging="1"/>
              <w:rPr>
                <w:rFonts w:eastAsia="Arial"/>
                <w:lang w:bidi="cs-CZ"/>
              </w:rPr>
            </w:pPr>
            <w:r w:rsidRPr="008819AF">
              <w:rPr>
                <w:rFonts w:eastAsia="Arial"/>
                <w:lang w:bidi="cs-CZ"/>
              </w:rPr>
              <w:t xml:space="preserve">Táto metóda sa taktiež použije na ostatné časti opatrené náterom, ktoré sú vyrobené z plechov. </w:t>
            </w:r>
          </w:p>
          <w:p w14:paraId="1513497C" w14:textId="77777777" w:rsidR="007170C3" w:rsidRPr="008819AF" w:rsidRDefault="006F0418">
            <w:pPr>
              <w:ind w:left="215" w:hanging="215"/>
              <w:rPr>
                <w:rFonts w:eastAsia="Arial"/>
                <w:lang w:bidi="cs-CZ"/>
              </w:rPr>
            </w:pPr>
            <w:r w:rsidRPr="008819AF">
              <w:rPr>
                <w:rFonts w:eastAsia="Arial"/>
                <w:lang w:bidi="cs-CZ"/>
              </w:rPr>
              <w:t>Plocha povrchu ostatných pridaných častí alebo celková plocha povrchu opatrená náterom v zariadení sa vypočíta podľa počítačového modelu alebo inou ekvivalentnou metódou.</w:t>
            </w:r>
          </w:p>
          <w:p w14:paraId="1513497D" w14:textId="77777777" w:rsidR="007170C3" w:rsidRPr="008819AF" w:rsidRDefault="006F0418">
            <w:pPr>
              <w:ind w:left="215" w:hanging="215"/>
              <w:rPr>
                <w:rFonts w:eastAsia="Arial"/>
                <w:lang w:bidi="cs-CZ"/>
              </w:rPr>
            </w:pPr>
            <w:r w:rsidRPr="008819AF">
              <w:rPr>
                <w:rFonts w:eastAsia="Arial"/>
                <w:lang w:bidi="cs-CZ"/>
              </w:rPr>
              <w:t xml:space="preserve">3. Celkové emisné limity v nižšie uvedenej tabuľke sa vzťahujú na všetky štádia procesu vykonávané v tom istom zariadení od elektroforetického nastriekavania náteru alebo akéhokoľvek iného druhu procesu nanášania náteru až po konečné </w:t>
            </w:r>
            <w:r w:rsidRPr="008819AF">
              <w:rPr>
                <w:rFonts w:eastAsia="Arial"/>
                <w:lang w:bidi="cs-CZ"/>
              </w:rPr>
              <w:lastRenderedPageBreak/>
              <w:t>voskovanie a leštenie vrátane vrchného náteru, ako aj rozpúšťadlo použité pri čistení technického vybavenia použitého v danom procese vrátane striekacích kabín a ostatného pevného vybavenia, a to ako počas, tak aj mimo času trvania výroby.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1219"/>
              <w:gridCol w:w="1319"/>
              <w:gridCol w:w="1255"/>
            </w:tblGrid>
            <w:tr w:rsidR="00F80158" w:rsidRPr="008819AF" w14:paraId="15134983" w14:textId="77777777" w:rsidTr="00C60C8C">
              <w:trPr>
                <w:trHeight w:val="346"/>
              </w:trPr>
              <w:tc>
                <w:tcPr>
                  <w:tcW w:w="1208" w:type="dxa"/>
                  <w:vMerge w:val="restart"/>
                  <w:tcBorders>
                    <w:top w:val="single" w:sz="4" w:space="0" w:color="000000"/>
                    <w:left w:val="single" w:sz="4" w:space="0" w:color="000000"/>
                    <w:bottom w:val="single" w:sz="4" w:space="0" w:color="000000"/>
                    <w:right w:val="single" w:sz="4" w:space="0" w:color="000000"/>
                  </w:tcBorders>
                </w:tcPr>
                <w:p w14:paraId="1513497E"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Činnosť</w:t>
                  </w:r>
                </w:p>
                <w:p w14:paraId="1513497F"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(prahová hodnota spotreby rozpúšťadiel v tonách/rok)</w:t>
                  </w:r>
                </w:p>
              </w:tc>
              <w:tc>
                <w:tcPr>
                  <w:tcW w:w="1021" w:type="dxa"/>
                  <w:vMerge w:val="restart"/>
                  <w:tcBorders>
                    <w:top w:val="single" w:sz="4" w:space="0" w:color="000000"/>
                    <w:left w:val="single" w:sz="4" w:space="0" w:color="000000"/>
                    <w:bottom w:val="single" w:sz="4" w:space="0" w:color="000000"/>
                    <w:right w:val="single" w:sz="4" w:space="0" w:color="000000"/>
                  </w:tcBorders>
                </w:tcPr>
                <w:p w14:paraId="15134980"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Prahová hodnota produkcie</w:t>
                  </w:r>
                </w:p>
                <w:p w14:paraId="15134981"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(týka sa ročnej produkcie natretých kusov)</w:t>
                  </w:r>
                </w:p>
              </w:tc>
              <w:tc>
                <w:tcPr>
                  <w:tcW w:w="2156" w:type="dxa"/>
                  <w:gridSpan w:val="2"/>
                  <w:tcBorders>
                    <w:top w:val="single" w:sz="4" w:space="0" w:color="000000"/>
                    <w:left w:val="single" w:sz="4" w:space="0" w:color="000000"/>
                    <w:bottom w:val="single" w:sz="4" w:space="0" w:color="000000"/>
                    <w:right w:val="single" w:sz="4" w:space="0" w:color="000000"/>
                  </w:tcBorders>
                </w:tcPr>
                <w:p w14:paraId="15134982"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Celková emisný limit</w:t>
                  </w:r>
                </w:p>
              </w:tc>
            </w:tr>
            <w:tr w:rsidR="00F80158" w:rsidRPr="008819AF" w14:paraId="15134988" w14:textId="77777777" w:rsidTr="00C60C8C">
              <w:trPr>
                <w:trHeight w:val="90"/>
              </w:trPr>
              <w:tc>
                <w:tcPr>
                  <w:tcW w:w="1208" w:type="dxa"/>
                  <w:vMerge/>
                  <w:tcBorders>
                    <w:top w:val="single" w:sz="4" w:space="0" w:color="000000"/>
                    <w:left w:val="single" w:sz="4" w:space="0" w:color="000000"/>
                    <w:bottom w:val="single" w:sz="4" w:space="0" w:color="000000"/>
                    <w:right w:val="single" w:sz="4" w:space="0" w:color="000000"/>
                  </w:tcBorders>
                </w:tcPr>
                <w:p w14:paraId="15134984" w14:textId="77777777" w:rsidR="007170C3" w:rsidRPr="008819AF" w:rsidRDefault="007170C3">
                  <w:pPr>
                    <w:pStyle w:val="Default"/>
                    <w:rPr>
                      <w:rFonts w:ascii="Times New Roman" w:eastAsia="Arial" w:hAnsi="Times New Roman" w:cs="Times New Roman"/>
                      <w:color w:val="auto"/>
                      <w:sz w:val="20"/>
                      <w:szCs w:val="20"/>
                    </w:rPr>
                  </w:pPr>
                </w:p>
              </w:tc>
              <w:tc>
                <w:tcPr>
                  <w:tcW w:w="1021" w:type="dxa"/>
                  <w:vMerge/>
                  <w:tcBorders>
                    <w:top w:val="single" w:sz="4" w:space="0" w:color="000000"/>
                    <w:left w:val="single" w:sz="4" w:space="0" w:color="000000"/>
                    <w:bottom w:val="single" w:sz="4" w:space="0" w:color="000000"/>
                    <w:right w:val="single" w:sz="4" w:space="0" w:color="000000"/>
                  </w:tcBorders>
                </w:tcPr>
                <w:p w14:paraId="15134985" w14:textId="77777777" w:rsidR="007170C3" w:rsidRPr="008819AF" w:rsidRDefault="007170C3">
                  <w:pPr>
                    <w:pStyle w:val="Default"/>
                    <w:rPr>
                      <w:rFonts w:ascii="Times New Roman" w:eastAsia="Arial" w:hAnsi="Times New Roman" w:cs="Times New Roman"/>
                      <w:color w:val="auto"/>
                      <w:sz w:val="20"/>
                      <w:szCs w:val="20"/>
                    </w:rPr>
                  </w:pPr>
                </w:p>
              </w:tc>
              <w:tc>
                <w:tcPr>
                  <w:tcW w:w="1105" w:type="dxa"/>
                  <w:tcBorders>
                    <w:top w:val="single" w:sz="4" w:space="0" w:color="000000"/>
                    <w:left w:val="single" w:sz="4" w:space="0" w:color="000000"/>
                    <w:bottom w:val="single" w:sz="4" w:space="0" w:color="000000"/>
                    <w:right w:val="single" w:sz="4" w:space="0" w:color="000000"/>
                  </w:tcBorders>
                </w:tcPr>
                <w:p w14:paraId="15134986" w14:textId="77777777" w:rsidR="007170C3" w:rsidRPr="008819AF" w:rsidRDefault="006F0418">
                  <w:pPr>
                    <w:pStyle w:val="Default"/>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Nové zariadenia</w:t>
                  </w:r>
                </w:p>
              </w:tc>
              <w:tc>
                <w:tcPr>
                  <w:tcW w:w="1051" w:type="dxa"/>
                  <w:tcBorders>
                    <w:top w:val="single" w:sz="4" w:space="0" w:color="000000"/>
                    <w:left w:val="single" w:sz="4" w:space="0" w:color="000000"/>
                    <w:bottom w:val="single" w:sz="4" w:space="0" w:color="000000"/>
                    <w:right w:val="single" w:sz="4" w:space="0" w:color="000000"/>
                  </w:tcBorders>
                </w:tcPr>
                <w:p w14:paraId="15134987" w14:textId="77777777" w:rsidR="007170C3" w:rsidRPr="008819AF" w:rsidRDefault="006F0418" w:rsidP="00EF4DC4">
                  <w:pPr>
                    <w:pStyle w:val="Default"/>
                    <w:ind w:left="-111" w:right="-52"/>
                    <w:jc w:val="center"/>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Existujúce zariadenia</w:t>
                  </w:r>
                </w:p>
              </w:tc>
            </w:tr>
            <w:tr w:rsidR="00F80158" w:rsidRPr="008819AF" w14:paraId="1513498E" w14:textId="77777777" w:rsidTr="00C60C8C">
              <w:trPr>
                <w:trHeight w:val="301"/>
              </w:trPr>
              <w:tc>
                <w:tcPr>
                  <w:tcW w:w="1208" w:type="dxa"/>
                  <w:vMerge w:val="restart"/>
                  <w:tcBorders>
                    <w:top w:val="single" w:sz="4" w:space="0" w:color="000000"/>
                    <w:left w:val="single" w:sz="4" w:space="0" w:color="000000"/>
                    <w:bottom w:val="single" w:sz="4" w:space="0" w:color="000000"/>
                    <w:right w:val="single" w:sz="4" w:space="0" w:color="000000"/>
                  </w:tcBorders>
                </w:tcPr>
                <w:p w14:paraId="15134989"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Nanášanie náteru na nové autá</w:t>
                  </w:r>
                </w:p>
                <w:p w14:paraId="1513498A"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15)</w:t>
                  </w:r>
                </w:p>
              </w:tc>
              <w:tc>
                <w:tcPr>
                  <w:tcW w:w="1021" w:type="dxa"/>
                  <w:tcBorders>
                    <w:top w:val="single" w:sz="4" w:space="0" w:color="000000"/>
                    <w:left w:val="single" w:sz="4" w:space="0" w:color="000000"/>
                    <w:bottom w:val="single" w:sz="4" w:space="0" w:color="000000"/>
                    <w:right w:val="single" w:sz="4" w:space="0" w:color="000000"/>
                  </w:tcBorders>
                </w:tcPr>
                <w:p w14:paraId="1513498B"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5 000</w:t>
                  </w:r>
                </w:p>
              </w:tc>
              <w:tc>
                <w:tcPr>
                  <w:tcW w:w="1105" w:type="dxa"/>
                  <w:tcBorders>
                    <w:top w:val="single" w:sz="4" w:space="0" w:color="000000"/>
                    <w:left w:val="single" w:sz="4" w:space="0" w:color="000000"/>
                    <w:bottom w:val="single" w:sz="4" w:space="0" w:color="000000"/>
                    <w:right w:val="single" w:sz="4" w:space="0" w:color="000000"/>
                  </w:tcBorders>
                </w:tcPr>
                <w:p w14:paraId="1513498C"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45 g/m2 alebo 1,3 kg/na karosériu + 33 g/m2</w:t>
                  </w:r>
                </w:p>
              </w:tc>
              <w:tc>
                <w:tcPr>
                  <w:tcW w:w="1051" w:type="dxa"/>
                  <w:tcBorders>
                    <w:top w:val="single" w:sz="4" w:space="0" w:color="000000"/>
                    <w:left w:val="single" w:sz="4" w:space="0" w:color="000000"/>
                    <w:bottom w:val="single" w:sz="4" w:space="0" w:color="000000"/>
                    <w:right w:val="single" w:sz="4" w:space="0" w:color="000000"/>
                  </w:tcBorders>
                </w:tcPr>
                <w:p w14:paraId="1513498D"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60 g/m2 alebo 1,9 kg/na karosériu + 41 g/m2</w:t>
                  </w:r>
                </w:p>
              </w:tc>
            </w:tr>
            <w:tr w:rsidR="00F80158" w:rsidRPr="008819AF" w14:paraId="15134993" w14:textId="77777777" w:rsidTr="00C60C8C">
              <w:trPr>
                <w:trHeight w:val="493"/>
              </w:trPr>
              <w:tc>
                <w:tcPr>
                  <w:tcW w:w="1208" w:type="dxa"/>
                  <w:vMerge/>
                  <w:tcBorders>
                    <w:top w:val="single" w:sz="4" w:space="0" w:color="000000"/>
                    <w:left w:val="single" w:sz="4" w:space="0" w:color="000000"/>
                    <w:bottom w:val="single" w:sz="4" w:space="0" w:color="000000"/>
                    <w:right w:val="single" w:sz="4" w:space="0" w:color="000000"/>
                  </w:tcBorders>
                </w:tcPr>
                <w:p w14:paraId="1513498F" w14:textId="77777777" w:rsidR="007170C3" w:rsidRPr="008819AF"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15134990"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5 000 samotných karosérii alebo &gt; 3 500 karosérií s namontovaným podvozkom</w:t>
                  </w:r>
                </w:p>
              </w:tc>
              <w:tc>
                <w:tcPr>
                  <w:tcW w:w="1105" w:type="dxa"/>
                  <w:tcBorders>
                    <w:top w:val="single" w:sz="4" w:space="0" w:color="000000"/>
                    <w:left w:val="single" w:sz="4" w:space="0" w:color="000000"/>
                    <w:bottom w:val="single" w:sz="4" w:space="0" w:color="000000"/>
                    <w:right w:val="single" w:sz="4" w:space="0" w:color="000000"/>
                  </w:tcBorders>
                </w:tcPr>
                <w:p w14:paraId="15134991"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90 g/m2 alebo 1,5 kg/na karosériu + 70 g/m2</w:t>
                  </w:r>
                </w:p>
              </w:tc>
              <w:tc>
                <w:tcPr>
                  <w:tcW w:w="1051" w:type="dxa"/>
                  <w:tcBorders>
                    <w:top w:val="single" w:sz="4" w:space="0" w:color="000000"/>
                    <w:left w:val="single" w:sz="4" w:space="0" w:color="000000"/>
                    <w:bottom w:val="single" w:sz="4" w:space="0" w:color="000000"/>
                    <w:right w:val="single" w:sz="4" w:space="0" w:color="000000"/>
                  </w:tcBorders>
                </w:tcPr>
                <w:p w14:paraId="15134992"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90 g/m2 alebo 1,5 kg/na karosériu + 70 g/m2</w:t>
                  </w:r>
                </w:p>
              </w:tc>
            </w:tr>
            <w:tr w:rsidR="00F80158" w:rsidRPr="008819AF" w14:paraId="15134997" w14:textId="77777777" w:rsidTr="00C60C8C">
              <w:trPr>
                <w:trHeight w:val="109"/>
              </w:trPr>
              <w:tc>
                <w:tcPr>
                  <w:tcW w:w="1208" w:type="dxa"/>
                  <w:tcBorders>
                    <w:top w:val="single" w:sz="4" w:space="0" w:color="000000"/>
                    <w:left w:val="single" w:sz="4" w:space="0" w:color="000000"/>
                    <w:bottom w:val="single" w:sz="4" w:space="0" w:color="000000"/>
                    <w:right w:val="single" w:sz="4" w:space="0" w:color="000000"/>
                  </w:tcBorders>
                </w:tcPr>
                <w:p w14:paraId="15134994" w14:textId="77777777" w:rsidR="007170C3" w:rsidRPr="008819AF"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15134995" w14:textId="77777777" w:rsidR="007170C3" w:rsidRPr="008819AF" w:rsidRDefault="007170C3">
                  <w:pPr>
                    <w:pStyle w:val="Default"/>
                    <w:rPr>
                      <w:rFonts w:ascii="Times New Roman" w:eastAsia="Arial" w:hAnsi="Times New Roman" w:cs="Times New Roman"/>
                      <w:color w:val="auto"/>
                      <w:sz w:val="20"/>
                      <w:szCs w:val="20"/>
                    </w:rPr>
                  </w:pPr>
                </w:p>
              </w:tc>
              <w:tc>
                <w:tcPr>
                  <w:tcW w:w="2156" w:type="dxa"/>
                  <w:gridSpan w:val="2"/>
                  <w:tcBorders>
                    <w:top w:val="single" w:sz="4" w:space="0" w:color="000000"/>
                    <w:left w:val="single" w:sz="4" w:space="0" w:color="000000"/>
                    <w:bottom w:val="single" w:sz="4" w:space="0" w:color="000000"/>
                    <w:right w:val="single" w:sz="4" w:space="0" w:color="000000"/>
                  </w:tcBorders>
                </w:tcPr>
                <w:p w14:paraId="15134996"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Celková emisný limit (g/m2)</w:t>
                  </w:r>
                </w:p>
              </w:tc>
            </w:tr>
            <w:tr w:rsidR="00F80158" w:rsidRPr="008819AF" w14:paraId="1513499C" w14:textId="77777777" w:rsidTr="00C60C8C">
              <w:trPr>
                <w:trHeight w:val="455"/>
              </w:trPr>
              <w:tc>
                <w:tcPr>
                  <w:tcW w:w="1208" w:type="dxa"/>
                  <w:vMerge w:val="restart"/>
                  <w:tcBorders>
                    <w:top w:val="single" w:sz="4" w:space="0" w:color="000000"/>
                    <w:left w:val="single" w:sz="4" w:space="0" w:color="000000"/>
                    <w:bottom w:val="single" w:sz="4" w:space="0" w:color="000000"/>
                    <w:right w:val="single" w:sz="4" w:space="0" w:color="000000"/>
                  </w:tcBorders>
                </w:tcPr>
                <w:p w14:paraId="15134998"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Nanášanie náteru na kabíny nových nákladných automobilov  (&gt; 15)</w:t>
                  </w:r>
                </w:p>
              </w:tc>
              <w:tc>
                <w:tcPr>
                  <w:tcW w:w="1021" w:type="dxa"/>
                  <w:tcBorders>
                    <w:top w:val="single" w:sz="4" w:space="0" w:color="000000"/>
                    <w:left w:val="single" w:sz="4" w:space="0" w:color="000000"/>
                    <w:bottom w:val="single" w:sz="4" w:space="0" w:color="000000"/>
                    <w:right w:val="single" w:sz="4" w:space="0" w:color="000000"/>
                  </w:tcBorders>
                </w:tcPr>
                <w:p w14:paraId="15134999"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5 000</w:t>
                  </w:r>
                </w:p>
              </w:tc>
              <w:tc>
                <w:tcPr>
                  <w:tcW w:w="1105" w:type="dxa"/>
                  <w:tcBorders>
                    <w:top w:val="single" w:sz="4" w:space="0" w:color="000000"/>
                    <w:left w:val="single" w:sz="4" w:space="0" w:color="000000"/>
                    <w:bottom w:val="single" w:sz="4" w:space="0" w:color="000000"/>
                    <w:right w:val="single" w:sz="4" w:space="0" w:color="000000"/>
                  </w:tcBorders>
                </w:tcPr>
                <w:p w14:paraId="1513499A"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65</w:t>
                  </w:r>
                </w:p>
              </w:tc>
              <w:tc>
                <w:tcPr>
                  <w:tcW w:w="1051" w:type="dxa"/>
                  <w:tcBorders>
                    <w:top w:val="single" w:sz="4" w:space="0" w:color="000000"/>
                    <w:left w:val="single" w:sz="4" w:space="0" w:color="000000"/>
                    <w:bottom w:val="single" w:sz="4" w:space="0" w:color="000000"/>
                    <w:right w:val="single" w:sz="4" w:space="0" w:color="000000"/>
                  </w:tcBorders>
                </w:tcPr>
                <w:p w14:paraId="1513499B"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85</w:t>
                  </w:r>
                </w:p>
              </w:tc>
            </w:tr>
            <w:tr w:rsidR="00F80158" w:rsidRPr="008819AF" w14:paraId="151349A1" w14:textId="77777777" w:rsidTr="00C60C8C">
              <w:trPr>
                <w:trHeight w:val="455"/>
              </w:trPr>
              <w:tc>
                <w:tcPr>
                  <w:tcW w:w="1208" w:type="dxa"/>
                  <w:vMerge/>
                  <w:tcBorders>
                    <w:top w:val="single" w:sz="4" w:space="0" w:color="000000"/>
                    <w:left w:val="single" w:sz="4" w:space="0" w:color="000000"/>
                    <w:bottom w:val="single" w:sz="4" w:space="0" w:color="000000"/>
                    <w:right w:val="single" w:sz="4" w:space="0" w:color="000000"/>
                  </w:tcBorders>
                </w:tcPr>
                <w:p w14:paraId="1513499D" w14:textId="77777777" w:rsidR="007170C3" w:rsidRPr="008819AF"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1513499E"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5 000</w:t>
                  </w:r>
                </w:p>
              </w:tc>
              <w:tc>
                <w:tcPr>
                  <w:tcW w:w="1105" w:type="dxa"/>
                  <w:tcBorders>
                    <w:top w:val="single" w:sz="4" w:space="0" w:color="000000"/>
                    <w:left w:val="single" w:sz="4" w:space="0" w:color="000000"/>
                    <w:bottom w:val="single" w:sz="4" w:space="0" w:color="000000"/>
                    <w:right w:val="single" w:sz="4" w:space="0" w:color="000000"/>
                  </w:tcBorders>
                </w:tcPr>
                <w:p w14:paraId="1513499F"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55</w:t>
                  </w:r>
                </w:p>
              </w:tc>
              <w:tc>
                <w:tcPr>
                  <w:tcW w:w="1051" w:type="dxa"/>
                  <w:tcBorders>
                    <w:top w:val="single" w:sz="4" w:space="0" w:color="000000"/>
                    <w:left w:val="single" w:sz="4" w:space="0" w:color="000000"/>
                    <w:bottom w:val="single" w:sz="4" w:space="0" w:color="000000"/>
                    <w:right w:val="single" w:sz="4" w:space="0" w:color="000000"/>
                  </w:tcBorders>
                </w:tcPr>
                <w:p w14:paraId="151349A0"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75</w:t>
                  </w:r>
                </w:p>
              </w:tc>
            </w:tr>
            <w:tr w:rsidR="00F80158" w:rsidRPr="008819AF" w14:paraId="151349A6" w14:textId="77777777" w:rsidTr="00C60C8C">
              <w:trPr>
                <w:trHeight w:val="455"/>
              </w:trPr>
              <w:tc>
                <w:tcPr>
                  <w:tcW w:w="1208" w:type="dxa"/>
                  <w:vMerge w:val="restart"/>
                  <w:tcBorders>
                    <w:top w:val="single" w:sz="4" w:space="0" w:color="000000"/>
                    <w:left w:val="single" w:sz="4" w:space="0" w:color="000000"/>
                    <w:bottom w:val="single" w:sz="4" w:space="0" w:color="000000"/>
                    <w:right w:val="single" w:sz="4" w:space="0" w:color="000000"/>
                  </w:tcBorders>
                </w:tcPr>
                <w:p w14:paraId="151349A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Nanášanie náteru na nové dodávkové a nákladné automobily (&gt; 15)</w:t>
                  </w:r>
                </w:p>
              </w:tc>
              <w:tc>
                <w:tcPr>
                  <w:tcW w:w="1021" w:type="dxa"/>
                  <w:tcBorders>
                    <w:top w:val="single" w:sz="4" w:space="0" w:color="000000"/>
                    <w:left w:val="single" w:sz="4" w:space="0" w:color="000000"/>
                    <w:bottom w:val="single" w:sz="4" w:space="0" w:color="000000"/>
                    <w:right w:val="single" w:sz="4" w:space="0" w:color="000000"/>
                  </w:tcBorders>
                </w:tcPr>
                <w:p w14:paraId="151349A3"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2 500</w:t>
                  </w:r>
                </w:p>
              </w:tc>
              <w:tc>
                <w:tcPr>
                  <w:tcW w:w="1105" w:type="dxa"/>
                  <w:tcBorders>
                    <w:top w:val="single" w:sz="4" w:space="0" w:color="000000"/>
                    <w:left w:val="single" w:sz="4" w:space="0" w:color="000000"/>
                    <w:bottom w:val="single" w:sz="4" w:space="0" w:color="000000"/>
                    <w:right w:val="single" w:sz="4" w:space="0" w:color="000000"/>
                  </w:tcBorders>
                </w:tcPr>
                <w:p w14:paraId="151349A4"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90</w:t>
                  </w:r>
                </w:p>
              </w:tc>
              <w:tc>
                <w:tcPr>
                  <w:tcW w:w="1051" w:type="dxa"/>
                  <w:tcBorders>
                    <w:top w:val="single" w:sz="4" w:space="0" w:color="000000"/>
                    <w:left w:val="single" w:sz="4" w:space="0" w:color="000000"/>
                    <w:bottom w:val="single" w:sz="4" w:space="0" w:color="000000"/>
                    <w:right w:val="single" w:sz="4" w:space="0" w:color="000000"/>
                  </w:tcBorders>
                </w:tcPr>
                <w:p w14:paraId="151349A5"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120</w:t>
                  </w:r>
                </w:p>
              </w:tc>
            </w:tr>
            <w:tr w:rsidR="00F80158" w:rsidRPr="008819AF" w14:paraId="151349AB" w14:textId="77777777" w:rsidTr="00C60C8C">
              <w:trPr>
                <w:trHeight w:val="455"/>
              </w:trPr>
              <w:tc>
                <w:tcPr>
                  <w:tcW w:w="1208" w:type="dxa"/>
                  <w:vMerge/>
                  <w:tcBorders>
                    <w:top w:val="single" w:sz="4" w:space="0" w:color="000000"/>
                    <w:left w:val="single" w:sz="4" w:space="0" w:color="000000"/>
                    <w:bottom w:val="single" w:sz="4" w:space="0" w:color="000000"/>
                    <w:right w:val="single" w:sz="4" w:space="0" w:color="000000"/>
                  </w:tcBorders>
                </w:tcPr>
                <w:p w14:paraId="151349A7" w14:textId="77777777" w:rsidR="007170C3" w:rsidRPr="008819AF"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151349A8"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2 500</w:t>
                  </w:r>
                </w:p>
              </w:tc>
              <w:tc>
                <w:tcPr>
                  <w:tcW w:w="1105" w:type="dxa"/>
                  <w:tcBorders>
                    <w:top w:val="single" w:sz="4" w:space="0" w:color="000000"/>
                    <w:left w:val="single" w:sz="4" w:space="0" w:color="000000"/>
                    <w:bottom w:val="single" w:sz="4" w:space="0" w:color="000000"/>
                    <w:right w:val="single" w:sz="4" w:space="0" w:color="000000"/>
                  </w:tcBorders>
                </w:tcPr>
                <w:p w14:paraId="151349A9"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70</w:t>
                  </w:r>
                </w:p>
              </w:tc>
              <w:tc>
                <w:tcPr>
                  <w:tcW w:w="1051" w:type="dxa"/>
                  <w:tcBorders>
                    <w:top w:val="single" w:sz="4" w:space="0" w:color="000000"/>
                    <w:left w:val="single" w:sz="4" w:space="0" w:color="000000"/>
                    <w:bottom w:val="single" w:sz="4" w:space="0" w:color="000000"/>
                    <w:right w:val="single" w:sz="4" w:space="0" w:color="000000"/>
                  </w:tcBorders>
                </w:tcPr>
                <w:p w14:paraId="151349AA"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90</w:t>
                  </w:r>
                </w:p>
              </w:tc>
            </w:tr>
            <w:tr w:rsidR="00F80158" w:rsidRPr="008819AF" w14:paraId="151349B0" w14:textId="77777777" w:rsidTr="00C60C8C">
              <w:trPr>
                <w:trHeight w:val="271"/>
              </w:trPr>
              <w:tc>
                <w:tcPr>
                  <w:tcW w:w="1208" w:type="dxa"/>
                  <w:vMerge w:val="restart"/>
                  <w:tcBorders>
                    <w:top w:val="single" w:sz="4" w:space="0" w:color="000000"/>
                    <w:left w:val="single" w:sz="4" w:space="0" w:color="000000"/>
                    <w:bottom w:val="single" w:sz="4" w:space="0" w:color="000000"/>
                    <w:right w:val="single" w:sz="4" w:space="0" w:color="000000"/>
                  </w:tcBorders>
                </w:tcPr>
                <w:p w14:paraId="151349AC"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Nanášanie </w:t>
                  </w:r>
                  <w:r w:rsidRPr="008819AF">
                    <w:rPr>
                      <w:rFonts w:ascii="Times New Roman" w:eastAsia="Arial" w:hAnsi="Times New Roman" w:cs="Times New Roman"/>
                      <w:color w:val="auto"/>
                      <w:sz w:val="20"/>
                      <w:szCs w:val="20"/>
                    </w:rPr>
                    <w:lastRenderedPageBreak/>
                    <w:t>náteru na nové autobusy (&gt; 15)</w:t>
                  </w:r>
                </w:p>
              </w:tc>
              <w:tc>
                <w:tcPr>
                  <w:tcW w:w="1021" w:type="dxa"/>
                  <w:tcBorders>
                    <w:top w:val="single" w:sz="4" w:space="0" w:color="000000"/>
                    <w:left w:val="single" w:sz="4" w:space="0" w:color="000000"/>
                    <w:bottom w:val="single" w:sz="4" w:space="0" w:color="000000"/>
                    <w:right w:val="single" w:sz="4" w:space="0" w:color="000000"/>
                  </w:tcBorders>
                </w:tcPr>
                <w:p w14:paraId="151349AD"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 2 000</w:t>
                  </w:r>
                </w:p>
              </w:tc>
              <w:tc>
                <w:tcPr>
                  <w:tcW w:w="1105" w:type="dxa"/>
                  <w:tcBorders>
                    <w:top w:val="single" w:sz="4" w:space="0" w:color="000000"/>
                    <w:left w:val="single" w:sz="4" w:space="0" w:color="000000"/>
                    <w:bottom w:val="single" w:sz="4" w:space="0" w:color="000000"/>
                    <w:right w:val="single" w:sz="4" w:space="0" w:color="000000"/>
                  </w:tcBorders>
                </w:tcPr>
                <w:p w14:paraId="151349AE"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210</w:t>
                  </w:r>
                </w:p>
              </w:tc>
              <w:tc>
                <w:tcPr>
                  <w:tcW w:w="1051" w:type="dxa"/>
                  <w:tcBorders>
                    <w:top w:val="single" w:sz="4" w:space="0" w:color="000000"/>
                    <w:left w:val="single" w:sz="4" w:space="0" w:color="000000"/>
                    <w:bottom w:val="single" w:sz="4" w:space="0" w:color="000000"/>
                    <w:right w:val="single" w:sz="4" w:space="0" w:color="000000"/>
                  </w:tcBorders>
                </w:tcPr>
                <w:p w14:paraId="151349AF"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290</w:t>
                  </w:r>
                </w:p>
              </w:tc>
            </w:tr>
            <w:tr w:rsidR="00F80158" w:rsidRPr="008819AF" w14:paraId="151349B5" w14:textId="77777777" w:rsidTr="00C60C8C">
              <w:trPr>
                <w:trHeight w:val="271"/>
              </w:trPr>
              <w:tc>
                <w:tcPr>
                  <w:tcW w:w="1208" w:type="dxa"/>
                  <w:vMerge/>
                  <w:tcBorders>
                    <w:top w:val="single" w:sz="4" w:space="0" w:color="000000"/>
                    <w:left w:val="single" w:sz="4" w:space="0" w:color="000000"/>
                    <w:bottom w:val="single" w:sz="4" w:space="0" w:color="000000"/>
                    <w:right w:val="single" w:sz="4" w:space="0" w:color="000000"/>
                  </w:tcBorders>
                </w:tcPr>
                <w:p w14:paraId="151349B1" w14:textId="77777777" w:rsidR="007170C3" w:rsidRPr="008819AF"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151349B2"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&gt; 2 000</w:t>
                  </w:r>
                </w:p>
              </w:tc>
              <w:tc>
                <w:tcPr>
                  <w:tcW w:w="1105" w:type="dxa"/>
                  <w:tcBorders>
                    <w:top w:val="single" w:sz="4" w:space="0" w:color="000000"/>
                    <w:left w:val="single" w:sz="4" w:space="0" w:color="000000"/>
                    <w:bottom w:val="single" w:sz="4" w:space="0" w:color="000000"/>
                    <w:right w:val="single" w:sz="4" w:space="0" w:color="000000"/>
                  </w:tcBorders>
                </w:tcPr>
                <w:p w14:paraId="151349B3"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150</w:t>
                  </w:r>
                </w:p>
              </w:tc>
              <w:tc>
                <w:tcPr>
                  <w:tcW w:w="1051" w:type="dxa"/>
                  <w:tcBorders>
                    <w:top w:val="single" w:sz="4" w:space="0" w:color="000000"/>
                    <w:left w:val="single" w:sz="4" w:space="0" w:color="000000"/>
                    <w:bottom w:val="single" w:sz="4" w:space="0" w:color="000000"/>
                    <w:right w:val="single" w:sz="4" w:space="0" w:color="000000"/>
                  </w:tcBorders>
                </w:tcPr>
                <w:p w14:paraId="151349B4" w14:textId="77777777" w:rsidR="007170C3" w:rsidRPr="008819AF" w:rsidRDefault="006F0418">
                  <w:pPr>
                    <w:pStyle w:val="Default"/>
                    <w:jc w:val="righ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225</w:t>
                  </w:r>
                </w:p>
              </w:tc>
            </w:tr>
          </w:tbl>
          <w:p w14:paraId="151349B6" w14:textId="77777777" w:rsidR="007170C3" w:rsidRPr="008819AF" w:rsidRDefault="006F0418">
            <w:pPr>
              <w:ind w:left="215" w:hanging="1"/>
              <w:rPr>
                <w:rFonts w:eastAsia="Arial"/>
                <w:lang w:bidi="cs-CZ"/>
              </w:rPr>
            </w:pPr>
            <w:r w:rsidRPr="008819AF">
              <w:rPr>
                <w:rFonts w:eastAsia="Arial"/>
                <w:lang w:bidi="cs-CZ"/>
              </w:rPr>
              <w:t>4. Zariadenia na nastriekavanie náterov na vozidlá, ktorých spotreba rozpúšťadiel je pod prahovými hodnotami uvedenými v tabuľke uvedenej v bode 3, musia spĺňať požiadavky na priemyselné odvetvie následnej povrchovej úpravy vozidiel stanovené v časti 2</w:t>
            </w:r>
          </w:p>
        </w:tc>
        <w:tc>
          <w:tcPr>
            <w:tcW w:w="881" w:type="dxa"/>
            <w:tcBorders>
              <w:top w:val="single" w:sz="4" w:space="0" w:color="000000"/>
              <w:left w:val="single" w:sz="6" w:space="0" w:color="000000"/>
              <w:bottom w:val="single" w:sz="6" w:space="0" w:color="000000"/>
              <w:right w:val="single" w:sz="6" w:space="0" w:color="000000"/>
            </w:tcBorders>
          </w:tcPr>
          <w:p w14:paraId="151349B7" w14:textId="77777777" w:rsidR="007170C3" w:rsidRPr="008819AF" w:rsidRDefault="002A6DD8">
            <w:pPr>
              <w:ind w:left="215" w:hanging="215"/>
              <w:rPr>
                <w:rFonts w:eastAsia="Arial"/>
                <w:lang w:bidi="cs-CZ"/>
              </w:rPr>
            </w:pPr>
            <w:r w:rsidRPr="008819AF">
              <w:rPr>
                <w:rFonts w:eastAsia="Arial"/>
                <w:lang w:bidi="cs-CZ"/>
              </w:rPr>
              <w:lastRenderedPageBreak/>
              <w:t>N</w:t>
            </w:r>
          </w:p>
        </w:tc>
        <w:tc>
          <w:tcPr>
            <w:tcW w:w="678" w:type="dxa"/>
            <w:tcBorders>
              <w:top w:val="single" w:sz="4" w:space="0" w:color="000000"/>
              <w:left w:val="single" w:sz="6" w:space="0" w:color="000000"/>
              <w:bottom w:val="single" w:sz="6" w:space="0" w:color="000000"/>
              <w:right w:val="single" w:sz="6" w:space="0" w:color="000000"/>
            </w:tcBorders>
          </w:tcPr>
          <w:p w14:paraId="151349B8"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151349B9" w14:textId="77777777" w:rsidR="007170C3" w:rsidRPr="008819AF" w:rsidRDefault="002A6DD8">
            <w:r w:rsidRPr="008819AF">
              <w:t>Pr.6 časť IV.</w:t>
            </w:r>
          </w:p>
        </w:tc>
        <w:tc>
          <w:tcPr>
            <w:tcW w:w="5954" w:type="dxa"/>
            <w:tcBorders>
              <w:top w:val="single" w:sz="4" w:space="0" w:color="000000"/>
              <w:left w:val="single" w:sz="6" w:space="0" w:color="000000"/>
              <w:bottom w:val="single" w:sz="6" w:space="0" w:color="000000"/>
              <w:right w:val="single" w:sz="6" w:space="0" w:color="000000"/>
            </w:tcBorders>
          </w:tcPr>
          <w:p w14:paraId="151349BA" w14:textId="77777777" w:rsidR="002A6DD8" w:rsidRPr="008819AF" w:rsidRDefault="002A6DD8" w:rsidP="002A6DD8">
            <w:pPr>
              <w:jc w:val="both"/>
              <w:rPr>
                <w:b/>
              </w:rPr>
            </w:pPr>
            <w:r w:rsidRPr="008819AF">
              <w:rPr>
                <w:b/>
              </w:rPr>
              <w:t>5.  NANÁŠANIE NÁTEROV  NA  CESTNÉ  VOZIDLÁ (V)</w:t>
            </w:r>
          </w:p>
          <w:p w14:paraId="151349BB" w14:textId="77777777" w:rsidR="002A6DD8" w:rsidRPr="008819AF" w:rsidRDefault="002A6DD8" w:rsidP="002A6DD8">
            <w:pPr>
              <w:rPr>
                <w:b/>
              </w:rPr>
            </w:pPr>
            <w:r w:rsidRPr="008819AF">
              <w:rPr>
                <w:b/>
              </w:rPr>
              <w:t>5.1.  Priemyselná výroba automobilov (Va)</w:t>
            </w:r>
          </w:p>
          <w:p w14:paraId="151349BC" w14:textId="77777777" w:rsidR="002A6DD8" w:rsidRPr="008819AF" w:rsidRDefault="002A6DD8" w:rsidP="002A6DD8">
            <w:pPr>
              <w:keepNext/>
              <w:spacing w:after="120"/>
              <w:ind w:left="709" w:hanging="709"/>
              <w:jc w:val="both"/>
              <w:rPr>
                <w:b/>
              </w:rPr>
            </w:pPr>
            <w:r w:rsidRPr="008819AF">
              <w:rPr>
                <w:b/>
              </w:rPr>
              <w:t xml:space="preserve">5.1.1 Prahová spotreba rozpúšťadiel a  emisné limity </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025"/>
              <w:gridCol w:w="1014"/>
              <w:gridCol w:w="786"/>
              <w:gridCol w:w="839"/>
              <w:gridCol w:w="346"/>
              <w:gridCol w:w="952"/>
              <w:gridCol w:w="350"/>
            </w:tblGrid>
            <w:tr w:rsidR="00EC5B90" w:rsidRPr="008819AF" w14:paraId="151349BF" w14:textId="77777777" w:rsidTr="00EC5B90">
              <w:trPr>
                <w:jc w:val="center"/>
              </w:trPr>
              <w:tc>
                <w:tcPr>
                  <w:tcW w:w="1454" w:type="dxa"/>
                  <w:gridSpan w:val="2"/>
                  <w:vMerge w:val="restart"/>
                  <w:tcBorders>
                    <w:top w:val="single" w:sz="2" w:space="0" w:color="auto"/>
                    <w:left w:val="single" w:sz="2" w:space="0" w:color="auto"/>
                    <w:bottom w:val="single" w:sz="2" w:space="0" w:color="auto"/>
                    <w:right w:val="single" w:sz="2" w:space="0" w:color="auto"/>
                  </w:tcBorders>
                  <w:vAlign w:val="center"/>
                </w:tcPr>
                <w:p w14:paraId="151349BD" w14:textId="77777777" w:rsidR="00EC5B90" w:rsidRPr="008819AF" w:rsidRDefault="00EC5B90" w:rsidP="00620437">
                  <w:pPr>
                    <w:pStyle w:val="Normln"/>
                    <w:keepNext/>
                    <w:rPr>
                      <w:b/>
                      <w:sz w:val="18"/>
                      <w:szCs w:val="18"/>
                      <w:lang w:val="sk-SK"/>
                    </w:rPr>
                  </w:pPr>
                  <w:r w:rsidRPr="008819AF">
                    <w:rPr>
                      <w:b/>
                      <w:sz w:val="18"/>
                      <w:szCs w:val="18"/>
                      <w:lang w:val="sk-SK"/>
                    </w:rPr>
                    <w:t>Podmienky platnosti EL</w:t>
                  </w:r>
                </w:p>
              </w:tc>
              <w:tc>
                <w:tcPr>
                  <w:tcW w:w="4287" w:type="dxa"/>
                  <w:gridSpan w:val="6"/>
                  <w:tcBorders>
                    <w:top w:val="single" w:sz="2" w:space="0" w:color="auto"/>
                    <w:left w:val="single" w:sz="2" w:space="0" w:color="auto"/>
                    <w:bottom w:val="single" w:sz="2" w:space="0" w:color="auto"/>
                    <w:right w:val="single" w:sz="2" w:space="0" w:color="auto"/>
                  </w:tcBorders>
                  <w:vAlign w:val="center"/>
                </w:tcPr>
                <w:p w14:paraId="151349BE" w14:textId="77777777" w:rsidR="00EC5B90" w:rsidRPr="008819AF" w:rsidRDefault="00EC5B90" w:rsidP="00EC5B90">
                  <w:pPr>
                    <w:pStyle w:val="Zkladntext2"/>
                    <w:ind w:left="0" w:right="-73" w:firstLine="0"/>
                    <w:rPr>
                      <w:rFonts w:ascii="Times New Roman" w:hAnsi="Times New Roman" w:cs="Times New Roman"/>
                      <w:b/>
                      <w:sz w:val="18"/>
                      <w:szCs w:val="18"/>
                    </w:rPr>
                  </w:pPr>
                  <w:r w:rsidRPr="008819AF">
                    <w:rPr>
                      <w:rFonts w:ascii="Times New Roman" w:hAnsi="Times New Roman" w:cs="Times New Roman"/>
                      <w:sz w:val="18"/>
                      <w:szCs w:val="18"/>
                    </w:rPr>
                    <w:t>Štandardné stavové podmienky, vlhký plyn</w:t>
                  </w:r>
                </w:p>
              </w:tc>
            </w:tr>
            <w:tr w:rsidR="00EC5B90" w:rsidRPr="008819AF" w14:paraId="151349C2" w14:textId="77777777" w:rsidTr="00EC5B90">
              <w:trPr>
                <w:trHeight w:val="1566"/>
                <w:jc w:val="center"/>
              </w:trPr>
              <w:tc>
                <w:tcPr>
                  <w:tcW w:w="1454" w:type="dxa"/>
                  <w:gridSpan w:val="2"/>
                  <w:vMerge/>
                  <w:tcBorders>
                    <w:top w:val="single" w:sz="2" w:space="0" w:color="auto"/>
                    <w:left w:val="single" w:sz="2" w:space="0" w:color="auto"/>
                    <w:bottom w:val="single" w:sz="2" w:space="0" w:color="auto"/>
                    <w:right w:val="single" w:sz="2" w:space="0" w:color="auto"/>
                  </w:tcBorders>
                  <w:vAlign w:val="center"/>
                </w:tcPr>
                <w:p w14:paraId="151349C0" w14:textId="77777777" w:rsidR="00EC5B90" w:rsidRPr="008819AF" w:rsidRDefault="00EC5B90" w:rsidP="00620437">
                  <w:pPr>
                    <w:rPr>
                      <w:b/>
                      <w:sz w:val="18"/>
                      <w:szCs w:val="18"/>
                    </w:rPr>
                  </w:pPr>
                </w:p>
              </w:tc>
              <w:tc>
                <w:tcPr>
                  <w:tcW w:w="4287" w:type="dxa"/>
                  <w:gridSpan w:val="6"/>
                  <w:tcBorders>
                    <w:top w:val="single" w:sz="2" w:space="0" w:color="auto"/>
                    <w:left w:val="single" w:sz="2" w:space="0" w:color="auto"/>
                    <w:bottom w:val="single" w:sz="2" w:space="0" w:color="auto"/>
                    <w:right w:val="single" w:sz="2" w:space="0" w:color="auto"/>
                  </w:tcBorders>
                  <w:vAlign w:val="center"/>
                </w:tcPr>
                <w:p w14:paraId="151349C1" w14:textId="77777777" w:rsidR="00EC5B90" w:rsidRPr="008819AF" w:rsidRDefault="00EC5B90" w:rsidP="00EC5B90">
                  <w:pPr>
                    <w:pStyle w:val="Zkladntext2"/>
                    <w:ind w:left="0" w:firstLine="0"/>
                    <w:rPr>
                      <w:rFonts w:ascii="Times New Roman" w:hAnsi="Times New Roman" w:cs="Times New Roman"/>
                      <w:sz w:val="18"/>
                      <w:szCs w:val="18"/>
                    </w:rPr>
                  </w:pPr>
                  <w:r w:rsidRPr="008819AF">
                    <w:rPr>
                      <w:rFonts w:ascii="Times New Roman" w:hAnsi="Times New Roman" w:cs="Times New Roman"/>
                      <w:sz w:val="18"/>
                      <w:szCs w:val="18"/>
                    </w:rPr>
                    <w:t xml:space="preserve">Emisný limit pre celkové emisie platí pre všetky štádiá procesu vykonávané v tom istom zariadení od elektroforetického nanášania náteru alebo iného druhu nanášania náteru až po konečné voskovanie vrátane nanesenia vrchného náteru. Do celkových emisií  sa započítavajú aj emisie z čistenia použitých nástrojov a technického vybavenia vrátane striekacích kabín počas výrobných aj nevýrobných stavov. </w:t>
                  </w:r>
                </w:p>
              </w:tc>
            </w:tr>
            <w:tr w:rsidR="00EC5B90" w:rsidRPr="008819AF" w14:paraId="151349C4" w14:textId="77777777" w:rsidTr="00EC5B90">
              <w:trPr>
                <w:cantSplit/>
                <w:trHeight w:val="360"/>
                <w:jc w:val="center"/>
              </w:trPr>
              <w:tc>
                <w:tcPr>
                  <w:tcW w:w="5741" w:type="dxa"/>
                  <w:gridSpan w:val="8"/>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9C3" w14:textId="77777777" w:rsidR="00EC5B90" w:rsidRPr="008819AF" w:rsidRDefault="00EC5B90" w:rsidP="00620437">
                  <w:pPr>
                    <w:pStyle w:val="Zkladntext2"/>
                    <w:rPr>
                      <w:rFonts w:ascii="Times New Roman" w:hAnsi="Times New Roman" w:cs="Times New Roman"/>
                      <w:b/>
                      <w:sz w:val="18"/>
                      <w:szCs w:val="18"/>
                    </w:rPr>
                  </w:pPr>
                  <w:r w:rsidRPr="008819AF">
                    <w:rPr>
                      <w:rFonts w:ascii="Times New Roman" w:hAnsi="Times New Roman" w:cs="Times New Roman"/>
                      <w:b/>
                      <w:sz w:val="18"/>
                      <w:szCs w:val="18"/>
                    </w:rPr>
                    <w:t>Zariadenia  s prahovou spotrebou rozpúšťadla  ≥ 15 t/rok</w:t>
                  </w:r>
                </w:p>
              </w:tc>
            </w:tr>
            <w:tr w:rsidR="00EC5B90" w:rsidRPr="008819AF" w14:paraId="151349CC" w14:textId="77777777" w:rsidTr="00EC5B90">
              <w:trPr>
                <w:cantSplit/>
                <w:jc w:val="center"/>
              </w:trPr>
              <w:tc>
                <w:tcPr>
                  <w:tcW w:w="1454"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9C5" w14:textId="77777777" w:rsidR="00EC5B90" w:rsidRPr="008819AF" w:rsidRDefault="00EC5B90" w:rsidP="00EC5B90">
                  <w:pPr>
                    <w:pStyle w:val="Zkladntext2"/>
                    <w:rPr>
                      <w:rFonts w:ascii="Times New Roman" w:hAnsi="Times New Roman" w:cs="Times New Roman"/>
                      <w:sz w:val="18"/>
                      <w:szCs w:val="18"/>
                    </w:rPr>
                  </w:pPr>
                </w:p>
                <w:p w14:paraId="151349C6" w14:textId="77777777" w:rsidR="00EC5B90" w:rsidRPr="008819AF" w:rsidRDefault="00EC5B90" w:rsidP="00EC5B90">
                  <w:pPr>
                    <w:rPr>
                      <w:sz w:val="18"/>
                      <w:szCs w:val="18"/>
                    </w:rPr>
                  </w:pPr>
                  <w:r w:rsidRPr="008819AF">
                    <w:rPr>
                      <w:b/>
                      <w:sz w:val="18"/>
                      <w:szCs w:val="18"/>
                    </w:rPr>
                    <w:t>Činnosť</w:t>
                  </w:r>
                </w:p>
                <w:p w14:paraId="151349C7" w14:textId="77777777" w:rsidR="00EC5B90" w:rsidRPr="008819AF" w:rsidRDefault="00EC5B90" w:rsidP="00EC5B90">
                  <w:pPr>
                    <w:rPr>
                      <w:sz w:val="18"/>
                      <w:szCs w:val="18"/>
                    </w:rPr>
                  </w:pPr>
                  <w:r w:rsidRPr="008819AF">
                    <w:rPr>
                      <w:sz w:val="18"/>
                      <w:szCs w:val="18"/>
                    </w:rPr>
                    <w:t xml:space="preserve">Nanášanie náterov  v priemyselnej automobilovej  výrobe </w:t>
                  </w:r>
                </w:p>
                <w:p w14:paraId="151349C8" w14:textId="77777777" w:rsidR="00EC5B90" w:rsidRPr="008819AF" w:rsidRDefault="00EC5B90" w:rsidP="00EC5B90">
                  <w:pPr>
                    <w:pStyle w:val="Zkladntext2"/>
                    <w:jc w:val="center"/>
                    <w:rPr>
                      <w:rFonts w:ascii="Times New Roman" w:hAnsi="Times New Roman" w:cs="Times New Roman"/>
                      <w:b/>
                      <w:sz w:val="18"/>
                      <w:szCs w:val="18"/>
                    </w:rPr>
                  </w:pPr>
                </w:p>
              </w:tc>
              <w:tc>
                <w:tcPr>
                  <w:tcW w:w="1014"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151349C9" w14:textId="77777777" w:rsidR="00EC5B90" w:rsidRPr="008819AF" w:rsidRDefault="00EC5B90" w:rsidP="00EC5B90">
                  <w:pPr>
                    <w:jc w:val="center"/>
                    <w:rPr>
                      <w:b/>
                      <w:sz w:val="18"/>
                      <w:szCs w:val="18"/>
                    </w:rPr>
                  </w:pPr>
                  <w:r w:rsidRPr="008819AF">
                    <w:rPr>
                      <w:b/>
                      <w:sz w:val="18"/>
                      <w:szCs w:val="18"/>
                    </w:rPr>
                    <w:t>Produkcia vozidiel</w:t>
                  </w:r>
                </w:p>
                <w:p w14:paraId="151349CA" w14:textId="77777777" w:rsidR="00EC5B90" w:rsidRPr="008819AF" w:rsidRDefault="00EC5B90" w:rsidP="00EC5B90">
                  <w:pPr>
                    <w:pStyle w:val="Zkladntext2"/>
                    <w:jc w:val="center"/>
                    <w:rPr>
                      <w:rFonts w:ascii="Times New Roman" w:hAnsi="Times New Roman" w:cs="Times New Roman"/>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ks/rok</w:t>
                  </w:r>
                  <w:r w:rsidRPr="008819AF">
                    <w:rPr>
                      <w:rFonts w:ascii="Times New Roman" w:hAnsi="Times New Roman" w:cs="Times New Roman"/>
                      <w:b/>
                      <w:sz w:val="18"/>
                      <w:szCs w:val="18"/>
                    </w:rPr>
                    <w:sym w:font="Symbol" w:char="F05D"/>
                  </w:r>
                </w:p>
              </w:tc>
              <w:tc>
                <w:tcPr>
                  <w:tcW w:w="3273" w:type="dxa"/>
                  <w:gridSpan w:val="5"/>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9CB" w14:textId="77777777" w:rsidR="00EC5B90" w:rsidRPr="008819AF" w:rsidRDefault="00EC5B90" w:rsidP="00EC5B90">
                  <w:pPr>
                    <w:pStyle w:val="Zkladntext2"/>
                    <w:ind w:left="0" w:right="-73" w:firstLine="0"/>
                    <w:jc w:val="center"/>
                    <w:rPr>
                      <w:rFonts w:ascii="Times New Roman" w:hAnsi="Times New Roman" w:cs="Times New Roman"/>
                      <w:b/>
                      <w:sz w:val="18"/>
                      <w:szCs w:val="18"/>
                    </w:rPr>
                  </w:pPr>
                  <w:r w:rsidRPr="008819AF">
                    <w:rPr>
                      <w:rFonts w:ascii="Times New Roman" w:hAnsi="Times New Roman" w:cs="Times New Roman"/>
                      <w:b/>
                      <w:sz w:val="18"/>
                      <w:szCs w:val="18"/>
                    </w:rPr>
                    <w:t>Emisný limit</w:t>
                  </w:r>
                </w:p>
              </w:tc>
            </w:tr>
            <w:tr w:rsidR="00EC5B90" w:rsidRPr="008819AF" w14:paraId="151349D1" w14:textId="77777777" w:rsidTr="00EC5B90">
              <w:trPr>
                <w:cantSplit/>
                <w:trHeight w:val="378"/>
                <w:jc w:val="center"/>
              </w:trPr>
              <w:tc>
                <w:tcPr>
                  <w:tcW w:w="1454" w:type="dxa"/>
                  <w:gridSpan w:val="2"/>
                  <w:vMerge/>
                  <w:tcBorders>
                    <w:top w:val="single" w:sz="2" w:space="0" w:color="auto"/>
                    <w:left w:val="single" w:sz="2" w:space="0" w:color="auto"/>
                    <w:bottom w:val="single" w:sz="2" w:space="0" w:color="auto"/>
                    <w:right w:val="single" w:sz="2" w:space="0" w:color="auto"/>
                  </w:tcBorders>
                  <w:vAlign w:val="center"/>
                </w:tcPr>
                <w:p w14:paraId="151349CD" w14:textId="77777777" w:rsidR="00EC5B90" w:rsidRPr="008819AF" w:rsidRDefault="00EC5B90" w:rsidP="00EC5B90">
                  <w:pPr>
                    <w:rPr>
                      <w:b/>
                      <w:sz w:val="18"/>
                      <w:szCs w:val="18"/>
                    </w:rPr>
                  </w:pPr>
                </w:p>
              </w:tc>
              <w:tc>
                <w:tcPr>
                  <w:tcW w:w="1014" w:type="dxa"/>
                  <w:vMerge/>
                  <w:tcBorders>
                    <w:left w:val="single" w:sz="2" w:space="0" w:color="auto"/>
                    <w:right w:val="single" w:sz="2" w:space="0" w:color="auto"/>
                  </w:tcBorders>
                  <w:vAlign w:val="center"/>
                </w:tcPr>
                <w:p w14:paraId="151349CE" w14:textId="77777777" w:rsidR="00EC5B90" w:rsidRPr="008819AF" w:rsidRDefault="00EC5B90" w:rsidP="00EC5B90">
                  <w:pPr>
                    <w:pStyle w:val="Zkladntext2"/>
                    <w:jc w:val="center"/>
                    <w:rPr>
                      <w:rFonts w:ascii="Times New Roman" w:hAnsi="Times New Roman" w:cs="Times New Roman"/>
                      <w:sz w:val="18"/>
                      <w:szCs w:val="18"/>
                    </w:rPr>
                  </w:pPr>
                </w:p>
              </w:tc>
              <w:tc>
                <w:tcPr>
                  <w:tcW w:w="786"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9CF" w14:textId="77777777" w:rsidR="00EC5B90" w:rsidRPr="008819AF" w:rsidRDefault="00EC5B90" w:rsidP="00EC5B90">
                  <w:pPr>
                    <w:pStyle w:val="Zkladntext2"/>
                    <w:ind w:left="0" w:right="-73" w:firstLine="0"/>
                    <w:jc w:val="center"/>
                    <w:rPr>
                      <w:rFonts w:ascii="Times New Roman" w:hAnsi="Times New Roman" w:cs="Times New Roman"/>
                      <w:b/>
                      <w:sz w:val="18"/>
                      <w:szCs w:val="18"/>
                    </w:rPr>
                  </w:pPr>
                  <w:r w:rsidRPr="008819AF">
                    <w:rPr>
                      <w:rFonts w:ascii="Times New Roman" w:hAnsi="Times New Roman" w:cs="Times New Roman"/>
                      <w:b/>
                      <w:sz w:val="18"/>
                      <w:szCs w:val="18"/>
                    </w:rPr>
                    <w:t>Odpadové plyny</w:t>
                  </w:r>
                </w:p>
              </w:tc>
              <w:tc>
                <w:tcPr>
                  <w:tcW w:w="2487" w:type="dxa"/>
                  <w:gridSpan w:val="4"/>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9D0" w14:textId="77777777" w:rsidR="00EC5B90" w:rsidRPr="008819AF" w:rsidRDefault="00EC5B90" w:rsidP="00EC5B90">
                  <w:pPr>
                    <w:pStyle w:val="Zkladntext2"/>
                    <w:ind w:left="0" w:right="-73" w:firstLine="0"/>
                    <w:jc w:val="center"/>
                    <w:rPr>
                      <w:rFonts w:ascii="Times New Roman" w:hAnsi="Times New Roman" w:cs="Times New Roman"/>
                      <w:b/>
                      <w:sz w:val="18"/>
                      <w:szCs w:val="18"/>
                    </w:rPr>
                  </w:pPr>
                  <w:r w:rsidRPr="008819AF">
                    <w:rPr>
                      <w:rFonts w:ascii="Times New Roman" w:hAnsi="Times New Roman" w:cs="Times New Roman"/>
                      <w:b/>
                      <w:sz w:val="18"/>
                      <w:szCs w:val="18"/>
                    </w:rPr>
                    <w:t>Celkové emisie</w:t>
                  </w:r>
                  <w:r w:rsidRPr="008819AF">
                    <w:rPr>
                      <w:rFonts w:ascii="Times New Roman" w:hAnsi="Times New Roman" w:cs="Times New Roman"/>
                      <w:b/>
                      <w:sz w:val="18"/>
                      <w:szCs w:val="18"/>
                      <w:vertAlign w:val="superscript"/>
                    </w:rPr>
                    <w:t>2</w:t>
                  </w:r>
                  <w:r w:rsidRPr="008819AF">
                    <w:rPr>
                      <w:rFonts w:ascii="Times New Roman" w:hAnsi="Times New Roman" w:cs="Times New Roman"/>
                      <w:b/>
                      <w:sz w:val="18"/>
                      <w:szCs w:val="18"/>
                    </w:rPr>
                    <w:t>)</w:t>
                  </w:r>
                </w:p>
              </w:tc>
            </w:tr>
            <w:tr w:rsidR="00EC5B90" w:rsidRPr="008819AF" w14:paraId="151349D7" w14:textId="77777777" w:rsidTr="00EC5B90">
              <w:trPr>
                <w:cantSplit/>
                <w:trHeight w:val="363"/>
                <w:jc w:val="center"/>
              </w:trPr>
              <w:tc>
                <w:tcPr>
                  <w:tcW w:w="1454" w:type="dxa"/>
                  <w:gridSpan w:val="2"/>
                  <w:vMerge/>
                  <w:tcBorders>
                    <w:top w:val="single" w:sz="2" w:space="0" w:color="auto"/>
                    <w:left w:val="single" w:sz="2" w:space="0" w:color="auto"/>
                    <w:bottom w:val="single" w:sz="2" w:space="0" w:color="auto"/>
                    <w:right w:val="single" w:sz="2" w:space="0" w:color="auto"/>
                  </w:tcBorders>
                  <w:vAlign w:val="center"/>
                </w:tcPr>
                <w:p w14:paraId="151349D2" w14:textId="77777777" w:rsidR="00EC5B90" w:rsidRPr="008819AF" w:rsidRDefault="00EC5B90" w:rsidP="00EC5B90">
                  <w:pPr>
                    <w:rPr>
                      <w:b/>
                      <w:sz w:val="18"/>
                      <w:szCs w:val="18"/>
                    </w:rPr>
                  </w:pPr>
                </w:p>
              </w:tc>
              <w:tc>
                <w:tcPr>
                  <w:tcW w:w="1014" w:type="dxa"/>
                  <w:vMerge/>
                  <w:tcBorders>
                    <w:left w:val="single" w:sz="2" w:space="0" w:color="auto"/>
                    <w:right w:val="single" w:sz="2" w:space="0" w:color="auto"/>
                  </w:tcBorders>
                  <w:tcMar>
                    <w:top w:w="0" w:type="dxa"/>
                    <w:left w:w="70" w:type="dxa"/>
                    <w:bottom w:w="0" w:type="dxa"/>
                    <w:right w:w="70" w:type="dxa"/>
                  </w:tcMar>
                  <w:vAlign w:val="center"/>
                </w:tcPr>
                <w:p w14:paraId="151349D3" w14:textId="77777777" w:rsidR="00EC5B90" w:rsidRPr="008819AF" w:rsidRDefault="00EC5B90" w:rsidP="00EC5B90">
                  <w:pPr>
                    <w:pStyle w:val="Zkladntext2"/>
                    <w:jc w:val="center"/>
                    <w:rPr>
                      <w:rFonts w:ascii="Times New Roman" w:hAnsi="Times New Roman" w:cs="Times New Roman"/>
                      <w:sz w:val="18"/>
                      <w:szCs w:val="18"/>
                    </w:rPr>
                  </w:pPr>
                </w:p>
              </w:tc>
              <w:tc>
                <w:tcPr>
                  <w:tcW w:w="786"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9D4" w14:textId="77777777" w:rsidR="00EC5B90" w:rsidRPr="008819AF" w:rsidRDefault="00EC5B90" w:rsidP="00EC5B90">
                  <w:pPr>
                    <w:pStyle w:val="Zkladntext2"/>
                    <w:ind w:left="0" w:right="-73" w:firstLine="0"/>
                    <w:jc w:val="center"/>
                    <w:rPr>
                      <w:rFonts w:ascii="Times New Roman" w:hAnsi="Times New Roman" w:cs="Times New Roman"/>
                      <w:b/>
                      <w:sz w:val="18"/>
                      <w:szCs w:val="18"/>
                    </w:rPr>
                  </w:pPr>
                  <w:r w:rsidRPr="008819AF">
                    <w:rPr>
                      <w:rFonts w:ascii="Times New Roman" w:hAnsi="Times New Roman" w:cs="Times New Roman"/>
                      <w:b/>
                      <w:sz w:val="18"/>
                      <w:szCs w:val="18"/>
                    </w:rPr>
                    <w:t>TZL</w:t>
                  </w:r>
                  <w:r w:rsidRPr="008819AF">
                    <w:rPr>
                      <w:rFonts w:ascii="Times New Roman" w:hAnsi="Times New Roman" w:cs="Times New Roman"/>
                      <w:b/>
                      <w:sz w:val="18"/>
                      <w:szCs w:val="18"/>
                      <w:vertAlign w:val="superscript"/>
                    </w:rPr>
                    <w:t>1</w:t>
                  </w:r>
                  <w:r w:rsidRPr="008819AF">
                    <w:rPr>
                      <w:rFonts w:ascii="Times New Roman" w:hAnsi="Times New Roman" w:cs="Times New Roman"/>
                      <w:b/>
                      <w:sz w:val="18"/>
                      <w:szCs w:val="18"/>
                    </w:rPr>
                    <w:t>)</w:t>
                  </w:r>
                </w:p>
                <w:p w14:paraId="151349D5" w14:textId="77777777" w:rsidR="00EC5B90" w:rsidRPr="008819AF" w:rsidRDefault="00EC5B90" w:rsidP="00EC5B90">
                  <w:pPr>
                    <w:pStyle w:val="Zkladntext2"/>
                    <w:ind w:left="0" w:right="-73" w:firstLine="0"/>
                    <w:jc w:val="center"/>
                    <w:rPr>
                      <w:rFonts w:ascii="Times New Roman" w:hAnsi="Times New Roman" w:cs="Times New Roman"/>
                      <w:b/>
                      <w:sz w:val="18"/>
                      <w:szCs w:val="18"/>
                    </w:rPr>
                  </w:pP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mg/m3</w:t>
                  </w:r>
                  <w:r w:rsidRPr="008819AF">
                    <w:rPr>
                      <w:rFonts w:ascii="Times New Roman" w:hAnsi="Times New Roman" w:cs="Times New Roman"/>
                      <w:b/>
                      <w:sz w:val="18"/>
                      <w:szCs w:val="18"/>
                    </w:rPr>
                    <w:sym w:font="Symbol" w:char="F05D"/>
                  </w:r>
                </w:p>
              </w:tc>
              <w:tc>
                <w:tcPr>
                  <w:tcW w:w="2487" w:type="dxa"/>
                  <w:gridSpan w:val="4"/>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9D6" w14:textId="77777777" w:rsidR="00EC5B90" w:rsidRPr="008819AF" w:rsidRDefault="00EC5B90" w:rsidP="00EC5B90">
                  <w:pPr>
                    <w:pStyle w:val="Zkladntext2"/>
                    <w:ind w:left="0" w:right="-73" w:firstLine="0"/>
                    <w:jc w:val="center"/>
                    <w:rPr>
                      <w:rFonts w:ascii="Times New Roman" w:hAnsi="Times New Roman" w:cs="Times New Roman"/>
                      <w:b/>
                      <w:sz w:val="18"/>
                      <w:szCs w:val="18"/>
                    </w:rPr>
                  </w:pPr>
                  <w:r w:rsidRPr="008819AF">
                    <w:rPr>
                      <w:rFonts w:ascii="Times New Roman" w:hAnsi="Times New Roman" w:cs="Times New Roman"/>
                      <w:b/>
                      <w:sz w:val="18"/>
                      <w:szCs w:val="18"/>
                    </w:rPr>
                    <w:t xml:space="preserve">VOC </w:t>
                  </w:r>
                  <w:r w:rsidRPr="008819AF">
                    <w:rPr>
                      <w:rFonts w:ascii="Times New Roman" w:hAnsi="Times New Roman" w:cs="Times New Roman"/>
                      <w:b/>
                      <w:sz w:val="18"/>
                      <w:szCs w:val="18"/>
                    </w:rPr>
                    <w:sym w:font="Symbol" w:char="F05B"/>
                  </w:r>
                  <w:r w:rsidRPr="008819AF">
                    <w:rPr>
                      <w:rFonts w:ascii="Times New Roman" w:hAnsi="Times New Roman" w:cs="Times New Roman"/>
                      <w:b/>
                      <w:sz w:val="18"/>
                      <w:szCs w:val="18"/>
                    </w:rPr>
                    <w:t>g/m2</w:t>
                  </w:r>
                  <w:r w:rsidRPr="008819AF">
                    <w:rPr>
                      <w:rFonts w:ascii="Times New Roman" w:hAnsi="Times New Roman" w:cs="Times New Roman"/>
                      <w:b/>
                      <w:sz w:val="18"/>
                      <w:szCs w:val="18"/>
                    </w:rPr>
                    <w:sym w:font="Symbol" w:char="F05D"/>
                  </w:r>
                </w:p>
              </w:tc>
            </w:tr>
            <w:tr w:rsidR="00EC5B90" w:rsidRPr="008819AF" w14:paraId="151349DD" w14:textId="77777777" w:rsidTr="00EC5B90">
              <w:trPr>
                <w:cantSplit/>
                <w:trHeight w:val="471"/>
                <w:jc w:val="center"/>
              </w:trPr>
              <w:tc>
                <w:tcPr>
                  <w:tcW w:w="1454" w:type="dxa"/>
                  <w:gridSpan w:val="2"/>
                  <w:vMerge/>
                  <w:tcBorders>
                    <w:top w:val="single" w:sz="2" w:space="0" w:color="auto"/>
                    <w:left w:val="single" w:sz="2" w:space="0" w:color="auto"/>
                    <w:bottom w:val="single" w:sz="2" w:space="0" w:color="auto"/>
                    <w:right w:val="single" w:sz="2" w:space="0" w:color="auto"/>
                  </w:tcBorders>
                  <w:vAlign w:val="center"/>
                </w:tcPr>
                <w:p w14:paraId="151349D8" w14:textId="77777777" w:rsidR="00EC5B90" w:rsidRPr="008819AF" w:rsidRDefault="00EC5B90" w:rsidP="00EC5B90">
                  <w:pPr>
                    <w:rPr>
                      <w:b/>
                      <w:sz w:val="18"/>
                      <w:szCs w:val="18"/>
                    </w:rPr>
                  </w:pPr>
                </w:p>
              </w:tc>
              <w:tc>
                <w:tcPr>
                  <w:tcW w:w="1014" w:type="dxa"/>
                  <w:vMerge/>
                  <w:tcBorders>
                    <w:left w:val="single" w:sz="2" w:space="0" w:color="auto"/>
                    <w:bottom w:val="single" w:sz="2" w:space="0" w:color="auto"/>
                    <w:right w:val="single" w:sz="2" w:space="0" w:color="auto"/>
                  </w:tcBorders>
                  <w:vAlign w:val="center"/>
                </w:tcPr>
                <w:p w14:paraId="151349D9" w14:textId="77777777" w:rsidR="00EC5B90" w:rsidRPr="008819AF" w:rsidRDefault="00EC5B90" w:rsidP="00EC5B90">
                  <w:pPr>
                    <w:rPr>
                      <w:sz w:val="18"/>
                      <w:szCs w:val="18"/>
                    </w:rPr>
                  </w:pPr>
                </w:p>
              </w:tc>
              <w:tc>
                <w:tcPr>
                  <w:tcW w:w="786" w:type="dxa"/>
                  <w:vMerge/>
                  <w:tcBorders>
                    <w:top w:val="single" w:sz="2" w:space="0" w:color="auto"/>
                    <w:left w:val="single" w:sz="2" w:space="0" w:color="auto"/>
                    <w:bottom w:val="single" w:sz="2" w:space="0" w:color="auto"/>
                    <w:right w:val="single" w:sz="2" w:space="0" w:color="auto"/>
                  </w:tcBorders>
                  <w:vAlign w:val="center"/>
                </w:tcPr>
                <w:p w14:paraId="151349DA" w14:textId="77777777" w:rsidR="00EC5B90" w:rsidRPr="008819AF" w:rsidRDefault="00EC5B90" w:rsidP="00EC5B90">
                  <w:pPr>
                    <w:pStyle w:val="Zkladntext2"/>
                    <w:ind w:left="0" w:right="-73" w:firstLine="0"/>
                    <w:jc w:val="center"/>
                    <w:rPr>
                      <w:rFonts w:ascii="Times New Roman" w:hAnsi="Times New Roman" w:cs="Times New Roman"/>
                      <w:b/>
                      <w:sz w:val="18"/>
                      <w:szCs w:val="18"/>
                    </w:rPr>
                  </w:pPr>
                </w:p>
              </w:tc>
              <w:tc>
                <w:tcPr>
                  <w:tcW w:w="1185"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9DB" w14:textId="77777777" w:rsidR="00EC5B90" w:rsidRPr="008819AF" w:rsidRDefault="00EC5B90" w:rsidP="00EC5B90">
                  <w:pPr>
                    <w:pStyle w:val="Zkladntext2"/>
                    <w:ind w:left="0" w:right="-73" w:firstLine="0"/>
                    <w:jc w:val="center"/>
                    <w:rPr>
                      <w:rFonts w:ascii="Times New Roman" w:hAnsi="Times New Roman" w:cs="Times New Roman"/>
                      <w:b/>
                      <w:sz w:val="18"/>
                      <w:szCs w:val="18"/>
                    </w:rPr>
                  </w:pPr>
                  <w:r w:rsidRPr="008819AF">
                    <w:rPr>
                      <w:rFonts w:ascii="Times New Roman" w:hAnsi="Times New Roman" w:cs="Times New Roman"/>
                      <w:b/>
                      <w:sz w:val="18"/>
                      <w:szCs w:val="18"/>
                    </w:rPr>
                    <w:t>Nové zariadenia</w:t>
                  </w:r>
                </w:p>
              </w:tc>
              <w:tc>
                <w:tcPr>
                  <w:tcW w:w="1302"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151349DC" w14:textId="77777777" w:rsidR="00EC5B90" w:rsidRPr="008819AF" w:rsidRDefault="00EC5B90" w:rsidP="00EC5B90">
                  <w:pPr>
                    <w:pStyle w:val="Zkladntext2"/>
                    <w:ind w:left="0" w:right="-73" w:firstLine="0"/>
                    <w:jc w:val="center"/>
                    <w:rPr>
                      <w:rFonts w:ascii="Times New Roman" w:hAnsi="Times New Roman" w:cs="Times New Roman"/>
                      <w:b/>
                      <w:sz w:val="18"/>
                      <w:szCs w:val="18"/>
                    </w:rPr>
                  </w:pPr>
                  <w:r w:rsidRPr="008819AF">
                    <w:rPr>
                      <w:rFonts w:ascii="Times New Roman" w:hAnsi="Times New Roman" w:cs="Times New Roman"/>
                      <w:b/>
                      <w:sz w:val="18"/>
                      <w:szCs w:val="18"/>
                    </w:rPr>
                    <w:t>Jestvujúce zariadenia</w:t>
                  </w:r>
                </w:p>
              </w:tc>
            </w:tr>
            <w:tr w:rsidR="00EC5B90" w:rsidRPr="008819AF" w14:paraId="151349EA" w14:textId="77777777" w:rsidTr="00EC5B90">
              <w:trPr>
                <w:trHeight w:val="578"/>
                <w:jc w:val="center"/>
              </w:trPr>
              <w:tc>
                <w:tcPr>
                  <w:tcW w:w="429" w:type="dxa"/>
                  <w:vMerge w:val="restart"/>
                  <w:tcBorders>
                    <w:top w:val="single" w:sz="2" w:space="0" w:color="auto"/>
                  </w:tcBorders>
                  <w:tcMar>
                    <w:top w:w="0" w:type="dxa"/>
                    <w:left w:w="70" w:type="dxa"/>
                    <w:bottom w:w="0" w:type="dxa"/>
                    <w:right w:w="70" w:type="dxa"/>
                  </w:tcMar>
                  <w:vAlign w:val="center"/>
                </w:tcPr>
                <w:p w14:paraId="151349DE" w14:textId="77777777" w:rsidR="00EC5B90" w:rsidRPr="008819AF" w:rsidRDefault="00EC5B90" w:rsidP="00EC5B90">
                  <w:pPr>
                    <w:keepNext/>
                    <w:jc w:val="center"/>
                    <w:rPr>
                      <w:b/>
                      <w:sz w:val="18"/>
                      <w:szCs w:val="18"/>
                    </w:rPr>
                  </w:pPr>
                  <w:r w:rsidRPr="008819AF">
                    <w:rPr>
                      <w:b/>
                      <w:sz w:val="18"/>
                      <w:szCs w:val="18"/>
                    </w:rPr>
                    <w:t>Va</w:t>
                  </w:r>
                </w:p>
              </w:tc>
              <w:tc>
                <w:tcPr>
                  <w:tcW w:w="1025" w:type="dxa"/>
                  <w:vMerge w:val="restart"/>
                  <w:tcBorders>
                    <w:top w:val="single" w:sz="2" w:space="0" w:color="auto"/>
                  </w:tcBorders>
                  <w:tcMar>
                    <w:top w:w="0" w:type="dxa"/>
                    <w:left w:w="70" w:type="dxa"/>
                    <w:bottom w:w="0" w:type="dxa"/>
                    <w:right w:w="70" w:type="dxa"/>
                  </w:tcMar>
                  <w:vAlign w:val="center"/>
                </w:tcPr>
                <w:p w14:paraId="151349DF" w14:textId="77777777" w:rsidR="00EC5B90" w:rsidRPr="008819AF" w:rsidRDefault="00EC5B90" w:rsidP="00EC5B90">
                  <w:pPr>
                    <w:pStyle w:val="Zkladntext2"/>
                    <w:ind w:left="0" w:right="-73" w:firstLine="0"/>
                    <w:rPr>
                      <w:rFonts w:ascii="Times New Roman" w:hAnsi="Times New Roman" w:cs="Times New Roman"/>
                      <w:sz w:val="18"/>
                      <w:szCs w:val="18"/>
                    </w:rPr>
                  </w:pPr>
                  <w:r w:rsidRPr="008819AF">
                    <w:rPr>
                      <w:rFonts w:ascii="Times New Roman" w:hAnsi="Times New Roman" w:cs="Times New Roman"/>
                      <w:sz w:val="18"/>
                      <w:szCs w:val="18"/>
                    </w:rPr>
                    <w:t>Osobné automobily</w:t>
                  </w:r>
                </w:p>
              </w:tc>
              <w:tc>
                <w:tcPr>
                  <w:tcW w:w="1014" w:type="dxa"/>
                  <w:tcBorders>
                    <w:top w:val="single" w:sz="2" w:space="0" w:color="auto"/>
                  </w:tcBorders>
                  <w:tcMar>
                    <w:top w:w="0" w:type="dxa"/>
                    <w:left w:w="70" w:type="dxa"/>
                    <w:bottom w:w="0" w:type="dxa"/>
                    <w:right w:w="70" w:type="dxa"/>
                  </w:tcMar>
                  <w:vAlign w:val="center"/>
                </w:tcPr>
                <w:p w14:paraId="151349E0" w14:textId="77777777" w:rsidR="00EC5B90" w:rsidRPr="008819AF" w:rsidRDefault="00EC5B90" w:rsidP="00EC5B90">
                  <w:pPr>
                    <w:jc w:val="center"/>
                    <w:rPr>
                      <w:sz w:val="18"/>
                      <w:szCs w:val="18"/>
                    </w:rPr>
                  </w:pPr>
                  <w:r w:rsidRPr="008819AF">
                    <w:rPr>
                      <w:sz w:val="18"/>
                      <w:szCs w:val="18"/>
                    </w:rPr>
                    <w:t>≤ 5000 karosérií</w:t>
                  </w:r>
                </w:p>
                <w:p w14:paraId="151349E1" w14:textId="77777777" w:rsidR="00EC5B90" w:rsidRPr="008819AF" w:rsidRDefault="00EC5B90" w:rsidP="00EC5B90">
                  <w:pPr>
                    <w:jc w:val="center"/>
                    <w:rPr>
                      <w:sz w:val="18"/>
                      <w:szCs w:val="18"/>
                    </w:rPr>
                  </w:pPr>
                  <w:r w:rsidRPr="008819AF">
                    <w:rPr>
                      <w:sz w:val="18"/>
                      <w:szCs w:val="18"/>
                    </w:rPr>
                    <w:t>alebo</w:t>
                  </w:r>
                </w:p>
                <w:p w14:paraId="151349E2" w14:textId="77777777" w:rsidR="00EC5B90" w:rsidRPr="008819AF" w:rsidRDefault="00EC5B90" w:rsidP="00EC5B90">
                  <w:pPr>
                    <w:keepNext/>
                    <w:ind w:left="-70" w:right="-70"/>
                    <w:jc w:val="center"/>
                    <w:rPr>
                      <w:sz w:val="18"/>
                      <w:szCs w:val="18"/>
                    </w:rPr>
                  </w:pPr>
                  <w:r w:rsidRPr="008819AF">
                    <w:rPr>
                      <w:sz w:val="18"/>
                      <w:szCs w:val="18"/>
                    </w:rPr>
                    <w:t>&gt; 3500 karosérií upevnených na podvozky</w:t>
                  </w:r>
                </w:p>
              </w:tc>
              <w:tc>
                <w:tcPr>
                  <w:tcW w:w="786" w:type="dxa"/>
                  <w:tcBorders>
                    <w:top w:val="single" w:sz="2" w:space="0" w:color="auto"/>
                  </w:tcBorders>
                  <w:tcMar>
                    <w:top w:w="0" w:type="dxa"/>
                    <w:left w:w="70" w:type="dxa"/>
                    <w:bottom w:w="0" w:type="dxa"/>
                    <w:right w:w="70" w:type="dxa"/>
                  </w:tcMar>
                  <w:vAlign w:val="center"/>
                </w:tcPr>
                <w:p w14:paraId="151349E3" w14:textId="77777777" w:rsidR="00EC5B90" w:rsidRPr="008819AF" w:rsidRDefault="00EC5B90" w:rsidP="00EC5B90">
                  <w:pPr>
                    <w:rPr>
                      <w:sz w:val="18"/>
                      <w:szCs w:val="18"/>
                    </w:rPr>
                  </w:pPr>
                </w:p>
                <w:p w14:paraId="151349E4" w14:textId="77777777" w:rsidR="00EC5B90" w:rsidRPr="008819AF" w:rsidRDefault="00EC5B90" w:rsidP="00EC5B90">
                  <w:pPr>
                    <w:jc w:val="center"/>
                    <w:rPr>
                      <w:sz w:val="18"/>
                      <w:szCs w:val="18"/>
                    </w:rPr>
                  </w:pPr>
                  <w:r w:rsidRPr="008819AF">
                    <w:rPr>
                      <w:sz w:val="18"/>
                      <w:szCs w:val="18"/>
                    </w:rPr>
                    <w:t>3</w:t>
                  </w:r>
                </w:p>
                <w:p w14:paraId="151349E5" w14:textId="77777777" w:rsidR="00EC5B90" w:rsidRPr="008819AF" w:rsidRDefault="00EC5B90" w:rsidP="00EC5B90">
                  <w:pPr>
                    <w:keepNext/>
                    <w:jc w:val="both"/>
                    <w:rPr>
                      <w:sz w:val="18"/>
                      <w:szCs w:val="18"/>
                    </w:rPr>
                  </w:pPr>
                </w:p>
              </w:tc>
              <w:tc>
                <w:tcPr>
                  <w:tcW w:w="1185" w:type="dxa"/>
                  <w:gridSpan w:val="2"/>
                  <w:tcBorders>
                    <w:top w:val="single" w:sz="2" w:space="0" w:color="auto"/>
                  </w:tcBorders>
                  <w:tcMar>
                    <w:top w:w="0" w:type="dxa"/>
                    <w:left w:w="70" w:type="dxa"/>
                    <w:bottom w:w="0" w:type="dxa"/>
                    <w:right w:w="70" w:type="dxa"/>
                  </w:tcMar>
                  <w:vAlign w:val="center"/>
                </w:tcPr>
                <w:p w14:paraId="151349E6" w14:textId="77777777" w:rsidR="00EC5B90" w:rsidRPr="008819AF" w:rsidRDefault="00EC5B90" w:rsidP="00EC5B90">
                  <w:pPr>
                    <w:jc w:val="center"/>
                    <w:rPr>
                      <w:sz w:val="18"/>
                      <w:szCs w:val="18"/>
                    </w:rPr>
                  </w:pPr>
                  <w:r w:rsidRPr="008819AF">
                    <w:rPr>
                      <w:sz w:val="18"/>
                      <w:szCs w:val="18"/>
                    </w:rPr>
                    <w:t>90  alebo</w:t>
                  </w:r>
                </w:p>
                <w:p w14:paraId="151349E7" w14:textId="77777777" w:rsidR="00EC5B90" w:rsidRPr="008819AF" w:rsidRDefault="00EC5B90" w:rsidP="00EC5B90">
                  <w:pPr>
                    <w:keepNext/>
                    <w:ind w:left="-70" w:right="-70"/>
                    <w:jc w:val="center"/>
                    <w:rPr>
                      <w:sz w:val="18"/>
                      <w:szCs w:val="18"/>
                      <w:vertAlign w:val="superscript"/>
                    </w:rPr>
                  </w:pPr>
                  <w:r w:rsidRPr="008819AF">
                    <w:rPr>
                      <w:sz w:val="18"/>
                      <w:szCs w:val="18"/>
                    </w:rPr>
                    <w:t>1,5 kg/ks + 70</w:t>
                  </w:r>
                </w:p>
              </w:tc>
              <w:tc>
                <w:tcPr>
                  <w:tcW w:w="1302" w:type="dxa"/>
                  <w:gridSpan w:val="2"/>
                  <w:tcBorders>
                    <w:top w:val="single" w:sz="2" w:space="0" w:color="auto"/>
                  </w:tcBorders>
                  <w:tcMar>
                    <w:top w:w="0" w:type="dxa"/>
                    <w:left w:w="70" w:type="dxa"/>
                    <w:bottom w:w="0" w:type="dxa"/>
                    <w:right w:w="70" w:type="dxa"/>
                  </w:tcMar>
                  <w:vAlign w:val="center"/>
                </w:tcPr>
                <w:p w14:paraId="151349E8" w14:textId="77777777" w:rsidR="00EC5B90" w:rsidRPr="008819AF" w:rsidRDefault="00EC5B90" w:rsidP="00EC5B90">
                  <w:pPr>
                    <w:jc w:val="center"/>
                    <w:rPr>
                      <w:sz w:val="18"/>
                      <w:szCs w:val="18"/>
                    </w:rPr>
                  </w:pPr>
                  <w:r w:rsidRPr="008819AF">
                    <w:rPr>
                      <w:sz w:val="18"/>
                      <w:szCs w:val="18"/>
                    </w:rPr>
                    <w:t>90  alebo</w:t>
                  </w:r>
                </w:p>
                <w:p w14:paraId="151349E9" w14:textId="77777777" w:rsidR="00EC5B90" w:rsidRPr="008819AF" w:rsidRDefault="00EC5B90" w:rsidP="00EC5B90">
                  <w:pPr>
                    <w:keepNext/>
                    <w:ind w:left="-70"/>
                    <w:jc w:val="center"/>
                    <w:rPr>
                      <w:sz w:val="18"/>
                      <w:szCs w:val="18"/>
                    </w:rPr>
                  </w:pPr>
                  <w:r w:rsidRPr="008819AF">
                    <w:rPr>
                      <w:sz w:val="18"/>
                      <w:szCs w:val="18"/>
                    </w:rPr>
                    <w:t>1,5kg/ks + 70</w:t>
                  </w:r>
                </w:p>
              </w:tc>
            </w:tr>
            <w:tr w:rsidR="00EC5B90" w:rsidRPr="008819AF" w14:paraId="151349F5" w14:textId="77777777" w:rsidTr="00EC5B90">
              <w:trPr>
                <w:jc w:val="center"/>
              </w:trPr>
              <w:tc>
                <w:tcPr>
                  <w:tcW w:w="429" w:type="dxa"/>
                  <w:vMerge/>
                  <w:vAlign w:val="center"/>
                </w:tcPr>
                <w:p w14:paraId="151349EB" w14:textId="77777777" w:rsidR="00EC5B90" w:rsidRPr="008819AF" w:rsidRDefault="00EC5B90" w:rsidP="00620437">
                  <w:pPr>
                    <w:rPr>
                      <w:b/>
                      <w:sz w:val="18"/>
                      <w:szCs w:val="18"/>
                    </w:rPr>
                  </w:pPr>
                </w:p>
              </w:tc>
              <w:tc>
                <w:tcPr>
                  <w:tcW w:w="1025" w:type="dxa"/>
                  <w:vMerge/>
                  <w:vAlign w:val="center"/>
                </w:tcPr>
                <w:p w14:paraId="151349EC" w14:textId="77777777" w:rsidR="00EC5B90" w:rsidRPr="008819AF" w:rsidRDefault="00EC5B90" w:rsidP="00EC5B90">
                  <w:pPr>
                    <w:pStyle w:val="Zkladntext2"/>
                    <w:ind w:left="0" w:right="-73" w:firstLine="0"/>
                    <w:rPr>
                      <w:rFonts w:ascii="Times New Roman" w:hAnsi="Times New Roman" w:cs="Times New Roman"/>
                      <w:sz w:val="18"/>
                      <w:szCs w:val="18"/>
                    </w:rPr>
                  </w:pPr>
                </w:p>
              </w:tc>
              <w:tc>
                <w:tcPr>
                  <w:tcW w:w="1014" w:type="dxa"/>
                  <w:vMerge w:val="restart"/>
                  <w:tcMar>
                    <w:top w:w="0" w:type="dxa"/>
                    <w:left w:w="70" w:type="dxa"/>
                    <w:bottom w:w="0" w:type="dxa"/>
                    <w:right w:w="70" w:type="dxa"/>
                  </w:tcMar>
                  <w:vAlign w:val="center"/>
                </w:tcPr>
                <w:p w14:paraId="151349ED" w14:textId="77777777" w:rsidR="00EC5B90" w:rsidRPr="008819AF" w:rsidRDefault="00EC5B90" w:rsidP="00620437">
                  <w:pPr>
                    <w:keepNext/>
                    <w:jc w:val="center"/>
                    <w:rPr>
                      <w:sz w:val="18"/>
                      <w:szCs w:val="18"/>
                    </w:rPr>
                  </w:pPr>
                  <w:r w:rsidRPr="008819AF">
                    <w:rPr>
                      <w:sz w:val="18"/>
                      <w:szCs w:val="18"/>
                    </w:rPr>
                    <w:t>&gt; 5000</w:t>
                  </w:r>
                </w:p>
              </w:tc>
              <w:tc>
                <w:tcPr>
                  <w:tcW w:w="786" w:type="dxa"/>
                  <w:vMerge w:val="restart"/>
                  <w:tcMar>
                    <w:top w:w="0" w:type="dxa"/>
                    <w:left w:w="70" w:type="dxa"/>
                    <w:bottom w:w="0" w:type="dxa"/>
                    <w:right w:w="70" w:type="dxa"/>
                  </w:tcMar>
                  <w:vAlign w:val="center"/>
                </w:tcPr>
                <w:p w14:paraId="151349EE" w14:textId="77777777" w:rsidR="00EC5B90" w:rsidRPr="008819AF" w:rsidRDefault="00EC5B90" w:rsidP="00620437">
                  <w:pPr>
                    <w:keepNext/>
                    <w:jc w:val="center"/>
                    <w:rPr>
                      <w:sz w:val="18"/>
                      <w:szCs w:val="18"/>
                    </w:rPr>
                  </w:pPr>
                  <w:r w:rsidRPr="008819AF">
                    <w:rPr>
                      <w:sz w:val="18"/>
                      <w:szCs w:val="18"/>
                    </w:rPr>
                    <w:t>3</w:t>
                  </w:r>
                </w:p>
              </w:tc>
              <w:tc>
                <w:tcPr>
                  <w:tcW w:w="839" w:type="dxa"/>
                  <w:tcMar>
                    <w:top w:w="0" w:type="dxa"/>
                    <w:left w:w="70" w:type="dxa"/>
                    <w:bottom w:w="0" w:type="dxa"/>
                    <w:right w:w="70" w:type="dxa"/>
                  </w:tcMar>
                  <w:vAlign w:val="center"/>
                </w:tcPr>
                <w:p w14:paraId="151349EF" w14:textId="77777777" w:rsidR="00EC5B90" w:rsidRPr="008819AF" w:rsidRDefault="00EC5B90" w:rsidP="00620437">
                  <w:pPr>
                    <w:jc w:val="center"/>
                    <w:rPr>
                      <w:sz w:val="18"/>
                      <w:szCs w:val="18"/>
                    </w:rPr>
                  </w:pPr>
                  <w:r w:rsidRPr="008819AF">
                    <w:rPr>
                      <w:sz w:val="18"/>
                      <w:szCs w:val="18"/>
                    </w:rPr>
                    <w:t>45  alebo</w:t>
                  </w:r>
                </w:p>
                <w:p w14:paraId="151349F0" w14:textId="77777777" w:rsidR="00EC5B90" w:rsidRPr="008819AF" w:rsidRDefault="00EC5B90" w:rsidP="00620437">
                  <w:pPr>
                    <w:ind w:left="7"/>
                    <w:rPr>
                      <w:sz w:val="18"/>
                      <w:szCs w:val="18"/>
                    </w:rPr>
                  </w:pPr>
                  <w:r w:rsidRPr="008819AF">
                    <w:rPr>
                      <w:sz w:val="18"/>
                      <w:szCs w:val="18"/>
                    </w:rPr>
                    <w:lastRenderedPageBreak/>
                    <w:t>1,3 kg/ks +33</w:t>
                  </w:r>
                </w:p>
              </w:tc>
              <w:tc>
                <w:tcPr>
                  <w:tcW w:w="346" w:type="dxa"/>
                  <w:vAlign w:val="center"/>
                </w:tcPr>
                <w:p w14:paraId="151349F1" w14:textId="77777777" w:rsidR="00EC5B90" w:rsidRPr="008819AF" w:rsidRDefault="00EC5B90" w:rsidP="00620437">
                  <w:pPr>
                    <w:keepNext/>
                    <w:jc w:val="center"/>
                    <w:rPr>
                      <w:sz w:val="18"/>
                      <w:szCs w:val="18"/>
                    </w:rPr>
                  </w:pPr>
                  <w:r w:rsidRPr="008819AF">
                    <w:rPr>
                      <w:sz w:val="18"/>
                      <w:szCs w:val="18"/>
                      <w:vertAlign w:val="superscript"/>
                    </w:rPr>
                    <w:lastRenderedPageBreak/>
                    <w:t>3</w:t>
                  </w:r>
                  <w:r w:rsidRPr="008819AF">
                    <w:rPr>
                      <w:sz w:val="18"/>
                      <w:szCs w:val="18"/>
                    </w:rPr>
                    <w:t>)</w:t>
                  </w:r>
                </w:p>
              </w:tc>
              <w:tc>
                <w:tcPr>
                  <w:tcW w:w="952" w:type="dxa"/>
                  <w:tcMar>
                    <w:top w:w="0" w:type="dxa"/>
                    <w:left w:w="70" w:type="dxa"/>
                    <w:bottom w:w="0" w:type="dxa"/>
                    <w:right w:w="70" w:type="dxa"/>
                  </w:tcMar>
                  <w:vAlign w:val="center"/>
                </w:tcPr>
                <w:p w14:paraId="151349F2" w14:textId="77777777" w:rsidR="00EC5B90" w:rsidRPr="008819AF" w:rsidRDefault="00EC5B90" w:rsidP="00620437">
                  <w:pPr>
                    <w:jc w:val="center"/>
                    <w:rPr>
                      <w:sz w:val="18"/>
                      <w:szCs w:val="18"/>
                    </w:rPr>
                  </w:pPr>
                  <w:r w:rsidRPr="008819AF">
                    <w:rPr>
                      <w:sz w:val="18"/>
                      <w:szCs w:val="18"/>
                    </w:rPr>
                    <w:t>60  alebo</w:t>
                  </w:r>
                </w:p>
                <w:p w14:paraId="151349F3" w14:textId="77777777" w:rsidR="00EC5B90" w:rsidRPr="008819AF" w:rsidRDefault="00EC5B90" w:rsidP="00620437">
                  <w:pPr>
                    <w:jc w:val="center"/>
                    <w:rPr>
                      <w:sz w:val="18"/>
                      <w:szCs w:val="18"/>
                    </w:rPr>
                  </w:pPr>
                  <w:r w:rsidRPr="008819AF">
                    <w:rPr>
                      <w:sz w:val="18"/>
                      <w:szCs w:val="18"/>
                    </w:rPr>
                    <w:lastRenderedPageBreak/>
                    <w:t>1,9 kg/ks + 41</w:t>
                  </w:r>
                </w:p>
              </w:tc>
              <w:tc>
                <w:tcPr>
                  <w:tcW w:w="350" w:type="dxa"/>
                  <w:vAlign w:val="center"/>
                </w:tcPr>
                <w:p w14:paraId="151349F4" w14:textId="77777777" w:rsidR="00EC5B90" w:rsidRPr="008819AF" w:rsidRDefault="00EC5B90" w:rsidP="00620437">
                  <w:pPr>
                    <w:keepNext/>
                    <w:ind w:left="-70"/>
                    <w:jc w:val="center"/>
                    <w:rPr>
                      <w:sz w:val="18"/>
                      <w:szCs w:val="18"/>
                    </w:rPr>
                  </w:pPr>
                  <w:r w:rsidRPr="008819AF">
                    <w:rPr>
                      <w:sz w:val="18"/>
                      <w:szCs w:val="18"/>
                      <w:vertAlign w:val="superscript"/>
                    </w:rPr>
                    <w:lastRenderedPageBreak/>
                    <w:t>3</w:t>
                  </w:r>
                  <w:r w:rsidRPr="008819AF">
                    <w:rPr>
                      <w:sz w:val="18"/>
                      <w:szCs w:val="18"/>
                    </w:rPr>
                    <w:t>)</w:t>
                  </w:r>
                </w:p>
              </w:tc>
            </w:tr>
            <w:tr w:rsidR="00EC5B90" w:rsidRPr="008819AF" w14:paraId="151349FE" w14:textId="77777777" w:rsidTr="00EC5B90">
              <w:trPr>
                <w:trHeight w:val="418"/>
                <w:jc w:val="center"/>
              </w:trPr>
              <w:tc>
                <w:tcPr>
                  <w:tcW w:w="429" w:type="dxa"/>
                  <w:vMerge/>
                  <w:vAlign w:val="center"/>
                </w:tcPr>
                <w:p w14:paraId="151349F6" w14:textId="77777777" w:rsidR="00EC5B90" w:rsidRPr="008819AF" w:rsidRDefault="00EC5B90" w:rsidP="00620437">
                  <w:pPr>
                    <w:rPr>
                      <w:b/>
                      <w:sz w:val="18"/>
                      <w:szCs w:val="18"/>
                    </w:rPr>
                  </w:pPr>
                </w:p>
              </w:tc>
              <w:tc>
                <w:tcPr>
                  <w:tcW w:w="1025" w:type="dxa"/>
                  <w:vMerge/>
                  <w:vAlign w:val="center"/>
                </w:tcPr>
                <w:p w14:paraId="151349F7" w14:textId="77777777" w:rsidR="00EC5B90" w:rsidRPr="008819AF" w:rsidRDefault="00EC5B90" w:rsidP="00EC5B90">
                  <w:pPr>
                    <w:pStyle w:val="Zkladntext2"/>
                    <w:ind w:left="0" w:right="-73" w:firstLine="0"/>
                    <w:rPr>
                      <w:rFonts w:ascii="Times New Roman" w:hAnsi="Times New Roman" w:cs="Times New Roman"/>
                      <w:sz w:val="18"/>
                      <w:szCs w:val="18"/>
                    </w:rPr>
                  </w:pPr>
                </w:p>
              </w:tc>
              <w:tc>
                <w:tcPr>
                  <w:tcW w:w="1014" w:type="dxa"/>
                  <w:vMerge/>
                  <w:tcMar>
                    <w:top w:w="0" w:type="dxa"/>
                    <w:left w:w="70" w:type="dxa"/>
                    <w:bottom w:w="0" w:type="dxa"/>
                    <w:right w:w="70" w:type="dxa"/>
                  </w:tcMar>
                  <w:vAlign w:val="center"/>
                </w:tcPr>
                <w:p w14:paraId="151349F8" w14:textId="77777777" w:rsidR="00EC5B90" w:rsidRPr="008819AF" w:rsidRDefault="00EC5B90" w:rsidP="00620437">
                  <w:pPr>
                    <w:keepNext/>
                    <w:jc w:val="center"/>
                    <w:rPr>
                      <w:sz w:val="18"/>
                      <w:szCs w:val="18"/>
                    </w:rPr>
                  </w:pPr>
                </w:p>
              </w:tc>
              <w:tc>
                <w:tcPr>
                  <w:tcW w:w="786" w:type="dxa"/>
                  <w:vMerge/>
                  <w:tcMar>
                    <w:top w:w="0" w:type="dxa"/>
                    <w:left w:w="70" w:type="dxa"/>
                    <w:bottom w:w="0" w:type="dxa"/>
                    <w:right w:w="70" w:type="dxa"/>
                  </w:tcMar>
                  <w:vAlign w:val="center"/>
                </w:tcPr>
                <w:p w14:paraId="151349F9" w14:textId="77777777" w:rsidR="00EC5B90" w:rsidRPr="008819AF" w:rsidRDefault="00EC5B90" w:rsidP="00620437">
                  <w:pPr>
                    <w:keepNext/>
                    <w:jc w:val="center"/>
                    <w:rPr>
                      <w:sz w:val="18"/>
                      <w:szCs w:val="18"/>
                    </w:rPr>
                  </w:pPr>
                </w:p>
              </w:tc>
              <w:tc>
                <w:tcPr>
                  <w:tcW w:w="1185" w:type="dxa"/>
                  <w:gridSpan w:val="2"/>
                  <w:tcMar>
                    <w:top w:w="0" w:type="dxa"/>
                    <w:left w:w="70" w:type="dxa"/>
                    <w:bottom w:w="0" w:type="dxa"/>
                    <w:right w:w="70" w:type="dxa"/>
                  </w:tcMar>
                  <w:vAlign w:val="center"/>
                </w:tcPr>
                <w:p w14:paraId="151349FA" w14:textId="77777777" w:rsidR="00EC5B90" w:rsidRPr="008819AF" w:rsidRDefault="00EC5B90" w:rsidP="00620437">
                  <w:pPr>
                    <w:jc w:val="center"/>
                    <w:rPr>
                      <w:sz w:val="18"/>
                      <w:szCs w:val="18"/>
                    </w:rPr>
                  </w:pPr>
                  <w:r w:rsidRPr="008819AF">
                    <w:rPr>
                      <w:sz w:val="18"/>
                      <w:szCs w:val="18"/>
                    </w:rPr>
                    <w:t>35 alebo</w:t>
                  </w:r>
                </w:p>
                <w:p w14:paraId="151349FB" w14:textId="77777777" w:rsidR="00EC5B90" w:rsidRPr="008819AF" w:rsidRDefault="00EC5B90" w:rsidP="00620437">
                  <w:pPr>
                    <w:jc w:val="center"/>
                    <w:rPr>
                      <w:sz w:val="18"/>
                      <w:szCs w:val="18"/>
                    </w:rPr>
                  </w:pPr>
                  <w:r w:rsidRPr="008819AF">
                    <w:rPr>
                      <w:sz w:val="18"/>
                      <w:szCs w:val="18"/>
                    </w:rPr>
                    <w:t>1 kg/ks + 26</w:t>
                  </w:r>
                </w:p>
              </w:tc>
              <w:tc>
                <w:tcPr>
                  <w:tcW w:w="1302" w:type="dxa"/>
                  <w:gridSpan w:val="2"/>
                  <w:tcMar>
                    <w:top w:w="0" w:type="dxa"/>
                    <w:left w:w="70" w:type="dxa"/>
                    <w:bottom w:w="0" w:type="dxa"/>
                    <w:right w:w="70" w:type="dxa"/>
                  </w:tcMar>
                  <w:vAlign w:val="center"/>
                </w:tcPr>
                <w:p w14:paraId="151349FC" w14:textId="77777777" w:rsidR="00EC5B90" w:rsidRPr="008819AF" w:rsidRDefault="00EC5B90" w:rsidP="00620437">
                  <w:pPr>
                    <w:jc w:val="center"/>
                    <w:rPr>
                      <w:sz w:val="18"/>
                      <w:szCs w:val="18"/>
                    </w:rPr>
                  </w:pPr>
                  <w:r w:rsidRPr="008819AF">
                    <w:rPr>
                      <w:sz w:val="18"/>
                      <w:szCs w:val="18"/>
                    </w:rPr>
                    <w:t>35 alebo</w:t>
                  </w:r>
                </w:p>
                <w:p w14:paraId="151349FD" w14:textId="77777777" w:rsidR="00EC5B90" w:rsidRPr="008819AF" w:rsidRDefault="00EC5B90" w:rsidP="00620437">
                  <w:pPr>
                    <w:jc w:val="center"/>
                    <w:rPr>
                      <w:sz w:val="18"/>
                      <w:szCs w:val="18"/>
                    </w:rPr>
                  </w:pPr>
                  <w:r w:rsidRPr="008819AF">
                    <w:rPr>
                      <w:sz w:val="18"/>
                      <w:szCs w:val="18"/>
                    </w:rPr>
                    <w:t>1 kg/ks + 26</w:t>
                  </w:r>
                </w:p>
              </w:tc>
            </w:tr>
            <w:tr w:rsidR="00EC5B90" w:rsidRPr="008819AF" w14:paraId="15134A05" w14:textId="77777777" w:rsidTr="00EC5B90">
              <w:trPr>
                <w:trHeight w:val="404"/>
                <w:jc w:val="center"/>
              </w:trPr>
              <w:tc>
                <w:tcPr>
                  <w:tcW w:w="429" w:type="dxa"/>
                  <w:vMerge w:val="restart"/>
                  <w:tcMar>
                    <w:top w:w="0" w:type="dxa"/>
                    <w:left w:w="70" w:type="dxa"/>
                    <w:bottom w:w="0" w:type="dxa"/>
                    <w:right w:w="70" w:type="dxa"/>
                  </w:tcMar>
                  <w:vAlign w:val="center"/>
                </w:tcPr>
                <w:p w14:paraId="151349FF" w14:textId="77777777" w:rsidR="00EC5B90" w:rsidRPr="008819AF" w:rsidRDefault="00EC5B90" w:rsidP="00620437">
                  <w:pPr>
                    <w:keepNext/>
                    <w:jc w:val="center"/>
                    <w:rPr>
                      <w:sz w:val="18"/>
                      <w:szCs w:val="18"/>
                    </w:rPr>
                  </w:pPr>
                  <w:r w:rsidRPr="008819AF">
                    <w:rPr>
                      <w:b/>
                      <w:sz w:val="18"/>
                      <w:szCs w:val="18"/>
                    </w:rPr>
                    <w:t>Va</w:t>
                  </w:r>
                </w:p>
              </w:tc>
              <w:tc>
                <w:tcPr>
                  <w:tcW w:w="1025" w:type="dxa"/>
                  <w:vMerge w:val="restart"/>
                  <w:tcMar>
                    <w:top w:w="0" w:type="dxa"/>
                    <w:left w:w="70" w:type="dxa"/>
                    <w:bottom w:w="0" w:type="dxa"/>
                    <w:right w:w="70" w:type="dxa"/>
                  </w:tcMar>
                  <w:vAlign w:val="center"/>
                </w:tcPr>
                <w:p w14:paraId="15134A00" w14:textId="77777777" w:rsidR="00EC5B90" w:rsidRPr="008819AF" w:rsidRDefault="00EC5B90" w:rsidP="00EC5B90">
                  <w:pPr>
                    <w:pStyle w:val="Zkladntext2"/>
                    <w:ind w:left="0" w:right="-73" w:firstLine="0"/>
                    <w:rPr>
                      <w:rFonts w:ascii="Times New Roman" w:hAnsi="Times New Roman" w:cs="Times New Roman"/>
                      <w:sz w:val="18"/>
                      <w:szCs w:val="18"/>
                    </w:rPr>
                  </w:pPr>
                  <w:r w:rsidRPr="008819AF">
                    <w:rPr>
                      <w:rFonts w:ascii="Times New Roman" w:hAnsi="Times New Roman" w:cs="Times New Roman"/>
                      <w:sz w:val="18"/>
                      <w:szCs w:val="18"/>
                    </w:rPr>
                    <w:t>Kabíny nákladných automobilov</w:t>
                  </w:r>
                </w:p>
              </w:tc>
              <w:tc>
                <w:tcPr>
                  <w:tcW w:w="1014" w:type="dxa"/>
                  <w:tcMar>
                    <w:top w:w="0" w:type="dxa"/>
                    <w:left w:w="70" w:type="dxa"/>
                    <w:bottom w:w="0" w:type="dxa"/>
                    <w:right w:w="70" w:type="dxa"/>
                  </w:tcMar>
                  <w:vAlign w:val="center"/>
                </w:tcPr>
                <w:p w14:paraId="15134A01" w14:textId="77777777" w:rsidR="00EC5B90" w:rsidRPr="008819AF" w:rsidRDefault="00EC5B90" w:rsidP="00EC5B90">
                  <w:pPr>
                    <w:keepNext/>
                    <w:jc w:val="center"/>
                    <w:rPr>
                      <w:sz w:val="18"/>
                      <w:szCs w:val="18"/>
                    </w:rPr>
                  </w:pPr>
                  <w:r w:rsidRPr="008819AF">
                    <w:rPr>
                      <w:sz w:val="18"/>
                      <w:szCs w:val="18"/>
                    </w:rPr>
                    <w:sym w:font="Symbol" w:char="F0A3"/>
                  </w:r>
                  <w:r w:rsidRPr="008819AF">
                    <w:rPr>
                      <w:sz w:val="18"/>
                      <w:szCs w:val="18"/>
                    </w:rPr>
                    <w:t xml:space="preserve"> 5000</w:t>
                  </w:r>
                </w:p>
              </w:tc>
              <w:tc>
                <w:tcPr>
                  <w:tcW w:w="786" w:type="dxa"/>
                  <w:tcMar>
                    <w:top w:w="0" w:type="dxa"/>
                    <w:left w:w="70" w:type="dxa"/>
                    <w:bottom w:w="0" w:type="dxa"/>
                    <w:right w:w="70" w:type="dxa"/>
                  </w:tcMar>
                  <w:vAlign w:val="center"/>
                </w:tcPr>
                <w:p w14:paraId="15134A02" w14:textId="77777777" w:rsidR="00EC5B90" w:rsidRPr="008819AF" w:rsidRDefault="00EC5B90" w:rsidP="00EC5B90">
                  <w:pPr>
                    <w:keepNext/>
                    <w:jc w:val="center"/>
                    <w:rPr>
                      <w:sz w:val="18"/>
                      <w:szCs w:val="18"/>
                    </w:rPr>
                  </w:pPr>
                  <w:r w:rsidRPr="008819AF">
                    <w:rPr>
                      <w:sz w:val="18"/>
                      <w:szCs w:val="18"/>
                    </w:rPr>
                    <w:t>3</w:t>
                  </w:r>
                </w:p>
              </w:tc>
              <w:tc>
                <w:tcPr>
                  <w:tcW w:w="1185" w:type="dxa"/>
                  <w:gridSpan w:val="2"/>
                  <w:tcMar>
                    <w:top w:w="0" w:type="dxa"/>
                    <w:left w:w="70" w:type="dxa"/>
                    <w:bottom w:w="0" w:type="dxa"/>
                    <w:right w:w="70" w:type="dxa"/>
                  </w:tcMar>
                  <w:vAlign w:val="center"/>
                </w:tcPr>
                <w:p w14:paraId="15134A03" w14:textId="77777777" w:rsidR="00EC5B90" w:rsidRPr="008819AF" w:rsidRDefault="00EC5B90" w:rsidP="00EC5B90">
                  <w:pPr>
                    <w:keepNext/>
                    <w:jc w:val="center"/>
                    <w:rPr>
                      <w:sz w:val="18"/>
                      <w:szCs w:val="18"/>
                    </w:rPr>
                  </w:pPr>
                  <w:r w:rsidRPr="008819AF">
                    <w:rPr>
                      <w:sz w:val="18"/>
                      <w:szCs w:val="18"/>
                    </w:rPr>
                    <w:t xml:space="preserve">65 </w:t>
                  </w:r>
                </w:p>
              </w:tc>
              <w:tc>
                <w:tcPr>
                  <w:tcW w:w="1302" w:type="dxa"/>
                  <w:gridSpan w:val="2"/>
                  <w:tcMar>
                    <w:top w:w="0" w:type="dxa"/>
                    <w:left w:w="70" w:type="dxa"/>
                    <w:bottom w:w="0" w:type="dxa"/>
                    <w:right w:w="70" w:type="dxa"/>
                  </w:tcMar>
                  <w:vAlign w:val="center"/>
                </w:tcPr>
                <w:p w14:paraId="15134A04" w14:textId="77777777" w:rsidR="00EC5B90" w:rsidRPr="008819AF" w:rsidRDefault="00EC5B90" w:rsidP="00EC5B90">
                  <w:pPr>
                    <w:keepNext/>
                    <w:jc w:val="center"/>
                    <w:rPr>
                      <w:sz w:val="18"/>
                      <w:szCs w:val="18"/>
                    </w:rPr>
                  </w:pPr>
                  <w:r w:rsidRPr="008819AF">
                    <w:rPr>
                      <w:sz w:val="18"/>
                      <w:szCs w:val="18"/>
                    </w:rPr>
                    <w:t>85</w:t>
                  </w:r>
                </w:p>
              </w:tc>
            </w:tr>
            <w:tr w:rsidR="00EC5B90" w:rsidRPr="008819AF" w14:paraId="15134A0C" w14:textId="77777777" w:rsidTr="00EC5B90">
              <w:trPr>
                <w:trHeight w:val="404"/>
                <w:jc w:val="center"/>
              </w:trPr>
              <w:tc>
                <w:tcPr>
                  <w:tcW w:w="429" w:type="dxa"/>
                  <w:vMerge/>
                  <w:vAlign w:val="center"/>
                </w:tcPr>
                <w:p w14:paraId="15134A06" w14:textId="77777777" w:rsidR="00EC5B90" w:rsidRPr="008819AF" w:rsidRDefault="00EC5B90" w:rsidP="00620437">
                  <w:pPr>
                    <w:rPr>
                      <w:sz w:val="18"/>
                      <w:szCs w:val="18"/>
                    </w:rPr>
                  </w:pPr>
                </w:p>
              </w:tc>
              <w:tc>
                <w:tcPr>
                  <w:tcW w:w="1025" w:type="dxa"/>
                  <w:vMerge/>
                  <w:vAlign w:val="center"/>
                </w:tcPr>
                <w:p w14:paraId="15134A07" w14:textId="77777777" w:rsidR="00EC5B90" w:rsidRPr="008819AF" w:rsidRDefault="00EC5B90" w:rsidP="00EC5B90">
                  <w:pPr>
                    <w:pStyle w:val="Zkladntext2"/>
                    <w:ind w:left="0" w:right="-73" w:firstLine="0"/>
                    <w:rPr>
                      <w:rFonts w:ascii="Times New Roman" w:hAnsi="Times New Roman" w:cs="Times New Roman"/>
                      <w:sz w:val="18"/>
                      <w:szCs w:val="18"/>
                    </w:rPr>
                  </w:pPr>
                </w:p>
              </w:tc>
              <w:tc>
                <w:tcPr>
                  <w:tcW w:w="1014" w:type="dxa"/>
                  <w:tcMar>
                    <w:top w:w="0" w:type="dxa"/>
                    <w:left w:w="70" w:type="dxa"/>
                    <w:bottom w:w="0" w:type="dxa"/>
                    <w:right w:w="70" w:type="dxa"/>
                  </w:tcMar>
                  <w:vAlign w:val="center"/>
                </w:tcPr>
                <w:p w14:paraId="15134A08" w14:textId="77777777" w:rsidR="00EC5B90" w:rsidRPr="008819AF" w:rsidRDefault="00EC5B90" w:rsidP="00EC5B90">
                  <w:pPr>
                    <w:keepNext/>
                    <w:jc w:val="center"/>
                    <w:rPr>
                      <w:sz w:val="18"/>
                      <w:szCs w:val="18"/>
                    </w:rPr>
                  </w:pPr>
                  <w:r w:rsidRPr="008819AF">
                    <w:rPr>
                      <w:sz w:val="18"/>
                      <w:szCs w:val="18"/>
                    </w:rPr>
                    <w:t>&gt; 5000</w:t>
                  </w:r>
                </w:p>
              </w:tc>
              <w:tc>
                <w:tcPr>
                  <w:tcW w:w="786" w:type="dxa"/>
                  <w:tcMar>
                    <w:top w:w="0" w:type="dxa"/>
                    <w:left w:w="70" w:type="dxa"/>
                    <w:bottom w:w="0" w:type="dxa"/>
                    <w:right w:w="70" w:type="dxa"/>
                  </w:tcMar>
                  <w:vAlign w:val="center"/>
                </w:tcPr>
                <w:p w14:paraId="15134A09" w14:textId="77777777" w:rsidR="00EC5B90" w:rsidRPr="008819AF" w:rsidRDefault="00EC5B90" w:rsidP="00EC5B90">
                  <w:pPr>
                    <w:keepNext/>
                    <w:jc w:val="center"/>
                    <w:rPr>
                      <w:sz w:val="18"/>
                      <w:szCs w:val="18"/>
                    </w:rPr>
                  </w:pPr>
                  <w:r w:rsidRPr="008819AF">
                    <w:rPr>
                      <w:sz w:val="18"/>
                      <w:szCs w:val="18"/>
                    </w:rPr>
                    <w:t>3</w:t>
                  </w:r>
                </w:p>
              </w:tc>
              <w:tc>
                <w:tcPr>
                  <w:tcW w:w="1185" w:type="dxa"/>
                  <w:gridSpan w:val="2"/>
                  <w:tcMar>
                    <w:top w:w="0" w:type="dxa"/>
                    <w:left w:w="70" w:type="dxa"/>
                    <w:bottom w:w="0" w:type="dxa"/>
                    <w:right w:w="70" w:type="dxa"/>
                  </w:tcMar>
                  <w:vAlign w:val="center"/>
                </w:tcPr>
                <w:p w14:paraId="15134A0A" w14:textId="77777777" w:rsidR="00EC5B90" w:rsidRPr="008819AF" w:rsidRDefault="00EC5B90" w:rsidP="00EC5B90">
                  <w:pPr>
                    <w:keepNext/>
                    <w:jc w:val="center"/>
                    <w:rPr>
                      <w:sz w:val="18"/>
                      <w:szCs w:val="18"/>
                    </w:rPr>
                  </w:pPr>
                  <w:r w:rsidRPr="008819AF">
                    <w:rPr>
                      <w:sz w:val="18"/>
                      <w:szCs w:val="18"/>
                    </w:rPr>
                    <w:t>55</w:t>
                  </w:r>
                </w:p>
              </w:tc>
              <w:tc>
                <w:tcPr>
                  <w:tcW w:w="1302" w:type="dxa"/>
                  <w:gridSpan w:val="2"/>
                  <w:tcMar>
                    <w:top w:w="0" w:type="dxa"/>
                    <w:left w:w="70" w:type="dxa"/>
                    <w:bottom w:w="0" w:type="dxa"/>
                    <w:right w:w="70" w:type="dxa"/>
                  </w:tcMar>
                  <w:vAlign w:val="center"/>
                </w:tcPr>
                <w:p w14:paraId="15134A0B" w14:textId="77777777" w:rsidR="00EC5B90" w:rsidRPr="008819AF" w:rsidRDefault="00EC5B90" w:rsidP="00EC5B90">
                  <w:pPr>
                    <w:keepNext/>
                    <w:jc w:val="center"/>
                    <w:rPr>
                      <w:sz w:val="18"/>
                      <w:szCs w:val="18"/>
                    </w:rPr>
                  </w:pPr>
                  <w:r w:rsidRPr="008819AF">
                    <w:rPr>
                      <w:sz w:val="18"/>
                      <w:szCs w:val="18"/>
                    </w:rPr>
                    <w:t>55, 75</w:t>
                  </w:r>
                  <w:r w:rsidRPr="008819AF">
                    <w:rPr>
                      <w:sz w:val="18"/>
                      <w:szCs w:val="18"/>
                      <w:vertAlign w:val="superscript"/>
                    </w:rPr>
                    <w:t>3</w:t>
                  </w:r>
                  <w:r w:rsidRPr="008819AF">
                    <w:rPr>
                      <w:sz w:val="18"/>
                      <w:szCs w:val="18"/>
                    </w:rPr>
                    <w:t>)</w:t>
                  </w:r>
                </w:p>
              </w:tc>
            </w:tr>
            <w:tr w:rsidR="00EC5B90" w:rsidRPr="008819AF" w14:paraId="15134A13" w14:textId="77777777" w:rsidTr="00EC5B90">
              <w:trPr>
                <w:trHeight w:val="405"/>
                <w:jc w:val="center"/>
              </w:trPr>
              <w:tc>
                <w:tcPr>
                  <w:tcW w:w="429" w:type="dxa"/>
                  <w:vMerge w:val="restart"/>
                  <w:tcMar>
                    <w:top w:w="0" w:type="dxa"/>
                    <w:left w:w="70" w:type="dxa"/>
                    <w:bottom w:w="0" w:type="dxa"/>
                    <w:right w:w="70" w:type="dxa"/>
                  </w:tcMar>
                  <w:vAlign w:val="center"/>
                </w:tcPr>
                <w:p w14:paraId="15134A0D" w14:textId="77777777" w:rsidR="00EC5B90" w:rsidRPr="008819AF" w:rsidRDefault="00EC5B90" w:rsidP="00620437">
                  <w:pPr>
                    <w:keepNext/>
                    <w:jc w:val="center"/>
                    <w:rPr>
                      <w:sz w:val="18"/>
                      <w:szCs w:val="18"/>
                    </w:rPr>
                  </w:pPr>
                  <w:r w:rsidRPr="008819AF">
                    <w:rPr>
                      <w:b/>
                      <w:sz w:val="18"/>
                      <w:szCs w:val="18"/>
                    </w:rPr>
                    <w:t>Va</w:t>
                  </w:r>
                </w:p>
              </w:tc>
              <w:tc>
                <w:tcPr>
                  <w:tcW w:w="1025" w:type="dxa"/>
                  <w:vMerge w:val="restart"/>
                  <w:tcMar>
                    <w:top w:w="0" w:type="dxa"/>
                    <w:left w:w="70" w:type="dxa"/>
                    <w:bottom w:w="0" w:type="dxa"/>
                    <w:right w:w="70" w:type="dxa"/>
                  </w:tcMar>
                  <w:vAlign w:val="center"/>
                </w:tcPr>
                <w:p w14:paraId="15134A0E" w14:textId="77777777" w:rsidR="00EC5B90" w:rsidRPr="008819AF" w:rsidRDefault="00EC5B90" w:rsidP="00EC5B90">
                  <w:pPr>
                    <w:pStyle w:val="Zkladntext2"/>
                    <w:ind w:left="0" w:right="-73" w:firstLine="0"/>
                    <w:rPr>
                      <w:rFonts w:ascii="Times New Roman" w:hAnsi="Times New Roman" w:cs="Times New Roman"/>
                      <w:sz w:val="18"/>
                      <w:szCs w:val="18"/>
                    </w:rPr>
                  </w:pPr>
                  <w:r w:rsidRPr="008819AF">
                    <w:rPr>
                      <w:rFonts w:ascii="Times New Roman" w:hAnsi="Times New Roman" w:cs="Times New Roman"/>
                      <w:sz w:val="18"/>
                      <w:szCs w:val="18"/>
                    </w:rPr>
                    <w:t>Dodávkové a nákladné automobily</w:t>
                  </w:r>
                </w:p>
              </w:tc>
              <w:tc>
                <w:tcPr>
                  <w:tcW w:w="1014" w:type="dxa"/>
                  <w:tcMar>
                    <w:top w:w="0" w:type="dxa"/>
                    <w:left w:w="70" w:type="dxa"/>
                    <w:bottom w:w="0" w:type="dxa"/>
                    <w:right w:w="70" w:type="dxa"/>
                  </w:tcMar>
                  <w:vAlign w:val="center"/>
                </w:tcPr>
                <w:p w14:paraId="15134A0F" w14:textId="77777777" w:rsidR="00EC5B90" w:rsidRPr="008819AF" w:rsidRDefault="00EC5B90" w:rsidP="00EC5B90">
                  <w:pPr>
                    <w:keepNext/>
                    <w:jc w:val="center"/>
                    <w:rPr>
                      <w:sz w:val="18"/>
                      <w:szCs w:val="18"/>
                    </w:rPr>
                  </w:pPr>
                  <w:r w:rsidRPr="008819AF">
                    <w:rPr>
                      <w:sz w:val="18"/>
                      <w:szCs w:val="18"/>
                    </w:rPr>
                    <w:t>≤ 2500</w:t>
                  </w:r>
                </w:p>
              </w:tc>
              <w:tc>
                <w:tcPr>
                  <w:tcW w:w="786" w:type="dxa"/>
                  <w:tcMar>
                    <w:top w:w="0" w:type="dxa"/>
                    <w:left w:w="70" w:type="dxa"/>
                    <w:bottom w:w="0" w:type="dxa"/>
                    <w:right w:w="70" w:type="dxa"/>
                  </w:tcMar>
                  <w:vAlign w:val="center"/>
                </w:tcPr>
                <w:p w14:paraId="15134A10" w14:textId="77777777" w:rsidR="00EC5B90" w:rsidRPr="008819AF" w:rsidRDefault="00EC5B90" w:rsidP="00EC5B90">
                  <w:pPr>
                    <w:keepNext/>
                    <w:jc w:val="center"/>
                    <w:rPr>
                      <w:sz w:val="18"/>
                      <w:szCs w:val="18"/>
                    </w:rPr>
                  </w:pPr>
                  <w:r w:rsidRPr="008819AF">
                    <w:rPr>
                      <w:sz w:val="18"/>
                      <w:szCs w:val="18"/>
                    </w:rPr>
                    <w:t>3</w:t>
                  </w:r>
                </w:p>
              </w:tc>
              <w:tc>
                <w:tcPr>
                  <w:tcW w:w="1185" w:type="dxa"/>
                  <w:gridSpan w:val="2"/>
                  <w:tcMar>
                    <w:top w:w="0" w:type="dxa"/>
                    <w:left w:w="70" w:type="dxa"/>
                    <w:bottom w:w="0" w:type="dxa"/>
                    <w:right w:w="70" w:type="dxa"/>
                  </w:tcMar>
                  <w:vAlign w:val="center"/>
                </w:tcPr>
                <w:p w14:paraId="15134A11" w14:textId="77777777" w:rsidR="00EC5B90" w:rsidRPr="008819AF" w:rsidRDefault="00EC5B90" w:rsidP="00EC5B90">
                  <w:pPr>
                    <w:keepNext/>
                    <w:jc w:val="center"/>
                    <w:rPr>
                      <w:sz w:val="18"/>
                      <w:szCs w:val="18"/>
                    </w:rPr>
                  </w:pPr>
                  <w:r w:rsidRPr="008819AF">
                    <w:rPr>
                      <w:sz w:val="18"/>
                      <w:szCs w:val="18"/>
                    </w:rPr>
                    <w:t>90</w:t>
                  </w:r>
                </w:p>
              </w:tc>
              <w:tc>
                <w:tcPr>
                  <w:tcW w:w="1302" w:type="dxa"/>
                  <w:gridSpan w:val="2"/>
                  <w:tcMar>
                    <w:top w:w="0" w:type="dxa"/>
                    <w:left w:w="70" w:type="dxa"/>
                    <w:bottom w:w="0" w:type="dxa"/>
                    <w:right w:w="70" w:type="dxa"/>
                  </w:tcMar>
                  <w:vAlign w:val="center"/>
                </w:tcPr>
                <w:p w14:paraId="15134A12" w14:textId="77777777" w:rsidR="00EC5B90" w:rsidRPr="008819AF" w:rsidRDefault="00EC5B90" w:rsidP="00EC5B90">
                  <w:pPr>
                    <w:keepNext/>
                    <w:jc w:val="center"/>
                    <w:rPr>
                      <w:sz w:val="18"/>
                      <w:szCs w:val="18"/>
                    </w:rPr>
                  </w:pPr>
                  <w:r w:rsidRPr="008819AF">
                    <w:rPr>
                      <w:sz w:val="18"/>
                      <w:szCs w:val="18"/>
                    </w:rPr>
                    <w:t>120</w:t>
                  </w:r>
                </w:p>
              </w:tc>
            </w:tr>
            <w:tr w:rsidR="00EC5B90" w:rsidRPr="008819AF" w14:paraId="15134A1A" w14:textId="77777777" w:rsidTr="00EC5B90">
              <w:trPr>
                <w:trHeight w:val="404"/>
                <w:jc w:val="center"/>
              </w:trPr>
              <w:tc>
                <w:tcPr>
                  <w:tcW w:w="429" w:type="dxa"/>
                  <w:vMerge/>
                  <w:vAlign w:val="center"/>
                </w:tcPr>
                <w:p w14:paraId="15134A14" w14:textId="77777777" w:rsidR="00EC5B90" w:rsidRPr="008819AF" w:rsidRDefault="00EC5B90" w:rsidP="00620437">
                  <w:pPr>
                    <w:rPr>
                      <w:sz w:val="18"/>
                      <w:szCs w:val="18"/>
                    </w:rPr>
                  </w:pPr>
                </w:p>
              </w:tc>
              <w:tc>
                <w:tcPr>
                  <w:tcW w:w="1025" w:type="dxa"/>
                  <w:vMerge/>
                  <w:vAlign w:val="center"/>
                </w:tcPr>
                <w:p w14:paraId="15134A15" w14:textId="77777777" w:rsidR="00EC5B90" w:rsidRPr="008819AF" w:rsidRDefault="00EC5B90" w:rsidP="00EC5B90">
                  <w:pPr>
                    <w:pStyle w:val="Zkladntext2"/>
                    <w:ind w:left="0" w:right="-73" w:firstLine="0"/>
                    <w:rPr>
                      <w:rFonts w:ascii="Times New Roman" w:hAnsi="Times New Roman" w:cs="Times New Roman"/>
                      <w:sz w:val="18"/>
                      <w:szCs w:val="18"/>
                    </w:rPr>
                  </w:pPr>
                </w:p>
              </w:tc>
              <w:tc>
                <w:tcPr>
                  <w:tcW w:w="1014" w:type="dxa"/>
                  <w:tcMar>
                    <w:top w:w="0" w:type="dxa"/>
                    <w:left w:w="70" w:type="dxa"/>
                    <w:bottom w:w="0" w:type="dxa"/>
                    <w:right w:w="70" w:type="dxa"/>
                  </w:tcMar>
                  <w:vAlign w:val="center"/>
                </w:tcPr>
                <w:p w14:paraId="15134A16" w14:textId="77777777" w:rsidR="00EC5B90" w:rsidRPr="008819AF" w:rsidRDefault="00EC5B90" w:rsidP="00EC5B90">
                  <w:pPr>
                    <w:keepNext/>
                    <w:jc w:val="center"/>
                    <w:rPr>
                      <w:sz w:val="18"/>
                      <w:szCs w:val="18"/>
                    </w:rPr>
                  </w:pPr>
                  <w:r w:rsidRPr="008819AF">
                    <w:rPr>
                      <w:sz w:val="18"/>
                      <w:szCs w:val="18"/>
                    </w:rPr>
                    <w:t>&gt; 2500</w:t>
                  </w:r>
                </w:p>
              </w:tc>
              <w:tc>
                <w:tcPr>
                  <w:tcW w:w="786" w:type="dxa"/>
                  <w:tcMar>
                    <w:top w:w="0" w:type="dxa"/>
                    <w:left w:w="70" w:type="dxa"/>
                    <w:bottom w:w="0" w:type="dxa"/>
                    <w:right w:w="70" w:type="dxa"/>
                  </w:tcMar>
                  <w:vAlign w:val="center"/>
                </w:tcPr>
                <w:p w14:paraId="15134A17" w14:textId="77777777" w:rsidR="00EC5B90" w:rsidRPr="008819AF" w:rsidRDefault="00EC5B90" w:rsidP="00EC5B90">
                  <w:pPr>
                    <w:keepNext/>
                    <w:jc w:val="center"/>
                    <w:rPr>
                      <w:sz w:val="18"/>
                      <w:szCs w:val="18"/>
                    </w:rPr>
                  </w:pPr>
                  <w:r w:rsidRPr="008819AF">
                    <w:rPr>
                      <w:sz w:val="18"/>
                      <w:szCs w:val="18"/>
                    </w:rPr>
                    <w:t>3</w:t>
                  </w:r>
                </w:p>
              </w:tc>
              <w:tc>
                <w:tcPr>
                  <w:tcW w:w="1185" w:type="dxa"/>
                  <w:gridSpan w:val="2"/>
                  <w:tcMar>
                    <w:top w:w="0" w:type="dxa"/>
                    <w:left w:w="70" w:type="dxa"/>
                    <w:bottom w:w="0" w:type="dxa"/>
                    <w:right w:w="70" w:type="dxa"/>
                  </w:tcMar>
                  <w:vAlign w:val="center"/>
                </w:tcPr>
                <w:p w14:paraId="15134A18" w14:textId="77777777" w:rsidR="00EC5B90" w:rsidRPr="008819AF" w:rsidRDefault="00EC5B90" w:rsidP="00EC5B90">
                  <w:pPr>
                    <w:keepNext/>
                    <w:jc w:val="center"/>
                    <w:rPr>
                      <w:sz w:val="18"/>
                      <w:szCs w:val="18"/>
                    </w:rPr>
                  </w:pPr>
                  <w:r w:rsidRPr="008819AF">
                    <w:rPr>
                      <w:sz w:val="18"/>
                      <w:szCs w:val="18"/>
                    </w:rPr>
                    <w:t>50,70</w:t>
                  </w:r>
                  <w:r w:rsidRPr="008819AF">
                    <w:rPr>
                      <w:sz w:val="18"/>
                      <w:szCs w:val="18"/>
                      <w:vertAlign w:val="superscript"/>
                    </w:rPr>
                    <w:t>3</w:t>
                  </w:r>
                  <w:r w:rsidRPr="008819AF">
                    <w:rPr>
                      <w:sz w:val="18"/>
                      <w:szCs w:val="18"/>
                    </w:rPr>
                    <w:t>)</w:t>
                  </w:r>
                </w:p>
              </w:tc>
              <w:tc>
                <w:tcPr>
                  <w:tcW w:w="1302" w:type="dxa"/>
                  <w:gridSpan w:val="2"/>
                  <w:tcMar>
                    <w:top w:w="0" w:type="dxa"/>
                    <w:left w:w="70" w:type="dxa"/>
                    <w:bottom w:w="0" w:type="dxa"/>
                    <w:right w:w="70" w:type="dxa"/>
                  </w:tcMar>
                  <w:vAlign w:val="center"/>
                </w:tcPr>
                <w:p w14:paraId="15134A19" w14:textId="77777777" w:rsidR="00EC5B90" w:rsidRPr="008819AF" w:rsidRDefault="00EC5B90" w:rsidP="00EC5B90">
                  <w:pPr>
                    <w:keepNext/>
                    <w:jc w:val="center"/>
                    <w:rPr>
                      <w:sz w:val="18"/>
                      <w:szCs w:val="18"/>
                    </w:rPr>
                  </w:pPr>
                  <w:r w:rsidRPr="008819AF">
                    <w:rPr>
                      <w:sz w:val="18"/>
                      <w:szCs w:val="18"/>
                    </w:rPr>
                    <w:t>50, 90</w:t>
                  </w:r>
                  <w:r w:rsidRPr="008819AF">
                    <w:rPr>
                      <w:sz w:val="18"/>
                      <w:szCs w:val="18"/>
                      <w:vertAlign w:val="superscript"/>
                    </w:rPr>
                    <w:t>3</w:t>
                  </w:r>
                  <w:r w:rsidRPr="008819AF">
                    <w:rPr>
                      <w:sz w:val="18"/>
                      <w:szCs w:val="18"/>
                    </w:rPr>
                    <w:t>)</w:t>
                  </w:r>
                </w:p>
              </w:tc>
            </w:tr>
            <w:tr w:rsidR="00EC5B90" w:rsidRPr="008819AF" w14:paraId="15134A21" w14:textId="77777777" w:rsidTr="00EC5B90">
              <w:trPr>
                <w:trHeight w:val="404"/>
                <w:jc w:val="center"/>
              </w:trPr>
              <w:tc>
                <w:tcPr>
                  <w:tcW w:w="429" w:type="dxa"/>
                  <w:vMerge w:val="restart"/>
                  <w:tcMar>
                    <w:top w:w="0" w:type="dxa"/>
                    <w:left w:w="70" w:type="dxa"/>
                    <w:bottom w:w="0" w:type="dxa"/>
                    <w:right w:w="70" w:type="dxa"/>
                  </w:tcMar>
                  <w:vAlign w:val="center"/>
                </w:tcPr>
                <w:p w14:paraId="15134A1B" w14:textId="77777777" w:rsidR="00EC5B90" w:rsidRPr="008819AF" w:rsidRDefault="00EC5B90" w:rsidP="00620437">
                  <w:pPr>
                    <w:keepNext/>
                    <w:jc w:val="center"/>
                    <w:rPr>
                      <w:sz w:val="18"/>
                      <w:szCs w:val="18"/>
                    </w:rPr>
                  </w:pPr>
                  <w:r w:rsidRPr="008819AF">
                    <w:rPr>
                      <w:b/>
                      <w:sz w:val="18"/>
                      <w:szCs w:val="18"/>
                    </w:rPr>
                    <w:t>Va</w:t>
                  </w:r>
                </w:p>
              </w:tc>
              <w:tc>
                <w:tcPr>
                  <w:tcW w:w="1025" w:type="dxa"/>
                  <w:vMerge w:val="restart"/>
                  <w:tcMar>
                    <w:top w:w="0" w:type="dxa"/>
                    <w:left w:w="70" w:type="dxa"/>
                    <w:bottom w:w="0" w:type="dxa"/>
                    <w:right w:w="70" w:type="dxa"/>
                  </w:tcMar>
                  <w:vAlign w:val="center"/>
                </w:tcPr>
                <w:p w14:paraId="15134A1C" w14:textId="77777777" w:rsidR="00EC5B90" w:rsidRPr="008819AF" w:rsidRDefault="00EC5B90" w:rsidP="00EC5B90">
                  <w:pPr>
                    <w:pStyle w:val="Zkladntext2"/>
                    <w:ind w:left="0" w:right="-73" w:firstLine="0"/>
                    <w:rPr>
                      <w:rFonts w:ascii="Times New Roman" w:hAnsi="Times New Roman" w:cs="Times New Roman"/>
                      <w:sz w:val="18"/>
                      <w:szCs w:val="18"/>
                    </w:rPr>
                  </w:pPr>
                  <w:r w:rsidRPr="008819AF">
                    <w:rPr>
                      <w:rFonts w:ascii="Times New Roman" w:hAnsi="Times New Roman" w:cs="Times New Roman"/>
                      <w:sz w:val="18"/>
                      <w:szCs w:val="18"/>
                    </w:rPr>
                    <w:t>Autobusy, trolejbusy</w:t>
                  </w:r>
                </w:p>
              </w:tc>
              <w:tc>
                <w:tcPr>
                  <w:tcW w:w="1014" w:type="dxa"/>
                  <w:tcMar>
                    <w:top w:w="0" w:type="dxa"/>
                    <w:left w:w="70" w:type="dxa"/>
                    <w:bottom w:w="0" w:type="dxa"/>
                    <w:right w:w="70" w:type="dxa"/>
                  </w:tcMar>
                  <w:vAlign w:val="center"/>
                </w:tcPr>
                <w:p w14:paraId="15134A1D" w14:textId="77777777" w:rsidR="00EC5B90" w:rsidRPr="008819AF" w:rsidRDefault="00EC5B90" w:rsidP="00EC5B90">
                  <w:pPr>
                    <w:keepNext/>
                    <w:jc w:val="center"/>
                    <w:rPr>
                      <w:sz w:val="18"/>
                      <w:szCs w:val="18"/>
                    </w:rPr>
                  </w:pPr>
                  <w:r w:rsidRPr="008819AF">
                    <w:rPr>
                      <w:sz w:val="18"/>
                      <w:szCs w:val="18"/>
                    </w:rPr>
                    <w:t>≤ 2000</w:t>
                  </w:r>
                </w:p>
              </w:tc>
              <w:tc>
                <w:tcPr>
                  <w:tcW w:w="786" w:type="dxa"/>
                  <w:tcMar>
                    <w:top w:w="0" w:type="dxa"/>
                    <w:left w:w="70" w:type="dxa"/>
                    <w:bottom w:w="0" w:type="dxa"/>
                    <w:right w:w="70" w:type="dxa"/>
                  </w:tcMar>
                  <w:vAlign w:val="center"/>
                </w:tcPr>
                <w:p w14:paraId="15134A1E" w14:textId="77777777" w:rsidR="00EC5B90" w:rsidRPr="008819AF" w:rsidRDefault="00EC5B90" w:rsidP="00EC5B90">
                  <w:pPr>
                    <w:keepNext/>
                    <w:jc w:val="center"/>
                    <w:rPr>
                      <w:sz w:val="18"/>
                      <w:szCs w:val="18"/>
                    </w:rPr>
                  </w:pPr>
                  <w:r w:rsidRPr="008819AF">
                    <w:rPr>
                      <w:sz w:val="18"/>
                      <w:szCs w:val="18"/>
                    </w:rPr>
                    <w:t>3</w:t>
                  </w:r>
                </w:p>
              </w:tc>
              <w:tc>
                <w:tcPr>
                  <w:tcW w:w="1185" w:type="dxa"/>
                  <w:gridSpan w:val="2"/>
                  <w:tcMar>
                    <w:top w:w="0" w:type="dxa"/>
                    <w:left w:w="70" w:type="dxa"/>
                    <w:bottom w:w="0" w:type="dxa"/>
                    <w:right w:w="70" w:type="dxa"/>
                  </w:tcMar>
                  <w:vAlign w:val="center"/>
                </w:tcPr>
                <w:p w14:paraId="15134A1F" w14:textId="77777777" w:rsidR="00EC5B90" w:rsidRPr="008819AF" w:rsidRDefault="00EC5B90" w:rsidP="00EC5B90">
                  <w:pPr>
                    <w:keepNext/>
                    <w:jc w:val="center"/>
                    <w:rPr>
                      <w:sz w:val="18"/>
                      <w:szCs w:val="18"/>
                    </w:rPr>
                  </w:pPr>
                  <w:r w:rsidRPr="008819AF">
                    <w:rPr>
                      <w:sz w:val="18"/>
                      <w:szCs w:val="18"/>
                    </w:rPr>
                    <w:t>210</w:t>
                  </w:r>
                </w:p>
              </w:tc>
              <w:tc>
                <w:tcPr>
                  <w:tcW w:w="1302" w:type="dxa"/>
                  <w:gridSpan w:val="2"/>
                  <w:tcMar>
                    <w:top w:w="0" w:type="dxa"/>
                    <w:left w:w="70" w:type="dxa"/>
                    <w:bottom w:w="0" w:type="dxa"/>
                    <w:right w:w="70" w:type="dxa"/>
                  </w:tcMar>
                  <w:vAlign w:val="center"/>
                </w:tcPr>
                <w:p w14:paraId="15134A20" w14:textId="77777777" w:rsidR="00EC5B90" w:rsidRPr="008819AF" w:rsidRDefault="00EC5B90" w:rsidP="00EC5B90">
                  <w:pPr>
                    <w:keepNext/>
                    <w:jc w:val="center"/>
                    <w:rPr>
                      <w:sz w:val="18"/>
                      <w:szCs w:val="18"/>
                    </w:rPr>
                  </w:pPr>
                  <w:r w:rsidRPr="008819AF">
                    <w:rPr>
                      <w:sz w:val="18"/>
                      <w:szCs w:val="18"/>
                    </w:rPr>
                    <w:t>290</w:t>
                  </w:r>
                </w:p>
              </w:tc>
            </w:tr>
            <w:tr w:rsidR="00EC5B90" w:rsidRPr="008819AF" w14:paraId="15134A28" w14:textId="77777777" w:rsidTr="00EC5B90">
              <w:trPr>
                <w:trHeight w:val="405"/>
                <w:jc w:val="center"/>
              </w:trPr>
              <w:tc>
                <w:tcPr>
                  <w:tcW w:w="429" w:type="dxa"/>
                  <w:vMerge/>
                  <w:vAlign w:val="center"/>
                </w:tcPr>
                <w:p w14:paraId="15134A22" w14:textId="77777777" w:rsidR="00EC5B90" w:rsidRPr="008819AF" w:rsidRDefault="00EC5B90" w:rsidP="00620437">
                  <w:pPr>
                    <w:rPr>
                      <w:sz w:val="18"/>
                      <w:szCs w:val="18"/>
                    </w:rPr>
                  </w:pPr>
                </w:p>
              </w:tc>
              <w:tc>
                <w:tcPr>
                  <w:tcW w:w="1025" w:type="dxa"/>
                  <w:vMerge/>
                  <w:vAlign w:val="center"/>
                </w:tcPr>
                <w:p w14:paraId="15134A23" w14:textId="77777777" w:rsidR="00EC5B90" w:rsidRPr="008819AF" w:rsidRDefault="00EC5B90" w:rsidP="00EC5B90">
                  <w:pPr>
                    <w:rPr>
                      <w:sz w:val="18"/>
                      <w:szCs w:val="18"/>
                    </w:rPr>
                  </w:pPr>
                </w:p>
              </w:tc>
              <w:tc>
                <w:tcPr>
                  <w:tcW w:w="1014" w:type="dxa"/>
                  <w:tcMar>
                    <w:top w:w="0" w:type="dxa"/>
                    <w:left w:w="70" w:type="dxa"/>
                    <w:bottom w:w="0" w:type="dxa"/>
                    <w:right w:w="70" w:type="dxa"/>
                  </w:tcMar>
                  <w:vAlign w:val="center"/>
                </w:tcPr>
                <w:p w14:paraId="15134A24" w14:textId="77777777" w:rsidR="00EC5B90" w:rsidRPr="008819AF" w:rsidRDefault="00EC5B90" w:rsidP="00EC5B90">
                  <w:pPr>
                    <w:keepNext/>
                    <w:jc w:val="center"/>
                    <w:rPr>
                      <w:sz w:val="18"/>
                      <w:szCs w:val="18"/>
                    </w:rPr>
                  </w:pPr>
                  <w:r w:rsidRPr="008819AF">
                    <w:rPr>
                      <w:sz w:val="18"/>
                      <w:szCs w:val="18"/>
                    </w:rPr>
                    <w:t>&gt; 2000</w:t>
                  </w:r>
                </w:p>
              </w:tc>
              <w:tc>
                <w:tcPr>
                  <w:tcW w:w="786" w:type="dxa"/>
                  <w:tcMar>
                    <w:top w:w="0" w:type="dxa"/>
                    <w:left w:w="70" w:type="dxa"/>
                    <w:bottom w:w="0" w:type="dxa"/>
                    <w:right w:w="70" w:type="dxa"/>
                  </w:tcMar>
                  <w:vAlign w:val="center"/>
                </w:tcPr>
                <w:p w14:paraId="15134A25" w14:textId="77777777" w:rsidR="00EC5B90" w:rsidRPr="008819AF" w:rsidRDefault="00EC5B90" w:rsidP="00EC5B90">
                  <w:pPr>
                    <w:keepNext/>
                    <w:jc w:val="center"/>
                    <w:rPr>
                      <w:sz w:val="18"/>
                      <w:szCs w:val="18"/>
                    </w:rPr>
                  </w:pPr>
                  <w:r w:rsidRPr="008819AF">
                    <w:rPr>
                      <w:sz w:val="18"/>
                      <w:szCs w:val="18"/>
                    </w:rPr>
                    <w:t>3</w:t>
                  </w:r>
                </w:p>
              </w:tc>
              <w:tc>
                <w:tcPr>
                  <w:tcW w:w="1185" w:type="dxa"/>
                  <w:gridSpan w:val="2"/>
                  <w:tcMar>
                    <w:top w:w="0" w:type="dxa"/>
                    <w:left w:w="70" w:type="dxa"/>
                    <w:bottom w:w="0" w:type="dxa"/>
                    <w:right w:w="70" w:type="dxa"/>
                  </w:tcMar>
                  <w:vAlign w:val="center"/>
                </w:tcPr>
                <w:p w14:paraId="15134A26" w14:textId="77777777" w:rsidR="00EC5B90" w:rsidRPr="008819AF" w:rsidRDefault="00EC5B90" w:rsidP="00EC5B90">
                  <w:pPr>
                    <w:keepNext/>
                    <w:jc w:val="center"/>
                    <w:rPr>
                      <w:sz w:val="18"/>
                      <w:szCs w:val="18"/>
                    </w:rPr>
                  </w:pPr>
                  <w:r w:rsidRPr="008819AF">
                    <w:rPr>
                      <w:sz w:val="18"/>
                      <w:szCs w:val="18"/>
                    </w:rPr>
                    <w:t>150</w:t>
                  </w:r>
                </w:p>
              </w:tc>
              <w:tc>
                <w:tcPr>
                  <w:tcW w:w="1302" w:type="dxa"/>
                  <w:gridSpan w:val="2"/>
                  <w:tcMar>
                    <w:top w:w="0" w:type="dxa"/>
                    <w:left w:w="70" w:type="dxa"/>
                    <w:bottom w:w="0" w:type="dxa"/>
                    <w:right w:w="70" w:type="dxa"/>
                  </w:tcMar>
                  <w:vAlign w:val="center"/>
                </w:tcPr>
                <w:p w14:paraId="15134A27" w14:textId="77777777" w:rsidR="00EC5B90" w:rsidRPr="008819AF" w:rsidRDefault="00EC5B90" w:rsidP="00EC5B90">
                  <w:pPr>
                    <w:keepNext/>
                    <w:jc w:val="center"/>
                    <w:rPr>
                      <w:sz w:val="18"/>
                      <w:szCs w:val="18"/>
                    </w:rPr>
                  </w:pPr>
                  <w:r w:rsidRPr="008819AF">
                    <w:rPr>
                      <w:sz w:val="18"/>
                      <w:szCs w:val="18"/>
                    </w:rPr>
                    <w:t>150, 225</w:t>
                  </w:r>
                  <w:r w:rsidRPr="008819AF">
                    <w:rPr>
                      <w:sz w:val="18"/>
                      <w:szCs w:val="18"/>
                      <w:vertAlign w:val="superscript"/>
                    </w:rPr>
                    <w:t>3</w:t>
                  </w:r>
                  <w:r w:rsidRPr="008819AF">
                    <w:rPr>
                      <w:sz w:val="18"/>
                      <w:szCs w:val="18"/>
                    </w:rPr>
                    <w:t>)</w:t>
                  </w:r>
                </w:p>
              </w:tc>
            </w:tr>
          </w:tbl>
          <w:p w14:paraId="15134A29" w14:textId="77777777" w:rsidR="00EC5B90" w:rsidRPr="008819AF" w:rsidRDefault="00EC5B90" w:rsidP="00EC5B90">
            <w:pPr>
              <w:pStyle w:val="Odsekzoznamu1"/>
              <w:spacing w:before="60"/>
              <w:ind w:left="272" w:hanging="272"/>
              <w:jc w:val="both"/>
              <w:rPr>
                <w:sz w:val="20"/>
                <w:szCs w:val="20"/>
              </w:rPr>
            </w:pPr>
            <w:r w:rsidRPr="008819AF">
              <w:rPr>
                <w:sz w:val="20"/>
                <w:szCs w:val="20"/>
                <w:vertAlign w:val="superscript"/>
              </w:rPr>
              <w:t>1</w:t>
            </w:r>
            <w:r w:rsidRPr="008819AF">
              <w:rPr>
                <w:sz w:val="20"/>
                <w:szCs w:val="20"/>
              </w:rPr>
              <w:t>)  Emisný limit pre TZL platí iba pre proces striekania.</w:t>
            </w:r>
          </w:p>
          <w:p w14:paraId="15134A2A" w14:textId="77777777" w:rsidR="00EC5B90" w:rsidRPr="008819AF" w:rsidRDefault="00EC5B90" w:rsidP="00EC5B90">
            <w:pPr>
              <w:pStyle w:val="Odsekzoznamu1"/>
              <w:ind w:left="270" w:hanging="270"/>
              <w:jc w:val="both"/>
              <w:rPr>
                <w:sz w:val="20"/>
                <w:szCs w:val="20"/>
              </w:rPr>
            </w:pPr>
            <w:r w:rsidRPr="008819AF">
              <w:rPr>
                <w:sz w:val="20"/>
                <w:szCs w:val="20"/>
                <w:vertAlign w:val="superscript"/>
              </w:rPr>
              <w:t>2</w:t>
            </w:r>
            <w:r w:rsidRPr="008819AF">
              <w:rPr>
                <w:sz w:val="20"/>
                <w:szCs w:val="20"/>
              </w:rPr>
              <w:t>) Emisné limity pre celkové emisie sú vyjadrené ako hmotnosť VOC na m</w:t>
            </w:r>
            <w:r w:rsidRPr="008819AF">
              <w:rPr>
                <w:sz w:val="20"/>
                <w:szCs w:val="20"/>
                <w:vertAlign w:val="superscript"/>
              </w:rPr>
              <w:t xml:space="preserve">2 </w:t>
            </w:r>
            <w:r w:rsidRPr="008819AF">
              <w:rPr>
                <w:sz w:val="20"/>
                <w:szCs w:val="20"/>
              </w:rPr>
              <w:t>plochy z celkového povrchu výrobku  s náterom použitým na jednu karosériu auta.</w:t>
            </w:r>
          </w:p>
          <w:p w14:paraId="15134A2B" w14:textId="77777777" w:rsidR="00EC5B90" w:rsidRPr="008819AF" w:rsidRDefault="00EC5B90" w:rsidP="00EC5B90">
            <w:pPr>
              <w:tabs>
                <w:tab w:val="left" w:pos="8205"/>
              </w:tabs>
              <w:ind w:left="270" w:hanging="270"/>
              <w:jc w:val="both"/>
            </w:pPr>
            <w:r w:rsidRPr="008819AF">
              <w:rPr>
                <w:vertAlign w:val="superscript"/>
              </w:rPr>
              <w:t>3</w:t>
            </w:r>
            <w:r w:rsidRPr="008819AF">
              <w:t xml:space="preserve">) Platí pre  zariadenia so spotrebou organických rozpúšťadiel </w:t>
            </w:r>
            <w:r w:rsidRPr="008819AF">
              <w:sym w:font="Symbol" w:char="F0A3"/>
            </w:r>
            <w:r w:rsidRPr="008819AF">
              <w:t xml:space="preserve"> 200 t/rok,  </w:t>
            </w:r>
          </w:p>
          <w:p w14:paraId="15134A2C" w14:textId="77777777" w:rsidR="00EC5B90" w:rsidRPr="008819AF" w:rsidRDefault="00EC5B90" w:rsidP="00EC5B90">
            <w:pPr>
              <w:ind w:left="567" w:hanging="297"/>
              <w:jc w:val="both"/>
            </w:pPr>
          </w:p>
          <w:p w14:paraId="15134A2D" w14:textId="77777777" w:rsidR="00EC5B90" w:rsidRPr="008819AF" w:rsidRDefault="00EC5B90" w:rsidP="00EC5B90">
            <w:pPr>
              <w:spacing w:after="120"/>
              <w:rPr>
                <w:b/>
              </w:rPr>
            </w:pPr>
            <w:r w:rsidRPr="008819AF">
              <w:rPr>
                <w:b/>
              </w:rPr>
              <w:t xml:space="preserve">5.1.2  Výpočet veľkosti natretého povrchu </w:t>
            </w:r>
          </w:p>
          <w:p w14:paraId="15134A2E" w14:textId="77777777" w:rsidR="00EC5B90" w:rsidRPr="008819AF" w:rsidRDefault="00EC5B90" w:rsidP="00EC5B90">
            <w:r w:rsidRPr="008819AF">
              <w:t>Plocha povrchu výrobku, ako vzťažnej veličiny pre  emisný limit podľa  bodu 5.1.1 je definovaná ako</w:t>
            </w:r>
          </w:p>
          <w:p w14:paraId="15134A2F" w14:textId="77777777" w:rsidR="00EC5B90" w:rsidRPr="008819AF" w:rsidRDefault="00EC5B90" w:rsidP="00C860FF">
            <w:pPr>
              <w:numPr>
                <w:ilvl w:val="0"/>
                <w:numId w:val="103"/>
              </w:numPr>
              <w:ind w:left="0" w:firstLine="0"/>
              <w:jc w:val="both"/>
            </w:pPr>
            <w:r w:rsidRPr="008819AF">
              <w:t xml:space="preserve">plocha povrchu vypočítaná ako súčet celkovej plochy, na ktorú bol nanesený elektroforézny náter, a plochy povrchu všetkých častí pripojených k výrobku v ďalších fázach procesu nanášania náteru, ktoré sú natierané  tým istým náterom, alebo </w:t>
            </w:r>
          </w:p>
          <w:p w14:paraId="15134A30" w14:textId="77777777" w:rsidR="00EC5B90" w:rsidRPr="008819AF" w:rsidRDefault="00EC5B90" w:rsidP="00C860FF">
            <w:pPr>
              <w:numPr>
                <w:ilvl w:val="0"/>
                <w:numId w:val="103"/>
              </w:numPr>
              <w:ind w:left="0" w:firstLine="0"/>
            </w:pPr>
            <w:r w:rsidRPr="008819AF">
              <w:t xml:space="preserve">celková plocha povrchu výrobku nanesená  náterom v danom zariadení. </w:t>
            </w:r>
          </w:p>
          <w:p w14:paraId="15134A31" w14:textId="77777777" w:rsidR="00EC5B90" w:rsidRPr="008819AF" w:rsidRDefault="00EC5B90" w:rsidP="00EC5B90">
            <w:pPr>
              <w:tabs>
                <w:tab w:val="left" w:pos="851"/>
              </w:tabs>
            </w:pPr>
          </w:p>
          <w:p w14:paraId="15134A32" w14:textId="77777777" w:rsidR="00EC5B90" w:rsidRPr="008819AF" w:rsidRDefault="00EC5B90" w:rsidP="00EC5B90">
            <w:pPr>
              <w:spacing w:after="120"/>
            </w:pPr>
            <w:r w:rsidRPr="008819AF">
              <w:t>Povrch elektroforeticky nastriekanej plochy sa vypočítava podľa uvedeného vzťahu</w:t>
            </w: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7"/>
              <w:gridCol w:w="4925"/>
            </w:tblGrid>
            <w:tr w:rsidR="00EC5B90" w:rsidRPr="008819AF" w14:paraId="15134A34" w14:textId="77777777" w:rsidTr="00EC5B90">
              <w:trPr>
                <w:trHeight w:val="340"/>
                <w:jc w:val="center"/>
              </w:trPr>
              <w:tc>
                <w:tcPr>
                  <w:tcW w:w="5652" w:type="dxa"/>
                  <w:gridSpan w:val="2"/>
                  <w:vAlign w:val="center"/>
                </w:tcPr>
                <w:p w14:paraId="15134A33" w14:textId="77777777" w:rsidR="00EC5B90" w:rsidRPr="008819AF" w:rsidRDefault="00EC5B90" w:rsidP="00620437">
                  <w:pPr>
                    <w:jc w:val="center"/>
                  </w:pPr>
                  <w:r w:rsidRPr="008819AF">
                    <w:rPr>
                      <w:position w:val="-30"/>
                    </w:rPr>
                    <w:object w:dxaOrig="999" w:dyaOrig="680" w14:anchorId="15134D04">
                      <v:shape id="_x0000_i1027" type="#_x0000_t75" style="width:80.4pt;height:36.45pt" o:ole="">
                        <v:imagedata r:id="rId17" o:title=""/>
                      </v:shape>
                      <o:OLEObject Type="Embed" ProgID="Equation.3" ShapeID="_x0000_i1027" DrawAspect="Content" ObjectID="_1724661779" r:id="rId18"/>
                    </w:object>
                  </w:r>
                </w:p>
              </w:tc>
            </w:tr>
            <w:tr w:rsidR="00EC5B90" w:rsidRPr="008819AF" w14:paraId="15134A37" w14:textId="77777777" w:rsidTr="00EC5B90">
              <w:trPr>
                <w:trHeight w:val="340"/>
                <w:jc w:val="center"/>
              </w:trPr>
              <w:tc>
                <w:tcPr>
                  <w:tcW w:w="727" w:type="dxa"/>
                </w:tcPr>
                <w:p w14:paraId="15134A35" w14:textId="77777777" w:rsidR="00EC5B90" w:rsidRPr="008819AF" w:rsidRDefault="00EC5B90" w:rsidP="00620437">
                  <w:pPr>
                    <w:jc w:val="center"/>
                  </w:pPr>
                  <w:r w:rsidRPr="008819AF">
                    <w:t>S</w:t>
                  </w:r>
                </w:p>
              </w:tc>
              <w:tc>
                <w:tcPr>
                  <w:tcW w:w="4925" w:type="dxa"/>
                </w:tcPr>
                <w:p w14:paraId="15134A36" w14:textId="77777777" w:rsidR="00EC5B90" w:rsidRPr="008819AF" w:rsidRDefault="00EC5B90" w:rsidP="00620437">
                  <w:r w:rsidRPr="008819AF">
                    <w:t>povrch elektroforeticky nastriekavanej plochy</w:t>
                  </w:r>
                </w:p>
              </w:tc>
            </w:tr>
            <w:tr w:rsidR="00EC5B90" w:rsidRPr="008819AF" w14:paraId="15134A3A" w14:textId="77777777" w:rsidTr="00EC5B90">
              <w:trPr>
                <w:trHeight w:val="340"/>
                <w:jc w:val="center"/>
              </w:trPr>
              <w:tc>
                <w:tcPr>
                  <w:tcW w:w="727" w:type="dxa"/>
                </w:tcPr>
                <w:p w14:paraId="15134A38" w14:textId="77777777" w:rsidR="00EC5B90" w:rsidRPr="008819AF" w:rsidRDefault="00EC5B90" w:rsidP="00620437">
                  <w:pPr>
                    <w:jc w:val="center"/>
                  </w:pPr>
                  <w:r w:rsidRPr="008819AF">
                    <w:t>M</w:t>
                  </w:r>
                </w:p>
              </w:tc>
              <w:tc>
                <w:tcPr>
                  <w:tcW w:w="4925" w:type="dxa"/>
                </w:tcPr>
                <w:p w14:paraId="15134A39" w14:textId="77777777" w:rsidR="00EC5B90" w:rsidRPr="008819AF" w:rsidRDefault="00EC5B90" w:rsidP="00620437">
                  <w:r w:rsidRPr="008819AF">
                    <w:t>celková hmotnosť natretej karosérie</w:t>
                  </w:r>
                </w:p>
              </w:tc>
            </w:tr>
            <w:tr w:rsidR="00EC5B90" w:rsidRPr="008819AF" w14:paraId="15134A3D" w14:textId="77777777" w:rsidTr="00EC5B90">
              <w:trPr>
                <w:trHeight w:val="340"/>
                <w:jc w:val="center"/>
              </w:trPr>
              <w:tc>
                <w:tcPr>
                  <w:tcW w:w="727" w:type="dxa"/>
                </w:tcPr>
                <w:p w14:paraId="15134A3B" w14:textId="77777777" w:rsidR="00EC5B90" w:rsidRPr="008819AF" w:rsidRDefault="00EC5B90" w:rsidP="00620437">
                  <w:pPr>
                    <w:jc w:val="center"/>
                  </w:pPr>
                  <w:r w:rsidRPr="008819AF">
                    <w:lastRenderedPageBreak/>
                    <w:t>D</w:t>
                  </w:r>
                </w:p>
              </w:tc>
              <w:tc>
                <w:tcPr>
                  <w:tcW w:w="4925" w:type="dxa"/>
                </w:tcPr>
                <w:p w14:paraId="15134A3C" w14:textId="77777777" w:rsidR="00EC5B90" w:rsidRPr="008819AF" w:rsidRDefault="00EC5B90" w:rsidP="00620437">
                  <w:r w:rsidRPr="008819AF">
                    <w:t>priemerná hrúbka kovového plášťa</w:t>
                  </w:r>
                </w:p>
              </w:tc>
            </w:tr>
            <w:tr w:rsidR="00EC5B90" w:rsidRPr="008819AF" w14:paraId="15134A40" w14:textId="77777777" w:rsidTr="00EC5B90">
              <w:trPr>
                <w:trHeight w:val="340"/>
                <w:jc w:val="center"/>
              </w:trPr>
              <w:tc>
                <w:tcPr>
                  <w:tcW w:w="727" w:type="dxa"/>
                </w:tcPr>
                <w:p w14:paraId="15134A3E" w14:textId="77777777" w:rsidR="00EC5B90" w:rsidRPr="008819AF" w:rsidRDefault="00EC5B90" w:rsidP="00620437">
                  <w:pPr>
                    <w:jc w:val="center"/>
                  </w:pPr>
                  <w:r w:rsidRPr="008819AF">
                    <w:t>Ρ</w:t>
                  </w:r>
                </w:p>
              </w:tc>
              <w:tc>
                <w:tcPr>
                  <w:tcW w:w="4925" w:type="dxa"/>
                </w:tcPr>
                <w:p w14:paraId="15134A3F" w14:textId="77777777" w:rsidR="00EC5B90" w:rsidRPr="008819AF" w:rsidRDefault="00EC5B90" w:rsidP="00620437">
                  <w:r w:rsidRPr="008819AF">
                    <w:t>hustota kovového plášťa</w:t>
                  </w:r>
                </w:p>
              </w:tc>
            </w:tr>
          </w:tbl>
          <w:p w14:paraId="15134A41" w14:textId="77777777" w:rsidR="00EC5B90" w:rsidRPr="008819AF" w:rsidRDefault="00EC5B90" w:rsidP="00EC5B90">
            <w:pPr>
              <w:spacing w:before="60"/>
              <w:jc w:val="both"/>
            </w:pPr>
            <w:r w:rsidRPr="008819AF">
              <w:t>Táto metóda sa použije aj pre iné časti pokryté náterom,  ak sú vyrobené z plechu.</w:t>
            </w:r>
          </w:p>
          <w:p w14:paraId="15134A42" w14:textId="77777777" w:rsidR="00EC5B90" w:rsidRPr="008819AF" w:rsidRDefault="00EC5B90" w:rsidP="009C7CD3">
            <w:pPr>
              <w:spacing w:before="60"/>
              <w:jc w:val="both"/>
            </w:pPr>
            <w:r w:rsidRPr="008819AF">
              <w:t>Na výpočet povrchu ostatných pridaných častí alebo celkovej plochy natretého povrchu  v zariadení možno použiť počítačový model alebo inú ekvivalentnú metódu.</w:t>
            </w:r>
          </w:p>
          <w:p w14:paraId="15134A43" w14:textId="77777777" w:rsidR="007170C3" w:rsidRPr="008819AF" w:rsidRDefault="007170C3">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15134A44"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A45" w14:textId="77777777" w:rsidR="007170C3" w:rsidRPr="008819AF" w:rsidRDefault="007170C3">
            <w:pPr>
              <w:ind w:left="215" w:hanging="215"/>
              <w:rPr>
                <w:rFonts w:eastAsia="Arial"/>
              </w:rPr>
            </w:pPr>
          </w:p>
        </w:tc>
      </w:tr>
      <w:tr w:rsidR="00F80158" w:rsidRPr="008819AF" w14:paraId="15134A74" w14:textId="77777777" w:rsidTr="00EC5B90">
        <w:tc>
          <w:tcPr>
            <w:tcW w:w="496" w:type="dxa"/>
            <w:tcBorders>
              <w:top w:val="single" w:sz="4" w:space="0" w:color="000000"/>
              <w:left w:val="single" w:sz="6" w:space="0" w:color="000000"/>
              <w:bottom w:val="single" w:sz="6" w:space="0" w:color="000000"/>
              <w:right w:val="single" w:sz="6" w:space="0" w:color="000000"/>
            </w:tcBorders>
          </w:tcPr>
          <w:p w14:paraId="15134A47"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A48" w14:textId="77777777" w:rsidR="007170C3" w:rsidRPr="008819AF" w:rsidRDefault="006F0418">
            <w:pPr>
              <w:ind w:left="215" w:hanging="215"/>
              <w:rPr>
                <w:rFonts w:eastAsia="Arial"/>
                <w:lang w:bidi="cs-CZ"/>
              </w:rPr>
            </w:pPr>
            <w:r w:rsidRPr="008819AF">
              <w:rPr>
                <w:rFonts w:eastAsia="Arial"/>
                <w:lang w:bidi="cs-CZ"/>
              </w:rPr>
              <w:t>ČASŤ 4</w:t>
            </w:r>
          </w:p>
          <w:p w14:paraId="15134A49" w14:textId="77777777" w:rsidR="007170C3" w:rsidRPr="008819AF" w:rsidRDefault="006F0418">
            <w:pPr>
              <w:rPr>
                <w:rFonts w:eastAsia="Arial"/>
                <w:i/>
                <w:iCs/>
                <w:lang w:bidi="cs-CZ"/>
              </w:rPr>
            </w:pPr>
            <w:r w:rsidRPr="008819AF">
              <w:rPr>
                <w:rFonts w:eastAsia="Arial"/>
                <w:i/>
                <w:iCs/>
                <w:lang w:bidi="cs-CZ"/>
              </w:rPr>
              <w:t>Emisné limity pre prchavé organické zlúčeniny so špecifickými vetami upozorňujúcimi na riziko</w:t>
            </w:r>
          </w:p>
          <w:p w14:paraId="15134A4A" w14:textId="77777777" w:rsidR="007170C3" w:rsidRPr="008819AF" w:rsidRDefault="006F0418">
            <w:pPr>
              <w:ind w:left="215" w:hanging="215"/>
              <w:rPr>
                <w:rFonts w:eastAsia="Arial"/>
                <w:i/>
                <w:iCs/>
                <w:lang w:bidi="cs-CZ"/>
              </w:rPr>
            </w:pPr>
            <w:r w:rsidRPr="008819AF">
              <w:rPr>
                <w:rFonts w:eastAsia="Arial"/>
                <w:lang w:bidi="cs-CZ"/>
              </w:rPr>
              <w:t>1. Pri emisiách prchavých organických zlúčenín, ktoré sú uvedené v článku 58, ak je hmotnostný prietok súčtu zlúčenín, ktoré sú príčinou označenia uvedeného v uvedenom článku, väčší ako 10 g/hod. alebo sa rovná tejto hodnote, musí byť dodržaná emisný limit 2 mg/Nm3. Emisný limit sa vzťahuje na súčet hmotností jednotlivých zlúčenín.</w:t>
            </w:r>
          </w:p>
          <w:p w14:paraId="15134A4B" w14:textId="77777777" w:rsidR="007170C3" w:rsidRPr="008819AF" w:rsidRDefault="006F0418">
            <w:pPr>
              <w:ind w:left="215" w:hanging="215"/>
              <w:rPr>
                <w:rFonts w:eastAsia="Arial"/>
              </w:rPr>
            </w:pPr>
            <w:r w:rsidRPr="008819AF">
              <w:rPr>
                <w:rFonts w:eastAsia="Arial"/>
                <w:lang w:bidi="cs-CZ"/>
              </w:rPr>
              <w:t>2. Pri emisiách halogénovaných prchavých organických zlúčenín, ktorým sú priradené výstražné upozornenia H341 alebo H351 alebo nimi musia byť označené, ak je hmotnostný prietok súčtu zlúčenín, ktoré sú príčinou výstražných upozornení H341 alebo H351, väčší ako 100 g/hod, alebo sa rovná tejto hodnote, musí byť dodržaná emisný limit 20 mg/Nm3. Emisný limit sa vzťahuje na súčet hmotností jednotlivých zlúčenín.</w:t>
            </w:r>
          </w:p>
        </w:tc>
        <w:tc>
          <w:tcPr>
            <w:tcW w:w="881" w:type="dxa"/>
            <w:tcBorders>
              <w:top w:val="single" w:sz="4" w:space="0" w:color="000000"/>
              <w:left w:val="single" w:sz="6" w:space="0" w:color="000000"/>
              <w:bottom w:val="single" w:sz="6" w:space="0" w:color="000000"/>
              <w:right w:val="single" w:sz="6" w:space="0" w:color="000000"/>
            </w:tcBorders>
          </w:tcPr>
          <w:p w14:paraId="15134A4C" w14:textId="77777777" w:rsidR="007170C3" w:rsidRPr="008819AF" w:rsidRDefault="00BD4C79">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15134A4D"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15134A4E" w14:textId="77777777" w:rsidR="007170C3" w:rsidRPr="008819AF" w:rsidRDefault="00BD4C79">
            <w:r w:rsidRPr="008819AF">
              <w:t>Pr. 6</w:t>
            </w:r>
          </w:p>
          <w:p w14:paraId="15134A4F" w14:textId="77777777" w:rsidR="00BD4C79" w:rsidRPr="008819AF" w:rsidRDefault="00BD4C79">
            <w:r w:rsidRPr="008819AF">
              <w:t>Časť III.</w:t>
            </w:r>
          </w:p>
        </w:tc>
        <w:tc>
          <w:tcPr>
            <w:tcW w:w="5954" w:type="dxa"/>
            <w:tcBorders>
              <w:top w:val="single" w:sz="4" w:space="0" w:color="000000"/>
              <w:left w:val="single" w:sz="6" w:space="0" w:color="000000"/>
              <w:bottom w:val="single" w:sz="6" w:space="0" w:color="000000"/>
              <w:right w:val="single" w:sz="6" w:space="0" w:color="000000"/>
            </w:tcBorders>
          </w:tcPr>
          <w:p w14:paraId="15134A50" w14:textId="77777777" w:rsidR="00BD4C79" w:rsidRPr="008819AF" w:rsidRDefault="00BD4C79" w:rsidP="00BD4C79">
            <w:pPr>
              <w:ind w:right="-14"/>
            </w:pPr>
            <w:r w:rsidRPr="008819AF">
              <w:rPr>
                <w:b/>
              </w:rPr>
              <w:t xml:space="preserve">III.  POŽIADAVKY  NA  ZARIADENIA  POUŽÍVAJÚCE  ORGANICKÉ ROZPÚŠŤADLÁ  S OBSAHOM  LÁTOK  ALEBO  ZMESÍ  VYMEDZENÝCH OZNAČENÍM RIZIKA PODĽA  § 28 ODS. 1  </w:t>
            </w:r>
          </w:p>
          <w:p w14:paraId="15134A51" w14:textId="77777777" w:rsidR="00BD4C79" w:rsidRPr="008819AF" w:rsidRDefault="00BD4C79" w:rsidP="00BD4C79">
            <w:pPr>
              <w:jc w:val="both"/>
              <w:rPr>
                <w:b/>
              </w:rPr>
            </w:pPr>
            <w:r w:rsidRPr="008819AF">
              <w:rPr>
                <w:b/>
              </w:rPr>
              <w:t xml:space="preserve">1.    </w:t>
            </w:r>
            <w:r w:rsidRPr="008819AF">
              <w:rPr>
                <w:b/>
                <w:bCs/>
              </w:rPr>
              <w:t>Technické požiadavky a podmienky prevádzkovania</w:t>
            </w:r>
          </w:p>
          <w:p w14:paraId="15134A52" w14:textId="77777777" w:rsidR="00BD4C79" w:rsidRPr="008819AF" w:rsidRDefault="00BD4C79" w:rsidP="00BD4C79">
            <w:pPr>
              <w:ind w:left="426"/>
              <w:jc w:val="both"/>
            </w:pPr>
            <w:r w:rsidRPr="008819AF">
              <w:t>S ohľadom na technické a ekonomické možnosti, prchavé organické zlúčeniny začlenené podľa § 26 ods. 1 písm. a) alebo b) treba zo zariadenia odvádzať za riadených podmienok a tak zabezpečiť ochranu zdravia obyvateľstva a životného prostredia.</w:t>
            </w:r>
          </w:p>
          <w:p w14:paraId="15134A53" w14:textId="77777777" w:rsidR="00BD4C79" w:rsidRPr="008819AF" w:rsidRDefault="00BD4C79" w:rsidP="00BD4C79">
            <w:pPr>
              <w:pStyle w:val="Hlavika"/>
              <w:ind w:left="72" w:hanging="1"/>
              <w:jc w:val="both"/>
              <w:rPr>
                <w:rFonts w:ascii="Times New Roman" w:hAnsi="Times New Roman" w:cs="Times New Roman"/>
              </w:rPr>
            </w:pPr>
            <w:r w:rsidRPr="008819AF">
              <w:rPr>
                <w:rFonts w:ascii="Times New Roman" w:hAnsi="Times New Roman" w:cs="Times New Roman"/>
                <w:b/>
              </w:rPr>
              <w:t>2.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36"/>
              <w:gridCol w:w="1952"/>
              <w:gridCol w:w="1820"/>
            </w:tblGrid>
            <w:tr w:rsidR="00BD4C79" w:rsidRPr="008819AF" w14:paraId="15134A56" w14:textId="77777777" w:rsidTr="00BD4C79">
              <w:trPr>
                <w:trHeight w:val="278"/>
                <w:jc w:val="center"/>
              </w:trPr>
              <w:tc>
                <w:tcPr>
                  <w:tcW w:w="1760" w:type="dxa"/>
                  <w:vMerge w:val="restart"/>
                  <w:vAlign w:val="center"/>
                </w:tcPr>
                <w:p w14:paraId="15134A54" w14:textId="77777777" w:rsidR="00BD4C79" w:rsidRPr="008819AF" w:rsidRDefault="00BD4C79" w:rsidP="00620437">
                  <w:pPr>
                    <w:ind w:right="72"/>
                    <w:rPr>
                      <w:sz w:val="18"/>
                      <w:szCs w:val="18"/>
                    </w:rPr>
                  </w:pPr>
                  <w:r w:rsidRPr="008819AF">
                    <w:rPr>
                      <w:b/>
                      <w:sz w:val="18"/>
                      <w:szCs w:val="18"/>
                    </w:rPr>
                    <w:t>Podmienky platnosti EL</w:t>
                  </w:r>
                </w:p>
              </w:tc>
              <w:tc>
                <w:tcPr>
                  <w:tcW w:w="3262" w:type="dxa"/>
                  <w:gridSpan w:val="2"/>
                </w:tcPr>
                <w:p w14:paraId="15134A55" w14:textId="77777777" w:rsidR="00BD4C79" w:rsidRPr="008819AF" w:rsidRDefault="00BD4C79" w:rsidP="00620437">
                  <w:pPr>
                    <w:rPr>
                      <w:sz w:val="18"/>
                      <w:szCs w:val="18"/>
                    </w:rPr>
                  </w:pPr>
                  <w:r w:rsidRPr="008819AF">
                    <w:rPr>
                      <w:sz w:val="18"/>
                      <w:szCs w:val="18"/>
                    </w:rPr>
                    <w:t>Štandardné stavové podmienky, vlhký plyn</w:t>
                  </w:r>
                </w:p>
              </w:tc>
            </w:tr>
            <w:tr w:rsidR="00BD4C79" w:rsidRPr="008819AF" w14:paraId="15134A59" w14:textId="77777777" w:rsidTr="00BD4C79">
              <w:trPr>
                <w:trHeight w:val="486"/>
                <w:jc w:val="center"/>
              </w:trPr>
              <w:tc>
                <w:tcPr>
                  <w:tcW w:w="1760" w:type="dxa"/>
                  <w:vMerge/>
                </w:tcPr>
                <w:p w14:paraId="15134A57" w14:textId="77777777" w:rsidR="00BD4C79" w:rsidRPr="008819AF" w:rsidRDefault="00BD4C79" w:rsidP="00620437">
                  <w:pPr>
                    <w:ind w:right="72"/>
                    <w:rPr>
                      <w:b/>
                      <w:sz w:val="18"/>
                      <w:szCs w:val="18"/>
                    </w:rPr>
                  </w:pPr>
                </w:p>
              </w:tc>
              <w:tc>
                <w:tcPr>
                  <w:tcW w:w="3262" w:type="dxa"/>
                  <w:gridSpan w:val="2"/>
                </w:tcPr>
                <w:p w14:paraId="15134A58" w14:textId="77777777" w:rsidR="00BD4C79" w:rsidRPr="008819AF" w:rsidRDefault="00BD4C79" w:rsidP="00620437">
                  <w:pPr>
                    <w:rPr>
                      <w:sz w:val="18"/>
                      <w:szCs w:val="18"/>
                    </w:rPr>
                  </w:pPr>
                  <w:r w:rsidRPr="008819AF">
                    <w:rPr>
                      <w:sz w:val="18"/>
                      <w:szCs w:val="18"/>
                    </w:rPr>
                    <w:t>Emisný limit platí pre súčet hmotnostných koncentrácií alebo hmotnostných tokov jednotlivých VOC.</w:t>
                  </w:r>
                </w:p>
              </w:tc>
            </w:tr>
            <w:tr w:rsidR="00BD4C79" w:rsidRPr="008819AF" w14:paraId="15134A5C" w14:textId="77777777" w:rsidTr="00BD4C79">
              <w:trPr>
                <w:trHeight w:val="611"/>
                <w:jc w:val="center"/>
              </w:trPr>
              <w:tc>
                <w:tcPr>
                  <w:tcW w:w="1760" w:type="dxa"/>
                  <w:vMerge/>
                </w:tcPr>
                <w:p w14:paraId="15134A5A" w14:textId="77777777" w:rsidR="00BD4C79" w:rsidRPr="008819AF" w:rsidRDefault="00BD4C79" w:rsidP="00620437">
                  <w:pPr>
                    <w:ind w:right="72"/>
                    <w:rPr>
                      <w:b/>
                      <w:sz w:val="18"/>
                      <w:szCs w:val="18"/>
                    </w:rPr>
                  </w:pPr>
                </w:p>
              </w:tc>
              <w:tc>
                <w:tcPr>
                  <w:tcW w:w="3262" w:type="dxa"/>
                  <w:gridSpan w:val="2"/>
                </w:tcPr>
                <w:p w14:paraId="15134A5B" w14:textId="77777777" w:rsidR="00BD4C79" w:rsidRPr="008819AF" w:rsidRDefault="00BD4C79" w:rsidP="00620437">
                  <w:pPr>
                    <w:rPr>
                      <w:sz w:val="18"/>
                      <w:szCs w:val="18"/>
                    </w:rPr>
                  </w:pPr>
                  <w:r w:rsidRPr="008819AF">
                    <w:rPr>
                      <w:sz w:val="18"/>
                      <w:szCs w:val="18"/>
                    </w:rPr>
                    <w:t>Emisie prchavých organických zlúčenín  v odpadovom plyne nesmú prekročiť buď uvedenú hodnotu hmotnostného toku, alebo koncentrácie, ak ďalej nie je uvedené inak.</w:t>
                  </w:r>
                </w:p>
              </w:tc>
            </w:tr>
            <w:tr w:rsidR="00BD4C79" w:rsidRPr="008819AF" w14:paraId="15134A5F" w14:textId="77777777" w:rsidTr="00BD4C79">
              <w:trPr>
                <w:trHeight w:val="746"/>
                <w:jc w:val="center"/>
              </w:trPr>
              <w:tc>
                <w:tcPr>
                  <w:tcW w:w="1760" w:type="dxa"/>
                  <w:vMerge/>
                </w:tcPr>
                <w:p w14:paraId="15134A5D" w14:textId="77777777" w:rsidR="00BD4C79" w:rsidRPr="008819AF" w:rsidRDefault="00BD4C79" w:rsidP="00620437">
                  <w:pPr>
                    <w:ind w:right="72"/>
                    <w:rPr>
                      <w:b/>
                      <w:sz w:val="18"/>
                      <w:szCs w:val="18"/>
                    </w:rPr>
                  </w:pPr>
                </w:p>
              </w:tc>
              <w:tc>
                <w:tcPr>
                  <w:tcW w:w="3262" w:type="dxa"/>
                  <w:gridSpan w:val="2"/>
                </w:tcPr>
                <w:p w14:paraId="15134A5E" w14:textId="77777777" w:rsidR="00BD4C79" w:rsidRPr="008819AF" w:rsidRDefault="00BD4C79" w:rsidP="00620437">
                  <w:pPr>
                    <w:ind w:right="-59"/>
                    <w:rPr>
                      <w:sz w:val="18"/>
                      <w:szCs w:val="18"/>
                    </w:rPr>
                  </w:pPr>
                  <w:r w:rsidRPr="008819AF">
                    <w:rPr>
                      <w:sz w:val="18"/>
                      <w:szCs w:val="18"/>
                    </w:rPr>
                    <w:t>Pre činnosť IIa  a  činnosť III, ak ide o VOC podľa § 28 ods.1 písm. b) sú  emisné limity ustanovené osobitne v tejto prílohe štvrtej časti. </w:t>
                  </w:r>
                </w:p>
              </w:tc>
            </w:tr>
            <w:tr w:rsidR="00BD4C79" w:rsidRPr="008819AF" w14:paraId="15134A62" w14:textId="77777777" w:rsidTr="00BD4C79">
              <w:trPr>
                <w:trHeight w:val="275"/>
                <w:jc w:val="center"/>
              </w:trPr>
              <w:tc>
                <w:tcPr>
                  <w:tcW w:w="1760" w:type="dxa"/>
                  <w:vMerge w:val="restart"/>
                  <w:vAlign w:val="center"/>
                </w:tcPr>
                <w:p w14:paraId="15134A60" w14:textId="77777777" w:rsidR="00BD4C79" w:rsidRPr="008819AF" w:rsidRDefault="00BD4C79" w:rsidP="00620437">
                  <w:pPr>
                    <w:ind w:right="-108"/>
                    <w:rPr>
                      <w:sz w:val="18"/>
                      <w:szCs w:val="18"/>
                    </w:rPr>
                  </w:pPr>
                  <w:r w:rsidRPr="008819AF">
                    <w:rPr>
                      <w:b/>
                      <w:sz w:val="18"/>
                      <w:szCs w:val="18"/>
                    </w:rPr>
                    <w:t>Použitie organických rozpúšťadiel  s obsahom</w:t>
                  </w:r>
                </w:p>
              </w:tc>
              <w:tc>
                <w:tcPr>
                  <w:tcW w:w="3262" w:type="dxa"/>
                  <w:gridSpan w:val="2"/>
                  <w:vAlign w:val="center"/>
                </w:tcPr>
                <w:p w14:paraId="15134A61" w14:textId="77777777" w:rsidR="00BD4C79" w:rsidRPr="008819AF" w:rsidRDefault="00BD4C79" w:rsidP="00620437">
                  <w:pPr>
                    <w:jc w:val="center"/>
                    <w:rPr>
                      <w:sz w:val="18"/>
                      <w:szCs w:val="18"/>
                    </w:rPr>
                  </w:pPr>
                  <w:r w:rsidRPr="008819AF">
                    <w:rPr>
                      <w:b/>
                      <w:sz w:val="18"/>
                      <w:szCs w:val="18"/>
                    </w:rPr>
                    <w:t xml:space="preserve">Emisný limit </w:t>
                  </w:r>
                </w:p>
              </w:tc>
            </w:tr>
            <w:tr w:rsidR="00BD4C79" w:rsidRPr="008819AF" w14:paraId="15134A68" w14:textId="77777777" w:rsidTr="00BD4C79">
              <w:trPr>
                <w:trHeight w:val="397"/>
                <w:jc w:val="center"/>
              </w:trPr>
              <w:tc>
                <w:tcPr>
                  <w:tcW w:w="1760" w:type="dxa"/>
                  <w:vMerge/>
                </w:tcPr>
                <w:p w14:paraId="15134A63" w14:textId="77777777" w:rsidR="00BD4C79" w:rsidRPr="008819AF" w:rsidRDefault="00BD4C79" w:rsidP="00620437">
                  <w:pPr>
                    <w:rPr>
                      <w:sz w:val="18"/>
                      <w:szCs w:val="18"/>
                    </w:rPr>
                  </w:pPr>
                </w:p>
              </w:tc>
              <w:tc>
                <w:tcPr>
                  <w:tcW w:w="1688" w:type="dxa"/>
                  <w:vAlign w:val="center"/>
                </w:tcPr>
                <w:p w14:paraId="15134A64" w14:textId="77777777" w:rsidR="00BD4C79" w:rsidRPr="008819AF" w:rsidRDefault="00BD4C79" w:rsidP="00620437">
                  <w:pPr>
                    <w:jc w:val="center"/>
                    <w:rPr>
                      <w:b/>
                      <w:sz w:val="18"/>
                      <w:szCs w:val="18"/>
                    </w:rPr>
                  </w:pPr>
                  <w:r w:rsidRPr="008819AF">
                    <w:rPr>
                      <w:b/>
                      <w:sz w:val="18"/>
                      <w:szCs w:val="18"/>
                    </w:rPr>
                    <w:t>Hmotnostný tok</w:t>
                  </w:r>
                </w:p>
                <w:p w14:paraId="15134A65" w14:textId="77777777" w:rsidR="00BD4C79" w:rsidRPr="008819AF" w:rsidRDefault="00BD4C79" w:rsidP="00620437">
                  <w:pPr>
                    <w:jc w:val="center"/>
                    <w:rPr>
                      <w:b/>
                      <w:sz w:val="18"/>
                      <w:szCs w:val="18"/>
                    </w:rPr>
                  </w:pPr>
                  <w:r w:rsidRPr="008819AF">
                    <w:rPr>
                      <w:b/>
                      <w:sz w:val="18"/>
                      <w:szCs w:val="18"/>
                    </w:rPr>
                    <w:t xml:space="preserve">VOC </w:t>
                  </w:r>
                  <w:r w:rsidRPr="008819AF">
                    <w:rPr>
                      <w:b/>
                      <w:sz w:val="18"/>
                      <w:szCs w:val="18"/>
                    </w:rPr>
                    <w:sym w:font="Symbol" w:char="F05B"/>
                  </w:r>
                  <w:r w:rsidRPr="008819AF">
                    <w:rPr>
                      <w:b/>
                      <w:sz w:val="18"/>
                      <w:szCs w:val="18"/>
                    </w:rPr>
                    <w:t>g/h</w:t>
                  </w:r>
                  <w:r w:rsidRPr="008819AF">
                    <w:rPr>
                      <w:b/>
                      <w:sz w:val="18"/>
                      <w:szCs w:val="18"/>
                    </w:rPr>
                    <w:sym w:font="Symbol" w:char="F05D"/>
                  </w:r>
                </w:p>
              </w:tc>
              <w:tc>
                <w:tcPr>
                  <w:tcW w:w="1574" w:type="dxa"/>
                  <w:vAlign w:val="center"/>
                </w:tcPr>
                <w:p w14:paraId="15134A66" w14:textId="77777777" w:rsidR="00BD4C79" w:rsidRPr="008819AF" w:rsidRDefault="00BD4C79" w:rsidP="00620437">
                  <w:pPr>
                    <w:jc w:val="center"/>
                    <w:rPr>
                      <w:b/>
                      <w:sz w:val="18"/>
                      <w:szCs w:val="18"/>
                    </w:rPr>
                  </w:pPr>
                  <w:r w:rsidRPr="008819AF">
                    <w:rPr>
                      <w:b/>
                      <w:sz w:val="18"/>
                      <w:szCs w:val="18"/>
                    </w:rPr>
                    <w:t>Koncentrácia</w:t>
                  </w:r>
                </w:p>
                <w:p w14:paraId="15134A67" w14:textId="77777777" w:rsidR="00BD4C79" w:rsidRPr="008819AF" w:rsidRDefault="00BD4C79" w:rsidP="00620437">
                  <w:pPr>
                    <w:jc w:val="center"/>
                    <w:rPr>
                      <w:b/>
                      <w:sz w:val="18"/>
                      <w:szCs w:val="18"/>
                    </w:rPr>
                  </w:pPr>
                  <w:r w:rsidRPr="008819AF">
                    <w:rPr>
                      <w:b/>
                      <w:sz w:val="18"/>
                      <w:szCs w:val="18"/>
                    </w:rPr>
                    <w:t xml:space="preserve">VOC </w:t>
                  </w:r>
                  <w:r w:rsidRPr="008819AF">
                    <w:rPr>
                      <w:b/>
                      <w:sz w:val="18"/>
                      <w:szCs w:val="18"/>
                    </w:rPr>
                    <w:sym w:font="Symbol" w:char="F05B"/>
                  </w:r>
                  <w:r w:rsidRPr="008819AF">
                    <w:rPr>
                      <w:b/>
                      <w:sz w:val="18"/>
                      <w:szCs w:val="18"/>
                    </w:rPr>
                    <w:t>mg/m</w:t>
                  </w:r>
                  <w:r w:rsidRPr="008819AF">
                    <w:rPr>
                      <w:b/>
                      <w:sz w:val="18"/>
                      <w:szCs w:val="18"/>
                      <w:vertAlign w:val="superscript"/>
                    </w:rPr>
                    <w:t>3</w:t>
                  </w:r>
                  <w:r w:rsidRPr="008819AF">
                    <w:rPr>
                      <w:b/>
                      <w:sz w:val="18"/>
                      <w:szCs w:val="18"/>
                    </w:rPr>
                    <w:sym w:font="Symbol" w:char="F05D"/>
                  </w:r>
                </w:p>
              </w:tc>
            </w:tr>
            <w:tr w:rsidR="00BD4C79" w:rsidRPr="008819AF" w14:paraId="15134A6C" w14:textId="77777777" w:rsidTr="00BD4C79">
              <w:trPr>
                <w:trHeight w:val="328"/>
                <w:jc w:val="center"/>
              </w:trPr>
              <w:tc>
                <w:tcPr>
                  <w:tcW w:w="1760" w:type="dxa"/>
                  <w:vAlign w:val="center"/>
                </w:tcPr>
                <w:p w14:paraId="15134A69" w14:textId="77777777" w:rsidR="00BD4C79" w:rsidRPr="008819AF" w:rsidRDefault="00BD4C79" w:rsidP="00620437">
                  <w:pPr>
                    <w:ind w:right="-108"/>
                    <w:rPr>
                      <w:sz w:val="18"/>
                      <w:szCs w:val="18"/>
                    </w:rPr>
                  </w:pPr>
                  <w:r w:rsidRPr="008819AF">
                    <w:rPr>
                      <w:sz w:val="18"/>
                      <w:szCs w:val="18"/>
                    </w:rPr>
                    <w:t>VOC podľa § 28 ods. 1 písm. a)</w:t>
                  </w:r>
                </w:p>
              </w:tc>
              <w:tc>
                <w:tcPr>
                  <w:tcW w:w="1688" w:type="dxa"/>
                  <w:vAlign w:val="center"/>
                </w:tcPr>
                <w:p w14:paraId="15134A6A" w14:textId="77777777" w:rsidR="00BD4C79" w:rsidRPr="008819AF" w:rsidRDefault="00BD4C79" w:rsidP="00620437">
                  <w:pPr>
                    <w:jc w:val="center"/>
                    <w:rPr>
                      <w:sz w:val="18"/>
                      <w:szCs w:val="18"/>
                    </w:rPr>
                  </w:pPr>
                  <w:r w:rsidRPr="008819AF">
                    <w:rPr>
                      <w:sz w:val="18"/>
                      <w:szCs w:val="18"/>
                    </w:rPr>
                    <w:t>10</w:t>
                  </w:r>
                </w:p>
              </w:tc>
              <w:tc>
                <w:tcPr>
                  <w:tcW w:w="1574" w:type="dxa"/>
                  <w:vAlign w:val="center"/>
                </w:tcPr>
                <w:p w14:paraId="15134A6B" w14:textId="77777777" w:rsidR="00BD4C79" w:rsidRPr="008819AF" w:rsidRDefault="00BD4C79" w:rsidP="00620437">
                  <w:pPr>
                    <w:jc w:val="center"/>
                    <w:rPr>
                      <w:sz w:val="18"/>
                      <w:szCs w:val="18"/>
                    </w:rPr>
                  </w:pPr>
                  <w:r w:rsidRPr="008819AF">
                    <w:rPr>
                      <w:sz w:val="18"/>
                      <w:szCs w:val="18"/>
                    </w:rPr>
                    <w:t>2</w:t>
                  </w:r>
                </w:p>
              </w:tc>
            </w:tr>
            <w:tr w:rsidR="00BD4C79" w:rsidRPr="008819AF" w14:paraId="15134A70" w14:textId="77777777" w:rsidTr="00BD4C79">
              <w:trPr>
                <w:trHeight w:val="491"/>
                <w:jc w:val="center"/>
              </w:trPr>
              <w:tc>
                <w:tcPr>
                  <w:tcW w:w="1760" w:type="dxa"/>
                  <w:vAlign w:val="center"/>
                </w:tcPr>
                <w:p w14:paraId="15134A6D" w14:textId="77777777" w:rsidR="00BD4C79" w:rsidRPr="008819AF" w:rsidRDefault="00BD4C79" w:rsidP="00620437">
                  <w:pPr>
                    <w:ind w:right="-108"/>
                    <w:rPr>
                      <w:sz w:val="18"/>
                      <w:szCs w:val="18"/>
                    </w:rPr>
                  </w:pPr>
                  <w:r w:rsidRPr="008819AF">
                    <w:rPr>
                      <w:sz w:val="18"/>
                      <w:szCs w:val="18"/>
                    </w:rPr>
                    <w:t>VOC podľa § 28 ods. 1 písm. b)</w:t>
                  </w:r>
                </w:p>
              </w:tc>
              <w:tc>
                <w:tcPr>
                  <w:tcW w:w="1688" w:type="dxa"/>
                  <w:vAlign w:val="center"/>
                </w:tcPr>
                <w:p w14:paraId="15134A6E" w14:textId="77777777" w:rsidR="00BD4C79" w:rsidRPr="008819AF" w:rsidRDefault="00BD4C79" w:rsidP="00620437">
                  <w:pPr>
                    <w:jc w:val="center"/>
                    <w:rPr>
                      <w:sz w:val="18"/>
                      <w:szCs w:val="18"/>
                    </w:rPr>
                  </w:pPr>
                  <w:r w:rsidRPr="008819AF">
                    <w:rPr>
                      <w:sz w:val="18"/>
                      <w:szCs w:val="18"/>
                    </w:rPr>
                    <w:t>100</w:t>
                  </w:r>
                </w:p>
              </w:tc>
              <w:tc>
                <w:tcPr>
                  <w:tcW w:w="1574" w:type="dxa"/>
                  <w:vAlign w:val="center"/>
                </w:tcPr>
                <w:p w14:paraId="15134A6F" w14:textId="77777777" w:rsidR="00BD4C79" w:rsidRPr="008819AF" w:rsidRDefault="00BD4C79" w:rsidP="00620437">
                  <w:pPr>
                    <w:jc w:val="center"/>
                    <w:rPr>
                      <w:sz w:val="18"/>
                      <w:szCs w:val="18"/>
                    </w:rPr>
                  </w:pPr>
                  <w:r w:rsidRPr="008819AF">
                    <w:rPr>
                      <w:sz w:val="18"/>
                      <w:szCs w:val="18"/>
                    </w:rPr>
                    <w:t>20</w:t>
                  </w:r>
                </w:p>
              </w:tc>
            </w:tr>
          </w:tbl>
          <w:p w14:paraId="15134A71" w14:textId="77777777" w:rsidR="00BD4C79" w:rsidRPr="008819AF" w:rsidRDefault="00BD4C79">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15134A72"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15134A73" w14:textId="77777777" w:rsidR="007170C3" w:rsidRPr="008819AF" w:rsidRDefault="007170C3">
            <w:pPr>
              <w:ind w:left="215" w:hanging="215"/>
              <w:rPr>
                <w:rFonts w:eastAsia="Arial"/>
              </w:rPr>
            </w:pPr>
          </w:p>
        </w:tc>
      </w:tr>
      <w:tr w:rsidR="00F80158" w:rsidRPr="008819AF" w14:paraId="15134AD3" w14:textId="77777777" w:rsidTr="00EC5B90">
        <w:tc>
          <w:tcPr>
            <w:tcW w:w="496" w:type="dxa"/>
            <w:tcBorders>
              <w:top w:val="single" w:sz="4" w:space="0" w:color="000000"/>
              <w:left w:val="single" w:sz="6" w:space="0" w:color="000000"/>
              <w:bottom w:val="single" w:sz="6" w:space="0" w:color="000000"/>
              <w:right w:val="single" w:sz="6" w:space="0" w:color="000000"/>
            </w:tcBorders>
          </w:tcPr>
          <w:p w14:paraId="15134A75"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A76" w14:textId="77777777" w:rsidR="007170C3" w:rsidRPr="008819AF" w:rsidRDefault="006F0418">
            <w:pPr>
              <w:ind w:left="215" w:hanging="215"/>
              <w:rPr>
                <w:rFonts w:eastAsia="Arial"/>
                <w:lang w:bidi="cs-CZ"/>
              </w:rPr>
            </w:pPr>
            <w:r w:rsidRPr="008819AF">
              <w:rPr>
                <w:rFonts w:eastAsia="Arial"/>
                <w:lang w:bidi="cs-CZ"/>
              </w:rPr>
              <w:t>ČASŤ 5</w:t>
            </w:r>
          </w:p>
          <w:p w14:paraId="15134A77" w14:textId="77777777" w:rsidR="007170C3" w:rsidRPr="008819AF" w:rsidRDefault="006F0418">
            <w:pPr>
              <w:ind w:left="215" w:hanging="215"/>
              <w:rPr>
                <w:rFonts w:eastAsia="Arial"/>
                <w:lang w:bidi="cs-CZ"/>
              </w:rPr>
            </w:pPr>
            <w:r w:rsidRPr="008819AF">
              <w:rPr>
                <w:rFonts w:eastAsia="Arial"/>
                <w:lang w:bidi="cs-CZ"/>
              </w:rPr>
              <w:t>Redukčný plán</w:t>
            </w:r>
          </w:p>
          <w:p w14:paraId="15134A78" w14:textId="77777777" w:rsidR="007170C3" w:rsidRPr="008819AF" w:rsidRDefault="006F0418">
            <w:pPr>
              <w:ind w:left="215" w:hanging="215"/>
              <w:rPr>
                <w:rFonts w:eastAsia="Arial"/>
                <w:i/>
                <w:iCs/>
                <w:lang w:bidi="cs-CZ"/>
              </w:rPr>
            </w:pPr>
            <w:r w:rsidRPr="008819AF">
              <w:rPr>
                <w:rFonts w:eastAsia="Arial"/>
                <w:lang w:bidi="cs-CZ"/>
              </w:rPr>
              <w:t>1. Prevádzkovateľ môže použiť akýkoľvek redukčný plán určený osobitne pre jeho zariadenie.</w:t>
            </w:r>
          </w:p>
          <w:p w14:paraId="15134A79" w14:textId="77777777" w:rsidR="007170C3" w:rsidRPr="008819AF" w:rsidRDefault="006F0418">
            <w:pPr>
              <w:ind w:left="215" w:hanging="215"/>
              <w:rPr>
                <w:rFonts w:eastAsia="Arial"/>
                <w:lang w:bidi="cs-CZ"/>
              </w:rPr>
            </w:pPr>
            <w:r w:rsidRPr="008819AF">
              <w:rPr>
                <w:rFonts w:eastAsia="Arial"/>
                <w:lang w:bidi="cs-CZ"/>
              </w:rPr>
              <w:lastRenderedPageBreak/>
              <w:t xml:space="preserve">2. V prípade aplikovania náterov, lakov, lepidiel alebo tlačiarenských farieb možno použiť nasledujúci plán. Ak nasledujúca metóda nie je vhodná, príslušný orgán môže prevádzkovateľovi povoliť, aby použil akýkoľvek iný alternatívny plán, ktorým sa dosiahne rovnaké zníženie emisií ako v prípade použitia limitných hodnôt emisií častí 2 a 3. Návrh plánu musí zohľadniť tieto skutočnosti: </w:t>
            </w:r>
          </w:p>
          <w:p w14:paraId="15134A7A" w14:textId="77777777" w:rsidR="007170C3" w:rsidRPr="008819AF" w:rsidRDefault="006F0418">
            <w:pPr>
              <w:ind w:left="215" w:hanging="215"/>
              <w:rPr>
                <w:rFonts w:eastAsia="Arial"/>
                <w:lang w:bidi="cs-CZ"/>
              </w:rPr>
            </w:pPr>
            <w:r w:rsidRPr="008819AF">
              <w:rPr>
                <w:rFonts w:eastAsia="Arial"/>
                <w:lang w:bidi="cs-CZ"/>
              </w:rPr>
              <w:t>a) ak sú náhrady s nízkym alebo nulovým obsahom rozpúšťadiel ešte v štádiu vývoja, prevádzkovateľovi sa poskytne predĺžená lehota na realizáciu jeho plánov znižovania emisií;</w:t>
            </w:r>
          </w:p>
          <w:p w14:paraId="15134A7B" w14:textId="77777777" w:rsidR="007170C3" w:rsidRPr="008819AF" w:rsidRDefault="006F0418">
            <w:pPr>
              <w:ind w:left="215" w:hanging="215"/>
              <w:rPr>
                <w:rFonts w:eastAsia="Arial"/>
                <w:lang w:bidi="cs-CZ"/>
              </w:rPr>
            </w:pPr>
            <w:r w:rsidRPr="008819AF">
              <w:rPr>
                <w:rFonts w:eastAsia="Arial"/>
                <w:lang w:bidi="cs-CZ"/>
              </w:rPr>
              <w:t>b) referenčný bod na znižovanie emisií by mal podľa možnosti čo najviac korešpondovať s množstvom emisií, ktoré by boli emitované, ak by neboli podniknuté žiadne kroky na zníženie emisií.</w:t>
            </w:r>
          </w:p>
          <w:p w14:paraId="15134A7C" w14:textId="77777777" w:rsidR="007170C3" w:rsidRPr="008819AF" w:rsidRDefault="006F0418">
            <w:pPr>
              <w:ind w:left="215" w:hanging="215"/>
              <w:rPr>
                <w:rFonts w:eastAsia="Arial"/>
                <w:lang w:bidi="cs-CZ"/>
              </w:rPr>
            </w:pPr>
            <w:r w:rsidRPr="008819AF">
              <w:rPr>
                <w:rFonts w:eastAsia="Arial"/>
                <w:lang w:bidi="cs-CZ"/>
              </w:rPr>
              <w:t>3. Nasledujúci plán sa použije na zariadenia, pri ktorých možno predpokladať konštantný obsah neprchavých látok vo výrobku:</w:t>
            </w:r>
          </w:p>
          <w:p w14:paraId="15134A7D" w14:textId="77777777" w:rsidR="007170C3" w:rsidRPr="008819AF" w:rsidRDefault="006F0418">
            <w:pPr>
              <w:ind w:left="214"/>
              <w:rPr>
                <w:rFonts w:eastAsia="Arial"/>
                <w:lang w:bidi="cs-CZ"/>
              </w:rPr>
            </w:pPr>
            <w:r w:rsidRPr="008819AF">
              <w:rPr>
                <w:rFonts w:eastAsia="Arial"/>
                <w:lang w:bidi="cs-CZ"/>
              </w:rPr>
              <w:t>a) ročné referenčné množstvo emisií sa vypočíta takto:</w:t>
            </w:r>
          </w:p>
          <w:p w14:paraId="15134A7E" w14:textId="77777777" w:rsidR="007170C3" w:rsidRPr="008819AF" w:rsidRDefault="006F0418">
            <w:pPr>
              <w:ind w:left="214"/>
              <w:rPr>
                <w:rFonts w:eastAsia="Arial"/>
                <w:lang w:bidi="cs-CZ"/>
              </w:rPr>
            </w:pPr>
            <w:r w:rsidRPr="008819AF">
              <w:rPr>
                <w:rFonts w:eastAsia="Arial"/>
                <w:lang w:bidi="cs-CZ"/>
              </w:rPr>
              <w:t>i) určí sa celková hmotnosť sušiny v množstve náterovej látky a/alebo tlačiarenskej farby, laku alebo lepidle spotrebovanom za rok. Sušinou sú všetky látky v náterových látkach, tlačiarenských farbách, lakoch a lepidlách, ktoré sa stávajú tuhými po odparení vody alebo prchavých organických zlúčenín;</w:t>
            </w:r>
          </w:p>
          <w:p w14:paraId="15134A7F" w14:textId="77777777" w:rsidR="007170C3" w:rsidRPr="008819AF" w:rsidRDefault="006F0418">
            <w:pPr>
              <w:ind w:left="214"/>
              <w:rPr>
                <w:rFonts w:eastAsia="Arial"/>
                <w:lang w:bidi="cs-CZ"/>
              </w:rPr>
            </w:pPr>
            <w:r w:rsidRPr="008819AF">
              <w:rPr>
                <w:rFonts w:eastAsia="Arial"/>
                <w:lang w:bidi="cs-CZ"/>
              </w:rPr>
              <w:t>ii) referenčné ročné množstvo emisií sa vypočíta tak, že sa vynásobí hmotnosť určená v bode i) príslušným faktorom z ďalej uvedenej tabuľky. Príslušné orgány môžu tieto faktory pre jednotlivé zariadenia upraviť tak, aby odzrkadľovali preukázané zvýšenie efektívnosti vo využití sušiny;</w:t>
            </w:r>
          </w:p>
          <w:tbl>
            <w:tblPr>
              <w:tblW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3"/>
              <w:gridCol w:w="1276"/>
            </w:tblGrid>
            <w:tr w:rsidR="00F80158" w:rsidRPr="008819AF" w14:paraId="15134A82" w14:textId="77777777">
              <w:trPr>
                <w:trHeight w:val="175"/>
              </w:trPr>
              <w:tc>
                <w:tcPr>
                  <w:tcW w:w="2903" w:type="dxa"/>
                  <w:tcBorders>
                    <w:top w:val="single" w:sz="4" w:space="0" w:color="000000"/>
                    <w:left w:val="single" w:sz="4" w:space="0" w:color="000000"/>
                    <w:bottom w:val="single" w:sz="4" w:space="0" w:color="000000"/>
                    <w:right w:val="single" w:sz="4" w:space="0" w:color="000000"/>
                  </w:tcBorders>
                  <w:vAlign w:val="center"/>
                </w:tcPr>
                <w:p w14:paraId="15134A80"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Činnosť</w:t>
                  </w:r>
                </w:p>
              </w:tc>
              <w:tc>
                <w:tcPr>
                  <w:tcW w:w="1276" w:type="dxa"/>
                  <w:tcBorders>
                    <w:top w:val="single" w:sz="4" w:space="0" w:color="000000"/>
                    <w:left w:val="single" w:sz="4" w:space="0" w:color="000000"/>
                    <w:bottom w:val="single" w:sz="4" w:space="0" w:color="000000"/>
                    <w:right w:val="single" w:sz="4" w:space="0" w:color="000000"/>
                  </w:tcBorders>
                  <w:vAlign w:val="center"/>
                </w:tcPr>
                <w:p w14:paraId="15134A81"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Multiplikačný faktor na použitie v písmene a) bod ii)</w:t>
                  </w:r>
                </w:p>
              </w:tc>
            </w:tr>
            <w:tr w:rsidR="00F80158" w:rsidRPr="008819AF" w14:paraId="15134A85" w14:textId="77777777">
              <w:trPr>
                <w:trHeight w:val="294"/>
              </w:trPr>
              <w:tc>
                <w:tcPr>
                  <w:tcW w:w="2903" w:type="dxa"/>
                  <w:tcBorders>
                    <w:top w:val="single" w:sz="4" w:space="0" w:color="000000"/>
                    <w:left w:val="single" w:sz="4" w:space="0" w:color="000000"/>
                    <w:bottom w:val="single" w:sz="4" w:space="0" w:color="000000"/>
                    <w:right w:val="single" w:sz="4" w:space="0" w:color="000000"/>
                  </w:tcBorders>
                  <w:vAlign w:val="center"/>
                </w:tcPr>
                <w:p w14:paraId="15134A83"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Rotačná hĺbkotlač; flexografická tlač; laminovanie ako súčasť tlačiarenskej činnosti; lakovanie ako súčasť tlačiarenskej činnosti; impregnácia dreva; povrchová úprava textílií, tkanín, fólií a papiera; nanášanie lepidla</w:t>
                  </w:r>
                </w:p>
              </w:tc>
              <w:tc>
                <w:tcPr>
                  <w:tcW w:w="1276" w:type="dxa"/>
                  <w:tcBorders>
                    <w:top w:val="single" w:sz="4" w:space="0" w:color="000000"/>
                    <w:left w:val="single" w:sz="4" w:space="0" w:color="000000"/>
                    <w:bottom w:val="single" w:sz="4" w:space="0" w:color="000000"/>
                    <w:right w:val="single" w:sz="4" w:space="0" w:color="000000"/>
                  </w:tcBorders>
                  <w:vAlign w:val="center"/>
                </w:tcPr>
                <w:p w14:paraId="15134A84"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4</w:t>
                  </w:r>
                </w:p>
              </w:tc>
            </w:tr>
            <w:tr w:rsidR="00F80158" w:rsidRPr="008819AF" w14:paraId="15134A88" w14:textId="77777777">
              <w:trPr>
                <w:trHeight w:val="103"/>
              </w:trPr>
              <w:tc>
                <w:tcPr>
                  <w:tcW w:w="2903" w:type="dxa"/>
                  <w:tcBorders>
                    <w:top w:val="single" w:sz="4" w:space="0" w:color="000000"/>
                    <w:left w:val="single" w:sz="4" w:space="0" w:color="000000"/>
                    <w:bottom w:val="single" w:sz="4" w:space="0" w:color="000000"/>
                    <w:right w:val="single" w:sz="4" w:space="0" w:color="000000"/>
                  </w:tcBorders>
                  <w:vAlign w:val="center"/>
                </w:tcPr>
                <w:p w14:paraId="15134A86"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lastRenderedPageBreak/>
                    <w:t>Povrchová úprava zvitkov, následná povrchová úprava vozidiel</w:t>
                  </w:r>
                </w:p>
              </w:tc>
              <w:tc>
                <w:tcPr>
                  <w:tcW w:w="1276" w:type="dxa"/>
                  <w:tcBorders>
                    <w:top w:val="single" w:sz="4" w:space="0" w:color="000000"/>
                    <w:left w:val="single" w:sz="4" w:space="0" w:color="000000"/>
                    <w:bottom w:val="single" w:sz="4" w:space="0" w:color="000000"/>
                    <w:right w:val="single" w:sz="4" w:space="0" w:color="000000"/>
                  </w:tcBorders>
                  <w:vAlign w:val="center"/>
                </w:tcPr>
                <w:p w14:paraId="15134A87"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w:t>
                  </w:r>
                </w:p>
              </w:tc>
            </w:tr>
            <w:tr w:rsidR="00F80158" w:rsidRPr="008819AF" w14:paraId="15134A8B" w14:textId="77777777">
              <w:trPr>
                <w:trHeight w:val="199"/>
              </w:trPr>
              <w:tc>
                <w:tcPr>
                  <w:tcW w:w="2903" w:type="dxa"/>
                  <w:tcBorders>
                    <w:top w:val="single" w:sz="4" w:space="0" w:color="000000"/>
                    <w:left w:val="single" w:sz="4" w:space="0" w:color="000000"/>
                    <w:bottom w:val="single" w:sz="4" w:space="0" w:color="000000"/>
                    <w:right w:val="single" w:sz="4" w:space="0" w:color="000000"/>
                  </w:tcBorders>
                  <w:vAlign w:val="center"/>
                </w:tcPr>
                <w:p w14:paraId="15134A89"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Nanášanie ochranných vrstiev na povrchy prichádzajúce do kontaktu s potravinami, nanášanie ochranných vrstiev na lietadlá a kozmické lode</w:t>
                  </w:r>
                </w:p>
              </w:tc>
              <w:tc>
                <w:tcPr>
                  <w:tcW w:w="1276" w:type="dxa"/>
                  <w:tcBorders>
                    <w:top w:val="single" w:sz="4" w:space="0" w:color="000000"/>
                    <w:left w:val="single" w:sz="4" w:space="0" w:color="000000"/>
                    <w:bottom w:val="single" w:sz="4" w:space="0" w:color="000000"/>
                    <w:right w:val="single" w:sz="4" w:space="0" w:color="000000"/>
                  </w:tcBorders>
                  <w:vAlign w:val="center"/>
                </w:tcPr>
                <w:p w14:paraId="15134A8A"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2,33</w:t>
                  </w:r>
                </w:p>
              </w:tc>
            </w:tr>
            <w:tr w:rsidR="00F80158" w:rsidRPr="008819AF" w14:paraId="15134A8E" w14:textId="77777777">
              <w:trPr>
                <w:trHeight w:val="103"/>
              </w:trPr>
              <w:tc>
                <w:tcPr>
                  <w:tcW w:w="2903" w:type="dxa"/>
                  <w:tcBorders>
                    <w:top w:val="single" w:sz="4" w:space="0" w:color="000000"/>
                    <w:left w:val="single" w:sz="4" w:space="0" w:color="000000"/>
                    <w:bottom w:val="single" w:sz="4" w:space="0" w:color="000000"/>
                    <w:right w:val="single" w:sz="4" w:space="0" w:color="000000"/>
                  </w:tcBorders>
                  <w:vAlign w:val="center"/>
                </w:tcPr>
                <w:p w14:paraId="15134A8C"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Ostatné druhy povrchovej úpravy a rotačná sieťotlač</w:t>
                  </w:r>
                </w:p>
              </w:tc>
              <w:tc>
                <w:tcPr>
                  <w:tcW w:w="1276" w:type="dxa"/>
                  <w:tcBorders>
                    <w:top w:val="single" w:sz="4" w:space="0" w:color="000000"/>
                    <w:left w:val="single" w:sz="4" w:space="0" w:color="000000"/>
                    <w:bottom w:val="single" w:sz="4" w:space="0" w:color="000000"/>
                    <w:right w:val="single" w:sz="4" w:space="0" w:color="000000"/>
                  </w:tcBorders>
                  <w:vAlign w:val="center"/>
                </w:tcPr>
                <w:p w14:paraId="15134A8D"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1,5</w:t>
                  </w:r>
                </w:p>
              </w:tc>
            </w:tr>
          </w:tbl>
          <w:p w14:paraId="15134A8F" w14:textId="77777777" w:rsidR="007170C3" w:rsidRPr="008819AF" w:rsidRDefault="006F0418">
            <w:pPr>
              <w:ind w:left="214"/>
              <w:rPr>
                <w:rFonts w:eastAsia="Arial"/>
                <w:lang w:bidi="cs-CZ"/>
              </w:rPr>
            </w:pPr>
            <w:r w:rsidRPr="008819AF">
              <w:rPr>
                <w:rFonts w:eastAsia="Arial"/>
                <w:lang w:bidi="cs-CZ"/>
              </w:rPr>
              <w:t>b) cieľové množstvo emisií sa rovná referenčnému ročnému množstvu emisií vynásobenému percentom rovnajúcim sa:</w:t>
            </w:r>
          </w:p>
          <w:p w14:paraId="15134A90" w14:textId="77777777" w:rsidR="007170C3" w:rsidRPr="008819AF" w:rsidRDefault="006F0418">
            <w:pPr>
              <w:ind w:left="214"/>
              <w:rPr>
                <w:rFonts w:eastAsia="Arial"/>
                <w:lang w:bidi="cs-CZ"/>
              </w:rPr>
            </w:pPr>
            <w:r w:rsidRPr="008819AF">
              <w:rPr>
                <w:rFonts w:eastAsia="Arial"/>
                <w:lang w:bidi="cs-CZ"/>
              </w:rPr>
              <w:t>i) (limitnej hodnote fugitívnych emisií + 15) pre zariadenia spadajúce pod bod 6 a pásmu nižšej prahovej hodnoty bodov 8 a 10 v časti 2,</w:t>
            </w:r>
          </w:p>
          <w:p w14:paraId="15134A91" w14:textId="77777777" w:rsidR="007170C3" w:rsidRPr="008819AF" w:rsidRDefault="006F0418">
            <w:pPr>
              <w:ind w:left="214"/>
              <w:rPr>
                <w:rFonts w:eastAsia="Arial"/>
                <w:lang w:bidi="cs-CZ"/>
              </w:rPr>
            </w:pPr>
            <w:r w:rsidRPr="008819AF">
              <w:rPr>
                <w:rFonts w:eastAsia="Arial"/>
                <w:lang w:bidi="cs-CZ"/>
              </w:rPr>
              <w:t>ii) (limitnej hodnote fugitívnych emisií + 5) pre všetky ostatné zariadenia;</w:t>
            </w:r>
          </w:p>
          <w:p w14:paraId="15134A92" w14:textId="77777777" w:rsidR="007170C3" w:rsidRPr="008819AF" w:rsidRDefault="006F0418">
            <w:pPr>
              <w:ind w:left="214"/>
              <w:rPr>
                <w:rFonts w:eastAsia="Arial"/>
                <w:lang w:bidi="cs-CZ"/>
              </w:rPr>
            </w:pPr>
            <w:r w:rsidRPr="008819AF">
              <w:rPr>
                <w:rFonts w:eastAsia="Arial"/>
                <w:lang w:bidi="cs-CZ"/>
              </w:rPr>
              <w:t xml:space="preserve">c) stanovené zníženie emisií je splnené, ak skutočné množstvá emisií z rozpúšťadiel určené na základe plánu hospodárenia s rozpúšťadlami sú nižšie ako cieľové množstvo emisií alebo sa mu rovnajú. </w:t>
            </w:r>
          </w:p>
        </w:tc>
        <w:tc>
          <w:tcPr>
            <w:tcW w:w="881" w:type="dxa"/>
            <w:tcBorders>
              <w:top w:val="single" w:sz="4" w:space="0" w:color="000000"/>
              <w:left w:val="single" w:sz="6" w:space="0" w:color="000000"/>
              <w:bottom w:val="single" w:sz="6" w:space="0" w:color="000000"/>
              <w:right w:val="single" w:sz="6" w:space="0" w:color="000000"/>
            </w:tcBorders>
          </w:tcPr>
          <w:p w14:paraId="15134A93" w14:textId="77777777" w:rsidR="007170C3" w:rsidRPr="008819AF" w:rsidRDefault="00BD4C79">
            <w:pPr>
              <w:ind w:left="215" w:hanging="215"/>
              <w:rPr>
                <w:rFonts w:eastAsia="Arial"/>
                <w:lang w:bidi="cs-CZ"/>
              </w:rPr>
            </w:pPr>
            <w:r w:rsidRPr="008819AF">
              <w:rPr>
                <w:rFonts w:eastAsia="Arial"/>
                <w:lang w:bidi="cs-CZ"/>
              </w:rPr>
              <w:lastRenderedPageBreak/>
              <w:t>N</w:t>
            </w:r>
          </w:p>
        </w:tc>
        <w:tc>
          <w:tcPr>
            <w:tcW w:w="678" w:type="dxa"/>
            <w:tcBorders>
              <w:top w:val="single" w:sz="4" w:space="0" w:color="000000"/>
              <w:left w:val="single" w:sz="6" w:space="0" w:color="000000"/>
              <w:bottom w:val="single" w:sz="6" w:space="0" w:color="000000"/>
              <w:right w:val="single" w:sz="6" w:space="0" w:color="000000"/>
            </w:tcBorders>
          </w:tcPr>
          <w:p w14:paraId="15134A94"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15134A95" w14:textId="77777777" w:rsidR="007170C3" w:rsidRPr="008819AF" w:rsidRDefault="00FA202D">
            <w:r w:rsidRPr="008819AF">
              <w:t>Pr.6</w:t>
            </w:r>
          </w:p>
          <w:p w14:paraId="15134A96" w14:textId="77777777" w:rsidR="00FA202D" w:rsidRPr="008819AF" w:rsidRDefault="00FA202D">
            <w:r w:rsidRPr="008819AF">
              <w:t>Časť V.</w:t>
            </w:r>
          </w:p>
        </w:tc>
        <w:tc>
          <w:tcPr>
            <w:tcW w:w="5954" w:type="dxa"/>
            <w:tcBorders>
              <w:top w:val="single" w:sz="4" w:space="0" w:color="000000"/>
              <w:left w:val="single" w:sz="6" w:space="0" w:color="000000"/>
              <w:bottom w:val="single" w:sz="6" w:space="0" w:color="000000"/>
              <w:right w:val="single" w:sz="6" w:space="0" w:color="000000"/>
            </w:tcBorders>
          </w:tcPr>
          <w:p w14:paraId="15134A97" w14:textId="77777777" w:rsidR="00FA202D" w:rsidRPr="008819AF" w:rsidRDefault="00FA202D" w:rsidP="00FA202D">
            <w:pPr>
              <w:ind w:left="426" w:hanging="426"/>
              <w:rPr>
                <w:b/>
              </w:rPr>
            </w:pPr>
            <w:r w:rsidRPr="008819AF">
              <w:rPr>
                <w:b/>
              </w:rPr>
              <w:t>V.  REDUKČNÝ PLÁN</w:t>
            </w:r>
          </w:p>
          <w:p w14:paraId="15134A98" w14:textId="77777777" w:rsidR="00FA202D" w:rsidRPr="008819AF" w:rsidRDefault="00FA202D" w:rsidP="00FA202D">
            <w:pPr>
              <w:pStyle w:val="ListParagraph1"/>
              <w:rPr>
                <w:b/>
                <w:sz w:val="20"/>
                <w:szCs w:val="20"/>
              </w:rPr>
            </w:pPr>
            <w:r w:rsidRPr="008819AF">
              <w:rPr>
                <w:b/>
                <w:sz w:val="20"/>
                <w:szCs w:val="20"/>
              </w:rPr>
              <w:t>1.    Princíp redukčného plánu</w:t>
            </w:r>
          </w:p>
          <w:p w14:paraId="15134A99" w14:textId="77777777" w:rsidR="00FA202D" w:rsidRPr="008819AF" w:rsidRDefault="00FA202D" w:rsidP="00FA202D">
            <w:pPr>
              <w:pStyle w:val="Zkladntext2"/>
              <w:spacing w:before="120"/>
              <w:ind w:left="0" w:hanging="1"/>
              <w:rPr>
                <w:rFonts w:ascii="Times New Roman" w:hAnsi="Times New Roman" w:cs="Times New Roman"/>
                <w:sz w:val="20"/>
                <w:szCs w:val="20"/>
              </w:rPr>
            </w:pPr>
            <w:r w:rsidRPr="008819AF">
              <w:rPr>
                <w:rFonts w:ascii="Times New Roman" w:hAnsi="Times New Roman" w:cs="Times New Roman"/>
                <w:sz w:val="20"/>
                <w:szCs w:val="20"/>
              </w:rPr>
              <w:t xml:space="preserve">Redukčný plán je súbor technických a organizačných opatrení na </w:t>
            </w:r>
            <w:r w:rsidRPr="008819AF">
              <w:rPr>
                <w:rFonts w:ascii="Times New Roman" w:hAnsi="Times New Roman" w:cs="Times New Roman"/>
                <w:sz w:val="20"/>
                <w:szCs w:val="20"/>
              </w:rPr>
              <w:lastRenderedPageBreak/>
              <w:t xml:space="preserve">zníženie emisií prchavých organických zlúčenín, ktorý umožňuje  znížiť emisie  v takej miere, ktorá  by sa dosiahla uplatnením emisných  limitov  určených v štvrtej časti tejto prílohy. </w:t>
            </w:r>
          </w:p>
          <w:p w14:paraId="15134A9A" w14:textId="77777777" w:rsidR="00FA202D" w:rsidRPr="008819AF" w:rsidRDefault="00FA202D" w:rsidP="00FA202D">
            <w:pPr>
              <w:pStyle w:val="Zkladntext2"/>
              <w:ind w:left="0" w:hanging="1"/>
              <w:rPr>
                <w:rFonts w:ascii="Times New Roman" w:hAnsi="Times New Roman" w:cs="Times New Roman"/>
                <w:sz w:val="20"/>
                <w:szCs w:val="20"/>
              </w:rPr>
            </w:pPr>
            <w:r w:rsidRPr="008819AF">
              <w:rPr>
                <w:rFonts w:ascii="Times New Roman" w:hAnsi="Times New Roman" w:cs="Times New Roman"/>
                <w:sz w:val="20"/>
                <w:szCs w:val="20"/>
              </w:rPr>
              <w:t>Na tento účel môže prevádzkovateľ zariadenia použiť akúkoľvek schému znižovania emisií  vypracovanú pre konkrétne zariadenie za predpokladu, že nakoniec dosiahne rovnaké zníženie emisií.</w:t>
            </w:r>
          </w:p>
          <w:p w14:paraId="15134A9B" w14:textId="77777777" w:rsidR="00FA202D" w:rsidRPr="008819AF" w:rsidRDefault="00FA202D" w:rsidP="00FA202D">
            <w:pPr>
              <w:pStyle w:val="Zkladntext2"/>
              <w:ind w:left="0" w:hanging="1"/>
              <w:rPr>
                <w:rFonts w:ascii="Times New Roman" w:hAnsi="Times New Roman" w:cs="Times New Roman"/>
                <w:sz w:val="20"/>
                <w:szCs w:val="20"/>
              </w:rPr>
            </w:pPr>
            <w:r w:rsidRPr="008819AF">
              <w:rPr>
                <w:rFonts w:ascii="Times New Roman" w:hAnsi="Times New Roman" w:cs="Times New Roman"/>
                <w:sz w:val="20"/>
                <w:szCs w:val="20"/>
              </w:rPr>
              <w:t>Pri vypracovaní redukčného plánu treba zohľadniť tieto skutočnosti:</w:t>
            </w:r>
          </w:p>
          <w:p w14:paraId="15134A9C" w14:textId="77777777" w:rsidR="00FA202D" w:rsidRPr="008819AF" w:rsidRDefault="00FA202D" w:rsidP="00FA202D">
            <w:pPr>
              <w:pStyle w:val="Zkladntext2"/>
              <w:keepNext/>
              <w:numPr>
                <w:ilvl w:val="0"/>
                <w:numId w:val="102"/>
              </w:numPr>
              <w:tabs>
                <w:tab w:val="clear" w:pos="360"/>
              </w:tabs>
              <w:ind w:left="222" w:hanging="141"/>
              <w:rPr>
                <w:rFonts w:ascii="Times New Roman" w:hAnsi="Times New Roman" w:cs="Times New Roman"/>
                <w:sz w:val="20"/>
                <w:szCs w:val="20"/>
              </w:rPr>
            </w:pPr>
            <w:r w:rsidRPr="008819AF">
              <w:rPr>
                <w:rFonts w:ascii="Times New Roman" w:hAnsi="Times New Roman" w:cs="Times New Roman"/>
                <w:sz w:val="20"/>
                <w:szCs w:val="20"/>
              </w:rPr>
              <w:t>ak náhrada doposiaľ používaných látok a zmesí inými, s nižším obsahom organických rozpúšťadiel alebo bez rozpúšťadla, je ešte v štádiu vývoja;  možno prevádzkovateľovi zariadenia predĺžiť lehotu na realizáciu redukčného plánu,</w:t>
            </w:r>
          </w:p>
          <w:p w14:paraId="15134A9D" w14:textId="77777777" w:rsidR="00FA202D" w:rsidRPr="008819AF" w:rsidRDefault="00FA202D" w:rsidP="00FA202D">
            <w:pPr>
              <w:keepNext/>
              <w:numPr>
                <w:ilvl w:val="0"/>
                <w:numId w:val="102"/>
              </w:numPr>
              <w:tabs>
                <w:tab w:val="clear" w:pos="360"/>
              </w:tabs>
              <w:ind w:left="222" w:hanging="141"/>
              <w:jc w:val="both"/>
            </w:pPr>
            <w:r w:rsidRPr="008819AF">
              <w:t>referenčný stav, ktorý zodpovedá množstvu emisií prchavých organických zlúčenín zo zariadenia, ak by sa nevykonali žiadne opatrenia na zníženie emisií.</w:t>
            </w:r>
          </w:p>
          <w:p w14:paraId="15134A9E" w14:textId="77777777" w:rsidR="00FA202D" w:rsidRPr="008819AF" w:rsidRDefault="00FA202D" w:rsidP="00FA202D">
            <w:pPr>
              <w:pStyle w:val="Odsekzoznamu1"/>
              <w:spacing w:before="120"/>
              <w:ind w:left="284" w:hanging="284"/>
              <w:rPr>
                <w:b/>
                <w:sz w:val="20"/>
                <w:szCs w:val="20"/>
              </w:rPr>
            </w:pPr>
            <w:r w:rsidRPr="008819AF">
              <w:rPr>
                <w:b/>
                <w:sz w:val="20"/>
                <w:szCs w:val="20"/>
              </w:rPr>
              <w:t>2.   Návrh na vypracovanie redukčného plánu pri aplikácii náterov, lakov, lepidiel a tlačiarenských farieb</w:t>
            </w:r>
          </w:p>
          <w:p w14:paraId="15134A9F" w14:textId="77777777" w:rsidR="00FA202D" w:rsidRPr="008819AF" w:rsidRDefault="00FA202D" w:rsidP="00FA202D">
            <w:pPr>
              <w:spacing w:before="120" w:after="120"/>
              <w:jc w:val="both"/>
            </w:pPr>
            <w:r w:rsidRPr="008819AF">
              <w:t>Nasledujúci redukčný plán je určený pre zariadenia a činnosti, pri ktorých možno predpokladať konštantný obsah sušiny tzn. neprchavého podielu v náterovej látke alebo zmesi, ktorý možno využiť na definovanie referenčného množstva.</w:t>
            </w:r>
          </w:p>
          <w:p w14:paraId="15134AA0" w14:textId="77777777" w:rsidR="00FA202D" w:rsidRPr="008819AF" w:rsidRDefault="00FA202D" w:rsidP="00FA202D">
            <w:pPr>
              <w:spacing w:before="120" w:after="120"/>
              <w:jc w:val="both"/>
            </w:pPr>
            <w:r w:rsidRPr="008819AF">
              <w:t xml:space="preserve">Redukciu emisií možno dosiahnuť znížením priemerného obsahu organických rozpúšťadiel v celkovom vstupe alebo zvýšením účinnosti nanášania sušiny náterových látok, čím sa dosiahne zníženie celkových emisií prchavých organických zlúčenín za rok na úroveň  cieľových emisií. </w:t>
            </w:r>
          </w:p>
          <w:p w14:paraId="15134AA1" w14:textId="77777777" w:rsidR="00FA202D" w:rsidRPr="008819AF" w:rsidRDefault="00FA202D" w:rsidP="00FA202D">
            <w:pPr>
              <w:jc w:val="both"/>
            </w:pPr>
            <w:r w:rsidRPr="008819AF">
              <w:rPr>
                <w:b/>
              </w:rPr>
              <w:t>3.   Výpočet cieľových  emisií</w:t>
            </w:r>
          </w:p>
          <w:p w14:paraId="15134AA2" w14:textId="77777777" w:rsidR="00FA202D" w:rsidRPr="008819AF" w:rsidRDefault="00FA202D" w:rsidP="00FA202D">
            <w:pPr>
              <w:pStyle w:val="Odsekzoznamu"/>
              <w:ind w:left="142" w:hanging="142"/>
              <w:jc w:val="both"/>
              <w:rPr>
                <w:sz w:val="20"/>
                <w:szCs w:val="20"/>
                <w:vertAlign w:val="subscript"/>
              </w:rPr>
            </w:pPr>
            <w:r w:rsidRPr="008819AF">
              <w:rPr>
                <w:sz w:val="20"/>
                <w:szCs w:val="20"/>
              </w:rPr>
              <w:t>3.1  Výpočet cieľových emisií podľa emisného faktora EF</w:t>
            </w:r>
            <w:r w:rsidRPr="008819AF">
              <w:rPr>
                <w:sz w:val="20"/>
                <w:szCs w:val="20"/>
                <w:vertAlign w:val="subscript"/>
              </w:rPr>
              <w:t>RP</w:t>
            </w:r>
          </w:p>
          <w:p w14:paraId="15134AA3" w14:textId="77777777" w:rsidR="00FA202D" w:rsidRPr="008819AF" w:rsidRDefault="00FA202D" w:rsidP="00FA202D">
            <w:pPr>
              <w:spacing w:after="120"/>
              <w:jc w:val="both"/>
            </w:pPr>
            <w:r w:rsidRPr="008819AF">
              <w:t>Cieľové emisie sa vypočítajú ako celkové množstvo sušiny v použitých náterových látkach za rok vynásobené emisným faktorom EF</w:t>
            </w:r>
            <w:r w:rsidRPr="008819AF">
              <w:rPr>
                <w:vertAlign w:val="subscript"/>
              </w:rPr>
              <w:t>RP</w:t>
            </w:r>
            <w:r w:rsidRPr="008819AF">
              <w:t xml:space="preserve"> podľa  uvedeného vzťahu: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4"/>
              <w:gridCol w:w="3826"/>
              <w:gridCol w:w="1234"/>
            </w:tblGrid>
            <w:tr w:rsidR="00FA202D" w:rsidRPr="008819AF" w14:paraId="15134AA5" w14:textId="77777777" w:rsidTr="009C7CD3">
              <w:trPr>
                <w:trHeight w:val="495"/>
              </w:trPr>
              <w:tc>
                <w:tcPr>
                  <w:tcW w:w="5804" w:type="dxa"/>
                  <w:gridSpan w:val="3"/>
                  <w:vAlign w:val="center"/>
                </w:tcPr>
                <w:p w14:paraId="15134AA4" w14:textId="77777777" w:rsidR="00FA202D" w:rsidRPr="008819AF" w:rsidRDefault="00FA202D" w:rsidP="009C7CD3">
                  <w:pPr>
                    <w:ind w:left="69"/>
                    <w:jc w:val="center"/>
                  </w:pPr>
                  <w:r w:rsidRPr="008819AF">
                    <w:t>T = EF</w:t>
                  </w:r>
                  <w:r w:rsidRPr="008819AF">
                    <w:rPr>
                      <w:vertAlign w:val="subscript"/>
                    </w:rPr>
                    <w:t>RP</w:t>
                  </w:r>
                  <w:r w:rsidRPr="008819AF">
                    <w:t xml:space="preserve"> x S</w:t>
                  </w:r>
                </w:p>
              </w:tc>
            </w:tr>
            <w:tr w:rsidR="00FA202D" w:rsidRPr="008819AF" w14:paraId="15134AA9" w14:textId="77777777" w:rsidTr="009C7CD3">
              <w:trPr>
                <w:trHeight w:val="257"/>
              </w:trPr>
              <w:tc>
                <w:tcPr>
                  <w:tcW w:w="744" w:type="dxa"/>
                  <w:vAlign w:val="center"/>
                </w:tcPr>
                <w:p w14:paraId="15134AA6" w14:textId="77777777" w:rsidR="00FA202D" w:rsidRPr="008819AF" w:rsidRDefault="00FA202D" w:rsidP="00620437">
                  <w:pPr>
                    <w:jc w:val="center"/>
                  </w:pPr>
                  <w:r w:rsidRPr="008819AF">
                    <w:t>T</w:t>
                  </w:r>
                </w:p>
              </w:tc>
              <w:tc>
                <w:tcPr>
                  <w:tcW w:w="3826" w:type="dxa"/>
                </w:tcPr>
                <w:p w14:paraId="15134AA7" w14:textId="77777777" w:rsidR="00FA202D" w:rsidRPr="008819AF" w:rsidRDefault="00FA202D" w:rsidP="00620437">
                  <w:pPr>
                    <w:jc w:val="both"/>
                  </w:pPr>
                  <w:r w:rsidRPr="008819AF">
                    <w:t xml:space="preserve">cieľové emisie    </w:t>
                  </w:r>
                </w:p>
              </w:tc>
              <w:tc>
                <w:tcPr>
                  <w:tcW w:w="1234" w:type="dxa"/>
                </w:tcPr>
                <w:p w14:paraId="15134AA8" w14:textId="77777777" w:rsidR="00FA202D" w:rsidRPr="008819AF" w:rsidRDefault="00FA202D" w:rsidP="00620437">
                  <w:pPr>
                    <w:jc w:val="center"/>
                  </w:pPr>
                  <w:r w:rsidRPr="008819AF">
                    <w:rPr>
                      <w:bCs/>
                    </w:rPr>
                    <w:t>[kg]</w:t>
                  </w:r>
                </w:p>
              </w:tc>
            </w:tr>
            <w:tr w:rsidR="00FA202D" w:rsidRPr="008819AF" w14:paraId="15134AAD" w14:textId="77777777" w:rsidTr="009C7CD3">
              <w:trPr>
                <w:trHeight w:val="363"/>
              </w:trPr>
              <w:tc>
                <w:tcPr>
                  <w:tcW w:w="744" w:type="dxa"/>
                  <w:vAlign w:val="center"/>
                </w:tcPr>
                <w:p w14:paraId="15134AAA" w14:textId="77777777" w:rsidR="00FA202D" w:rsidRPr="008819AF" w:rsidRDefault="00FA202D" w:rsidP="00620437">
                  <w:pPr>
                    <w:jc w:val="center"/>
                  </w:pPr>
                  <w:r w:rsidRPr="008819AF">
                    <w:t>S</w:t>
                  </w:r>
                </w:p>
              </w:tc>
              <w:tc>
                <w:tcPr>
                  <w:tcW w:w="3826" w:type="dxa"/>
                </w:tcPr>
                <w:p w14:paraId="15134AAB" w14:textId="77777777" w:rsidR="00FA202D" w:rsidRPr="008819AF" w:rsidRDefault="00FA202D" w:rsidP="00620437">
                  <w:pPr>
                    <w:jc w:val="both"/>
                  </w:pPr>
                  <w:r w:rsidRPr="008819AF">
                    <w:t xml:space="preserve">celkové množstvo nanesenej sušiny za rok     </w:t>
                  </w:r>
                </w:p>
              </w:tc>
              <w:tc>
                <w:tcPr>
                  <w:tcW w:w="1234" w:type="dxa"/>
                </w:tcPr>
                <w:p w14:paraId="15134AAC" w14:textId="77777777" w:rsidR="00FA202D" w:rsidRPr="008819AF" w:rsidRDefault="00FA202D" w:rsidP="00620437">
                  <w:pPr>
                    <w:jc w:val="center"/>
                  </w:pPr>
                  <w:r w:rsidRPr="008819AF">
                    <w:rPr>
                      <w:bCs/>
                    </w:rPr>
                    <w:t>[</w:t>
                  </w:r>
                  <w:r w:rsidRPr="008819AF">
                    <w:t>kg</w:t>
                  </w:r>
                  <w:r w:rsidRPr="008819AF">
                    <w:rPr>
                      <w:bCs/>
                    </w:rPr>
                    <w:t>]</w:t>
                  </w:r>
                </w:p>
              </w:tc>
            </w:tr>
            <w:tr w:rsidR="00FA202D" w:rsidRPr="008819AF" w14:paraId="15134AB1" w14:textId="77777777" w:rsidTr="009C7CD3">
              <w:tc>
                <w:tcPr>
                  <w:tcW w:w="744" w:type="dxa"/>
                  <w:vAlign w:val="center"/>
                </w:tcPr>
                <w:p w14:paraId="15134AAE" w14:textId="77777777" w:rsidR="00FA202D" w:rsidRPr="008819AF" w:rsidRDefault="00FA202D" w:rsidP="00620437">
                  <w:pPr>
                    <w:jc w:val="center"/>
                    <w:rPr>
                      <w:vertAlign w:val="subscript"/>
                    </w:rPr>
                  </w:pPr>
                  <w:r w:rsidRPr="008819AF">
                    <w:t>EF</w:t>
                  </w:r>
                  <w:r w:rsidRPr="008819AF">
                    <w:rPr>
                      <w:vertAlign w:val="subscript"/>
                    </w:rPr>
                    <w:t>RP</w:t>
                  </w:r>
                </w:p>
              </w:tc>
              <w:tc>
                <w:tcPr>
                  <w:tcW w:w="3826" w:type="dxa"/>
                </w:tcPr>
                <w:p w14:paraId="15134AAF" w14:textId="77777777" w:rsidR="00FA202D" w:rsidRPr="008819AF" w:rsidRDefault="00FA202D" w:rsidP="00620437">
                  <w:pPr>
                    <w:jc w:val="both"/>
                  </w:pPr>
                  <w:r w:rsidRPr="008819AF">
                    <w:t xml:space="preserve">emisný faktor pre RP uvedený v časti IV pre predmetnú výrobu </w:t>
                  </w:r>
                </w:p>
              </w:tc>
              <w:tc>
                <w:tcPr>
                  <w:tcW w:w="1234" w:type="dxa"/>
                </w:tcPr>
                <w:p w14:paraId="15134AB0" w14:textId="77777777" w:rsidR="00FA202D" w:rsidRPr="008819AF" w:rsidRDefault="00FA202D" w:rsidP="00620437">
                  <w:pPr>
                    <w:jc w:val="center"/>
                  </w:pPr>
                  <w:r w:rsidRPr="008819AF">
                    <w:rPr>
                      <w:bCs/>
                    </w:rPr>
                    <w:t>[</w:t>
                  </w:r>
                  <w:r w:rsidRPr="008819AF">
                    <w:t>kg/kg sušiny</w:t>
                  </w:r>
                  <w:r w:rsidRPr="008819AF">
                    <w:rPr>
                      <w:bCs/>
                    </w:rPr>
                    <w:t>]</w:t>
                  </w:r>
                </w:p>
              </w:tc>
            </w:tr>
          </w:tbl>
          <w:p w14:paraId="15134AB2" w14:textId="77777777" w:rsidR="00FA202D" w:rsidRPr="008819AF" w:rsidRDefault="00FA202D" w:rsidP="00FA202D">
            <w:pPr>
              <w:spacing w:before="120"/>
              <w:jc w:val="both"/>
            </w:pPr>
            <w:r w:rsidRPr="008819AF">
              <w:t xml:space="preserve">Ak nasledujúca metóda nie je vhodná, správny orgán môže pre dané </w:t>
            </w:r>
            <w:r w:rsidRPr="008819AF">
              <w:lastRenderedPageBreak/>
              <w:t xml:space="preserve">zariadenia povoliť alternatívny redukčný plán, ktorý spĺňa uvedené princípy v bode 1. </w:t>
            </w:r>
          </w:p>
          <w:p w14:paraId="15134AB3" w14:textId="77777777" w:rsidR="002A6DD8" w:rsidRPr="008819AF" w:rsidRDefault="002A6DD8" w:rsidP="002A6DD8">
            <w:pPr>
              <w:tabs>
                <w:tab w:val="left" w:pos="1134"/>
              </w:tabs>
              <w:spacing w:before="120"/>
              <w:jc w:val="both"/>
            </w:pPr>
            <w:r w:rsidRPr="008819AF">
              <w:t>3.2  Výpočet cieľových emisií  na základe referenčných ročných emisií</w:t>
            </w:r>
          </w:p>
          <w:p w14:paraId="15134AB4" w14:textId="77777777" w:rsidR="002A6DD8" w:rsidRPr="008819AF" w:rsidRDefault="002A6DD8" w:rsidP="002A6DD8">
            <w:pPr>
              <w:pStyle w:val="Odsekzoznamu"/>
              <w:numPr>
                <w:ilvl w:val="1"/>
                <w:numId w:val="102"/>
              </w:numPr>
              <w:tabs>
                <w:tab w:val="clear" w:pos="644"/>
              </w:tabs>
              <w:ind w:left="81" w:firstLine="0"/>
              <w:contextualSpacing/>
              <w:jc w:val="both"/>
              <w:rPr>
                <w:sz w:val="20"/>
                <w:szCs w:val="20"/>
              </w:rPr>
            </w:pPr>
            <w:r w:rsidRPr="008819AF">
              <w:rPr>
                <w:sz w:val="20"/>
                <w:szCs w:val="20"/>
              </w:rPr>
              <w:t>Určí sa celková hmotnosť sušiny nanesenej  náterom, tlačiarenskou farbou, lakom alebo lepidlom za rok.</w:t>
            </w:r>
          </w:p>
          <w:p w14:paraId="15134AB5" w14:textId="77777777" w:rsidR="002A6DD8" w:rsidRPr="008819AF" w:rsidRDefault="002A6DD8" w:rsidP="002A6DD8">
            <w:pPr>
              <w:pStyle w:val="Odsekzoznamu"/>
              <w:numPr>
                <w:ilvl w:val="1"/>
                <w:numId w:val="102"/>
              </w:numPr>
              <w:tabs>
                <w:tab w:val="clear" w:pos="644"/>
              </w:tabs>
              <w:ind w:left="81" w:firstLine="0"/>
              <w:contextualSpacing/>
              <w:jc w:val="both"/>
              <w:rPr>
                <w:sz w:val="20"/>
                <w:szCs w:val="20"/>
              </w:rPr>
            </w:pPr>
            <w:r w:rsidRPr="008819AF">
              <w:rPr>
                <w:sz w:val="20"/>
                <w:szCs w:val="20"/>
              </w:rPr>
              <w:t>Referenčné ročné množstvo emisií  sa vypočíta vynásobením celkového množstva sušiny  príslušným faktorom K1. Orgán ochrany ovzdušia môže pre konkrétne zariadenia  tieto faktory upraviť tak, aby odrážali preukázanie  zvýšenie  účinnosti pri nanášaní  sušiny.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550"/>
              <w:gridCol w:w="1254"/>
            </w:tblGrid>
            <w:tr w:rsidR="002A6DD8" w:rsidRPr="008819AF" w14:paraId="15134AB8" w14:textId="77777777" w:rsidTr="00620437">
              <w:trPr>
                <w:jc w:val="center"/>
              </w:trPr>
              <w:tc>
                <w:tcPr>
                  <w:tcW w:w="6937" w:type="dxa"/>
                  <w:vAlign w:val="center"/>
                  <w:hideMark/>
                </w:tcPr>
                <w:p w14:paraId="15134AB6" w14:textId="77777777" w:rsidR="002A6DD8" w:rsidRPr="008819AF" w:rsidRDefault="002A6DD8" w:rsidP="00620437">
                  <w:pPr>
                    <w:rPr>
                      <w:b/>
                    </w:rPr>
                  </w:pPr>
                  <w:r w:rsidRPr="008819AF">
                    <w:rPr>
                      <w:b/>
                    </w:rPr>
                    <w:t>Činnosť</w:t>
                  </w:r>
                </w:p>
              </w:tc>
              <w:tc>
                <w:tcPr>
                  <w:tcW w:w="1817" w:type="dxa"/>
                  <w:hideMark/>
                </w:tcPr>
                <w:p w14:paraId="15134AB7" w14:textId="77777777" w:rsidR="002A6DD8" w:rsidRPr="008819AF" w:rsidRDefault="002A6DD8" w:rsidP="00620437">
                  <w:pPr>
                    <w:jc w:val="center"/>
                    <w:rPr>
                      <w:b/>
                    </w:rPr>
                  </w:pPr>
                  <w:r w:rsidRPr="008819AF">
                    <w:rPr>
                      <w:b/>
                    </w:rPr>
                    <w:t>Faktor K1</w:t>
                  </w:r>
                </w:p>
              </w:tc>
            </w:tr>
            <w:tr w:rsidR="002A6DD8" w:rsidRPr="008819AF" w14:paraId="15134ABB" w14:textId="77777777" w:rsidTr="00620437">
              <w:trPr>
                <w:jc w:val="center"/>
              </w:trPr>
              <w:tc>
                <w:tcPr>
                  <w:tcW w:w="6937" w:type="dxa"/>
                  <w:vAlign w:val="center"/>
                  <w:hideMark/>
                </w:tcPr>
                <w:p w14:paraId="15134AB9" w14:textId="77777777" w:rsidR="002A6DD8" w:rsidRPr="008819AF" w:rsidRDefault="002A6DD8" w:rsidP="00620437">
                  <w:pPr>
                    <w:ind w:left="33" w:hanging="33"/>
                  </w:pPr>
                  <w:r w:rsidRPr="008819AF">
                    <w:t xml:space="preserve">Rotačná hĺbkotlač, flexografická tlač, laminovanie ako súčasť tlačiarenskej činnosti, lakovanie ako súčasť tlačiarenskej činnosti, impregnácia dreva, povrchová úprava textílií, tkanín, fólií a papiera, nanášanie lepidla </w:t>
                  </w:r>
                </w:p>
              </w:tc>
              <w:tc>
                <w:tcPr>
                  <w:tcW w:w="1817" w:type="dxa"/>
                  <w:vAlign w:val="center"/>
                  <w:hideMark/>
                </w:tcPr>
                <w:p w14:paraId="15134ABA" w14:textId="77777777" w:rsidR="002A6DD8" w:rsidRPr="008819AF" w:rsidRDefault="002A6DD8" w:rsidP="00620437">
                  <w:pPr>
                    <w:jc w:val="center"/>
                  </w:pPr>
                  <w:r w:rsidRPr="008819AF">
                    <w:t>4</w:t>
                  </w:r>
                </w:p>
              </w:tc>
            </w:tr>
            <w:tr w:rsidR="002A6DD8" w:rsidRPr="008819AF" w14:paraId="15134ABE" w14:textId="77777777" w:rsidTr="00620437">
              <w:trPr>
                <w:jc w:val="center"/>
              </w:trPr>
              <w:tc>
                <w:tcPr>
                  <w:tcW w:w="6937" w:type="dxa"/>
                  <w:vAlign w:val="center"/>
                  <w:hideMark/>
                </w:tcPr>
                <w:p w14:paraId="15134ABC" w14:textId="77777777" w:rsidR="002A6DD8" w:rsidRPr="008819AF" w:rsidRDefault="002A6DD8" w:rsidP="00620437">
                  <w:r w:rsidRPr="008819AF">
                    <w:t>Nanášanie náterov na pásy a zvitky; následná povrchová úprava vozidiel</w:t>
                  </w:r>
                </w:p>
              </w:tc>
              <w:tc>
                <w:tcPr>
                  <w:tcW w:w="1817" w:type="dxa"/>
                  <w:vAlign w:val="center"/>
                  <w:hideMark/>
                </w:tcPr>
                <w:p w14:paraId="15134ABD" w14:textId="77777777" w:rsidR="002A6DD8" w:rsidRPr="008819AF" w:rsidRDefault="002A6DD8" w:rsidP="00620437">
                  <w:pPr>
                    <w:jc w:val="center"/>
                  </w:pPr>
                  <w:r w:rsidRPr="008819AF">
                    <w:t>3</w:t>
                  </w:r>
                </w:p>
              </w:tc>
            </w:tr>
            <w:tr w:rsidR="002A6DD8" w:rsidRPr="008819AF" w14:paraId="15134AC1" w14:textId="77777777" w:rsidTr="00620437">
              <w:trPr>
                <w:jc w:val="center"/>
              </w:trPr>
              <w:tc>
                <w:tcPr>
                  <w:tcW w:w="6937" w:type="dxa"/>
                  <w:vAlign w:val="center"/>
                  <w:hideMark/>
                </w:tcPr>
                <w:p w14:paraId="15134ABF" w14:textId="77777777" w:rsidR="002A6DD8" w:rsidRPr="008819AF" w:rsidRDefault="002A6DD8" w:rsidP="00620437">
                  <w:pPr>
                    <w:ind w:left="33" w:hanging="33"/>
                  </w:pPr>
                  <w:r w:rsidRPr="008819AF">
                    <w:t>Nanášanie náterov na povrchy v kontakte s potravinami; nanášanie ochranných vrstiev na  lietadlá a kozmické lode</w:t>
                  </w:r>
                </w:p>
              </w:tc>
              <w:tc>
                <w:tcPr>
                  <w:tcW w:w="1817" w:type="dxa"/>
                  <w:vAlign w:val="center"/>
                  <w:hideMark/>
                </w:tcPr>
                <w:p w14:paraId="15134AC0" w14:textId="77777777" w:rsidR="002A6DD8" w:rsidRPr="008819AF" w:rsidRDefault="002A6DD8" w:rsidP="00620437">
                  <w:pPr>
                    <w:jc w:val="center"/>
                  </w:pPr>
                  <w:r w:rsidRPr="008819AF">
                    <w:t>2,33</w:t>
                  </w:r>
                </w:p>
              </w:tc>
            </w:tr>
            <w:tr w:rsidR="002A6DD8" w:rsidRPr="008819AF" w14:paraId="15134AC4" w14:textId="77777777" w:rsidTr="00620437">
              <w:trPr>
                <w:jc w:val="center"/>
              </w:trPr>
              <w:tc>
                <w:tcPr>
                  <w:tcW w:w="6937" w:type="dxa"/>
                  <w:vAlign w:val="center"/>
                  <w:hideMark/>
                </w:tcPr>
                <w:p w14:paraId="15134AC2" w14:textId="77777777" w:rsidR="002A6DD8" w:rsidRPr="008819AF" w:rsidRDefault="002A6DD8" w:rsidP="00620437">
                  <w:r w:rsidRPr="008819AF">
                    <w:t xml:space="preserve">Rotačná sieťotlač, ostatné druhy povrchovej úpravy </w:t>
                  </w:r>
                </w:p>
              </w:tc>
              <w:tc>
                <w:tcPr>
                  <w:tcW w:w="1817" w:type="dxa"/>
                  <w:vAlign w:val="center"/>
                  <w:hideMark/>
                </w:tcPr>
                <w:p w14:paraId="15134AC3" w14:textId="77777777" w:rsidR="002A6DD8" w:rsidRPr="008819AF" w:rsidRDefault="002A6DD8" w:rsidP="00620437">
                  <w:pPr>
                    <w:jc w:val="center"/>
                  </w:pPr>
                  <w:r w:rsidRPr="008819AF">
                    <w:t>1,5</w:t>
                  </w:r>
                </w:p>
              </w:tc>
            </w:tr>
          </w:tbl>
          <w:p w14:paraId="15134AC5" w14:textId="77777777" w:rsidR="002A6DD8" w:rsidRPr="008819AF" w:rsidRDefault="002A6DD8" w:rsidP="002A6DD8">
            <w:pPr>
              <w:pStyle w:val="Odsekzoznamu"/>
              <w:numPr>
                <w:ilvl w:val="1"/>
                <w:numId w:val="102"/>
              </w:numPr>
              <w:tabs>
                <w:tab w:val="clear" w:pos="644"/>
              </w:tabs>
              <w:ind w:left="81" w:firstLine="0"/>
              <w:contextualSpacing/>
              <w:jc w:val="both"/>
              <w:rPr>
                <w:sz w:val="20"/>
                <w:szCs w:val="20"/>
              </w:rPr>
            </w:pPr>
            <w:r w:rsidRPr="008819AF">
              <w:rPr>
                <w:sz w:val="20"/>
                <w:szCs w:val="20"/>
              </w:rPr>
              <w:t xml:space="preserve">Cieľové množstvo emisií sa získa vynásobením  referenčného ročného množstva emisií faktorom K2 vyjadrenom v percentách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1255"/>
            </w:tblGrid>
            <w:tr w:rsidR="002A6DD8" w:rsidRPr="008819AF" w14:paraId="15134AC8" w14:textId="77777777" w:rsidTr="00620437">
              <w:trPr>
                <w:jc w:val="center"/>
              </w:trPr>
              <w:tc>
                <w:tcPr>
                  <w:tcW w:w="6936" w:type="dxa"/>
                  <w:vAlign w:val="center"/>
                  <w:hideMark/>
                </w:tcPr>
                <w:p w14:paraId="15134AC6" w14:textId="77777777" w:rsidR="002A6DD8" w:rsidRPr="008819AF" w:rsidRDefault="002A6DD8" w:rsidP="00620437">
                  <w:pPr>
                    <w:rPr>
                      <w:b/>
                    </w:rPr>
                  </w:pPr>
                  <w:r w:rsidRPr="008819AF">
                    <w:rPr>
                      <w:b/>
                    </w:rPr>
                    <w:t>Činnosť</w:t>
                  </w:r>
                </w:p>
              </w:tc>
              <w:tc>
                <w:tcPr>
                  <w:tcW w:w="1818" w:type="dxa"/>
                  <w:hideMark/>
                </w:tcPr>
                <w:p w14:paraId="15134AC7" w14:textId="77777777" w:rsidR="002A6DD8" w:rsidRPr="008819AF" w:rsidRDefault="002A6DD8" w:rsidP="00620437">
                  <w:pPr>
                    <w:jc w:val="center"/>
                    <w:rPr>
                      <w:b/>
                    </w:rPr>
                  </w:pPr>
                  <w:r w:rsidRPr="008819AF">
                    <w:rPr>
                      <w:b/>
                    </w:rPr>
                    <w:t xml:space="preserve">Faktor K2  </w:t>
                  </w:r>
                  <w:r w:rsidRPr="008819AF">
                    <w:rPr>
                      <w:bCs/>
                    </w:rPr>
                    <w:t>[</w:t>
                  </w:r>
                  <w:r w:rsidRPr="008819AF">
                    <w:t>%</w:t>
                  </w:r>
                  <w:r w:rsidRPr="008819AF">
                    <w:rPr>
                      <w:bCs/>
                    </w:rPr>
                    <w:t>]</w:t>
                  </w:r>
                  <w:r w:rsidRPr="008819AF">
                    <w:rPr>
                      <w:b/>
                    </w:rPr>
                    <w:t xml:space="preserve"> </w:t>
                  </w:r>
                </w:p>
              </w:tc>
            </w:tr>
            <w:tr w:rsidR="002A6DD8" w:rsidRPr="008819AF" w14:paraId="15134ACB" w14:textId="77777777" w:rsidTr="00620437">
              <w:trPr>
                <w:jc w:val="center"/>
              </w:trPr>
              <w:tc>
                <w:tcPr>
                  <w:tcW w:w="6936" w:type="dxa"/>
                </w:tcPr>
                <w:p w14:paraId="15134AC9" w14:textId="77777777" w:rsidR="002A6DD8" w:rsidRPr="008819AF" w:rsidRDefault="002A6DD8" w:rsidP="00620437">
                  <w:pPr>
                    <w:ind w:left="33"/>
                  </w:pPr>
                  <w:r w:rsidRPr="008819AF">
                    <w:t xml:space="preserve">Pre zariadenia podľa bodu 5.2 a na úrovni nižšej prahovej hodnoty bodu 4 pre činnosti IVa a IVb. </w:t>
                  </w:r>
                </w:p>
              </w:tc>
              <w:tc>
                <w:tcPr>
                  <w:tcW w:w="1818" w:type="dxa"/>
                  <w:vAlign w:val="center"/>
                </w:tcPr>
                <w:p w14:paraId="15134ACA" w14:textId="77777777" w:rsidR="002A6DD8" w:rsidRPr="008819AF" w:rsidRDefault="002A6DD8" w:rsidP="00620437">
                  <w:pPr>
                    <w:jc w:val="center"/>
                  </w:pPr>
                  <w:r w:rsidRPr="008819AF">
                    <w:t>EL</w:t>
                  </w:r>
                  <w:r w:rsidRPr="008819AF">
                    <w:rPr>
                      <w:vertAlign w:val="subscript"/>
                    </w:rPr>
                    <w:t>EF</w:t>
                  </w:r>
                  <w:r w:rsidRPr="008819AF">
                    <w:t xml:space="preserve"> + 15</w:t>
                  </w:r>
                </w:p>
              </w:tc>
            </w:tr>
            <w:tr w:rsidR="002A6DD8" w:rsidRPr="008819AF" w14:paraId="15134ACE" w14:textId="77777777" w:rsidTr="00620437">
              <w:trPr>
                <w:jc w:val="center"/>
              </w:trPr>
              <w:tc>
                <w:tcPr>
                  <w:tcW w:w="6936" w:type="dxa"/>
                </w:tcPr>
                <w:p w14:paraId="15134ACC" w14:textId="77777777" w:rsidR="002A6DD8" w:rsidRPr="008819AF" w:rsidRDefault="002A6DD8" w:rsidP="00620437">
                  <w:r w:rsidRPr="008819AF">
                    <w:t xml:space="preserve">Všetky ostatné zariadenia </w:t>
                  </w:r>
                </w:p>
              </w:tc>
              <w:tc>
                <w:tcPr>
                  <w:tcW w:w="1818" w:type="dxa"/>
                  <w:vAlign w:val="center"/>
                </w:tcPr>
                <w:p w14:paraId="15134ACD" w14:textId="77777777" w:rsidR="002A6DD8" w:rsidRPr="008819AF" w:rsidRDefault="002A6DD8" w:rsidP="00620437">
                  <w:pPr>
                    <w:jc w:val="center"/>
                  </w:pPr>
                  <w:r w:rsidRPr="008819AF">
                    <w:t>EL</w:t>
                  </w:r>
                  <w:r w:rsidRPr="008819AF">
                    <w:rPr>
                      <w:vertAlign w:val="subscript"/>
                    </w:rPr>
                    <w:t>EF</w:t>
                  </w:r>
                  <w:r w:rsidRPr="008819AF">
                    <w:t xml:space="preserve"> + 5</w:t>
                  </w:r>
                </w:p>
              </w:tc>
            </w:tr>
          </w:tbl>
          <w:p w14:paraId="15134ACF" w14:textId="77777777" w:rsidR="002A6DD8" w:rsidRPr="008819AF" w:rsidRDefault="002A6DD8" w:rsidP="002A6DD8">
            <w:pPr>
              <w:spacing w:before="120"/>
            </w:pPr>
            <w:r w:rsidRPr="008819AF">
              <w:t>3.3  Podmienka splnenia redukčného plánu</w:t>
            </w:r>
          </w:p>
          <w:p w14:paraId="15134AD0" w14:textId="77777777" w:rsidR="007170C3" w:rsidRPr="008819AF" w:rsidRDefault="002A6DD8" w:rsidP="002A6DD8">
            <w:pPr>
              <w:ind w:left="-61" w:firstLine="61"/>
              <w:rPr>
                <w:lang w:bidi="cs-CZ"/>
              </w:rPr>
            </w:pPr>
            <w:r w:rsidRPr="008819AF">
              <w:t>Redukčný plán je splnený, keď skutočné množstvo celkových emisií podľa ročnej bilancie rozpúšťadiel je menšie alebo sa rovná hodnote cieľovej emisie. Metodika výpočtu ročnej bilancie rozpúšťadiel je uvedená v šiestej časti tejto prílohy.</w:t>
            </w:r>
          </w:p>
        </w:tc>
        <w:tc>
          <w:tcPr>
            <w:tcW w:w="709" w:type="dxa"/>
            <w:tcBorders>
              <w:top w:val="single" w:sz="4" w:space="0" w:color="000000"/>
              <w:left w:val="single" w:sz="6" w:space="0" w:color="000000"/>
              <w:bottom w:val="single" w:sz="6" w:space="0" w:color="000000"/>
              <w:right w:val="single" w:sz="6" w:space="0" w:color="000000"/>
            </w:tcBorders>
          </w:tcPr>
          <w:p w14:paraId="15134AD1"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15134AD2" w14:textId="77777777" w:rsidR="007170C3" w:rsidRPr="008819AF" w:rsidRDefault="007170C3">
            <w:pPr>
              <w:ind w:left="215" w:hanging="215"/>
              <w:rPr>
                <w:rFonts w:eastAsia="Arial"/>
              </w:rPr>
            </w:pPr>
          </w:p>
        </w:tc>
      </w:tr>
      <w:tr w:rsidR="00F80158" w:rsidRPr="008819AF" w14:paraId="15134AE2" w14:textId="77777777" w:rsidTr="00EC5B90">
        <w:tc>
          <w:tcPr>
            <w:tcW w:w="496" w:type="dxa"/>
            <w:tcBorders>
              <w:top w:val="single" w:sz="4" w:space="0" w:color="000000"/>
              <w:left w:val="single" w:sz="6" w:space="0" w:color="000000"/>
              <w:bottom w:val="single" w:sz="6" w:space="0" w:color="000000"/>
              <w:right w:val="single" w:sz="6" w:space="0" w:color="000000"/>
            </w:tcBorders>
          </w:tcPr>
          <w:p w14:paraId="15134AD4"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AD5" w14:textId="77777777" w:rsidR="007170C3" w:rsidRPr="008819AF" w:rsidRDefault="006F0418">
            <w:pPr>
              <w:pStyle w:val="Default"/>
              <w:ind w:left="214" w:hanging="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 xml:space="preserve">ČASŤ 6  </w:t>
            </w:r>
          </w:p>
          <w:p w14:paraId="15134AD6" w14:textId="77777777" w:rsidR="007170C3" w:rsidRPr="008819AF" w:rsidRDefault="006F0418">
            <w:pPr>
              <w:pStyle w:val="Default"/>
              <w:ind w:left="214" w:hanging="214"/>
              <w:rPr>
                <w:rFonts w:ascii="Times New Roman" w:eastAsia="Arial" w:hAnsi="Times New Roman" w:cs="Times New Roman"/>
                <w:i/>
                <w:iCs/>
                <w:color w:val="auto"/>
                <w:sz w:val="20"/>
                <w:szCs w:val="20"/>
              </w:rPr>
            </w:pPr>
            <w:r w:rsidRPr="008819AF">
              <w:rPr>
                <w:rFonts w:ascii="Times New Roman" w:eastAsia="Arial" w:hAnsi="Times New Roman" w:cs="Times New Roman"/>
                <w:i/>
                <w:iCs/>
                <w:color w:val="auto"/>
                <w:sz w:val="20"/>
                <w:szCs w:val="20"/>
              </w:rPr>
              <w:t>Monitorovanie emisií</w:t>
            </w:r>
          </w:p>
          <w:p w14:paraId="15134AD7" w14:textId="77777777" w:rsidR="007170C3" w:rsidRPr="008819AF" w:rsidRDefault="006F0418">
            <w:pPr>
              <w:pStyle w:val="Default"/>
              <w:ind w:left="214" w:hanging="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1. Výduchy, na ktoré je napojené odlučovacie zariadenie a ktoré v mieste vypúšťania emitujú v priemere viac ako 10 kg/h celkového množstva organického uhlíka, sa kontinuálne monitorujú z hľadiska dodržiavania požiadaviek.</w:t>
            </w:r>
          </w:p>
        </w:tc>
        <w:tc>
          <w:tcPr>
            <w:tcW w:w="881" w:type="dxa"/>
            <w:tcBorders>
              <w:top w:val="single" w:sz="4" w:space="0" w:color="000000"/>
              <w:left w:val="single" w:sz="6" w:space="0" w:color="000000"/>
              <w:bottom w:val="single" w:sz="6" w:space="0" w:color="000000"/>
              <w:right w:val="single" w:sz="6" w:space="0" w:color="000000"/>
            </w:tcBorders>
          </w:tcPr>
          <w:p w14:paraId="15134AD8" w14:textId="77777777" w:rsidR="007170C3" w:rsidRPr="008819AF" w:rsidRDefault="002A6DD8">
            <w:pPr>
              <w:ind w:left="215" w:hanging="215"/>
              <w:rPr>
                <w:rFonts w:eastAsia="Arial"/>
                <w:lang w:bidi="cs-CZ"/>
              </w:rPr>
            </w:pPr>
            <w:r w:rsidRPr="008819AF">
              <w:rPr>
                <w:rFonts w:eastAsia="Arial"/>
                <w:lang w:bidi="cs-CZ"/>
              </w:rPr>
              <w:t>N</w:t>
            </w:r>
          </w:p>
          <w:p w14:paraId="15134AD9" w14:textId="77777777" w:rsidR="007170C3" w:rsidRPr="008819AF" w:rsidRDefault="007170C3">
            <w:pPr>
              <w:rPr>
                <w:rFonts w:eastAsia="Arial"/>
                <w:lang w:bidi="cs-CZ"/>
              </w:rPr>
            </w:pPr>
          </w:p>
        </w:tc>
        <w:tc>
          <w:tcPr>
            <w:tcW w:w="678" w:type="dxa"/>
            <w:tcBorders>
              <w:top w:val="single" w:sz="4" w:space="0" w:color="000000"/>
              <w:left w:val="single" w:sz="6" w:space="0" w:color="000000"/>
              <w:bottom w:val="single" w:sz="6" w:space="0" w:color="000000"/>
              <w:right w:val="single" w:sz="6" w:space="0" w:color="000000"/>
            </w:tcBorders>
          </w:tcPr>
          <w:p w14:paraId="15134ADA" w14:textId="77777777" w:rsidR="007170C3" w:rsidRPr="008819AF" w:rsidRDefault="006F0418">
            <w:pPr>
              <w:rPr>
                <w:rFonts w:eastAsia="Arial"/>
                <w:lang w:bidi="cs-CZ"/>
              </w:rPr>
            </w:pPr>
            <w:r w:rsidRPr="008819AF">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15134ADB" w14:textId="77777777" w:rsidR="007170C3" w:rsidRPr="008819AF" w:rsidRDefault="00141ACF">
            <w:r w:rsidRPr="008819AF">
              <w:t>§10</w:t>
            </w:r>
          </w:p>
          <w:p w14:paraId="15134ADC" w14:textId="77777777" w:rsidR="00141ACF" w:rsidRPr="008819AF" w:rsidRDefault="00141ACF">
            <w:r w:rsidRPr="008819AF">
              <w:t>O1</w:t>
            </w:r>
          </w:p>
        </w:tc>
        <w:tc>
          <w:tcPr>
            <w:tcW w:w="5954" w:type="dxa"/>
            <w:tcBorders>
              <w:top w:val="single" w:sz="4" w:space="0" w:color="000000"/>
              <w:left w:val="single" w:sz="6" w:space="0" w:color="000000"/>
              <w:bottom w:val="single" w:sz="6" w:space="0" w:color="000000"/>
              <w:right w:val="single" w:sz="6" w:space="0" w:color="000000"/>
            </w:tcBorders>
          </w:tcPr>
          <w:p w14:paraId="15134ADD" w14:textId="77777777" w:rsidR="00141ACF" w:rsidRPr="008819AF" w:rsidRDefault="00141ACF" w:rsidP="00141ACF">
            <w:pPr>
              <w:jc w:val="both"/>
              <w:rPr>
                <w:rFonts w:eastAsia="Arial"/>
              </w:rPr>
            </w:pPr>
            <w:r w:rsidRPr="008819AF">
              <w:rPr>
                <w:rFonts w:eastAsia="Arial"/>
              </w:rPr>
              <w:t>(1)</w:t>
            </w:r>
            <w:r w:rsidRPr="008819AF">
              <w:rPr>
                <w:rFonts w:eastAsia="Arial"/>
              </w:rPr>
              <w:tab/>
              <w:t>Ak ide o zariadenie používajúce organické rozpúšťadlá, kontinuálnym meraním sa údaje o dodržaní emisných limitov určených pre odpadové plyny a celkový organický uhlík a množstvo emisie celkového organického uhlíka zisťujú vo výduchoch, na ktoré sú napojené odlučovacie zariadenia a ktoré v mieste vypúšťania emitujú v priemere viac ako 10 kg/h celkového organického uhlíka, ak</w:t>
            </w:r>
          </w:p>
          <w:p w14:paraId="15134ADE" w14:textId="77777777" w:rsidR="00141ACF" w:rsidRPr="008819AF" w:rsidRDefault="00141ACF" w:rsidP="00141ACF">
            <w:pPr>
              <w:jc w:val="both"/>
              <w:rPr>
                <w:rFonts w:eastAsia="Arial"/>
              </w:rPr>
            </w:pPr>
            <w:r w:rsidRPr="008819AF">
              <w:rPr>
                <w:rFonts w:eastAsia="Arial"/>
              </w:rPr>
              <w:t>a)</w:t>
            </w:r>
            <w:r w:rsidRPr="008819AF">
              <w:rPr>
                <w:rFonts w:eastAsia="Arial"/>
              </w:rPr>
              <w:tab/>
              <w:t xml:space="preserve">neustanovuje inak odsek 3, alebo </w:t>
            </w:r>
          </w:p>
          <w:p w14:paraId="15134ADF" w14:textId="77777777" w:rsidR="007170C3" w:rsidRPr="008819AF" w:rsidRDefault="00141ACF" w:rsidP="00141ACF">
            <w:pPr>
              <w:jc w:val="both"/>
              <w:rPr>
                <w:rFonts w:eastAsia="Arial"/>
              </w:rPr>
            </w:pPr>
            <w:r w:rsidRPr="008819AF">
              <w:rPr>
                <w:rFonts w:eastAsia="Arial"/>
              </w:rPr>
              <w:lastRenderedPageBreak/>
              <w:t>b)</w:t>
            </w:r>
            <w:r w:rsidRPr="008819AF">
              <w:rPr>
                <w:rFonts w:eastAsia="Arial"/>
              </w:rPr>
              <w:tab/>
              <w:t>v povolení nie je určené kontinuálne meranie pri nižšom hmotnostnom toku celkového organického uhlíka.</w:t>
            </w:r>
          </w:p>
        </w:tc>
        <w:tc>
          <w:tcPr>
            <w:tcW w:w="709" w:type="dxa"/>
            <w:tcBorders>
              <w:top w:val="single" w:sz="4" w:space="0" w:color="000000"/>
              <w:left w:val="single" w:sz="6" w:space="0" w:color="000000"/>
              <w:bottom w:val="single" w:sz="6" w:space="0" w:color="000000"/>
              <w:right w:val="single" w:sz="6" w:space="0" w:color="000000"/>
            </w:tcBorders>
          </w:tcPr>
          <w:p w14:paraId="15134AE0" w14:textId="77777777" w:rsidR="007170C3" w:rsidRPr="008819AF" w:rsidRDefault="007170C3"/>
        </w:tc>
        <w:tc>
          <w:tcPr>
            <w:tcW w:w="607" w:type="dxa"/>
            <w:tcBorders>
              <w:top w:val="single" w:sz="4" w:space="0" w:color="000000"/>
              <w:left w:val="single" w:sz="6" w:space="0" w:color="000000"/>
              <w:bottom w:val="single" w:sz="6" w:space="0" w:color="000000"/>
              <w:right w:val="single" w:sz="6" w:space="0" w:color="000000"/>
            </w:tcBorders>
          </w:tcPr>
          <w:p w14:paraId="15134AE1" w14:textId="77777777" w:rsidR="007170C3" w:rsidRPr="008819AF" w:rsidRDefault="007170C3">
            <w:pPr>
              <w:ind w:left="6"/>
              <w:rPr>
                <w:rFonts w:eastAsia="Arial"/>
              </w:rPr>
            </w:pPr>
          </w:p>
        </w:tc>
      </w:tr>
      <w:tr w:rsidR="00F80158" w:rsidRPr="008819AF" w14:paraId="15134B03" w14:textId="77777777" w:rsidTr="00EC5B90">
        <w:trPr>
          <w:trHeight w:val="850"/>
        </w:trPr>
        <w:tc>
          <w:tcPr>
            <w:tcW w:w="496" w:type="dxa"/>
            <w:tcBorders>
              <w:top w:val="single" w:sz="4" w:space="0" w:color="000000"/>
              <w:left w:val="single" w:sz="6" w:space="0" w:color="000000"/>
              <w:bottom w:val="single" w:sz="6" w:space="0" w:color="000000"/>
              <w:right w:val="single" w:sz="6" w:space="0" w:color="000000"/>
            </w:tcBorders>
          </w:tcPr>
          <w:p w14:paraId="15134AE3"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AE4" w14:textId="77777777" w:rsidR="007170C3" w:rsidRPr="008819AF" w:rsidRDefault="006F0418">
            <w:pPr>
              <w:pStyle w:val="Default"/>
              <w:ind w:left="214" w:hanging="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2. V ostatných prípadoch musia členské štáty zabezpečiť, aby sa vykonávalo buď kontinuálne, alebo periodické meranie. Pri periodických meraniach sa musia získať minimálne tri namerané hodnoty počas každého výkonu merania.</w:t>
            </w:r>
          </w:p>
        </w:tc>
        <w:tc>
          <w:tcPr>
            <w:tcW w:w="881" w:type="dxa"/>
            <w:tcBorders>
              <w:top w:val="single" w:sz="4" w:space="0" w:color="000000"/>
              <w:left w:val="single" w:sz="6" w:space="0" w:color="000000"/>
              <w:bottom w:val="single" w:sz="6" w:space="0" w:color="000000"/>
              <w:right w:val="single" w:sz="6" w:space="0" w:color="000000"/>
            </w:tcBorders>
          </w:tcPr>
          <w:p w14:paraId="15134AE5" w14:textId="77777777" w:rsidR="007170C3" w:rsidRPr="008819AF" w:rsidRDefault="002A6DD8">
            <w:pPr>
              <w:ind w:left="215" w:hanging="215"/>
              <w:rPr>
                <w:rFonts w:eastAsia="Arial"/>
                <w:lang w:bidi="cs-CZ"/>
              </w:rPr>
            </w:pPr>
            <w:r w:rsidRPr="008819AF">
              <w:rPr>
                <w:rFonts w:eastAsia="Arial"/>
                <w:lang w:bidi="cs-CZ"/>
              </w:rPr>
              <w:t>N</w:t>
            </w:r>
          </w:p>
          <w:p w14:paraId="15134AE6" w14:textId="77777777" w:rsidR="007170C3" w:rsidRPr="008819AF" w:rsidRDefault="007170C3">
            <w:pPr>
              <w:rPr>
                <w:rFonts w:eastAsia="Arial"/>
                <w:lang w:bidi="cs-CZ"/>
              </w:rPr>
            </w:pPr>
          </w:p>
        </w:tc>
        <w:tc>
          <w:tcPr>
            <w:tcW w:w="678" w:type="dxa"/>
            <w:tcBorders>
              <w:top w:val="single" w:sz="4" w:space="0" w:color="000000"/>
              <w:left w:val="single" w:sz="6" w:space="0" w:color="000000"/>
              <w:bottom w:val="single" w:sz="6" w:space="0" w:color="000000"/>
              <w:right w:val="single" w:sz="6" w:space="0" w:color="000000"/>
            </w:tcBorders>
          </w:tcPr>
          <w:p w14:paraId="15134AE7" w14:textId="77777777" w:rsidR="007170C3" w:rsidRPr="008819AF" w:rsidRDefault="006F0418">
            <w:pPr>
              <w:rPr>
                <w:rFonts w:eastAsia="Arial"/>
                <w:lang w:bidi="cs-CZ"/>
              </w:rPr>
            </w:pPr>
            <w:r w:rsidRPr="008819AF">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15134AE8" w14:textId="77777777" w:rsidR="007170C3" w:rsidRPr="008819AF" w:rsidRDefault="00141ACF">
            <w:r w:rsidRPr="008819AF">
              <w:t>§10</w:t>
            </w:r>
          </w:p>
          <w:p w14:paraId="15134AE9" w14:textId="77777777" w:rsidR="00141ACF" w:rsidRPr="008819AF" w:rsidRDefault="00141ACF">
            <w:r w:rsidRPr="008819AF">
              <w:t>O2</w:t>
            </w:r>
          </w:p>
          <w:p w14:paraId="15134AEA" w14:textId="77777777" w:rsidR="00141ACF" w:rsidRPr="008819AF" w:rsidRDefault="00141ACF"/>
          <w:p w14:paraId="15134AEB" w14:textId="77777777" w:rsidR="00141ACF" w:rsidRPr="008819AF" w:rsidRDefault="00141ACF"/>
          <w:p w14:paraId="15134AEC" w14:textId="77777777" w:rsidR="00141ACF" w:rsidRPr="008819AF" w:rsidRDefault="00141ACF"/>
          <w:p w14:paraId="15134AED" w14:textId="77777777" w:rsidR="00141ACF" w:rsidRPr="008819AF" w:rsidRDefault="00141ACF"/>
          <w:p w14:paraId="15134AEE" w14:textId="77777777" w:rsidR="00141ACF" w:rsidRPr="008819AF" w:rsidRDefault="00141ACF"/>
          <w:p w14:paraId="15134AEF" w14:textId="77777777" w:rsidR="00141ACF" w:rsidRPr="008819AF" w:rsidRDefault="00141ACF"/>
          <w:p w14:paraId="15134AF0" w14:textId="77777777" w:rsidR="00141ACF" w:rsidRPr="008819AF" w:rsidRDefault="00141ACF"/>
          <w:p w14:paraId="15134AF1" w14:textId="77777777" w:rsidR="00141ACF" w:rsidRPr="008819AF" w:rsidRDefault="00141ACF"/>
          <w:p w14:paraId="15134AF2" w14:textId="77777777" w:rsidR="00141ACF" w:rsidRPr="008819AF" w:rsidRDefault="00141ACF"/>
          <w:p w14:paraId="15134AF3" w14:textId="77777777" w:rsidR="00141ACF" w:rsidRPr="008819AF" w:rsidRDefault="00141ACF"/>
          <w:p w14:paraId="15134AF4" w14:textId="77777777" w:rsidR="00141ACF" w:rsidRPr="008819AF" w:rsidRDefault="00141ACF"/>
          <w:p w14:paraId="15134AF5" w14:textId="77777777" w:rsidR="00141ACF" w:rsidRPr="008819AF" w:rsidRDefault="00141ACF"/>
          <w:p w14:paraId="15134AF6" w14:textId="77777777" w:rsidR="00141ACF" w:rsidRPr="008819AF" w:rsidRDefault="00141ACF"/>
          <w:p w14:paraId="15134AF7" w14:textId="77777777" w:rsidR="00141ACF" w:rsidRPr="008819AF" w:rsidRDefault="00141ACF" w:rsidP="00141ACF"/>
          <w:p w14:paraId="15134AF8" w14:textId="77777777" w:rsidR="00141ACF" w:rsidRPr="008819AF" w:rsidRDefault="00141ACF" w:rsidP="00141ACF">
            <w:r w:rsidRPr="008819AF">
              <w:t>Pr. 2</w:t>
            </w:r>
          </w:p>
          <w:p w14:paraId="15134AF9" w14:textId="77777777" w:rsidR="00141ACF" w:rsidRPr="008819AF" w:rsidRDefault="009C7CD3" w:rsidP="009C7CD3">
            <w:r w:rsidRPr="008819AF">
              <w:t>Časť D bod 4</w:t>
            </w:r>
          </w:p>
        </w:tc>
        <w:tc>
          <w:tcPr>
            <w:tcW w:w="5954" w:type="dxa"/>
            <w:tcBorders>
              <w:top w:val="single" w:sz="4" w:space="0" w:color="000000"/>
              <w:left w:val="single" w:sz="6" w:space="0" w:color="000000"/>
              <w:bottom w:val="single" w:sz="6" w:space="0" w:color="000000"/>
              <w:right w:val="single" w:sz="6" w:space="0" w:color="000000"/>
            </w:tcBorders>
          </w:tcPr>
          <w:p w14:paraId="15134AFA" w14:textId="77777777" w:rsidR="00141ACF" w:rsidRPr="008819AF" w:rsidRDefault="00141ACF" w:rsidP="00141ACF">
            <w:pPr>
              <w:jc w:val="both"/>
              <w:rPr>
                <w:rFonts w:eastAsia="Arial"/>
              </w:rPr>
            </w:pPr>
            <w:r w:rsidRPr="008819AF">
              <w:rPr>
                <w:rFonts w:eastAsia="Arial"/>
              </w:rPr>
              <w:t>(2)</w:t>
            </w:r>
            <w:r w:rsidRPr="008819AF">
              <w:rPr>
                <w:rFonts w:eastAsia="Arial"/>
              </w:rPr>
              <w:tab/>
              <w:t xml:space="preserve">Ak ide o zariadenie používajúce organické rozpúšťadlá a neustanovujú inak odseky 3 a 8, alebo v povolení nie je s prihliadnutím na špecifické prípady podľa § 6 ods. 3 písm. a) až g) určený kratší interval, periodickým meraním sa údaje o dodržaní emisných limitov určených pre odpadové plyny zisťujú v intervale najmenej raz za </w:t>
            </w:r>
          </w:p>
          <w:p w14:paraId="15134AFB" w14:textId="77777777" w:rsidR="00141ACF" w:rsidRPr="008819AF" w:rsidRDefault="00141ACF" w:rsidP="00141ACF">
            <w:pPr>
              <w:jc w:val="both"/>
              <w:rPr>
                <w:rFonts w:eastAsia="Arial"/>
              </w:rPr>
            </w:pPr>
            <w:r w:rsidRPr="008819AF">
              <w:rPr>
                <w:rFonts w:eastAsia="Arial"/>
              </w:rPr>
              <w:t>a)</w:t>
            </w:r>
            <w:r w:rsidRPr="008819AF">
              <w:rPr>
                <w:rFonts w:eastAsia="Arial"/>
              </w:rPr>
              <w:tab/>
              <w:t xml:space="preserve">tri kalendárne roky, ak ide o </w:t>
            </w:r>
          </w:p>
          <w:p w14:paraId="15134AFC" w14:textId="77777777" w:rsidR="00141ACF" w:rsidRPr="008819AF" w:rsidRDefault="00141ACF" w:rsidP="00141ACF">
            <w:pPr>
              <w:jc w:val="both"/>
              <w:rPr>
                <w:rFonts w:eastAsia="Arial"/>
              </w:rPr>
            </w:pPr>
            <w:r w:rsidRPr="008819AF">
              <w:rPr>
                <w:rFonts w:eastAsia="Arial"/>
              </w:rPr>
              <w:t>1.</w:t>
            </w:r>
            <w:r w:rsidRPr="008819AF">
              <w:rPr>
                <w:rFonts w:eastAsia="Arial"/>
              </w:rPr>
              <w:tab/>
              <w:t>prchavé organické zlúčeniny, ktoré sú klasifikované rizikovou R-vetou alebo H-výstražným upozornením, )</w:t>
            </w:r>
          </w:p>
          <w:p w14:paraId="15134AFD" w14:textId="77777777" w:rsidR="00141ACF" w:rsidRPr="008819AF" w:rsidRDefault="00141ACF" w:rsidP="00141ACF">
            <w:pPr>
              <w:jc w:val="both"/>
              <w:rPr>
                <w:rFonts w:eastAsia="Arial"/>
              </w:rPr>
            </w:pPr>
            <w:r w:rsidRPr="008819AF">
              <w:rPr>
                <w:rFonts w:eastAsia="Arial"/>
              </w:rPr>
              <w:t>2.</w:t>
            </w:r>
            <w:r w:rsidRPr="008819AF">
              <w:rPr>
                <w:rFonts w:eastAsia="Arial"/>
              </w:rPr>
              <w:tab/>
              <w:t>výduchy, ktoré v mieste vypúšťania emitujú v priemere (0,5 až 10) kg/h celkového organického uhlíka ostatných zlúčenín, ako podľa prvého bodu,</w:t>
            </w:r>
          </w:p>
          <w:p w14:paraId="15134AFE" w14:textId="77777777" w:rsidR="007170C3" w:rsidRPr="008819AF" w:rsidRDefault="00141ACF" w:rsidP="00141ACF">
            <w:pPr>
              <w:jc w:val="both"/>
              <w:rPr>
                <w:rFonts w:eastAsia="Arial"/>
              </w:rPr>
            </w:pPr>
            <w:r w:rsidRPr="008819AF">
              <w:rPr>
                <w:rFonts w:eastAsia="Arial"/>
              </w:rPr>
              <w:t>b)</w:t>
            </w:r>
            <w:r w:rsidRPr="008819AF">
              <w:rPr>
                <w:rFonts w:eastAsia="Arial"/>
              </w:rPr>
              <w:tab/>
              <w:t>šesť kalendárnych rokov, ak ide o výduchy, ktoré v mieste vypúšťania emitujú v priemere menej ako 0,5 kg/h celkového organického uhlíka ostatných zlúčenín, ako podľa písmena a) prvého bodu.</w:t>
            </w:r>
          </w:p>
          <w:p w14:paraId="15134AFF" w14:textId="77777777" w:rsidR="00141ACF" w:rsidRPr="008819AF" w:rsidRDefault="00141ACF" w:rsidP="00141ACF">
            <w:pPr>
              <w:jc w:val="both"/>
              <w:rPr>
                <w:rFonts w:eastAsia="Arial"/>
              </w:rPr>
            </w:pPr>
          </w:p>
          <w:p w14:paraId="15134B00" w14:textId="77777777" w:rsidR="00141ACF" w:rsidRPr="008819AF" w:rsidRDefault="00141ACF" w:rsidP="00141ACF">
            <w:pPr>
              <w:jc w:val="both"/>
              <w:rPr>
                <w:rFonts w:eastAsia="Arial"/>
              </w:rPr>
            </w:pPr>
            <w:r w:rsidRPr="008819AF">
              <w:rPr>
                <w:rFonts w:eastAsia="Arial"/>
              </w:rPr>
              <w:t>Ak ide o zariadenie používajúce organické rozpúšťadlá a emisnú veličinu určenú pre organické rozpúšťadlá, počas každého výkonu periodického merania sa musia zistiť najmenej tri jednotlivé hodnoty v sérii.</w:t>
            </w:r>
          </w:p>
        </w:tc>
        <w:tc>
          <w:tcPr>
            <w:tcW w:w="709" w:type="dxa"/>
            <w:tcBorders>
              <w:top w:val="single" w:sz="4" w:space="0" w:color="000000"/>
              <w:left w:val="single" w:sz="6" w:space="0" w:color="000000"/>
              <w:bottom w:val="single" w:sz="6" w:space="0" w:color="000000"/>
              <w:right w:val="single" w:sz="6" w:space="0" w:color="000000"/>
            </w:tcBorders>
          </w:tcPr>
          <w:p w14:paraId="15134B01" w14:textId="77777777" w:rsidR="007170C3" w:rsidRPr="008819AF" w:rsidRDefault="007170C3"/>
        </w:tc>
        <w:tc>
          <w:tcPr>
            <w:tcW w:w="607" w:type="dxa"/>
            <w:tcBorders>
              <w:top w:val="single" w:sz="4" w:space="0" w:color="000000"/>
              <w:left w:val="single" w:sz="6" w:space="0" w:color="000000"/>
              <w:bottom w:val="single" w:sz="6" w:space="0" w:color="000000"/>
              <w:right w:val="single" w:sz="6" w:space="0" w:color="000000"/>
            </w:tcBorders>
          </w:tcPr>
          <w:p w14:paraId="15134B02" w14:textId="77777777" w:rsidR="007170C3" w:rsidRPr="008819AF" w:rsidRDefault="007170C3">
            <w:pPr>
              <w:ind w:left="6"/>
              <w:rPr>
                <w:rFonts w:eastAsia="Arial"/>
              </w:rPr>
            </w:pPr>
          </w:p>
        </w:tc>
      </w:tr>
      <w:tr w:rsidR="00F80158" w:rsidRPr="008819AF" w14:paraId="15134B0E" w14:textId="77777777" w:rsidTr="00EC5B90">
        <w:tc>
          <w:tcPr>
            <w:tcW w:w="496" w:type="dxa"/>
            <w:tcBorders>
              <w:top w:val="single" w:sz="4" w:space="0" w:color="000000"/>
              <w:left w:val="single" w:sz="6" w:space="0" w:color="000000"/>
              <w:bottom w:val="single" w:sz="6" w:space="0" w:color="000000"/>
              <w:right w:val="single" w:sz="6" w:space="0" w:color="000000"/>
            </w:tcBorders>
          </w:tcPr>
          <w:p w14:paraId="15134B04"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B05" w14:textId="77777777" w:rsidR="007170C3" w:rsidRPr="008819AF" w:rsidRDefault="006F0418">
            <w:pPr>
              <w:pStyle w:val="Default"/>
              <w:ind w:left="214" w:hanging="214"/>
              <w:rPr>
                <w:rFonts w:ascii="Times New Roman" w:eastAsia="Arial" w:hAnsi="Times New Roman" w:cs="Times New Roman"/>
                <w:color w:val="auto"/>
                <w:sz w:val="20"/>
                <w:szCs w:val="20"/>
              </w:rPr>
            </w:pPr>
            <w:r w:rsidRPr="008819AF">
              <w:rPr>
                <w:rFonts w:ascii="Times New Roman" w:eastAsia="Arial" w:hAnsi="Times New Roman" w:cs="Times New Roman"/>
                <w:color w:val="auto"/>
                <w:sz w:val="20"/>
                <w:szCs w:val="20"/>
              </w:rPr>
              <w:t>3. Merania nie sú povinné v prípade, ak pre súlad s touto smernicou nie je potrebná koncová technológia na znižovanie emisií.</w:t>
            </w:r>
          </w:p>
        </w:tc>
        <w:tc>
          <w:tcPr>
            <w:tcW w:w="881" w:type="dxa"/>
            <w:tcBorders>
              <w:top w:val="single" w:sz="4" w:space="0" w:color="000000"/>
              <w:left w:val="single" w:sz="6" w:space="0" w:color="000000"/>
              <w:bottom w:val="single" w:sz="6" w:space="0" w:color="000000"/>
              <w:right w:val="single" w:sz="6" w:space="0" w:color="000000"/>
            </w:tcBorders>
          </w:tcPr>
          <w:p w14:paraId="15134B06" w14:textId="77777777" w:rsidR="007170C3" w:rsidRPr="008819AF" w:rsidRDefault="009C7CD3">
            <w:pPr>
              <w:ind w:left="215" w:hanging="215"/>
              <w:rPr>
                <w:rFonts w:eastAsia="Arial"/>
                <w:lang w:bidi="cs-CZ"/>
              </w:rPr>
            </w:pPr>
            <w:r w:rsidRPr="008819AF">
              <w:rPr>
                <w:rFonts w:eastAsia="Arial"/>
                <w:lang w:bidi="cs-CZ"/>
              </w:rPr>
              <w:t>N</w:t>
            </w:r>
          </w:p>
          <w:p w14:paraId="15134B07" w14:textId="77777777" w:rsidR="007170C3" w:rsidRPr="008819AF" w:rsidRDefault="007170C3">
            <w:pPr>
              <w:rPr>
                <w:rFonts w:eastAsia="Arial"/>
                <w:lang w:bidi="cs-CZ"/>
              </w:rPr>
            </w:pPr>
          </w:p>
        </w:tc>
        <w:tc>
          <w:tcPr>
            <w:tcW w:w="678" w:type="dxa"/>
            <w:tcBorders>
              <w:top w:val="single" w:sz="4" w:space="0" w:color="000000"/>
              <w:left w:val="single" w:sz="6" w:space="0" w:color="000000"/>
              <w:bottom w:val="single" w:sz="6" w:space="0" w:color="000000"/>
              <w:right w:val="single" w:sz="6" w:space="0" w:color="000000"/>
            </w:tcBorders>
          </w:tcPr>
          <w:p w14:paraId="15134B08" w14:textId="77777777" w:rsidR="007170C3" w:rsidRPr="008819AF" w:rsidRDefault="006F0418">
            <w:pPr>
              <w:rPr>
                <w:rFonts w:eastAsia="Arial"/>
                <w:lang w:bidi="cs-CZ"/>
              </w:rPr>
            </w:pPr>
            <w:r w:rsidRPr="008819AF">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15134B09" w14:textId="77777777" w:rsidR="007170C3" w:rsidRPr="008819AF" w:rsidRDefault="00141ACF">
            <w:r w:rsidRPr="008819AF">
              <w:t>§10</w:t>
            </w:r>
          </w:p>
          <w:p w14:paraId="15134B0A" w14:textId="77777777" w:rsidR="00141ACF" w:rsidRPr="008819AF" w:rsidRDefault="00141ACF">
            <w:r w:rsidRPr="008819AF">
              <w:t>O3</w:t>
            </w:r>
          </w:p>
        </w:tc>
        <w:tc>
          <w:tcPr>
            <w:tcW w:w="5954" w:type="dxa"/>
            <w:tcBorders>
              <w:top w:val="single" w:sz="4" w:space="0" w:color="000000"/>
              <w:left w:val="single" w:sz="6" w:space="0" w:color="000000"/>
              <w:bottom w:val="single" w:sz="6" w:space="0" w:color="000000"/>
              <w:right w:val="single" w:sz="6" w:space="0" w:color="000000"/>
            </w:tcBorders>
          </w:tcPr>
          <w:p w14:paraId="15134B0B" w14:textId="77777777" w:rsidR="007170C3" w:rsidRPr="008819AF" w:rsidRDefault="00132937">
            <w:pPr>
              <w:jc w:val="both"/>
              <w:rPr>
                <w:rFonts w:eastAsia="Arial"/>
              </w:rPr>
            </w:pPr>
            <w:r w:rsidRPr="008819AF">
              <w:rPr>
                <w:rFonts w:eastAsia="Arial"/>
              </w:rPr>
              <w:t>(3)</w:t>
            </w:r>
            <w:r w:rsidRPr="008819AF">
              <w:rPr>
                <w:rFonts w:eastAsia="Arial"/>
              </w:rPr>
              <w:tab/>
              <w:t xml:space="preserve">Meranie nie je potrebné vykonávať, ak vo výduchoch za odlučovacími zariadeniami sa nevyžaduje zisťovať emisné hodnoty na preukazovanie požiadaviek ustanovených v osobitnom predpise. </w:t>
            </w:r>
          </w:p>
        </w:tc>
        <w:tc>
          <w:tcPr>
            <w:tcW w:w="709" w:type="dxa"/>
            <w:tcBorders>
              <w:top w:val="single" w:sz="4" w:space="0" w:color="000000"/>
              <w:left w:val="single" w:sz="6" w:space="0" w:color="000000"/>
              <w:bottom w:val="single" w:sz="6" w:space="0" w:color="000000"/>
              <w:right w:val="single" w:sz="6" w:space="0" w:color="000000"/>
            </w:tcBorders>
          </w:tcPr>
          <w:p w14:paraId="15134B0C" w14:textId="77777777" w:rsidR="007170C3" w:rsidRPr="008819AF" w:rsidRDefault="007170C3"/>
        </w:tc>
        <w:tc>
          <w:tcPr>
            <w:tcW w:w="607" w:type="dxa"/>
            <w:tcBorders>
              <w:top w:val="single" w:sz="4" w:space="0" w:color="000000"/>
              <w:left w:val="single" w:sz="6" w:space="0" w:color="000000"/>
              <w:bottom w:val="single" w:sz="6" w:space="0" w:color="000000"/>
              <w:right w:val="single" w:sz="6" w:space="0" w:color="000000"/>
            </w:tcBorders>
          </w:tcPr>
          <w:p w14:paraId="15134B0D" w14:textId="77777777" w:rsidR="007170C3" w:rsidRPr="008819AF" w:rsidRDefault="007170C3">
            <w:pPr>
              <w:ind w:left="6"/>
              <w:rPr>
                <w:rFonts w:eastAsia="Arial"/>
              </w:rPr>
            </w:pPr>
          </w:p>
        </w:tc>
      </w:tr>
      <w:tr w:rsidR="00F80158" w:rsidRPr="008819AF" w14:paraId="15134B26" w14:textId="77777777" w:rsidTr="00EC5B90">
        <w:tc>
          <w:tcPr>
            <w:tcW w:w="496" w:type="dxa"/>
            <w:tcBorders>
              <w:top w:val="single" w:sz="4" w:space="0" w:color="000000"/>
              <w:left w:val="single" w:sz="6" w:space="0" w:color="000000"/>
              <w:bottom w:val="single" w:sz="6" w:space="0" w:color="000000"/>
              <w:right w:val="single" w:sz="6" w:space="0" w:color="000000"/>
            </w:tcBorders>
          </w:tcPr>
          <w:p w14:paraId="15134B0F"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B10" w14:textId="77777777" w:rsidR="007170C3" w:rsidRPr="008819AF" w:rsidRDefault="006F0418">
            <w:pPr>
              <w:ind w:left="215" w:hanging="215"/>
              <w:rPr>
                <w:rFonts w:eastAsia="Arial"/>
                <w:lang w:bidi="cs-CZ"/>
              </w:rPr>
            </w:pPr>
            <w:r w:rsidRPr="008819AF">
              <w:rPr>
                <w:rFonts w:eastAsia="Arial"/>
                <w:lang w:bidi="cs-CZ"/>
              </w:rPr>
              <w:t>ČASŤ 7</w:t>
            </w:r>
          </w:p>
          <w:p w14:paraId="15134B11" w14:textId="77777777" w:rsidR="007170C3" w:rsidRPr="008819AF" w:rsidRDefault="006F0418">
            <w:pPr>
              <w:ind w:left="215" w:hanging="215"/>
              <w:rPr>
                <w:rFonts w:eastAsia="Arial"/>
                <w:i/>
                <w:iCs/>
                <w:lang w:bidi="cs-CZ"/>
              </w:rPr>
            </w:pPr>
            <w:r w:rsidRPr="008819AF">
              <w:rPr>
                <w:rFonts w:eastAsia="Arial"/>
                <w:i/>
                <w:iCs/>
                <w:lang w:bidi="cs-CZ"/>
              </w:rPr>
              <w:t>Plán hospodárenia s rozpúšťadlami</w:t>
            </w:r>
          </w:p>
          <w:p w14:paraId="15134B12" w14:textId="77777777" w:rsidR="007170C3" w:rsidRPr="008819AF" w:rsidRDefault="006F0418">
            <w:pPr>
              <w:ind w:left="215" w:hanging="215"/>
              <w:rPr>
                <w:rFonts w:eastAsia="Arial"/>
                <w:lang w:bidi="cs-CZ"/>
              </w:rPr>
            </w:pPr>
            <w:r w:rsidRPr="008819AF">
              <w:rPr>
                <w:rFonts w:eastAsia="Arial"/>
                <w:lang w:bidi="cs-CZ"/>
              </w:rPr>
              <w:t>1. Zásady</w:t>
            </w:r>
          </w:p>
          <w:p w14:paraId="15134B13" w14:textId="77777777" w:rsidR="007170C3" w:rsidRPr="008819AF" w:rsidRDefault="006F0418">
            <w:pPr>
              <w:ind w:left="356" w:hanging="142"/>
              <w:rPr>
                <w:rFonts w:eastAsia="Arial"/>
                <w:lang w:bidi="cs-CZ"/>
              </w:rPr>
            </w:pPr>
            <w:r w:rsidRPr="008819AF">
              <w:rPr>
                <w:rFonts w:eastAsia="Arial"/>
                <w:lang w:bidi="cs-CZ"/>
              </w:rPr>
              <w:t>Plán hospodárenia s rozpúšťadlami má za cieľ:</w:t>
            </w:r>
          </w:p>
          <w:p w14:paraId="15134B14" w14:textId="77777777" w:rsidR="007170C3" w:rsidRPr="008819AF" w:rsidRDefault="006F0418">
            <w:pPr>
              <w:ind w:left="356" w:hanging="142"/>
              <w:rPr>
                <w:rFonts w:eastAsia="Arial"/>
                <w:lang w:bidi="cs-CZ"/>
              </w:rPr>
            </w:pPr>
            <w:r w:rsidRPr="008819AF">
              <w:rPr>
                <w:rFonts w:eastAsia="Arial"/>
                <w:lang w:bidi="cs-CZ"/>
              </w:rPr>
              <w:t>a) overovať plnenie špecifikované v článku 62;</w:t>
            </w:r>
          </w:p>
          <w:p w14:paraId="15134B15" w14:textId="77777777" w:rsidR="007170C3" w:rsidRPr="008819AF" w:rsidRDefault="006F0418">
            <w:pPr>
              <w:ind w:left="356" w:hanging="142"/>
              <w:rPr>
                <w:rFonts w:eastAsia="Arial"/>
                <w:lang w:bidi="cs-CZ"/>
              </w:rPr>
            </w:pPr>
            <w:r w:rsidRPr="008819AF">
              <w:rPr>
                <w:rFonts w:eastAsia="Arial"/>
                <w:lang w:bidi="cs-CZ"/>
              </w:rPr>
              <w:t>b) identifikovať ďalšie možnosti zníženia emisií;</w:t>
            </w:r>
          </w:p>
          <w:p w14:paraId="15134B16" w14:textId="77777777" w:rsidR="007170C3" w:rsidRPr="008819AF" w:rsidRDefault="006F0418">
            <w:pPr>
              <w:ind w:left="356" w:hanging="142"/>
              <w:rPr>
                <w:rFonts w:eastAsia="Arial"/>
                <w:lang w:bidi="cs-CZ"/>
              </w:rPr>
            </w:pPr>
            <w:r w:rsidRPr="008819AF">
              <w:rPr>
                <w:rFonts w:eastAsia="Arial"/>
                <w:lang w:bidi="cs-CZ"/>
              </w:rPr>
              <w:t>c) poskytovať verejnosti informácie o spotrebe rozpúšťadiel, emisií z rozpúšťadiel a dodržiavaní požiadaviek kapitoly V.</w:t>
            </w:r>
          </w:p>
        </w:tc>
        <w:tc>
          <w:tcPr>
            <w:tcW w:w="881" w:type="dxa"/>
            <w:tcBorders>
              <w:top w:val="single" w:sz="4" w:space="0" w:color="000000"/>
              <w:left w:val="single" w:sz="6" w:space="0" w:color="000000"/>
              <w:bottom w:val="single" w:sz="6" w:space="0" w:color="000000"/>
              <w:right w:val="single" w:sz="6" w:space="0" w:color="000000"/>
            </w:tcBorders>
          </w:tcPr>
          <w:p w14:paraId="15134B17" w14:textId="77777777" w:rsidR="007170C3" w:rsidRPr="008819AF" w:rsidRDefault="009C7CD3">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15134B18"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15134B19" w14:textId="77777777" w:rsidR="007170C3" w:rsidRPr="008819AF" w:rsidRDefault="009C7CD3">
            <w:r w:rsidRPr="008819AF">
              <w:t>Pr.6 časť VI.</w:t>
            </w:r>
          </w:p>
        </w:tc>
        <w:tc>
          <w:tcPr>
            <w:tcW w:w="5954" w:type="dxa"/>
            <w:tcBorders>
              <w:top w:val="single" w:sz="4" w:space="0" w:color="000000"/>
              <w:left w:val="single" w:sz="6" w:space="0" w:color="000000"/>
              <w:bottom w:val="single" w:sz="6" w:space="0" w:color="000000"/>
              <w:right w:val="single" w:sz="6" w:space="0" w:color="000000"/>
            </w:tcBorders>
          </w:tcPr>
          <w:p w14:paraId="15134B1A" w14:textId="77777777" w:rsidR="009C7CD3" w:rsidRPr="008819AF" w:rsidRDefault="009C7CD3" w:rsidP="009C7CD3">
            <w:pPr>
              <w:ind w:left="426" w:hanging="426"/>
            </w:pPr>
            <w:r w:rsidRPr="008819AF">
              <w:rPr>
                <w:b/>
              </w:rPr>
              <w:t>VI.  POSTUP VYPRACOVANIA ROČNEJ BILANCIE ROZPÚŠŤADIEL</w:t>
            </w:r>
          </w:p>
          <w:p w14:paraId="15134B1B" w14:textId="77777777" w:rsidR="009C7CD3" w:rsidRPr="008819AF" w:rsidRDefault="009C7CD3" w:rsidP="009C7CD3">
            <w:pPr>
              <w:rPr>
                <w:b/>
              </w:rPr>
            </w:pPr>
          </w:p>
          <w:p w14:paraId="15134B1C" w14:textId="77777777" w:rsidR="009C7CD3" w:rsidRPr="008819AF" w:rsidRDefault="009C7CD3" w:rsidP="009C7CD3">
            <w:pPr>
              <w:rPr>
                <w:b/>
              </w:rPr>
            </w:pPr>
            <w:r w:rsidRPr="008819AF">
              <w:rPr>
                <w:b/>
              </w:rPr>
              <w:t>1 .  Účel vypracovania ročnej bilancie organických rozpúšťadiel</w:t>
            </w:r>
          </w:p>
          <w:p w14:paraId="15134B1D" w14:textId="77777777" w:rsidR="009C7CD3" w:rsidRPr="008819AF" w:rsidRDefault="009C7CD3" w:rsidP="009C7CD3">
            <w:pPr>
              <w:pStyle w:val="Zkladntext2"/>
              <w:rPr>
                <w:rFonts w:ascii="Times New Roman" w:hAnsi="Times New Roman" w:cs="Times New Roman"/>
                <w:sz w:val="20"/>
                <w:szCs w:val="20"/>
              </w:rPr>
            </w:pPr>
            <w:r w:rsidRPr="008819AF">
              <w:rPr>
                <w:rFonts w:ascii="Times New Roman" w:hAnsi="Times New Roman" w:cs="Times New Roman"/>
                <w:sz w:val="20"/>
                <w:szCs w:val="20"/>
              </w:rPr>
              <w:t xml:space="preserve">Bilancovanie organických rozpúšťadiel slúži na: </w:t>
            </w:r>
          </w:p>
          <w:p w14:paraId="15134B1E" w14:textId="77777777" w:rsidR="009C7CD3" w:rsidRPr="008819AF" w:rsidRDefault="009C7CD3" w:rsidP="00C860FF">
            <w:pPr>
              <w:keepNext/>
              <w:numPr>
                <w:ilvl w:val="0"/>
                <w:numId w:val="104"/>
              </w:numPr>
              <w:ind w:left="72" w:hanging="72"/>
              <w:jc w:val="both"/>
            </w:pPr>
            <w:r w:rsidRPr="008819AF">
              <w:t>výpočet množstva emisií VOC,</w:t>
            </w:r>
          </w:p>
          <w:p w14:paraId="15134B1F" w14:textId="77777777" w:rsidR="009C7CD3" w:rsidRPr="008819AF" w:rsidRDefault="009C7CD3" w:rsidP="00C860FF">
            <w:pPr>
              <w:keepNext/>
              <w:numPr>
                <w:ilvl w:val="0"/>
                <w:numId w:val="104"/>
              </w:numPr>
              <w:ind w:left="72" w:hanging="72"/>
              <w:jc w:val="both"/>
            </w:pPr>
            <w:r w:rsidRPr="008819AF">
              <w:t>preukázanie plnenia emisných limitov VOC pre fugitívne emisie,</w:t>
            </w:r>
          </w:p>
          <w:p w14:paraId="15134B20" w14:textId="77777777" w:rsidR="009C7CD3" w:rsidRPr="008819AF" w:rsidRDefault="009C7CD3" w:rsidP="00C860FF">
            <w:pPr>
              <w:keepNext/>
              <w:numPr>
                <w:ilvl w:val="0"/>
                <w:numId w:val="104"/>
              </w:numPr>
              <w:ind w:left="72" w:hanging="72"/>
              <w:jc w:val="both"/>
            </w:pPr>
            <w:r w:rsidRPr="008819AF">
              <w:t>preukázanie plnenia emisných limitov VOC pre celkové emisie,</w:t>
            </w:r>
          </w:p>
          <w:p w14:paraId="15134B21" w14:textId="77777777" w:rsidR="009C7CD3" w:rsidRPr="008819AF" w:rsidRDefault="009C7CD3" w:rsidP="00C860FF">
            <w:pPr>
              <w:keepNext/>
              <w:numPr>
                <w:ilvl w:val="0"/>
                <w:numId w:val="104"/>
              </w:numPr>
              <w:ind w:left="72" w:hanging="72"/>
              <w:jc w:val="both"/>
            </w:pPr>
            <w:r w:rsidRPr="008819AF">
              <w:t xml:space="preserve">preukázanie plnenia redukčného plánu, </w:t>
            </w:r>
          </w:p>
          <w:p w14:paraId="15134B22" w14:textId="77777777" w:rsidR="009C7CD3" w:rsidRPr="008819AF" w:rsidRDefault="009C7CD3" w:rsidP="00C860FF">
            <w:pPr>
              <w:numPr>
                <w:ilvl w:val="0"/>
                <w:numId w:val="104"/>
              </w:numPr>
              <w:ind w:left="72" w:hanging="72"/>
            </w:pPr>
            <w:r w:rsidRPr="008819AF">
              <w:t>preskúmanie ďalších možností zníženia emisií VOC,</w:t>
            </w:r>
          </w:p>
          <w:p w14:paraId="15134B23" w14:textId="77777777" w:rsidR="007170C3" w:rsidRPr="008819AF" w:rsidRDefault="009C7CD3" w:rsidP="00C860FF">
            <w:pPr>
              <w:pStyle w:val="Zkladntext2"/>
              <w:keepNext/>
              <w:numPr>
                <w:ilvl w:val="0"/>
                <w:numId w:val="104"/>
              </w:numPr>
              <w:ind w:left="72" w:right="-142" w:hanging="72"/>
              <w:jc w:val="left"/>
              <w:rPr>
                <w:rFonts w:ascii="Times New Roman" w:hAnsi="Times New Roman" w:cs="Times New Roman"/>
                <w:sz w:val="20"/>
                <w:szCs w:val="20"/>
              </w:rPr>
            </w:pPr>
            <w:r w:rsidRPr="008819AF">
              <w:rPr>
                <w:rFonts w:ascii="Times New Roman" w:hAnsi="Times New Roman" w:cs="Times New Roman"/>
                <w:sz w:val="20"/>
                <w:szCs w:val="20"/>
              </w:rPr>
              <w:t>poskytovanie informácií verejnosti o spotrebe organických rozpúšťadiel, o emisiách prchavých organických zlúčenín z organických rozpúšťadiel a plnení určených požiadaviek.</w:t>
            </w:r>
          </w:p>
        </w:tc>
        <w:tc>
          <w:tcPr>
            <w:tcW w:w="709" w:type="dxa"/>
            <w:tcBorders>
              <w:top w:val="single" w:sz="4" w:space="0" w:color="000000"/>
              <w:left w:val="single" w:sz="6" w:space="0" w:color="000000"/>
              <w:bottom w:val="single" w:sz="6" w:space="0" w:color="000000"/>
              <w:right w:val="single" w:sz="6" w:space="0" w:color="000000"/>
            </w:tcBorders>
          </w:tcPr>
          <w:p w14:paraId="15134B24"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15134B25" w14:textId="77777777" w:rsidR="007170C3" w:rsidRPr="008819AF" w:rsidRDefault="007170C3">
            <w:pPr>
              <w:ind w:left="215" w:hanging="215"/>
              <w:rPr>
                <w:rFonts w:eastAsia="Arial"/>
              </w:rPr>
            </w:pPr>
          </w:p>
        </w:tc>
      </w:tr>
      <w:tr w:rsidR="00F80158" w:rsidRPr="008819AF" w14:paraId="15134B7B" w14:textId="77777777" w:rsidTr="00EC5B90">
        <w:trPr>
          <w:trHeight w:val="3117"/>
        </w:trPr>
        <w:tc>
          <w:tcPr>
            <w:tcW w:w="496" w:type="dxa"/>
            <w:tcBorders>
              <w:top w:val="single" w:sz="4" w:space="0" w:color="000000"/>
              <w:left w:val="single" w:sz="6" w:space="0" w:color="000000"/>
              <w:bottom w:val="single" w:sz="6" w:space="0" w:color="000000"/>
              <w:right w:val="single" w:sz="6" w:space="0" w:color="000000"/>
            </w:tcBorders>
          </w:tcPr>
          <w:p w14:paraId="15134B27"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B28" w14:textId="77777777" w:rsidR="007170C3" w:rsidRPr="008819AF" w:rsidRDefault="006F0418">
            <w:pPr>
              <w:ind w:left="215" w:right="355" w:hanging="215"/>
              <w:rPr>
                <w:rFonts w:eastAsia="Arial"/>
                <w:lang w:bidi="cs-CZ"/>
              </w:rPr>
            </w:pPr>
            <w:r w:rsidRPr="008819AF">
              <w:rPr>
                <w:rFonts w:eastAsia="Arial"/>
                <w:lang w:bidi="cs-CZ"/>
              </w:rPr>
              <w:t>2. Vymedzenie pojmov</w:t>
            </w:r>
          </w:p>
          <w:p w14:paraId="15134B29" w14:textId="77777777" w:rsidR="007170C3" w:rsidRPr="008819AF" w:rsidRDefault="006F0418">
            <w:pPr>
              <w:ind w:left="215" w:right="355" w:hanging="1"/>
              <w:rPr>
                <w:rFonts w:eastAsia="Arial"/>
                <w:lang w:bidi="cs-CZ"/>
              </w:rPr>
            </w:pPr>
            <w:r w:rsidRPr="008819AF">
              <w:rPr>
                <w:rFonts w:eastAsia="Arial"/>
                <w:lang w:bidi="cs-CZ"/>
              </w:rPr>
              <w:t>Nasledujúce vymedzenie pojmov poskytuje rámec na vykonanie hmotnostnej bilancie.</w:t>
            </w:r>
          </w:p>
          <w:p w14:paraId="15134B2A" w14:textId="77777777" w:rsidR="007170C3" w:rsidRPr="008819AF" w:rsidRDefault="006F0418">
            <w:pPr>
              <w:ind w:left="215" w:right="355" w:hanging="1"/>
              <w:rPr>
                <w:rFonts w:eastAsia="Arial"/>
                <w:lang w:bidi="cs-CZ"/>
              </w:rPr>
            </w:pPr>
            <w:r w:rsidRPr="008819AF">
              <w:rPr>
                <w:rFonts w:eastAsia="Arial"/>
                <w:lang w:bidi="cs-CZ"/>
              </w:rPr>
              <w:t>Vstupné množstvá organických rozpúšťadiel (I):</w:t>
            </w:r>
          </w:p>
          <w:p w14:paraId="15134B2B" w14:textId="77777777" w:rsidR="007170C3" w:rsidRPr="008819AF" w:rsidRDefault="006F0418">
            <w:pPr>
              <w:ind w:left="215" w:right="355" w:hanging="215"/>
              <w:rPr>
                <w:rFonts w:eastAsia="Arial"/>
                <w:lang w:bidi="cs-CZ"/>
              </w:rPr>
            </w:pPr>
            <w:r w:rsidRPr="008819AF">
              <w:rPr>
                <w:rFonts w:eastAsia="Arial"/>
                <w:lang w:bidi="cs-CZ"/>
              </w:rPr>
              <w:t>I1 Množstvo organických rozpúšťadiel alebo ich množstvo v zmesiach, ktoré boli zakúpené a ktoré sa používajú ako vstupné množstvo do procesu za časové obdobie, za ktoré sa vypočítava hmotnostná bilancia.</w:t>
            </w:r>
          </w:p>
          <w:p w14:paraId="15134B2C" w14:textId="77777777" w:rsidR="007170C3" w:rsidRPr="008819AF" w:rsidRDefault="006F0418">
            <w:pPr>
              <w:ind w:left="215" w:right="355" w:hanging="215"/>
              <w:rPr>
                <w:rFonts w:eastAsia="Arial"/>
                <w:lang w:bidi="cs-CZ"/>
              </w:rPr>
            </w:pPr>
            <w:r w:rsidRPr="008819AF">
              <w:rPr>
                <w:rFonts w:eastAsia="Arial"/>
                <w:lang w:bidi="cs-CZ"/>
              </w:rPr>
              <w:t>I2 Množstvo organických rozpúšťadiel alebo ich množstvo v zmesiach, ktoré boli zhodnotené a opätovne sa použijú ako vstupné množstvo rozpúšťadiel do procesu. Recyklované rozpúšťadlo sa započítava zakaždým, keď sa použije pre danú činnosť.</w:t>
            </w:r>
          </w:p>
          <w:p w14:paraId="15134B2D" w14:textId="77777777" w:rsidR="007170C3" w:rsidRPr="008819AF" w:rsidRDefault="006F0418">
            <w:pPr>
              <w:ind w:left="215" w:right="355" w:hanging="1"/>
              <w:rPr>
                <w:rFonts w:eastAsia="Arial"/>
                <w:lang w:bidi="cs-CZ"/>
              </w:rPr>
            </w:pPr>
            <w:r w:rsidRPr="008819AF">
              <w:rPr>
                <w:rFonts w:eastAsia="Arial"/>
                <w:lang w:bidi="cs-CZ"/>
              </w:rPr>
              <w:t>Výstupy organických rozpúšťadiel (O):</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341"/>
            </w:tblGrid>
            <w:tr w:rsidR="00F80158" w:rsidRPr="008819AF" w14:paraId="15134B30" w14:textId="77777777" w:rsidTr="009C7CD3">
              <w:trPr>
                <w:trHeight w:val="103"/>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15134B2E" w14:textId="77777777" w:rsidR="007170C3" w:rsidRPr="008819AF" w:rsidRDefault="006F0418">
                  <w:pPr>
                    <w:keepNext/>
                    <w:spacing w:after="60"/>
                    <w:ind w:left="215" w:hanging="215"/>
                    <w:jc w:val="center"/>
                    <w:rPr>
                      <w:rFonts w:eastAsia="Arial"/>
                      <w:lang w:bidi="cs-CZ"/>
                    </w:rPr>
                  </w:pPr>
                  <w:r w:rsidRPr="008819AF">
                    <w:rPr>
                      <w:rFonts w:eastAsia="Arial"/>
                      <w:lang w:bidi="cs-CZ"/>
                    </w:rPr>
                    <w:t>O1</w:t>
                  </w:r>
                </w:p>
              </w:tc>
              <w:tc>
                <w:tcPr>
                  <w:tcW w:w="3639" w:type="dxa"/>
                  <w:tcBorders>
                    <w:top w:val="single" w:sz="4" w:space="0" w:color="000000"/>
                    <w:left w:val="single" w:sz="4" w:space="0" w:color="000000"/>
                    <w:bottom w:val="single" w:sz="4" w:space="0" w:color="000000"/>
                    <w:right w:val="single" w:sz="4" w:space="0" w:color="000000"/>
                  </w:tcBorders>
                </w:tcPr>
                <w:p w14:paraId="15134B2F" w14:textId="77777777" w:rsidR="007170C3" w:rsidRPr="008819AF" w:rsidRDefault="006F0418">
                  <w:pPr>
                    <w:ind w:left="215" w:right="355" w:hanging="215"/>
                    <w:rPr>
                      <w:rFonts w:eastAsia="Arial"/>
                      <w:lang w:bidi="cs-CZ"/>
                    </w:rPr>
                  </w:pPr>
                  <w:r w:rsidRPr="008819AF">
                    <w:rPr>
                      <w:rFonts w:eastAsia="Arial"/>
                      <w:lang w:bidi="cs-CZ"/>
                    </w:rPr>
                    <w:t>Emisie v odpadových plynoch.</w:t>
                  </w:r>
                </w:p>
              </w:tc>
            </w:tr>
            <w:tr w:rsidR="00F80158" w:rsidRPr="008819AF" w14:paraId="15134B33" w14:textId="77777777" w:rsidTr="009C7CD3">
              <w:trPr>
                <w:trHeight w:val="103"/>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15134B31" w14:textId="77777777" w:rsidR="007170C3" w:rsidRPr="008819AF" w:rsidRDefault="006F0418">
                  <w:pPr>
                    <w:keepNext/>
                    <w:spacing w:after="60"/>
                    <w:ind w:left="215" w:hanging="215"/>
                    <w:jc w:val="center"/>
                    <w:rPr>
                      <w:rFonts w:eastAsia="Arial"/>
                      <w:lang w:bidi="cs-CZ"/>
                    </w:rPr>
                  </w:pPr>
                  <w:r w:rsidRPr="008819AF">
                    <w:rPr>
                      <w:rFonts w:eastAsia="Arial"/>
                      <w:lang w:bidi="cs-CZ"/>
                    </w:rPr>
                    <w:t>O2</w:t>
                  </w:r>
                </w:p>
              </w:tc>
              <w:tc>
                <w:tcPr>
                  <w:tcW w:w="3639" w:type="dxa"/>
                  <w:tcBorders>
                    <w:top w:val="single" w:sz="4" w:space="0" w:color="000000"/>
                    <w:left w:val="single" w:sz="4" w:space="0" w:color="000000"/>
                    <w:bottom w:val="single" w:sz="4" w:space="0" w:color="000000"/>
                    <w:right w:val="single" w:sz="4" w:space="0" w:color="000000"/>
                  </w:tcBorders>
                </w:tcPr>
                <w:p w14:paraId="15134B32" w14:textId="77777777" w:rsidR="007170C3" w:rsidRPr="008819AF" w:rsidRDefault="006F0418">
                  <w:pPr>
                    <w:ind w:right="355"/>
                    <w:rPr>
                      <w:rFonts w:eastAsia="Arial"/>
                      <w:lang w:bidi="cs-CZ"/>
                    </w:rPr>
                  </w:pPr>
                  <w:r w:rsidRPr="008819AF">
                    <w:rPr>
                      <w:rFonts w:eastAsia="Arial"/>
                      <w:lang w:bidi="cs-CZ"/>
                    </w:rPr>
                    <w:t>Organické rozpúšťadlá uniknuté do vody, berúc do úvahy čistenie odpadových vôd pri výpočte O5.</w:t>
                  </w:r>
                </w:p>
              </w:tc>
            </w:tr>
            <w:tr w:rsidR="00F80158" w:rsidRPr="008819AF" w14:paraId="15134B36" w14:textId="77777777" w:rsidTr="009C7CD3">
              <w:trPr>
                <w:trHeight w:val="199"/>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15134B34" w14:textId="77777777" w:rsidR="007170C3" w:rsidRPr="008819AF" w:rsidRDefault="006F0418">
                  <w:pPr>
                    <w:keepNext/>
                    <w:spacing w:after="60"/>
                    <w:ind w:left="215" w:hanging="215"/>
                    <w:jc w:val="center"/>
                    <w:rPr>
                      <w:rFonts w:eastAsia="Arial"/>
                      <w:lang w:bidi="cs-CZ"/>
                    </w:rPr>
                  </w:pPr>
                  <w:r w:rsidRPr="008819AF">
                    <w:rPr>
                      <w:rFonts w:eastAsia="Arial"/>
                      <w:lang w:bidi="cs-CZ"/>
                    </w:rPr>
                    <w:t>O3</w:t>
                  </w:r>
                </w:p>
              </w:tc>
              <w:tc>
                <w:tcPr>
                  <w:tcW w:w="3639" w:type="dxa"/>
                  <w:tcBorders>
                    <w:top w:val="single" w:sz="4" w:space="0" w:color="000000"/>
                    <w:left w:val="single" w:sz="4" w:space="0" w:color="000000"/>
                    <w:bottom w:val="single" w:sz="4" w:space="0" w:color="000000"/>
                    <w:right w:val="single" w:sz="4" w:space="0" w:color="000000"/>
                  </w:tcBorders>
                </w:tcPr>
                <w:p w14:paraId="15134B35" w14:textId="77777777" w:rsidR="007170C3" w:rsidRPr="008819AF" w:rsidRDefault="006F0418">
                  <w:pPr>
                    <w:ind w:right="355"/>
                    <w:rPr>
                      <w:rFonts w:eastAsia="Arial"/>
                      <w:lang w:bidi="cs-CZ"/>
                    </w:rPr>
                  </w:pPr>
                  <w:r w:rsidRPr="008819AF">
                    <w:rPr>
                      <w:rFonts w:eastAsia="Arial"/>
                      <w:lang w:bidi="cs-CZ"/>
                    </w:rPr>
                    <w:t>Množstvo organických rozpúšťadiel, ktoré zostávajú ako nečistoty alebo zvyšky vo výrobkoch, ktoré sú výstupom z procesu.</w:t>
                  </w:r>
                </w:p>
              </w:tc>
            </w:tr>
            <w:tr w:rsidR="00F80158" w:rsidRPr="008819AF" w14:paraId="15134B39" w14:textId="77777777" w:rsidTr="009C7CD3">
              <w:trPr>
                <w:trHeight w:val="199"/>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15134B37" w14:textId="77777777" w:rsidR="007170C3" w:rsidRPr="008819AF" w:rsidRDefault="006F0418">
                  <w:pPr>
                    <w:keepNext/>
                    <w:spacing w:after="60"/>
                    <w:ind w:left="215" w:hanging="215"/>
                    <w:jc w:val="center"/>
                    <w:rPr>
                      <w:rFonts w:eastAsia="Arial"/>
                      <w:lang w:bidi="cs-CZ"/>
                    </w:rPr>
                  </w:pPr>
                  <w:r w:rsidRPr="008819AF">
                    <w:rPr>
                      <w:rFonts w:eastAsia="Arial"/>
                      <w:lang w:bidi="cs-CZ"/>
                    </w:rPr>
                    <w:t>O4</w:t>
                  </w:r>
                </w:p>
              </w:tc>
              <w:tc>
                <w:tcPr>
                  <w:tcW w:w="3639" w:type="dxa"/>
                  <w:tcBorders>
                    <w:top w:val="single" w:sz="4" w:space="0" w:color="000000"/>
                    <w:left w:val="single" w:sz="4" w:space="0" w:color="000000"/>
                    <w:bottom w:val="single" w:sz="4" w:space="0" w:color="000000"/>
                    <w:right w:val="single" w:sz="4" w:space="0" w:color="000000"/>
                  </w:tcBorders>
                </w:tcPr>
                <w:p w14:paraId="15134B38" w14:textId="77777777" w:rsidR="007170C3" w:rsidRPr="008819AF" w:rsidRDefault="006F0418">
                  <w:pPr>
                    <w:ind w:right="355"/>
                    <w:rPr>
                      <w:rFonts w:eastAsia="Arial"/>
                      <w:lang w:bidi="cs-CZ"/>
                    </w:rPr>
                  </w:pPr>
                  <w:r w:rsidRPr="008819AF">
                    <w:rPr>
                      <w:rFonts w:eastAsia="Arial"/>
                      <w:lang w:bidi="cs-CZ"/>
                    </w:rPr>
                    <w:t>Nezachytené emisie organických rozpúšťadiel do ovzdušia. Sem patrí bežná ventilácia miestností, keď vzduch uniká do okolitého prostredia cez okná, dvere, vetracie alebo podobné otvory.</w:t>
                  </w:r>
                </w:p>
              </w:tc>
            </w:tr>
            <w:tr w:rsidR="00F80158" w:rsidRPr="008819AF" w14:paraId="15134B3C" w14:textId="77777777" w:rsidTr="009C7CD3">
              <w:trPr>
                <w:trHeight w:val="294"/>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15134B3A" w14:textId="77777777" w:rsidR="007170C3" w:rsidRPr="008819AF" w:rsidRDefault="006F0418">
                  <w:pPr>
                    <w:keepNext/>
                    <w:spacing w:after="60"/>
                    <w:ind w:left="215" w:hanging="215"/>
                    <w:jc w:val="center"/>
                    <w:rPr>
                      <w:rFonts w:eastAsia="Arial"/>
                      <w:lang w:bidi="cs-CZ"/>
                    </w:rPr>
                  </w:pPr>
                  <w:r w:rsidRPr="008819AF">
                    <w:rPr>
                      <w:rFonts w:eastAsia="Arial"/>
                      <w:lang w:bidi="cs-CZ"/>
                    </w:rPr>
                    <w:t>O5</w:t>
                  </w:r>
                </w:p>
              </w:tc>
              <w:tc>
                <w:tcPr>
                  <w:tcW w:w="3639" w:type="dxa"/>
                  <w:tcBorders>
                    <w:top w:val="single" w:sz="4" w:space="0" w:color="000000"/>
                    <w:left w:val="single" w:sz="4" w:space="0" w:color="000000"/>
                    <w:bottom w:val="single" w:sz="4" w:space="0" w:color="000000"/>
                    <w:right w:val="single" w:sz="4" w:space="0" w:color="000000"/>
                  </w:tcBorders>
                </w:tcPr>
                <w:p w14:paraId="15134B3B" w14:textId="77777777" w:rsidR="007170C3" w:rsidRPr="008819AF" w:rsidRDefault="006F0418">
                  <w:pPr>
                    <w:ind w:right="355"/>
                    <w:rPr>
                      <w:rFonts w:eastAsia="Arial"/>
                      <w:lang w:bidi="cs-CZ"/>
                    </w:rPr>
                  </w:pPr>
                  <w:r w:rsidRPr="008819AF">
                    <w:rPr>
                      <w:rFonts w:eastAsia="Arial"/>
                      <w:lang w:bidi="cs-CZ"/>
                    </w:rPr>
                    <w:t xml:space="preserve">Straty organických rozpúšťadiel a/alebo organických zlúčenín spôsobené chemickými alebo fyzikálnymi reakciami (vrátane tých, ktoré sú odstránené spálením alebo inou úpravou odpadových plynov alebo odpadových vôd alebo ktoré sa zachytili, pokiaľ neboli započítané v rámci O6, O7 alebo O8). </w:t>
                  </w:r>
                </w:p>
              </w:tc>
            </w:tr>
            <w:tr w:rsidR="00F80158" w:rsidRPr="008819AF" w14:paraId="15134B3F" w14:textId="77777777" w:rsidTr="009C7CD3">
              <w:trPr>
                <w:trHeight w:val="103"/>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15134B3D" w14:textId="77777777" w:rsidR="007170C3" w:rsidRPr="008819AF" w:rsidRDefault="006F0418">
                  <w:pPr>
                    <w:keepNext/>
                    <w:spacing w:after="60"/>
                    <w:ind w:left="215" w:hanging="215"/>
                    <w:jc w:val="center"/>
                    <w:rPr>
                      <w:rFonts w:eastAsia="Arial"/>
                      <w:lang w:bidi="cs-CZ"/>
                    </w:rPr>
                  </w:pPr>
                  <w:r w:rsidRPr="008819AF">
                    <w:rPr>
                      <w:rFonts w:eastAsia="Arial"/>
                      <w:lang w:bidi="cs-CZ"/>
                    </w:rPr>
                    <w:t>O6</w:t>
                  </w:r>
                </w:p>
              </w:tc>
              <w:tc>
                <w:tcPr>
                  <w:tcW w:w="3639" w:type="dxa"/>
                  <w:tcBorders>
                    <w:top w:val="single" w:sz="4" w:space="0" w:color="000000"/>
                    <w:left w:val="single" w:sz="4" w:space="0" w:color="000000"/>
                    <w:bottom w:val="single" w:sz="4" w:space="0" w:color="000000"/>
                    <w:right w:val="single" w:sz="4" w:space="0" w:color="000000"/>
                  </w:tcBorders>
                </w:tcPr>
                <w:p w14:paraId="15134B3E" w14:textId="77777777" w:rsidR="007170C3" w:rsidRPr="008819AF" w:rsidRDefault="006F0418">
                  <w:pPr>
                    <w:ind w:right="355"/>
                    <w:rPr>
                      <w:rFonts w:eastAsia="Arial"/>
                      <w:lang w:bidi="cs-CZ"/>
                    </w:rPr>
                  </w:pPr>
                  <w:r w:rsidRPr="008819AF">
                    <w:rPr>
                      <w:rFonts w:eastAsia="Arial"/>
                      <w:lang w:bidi="cs-CZ"/>
                    </w:rPr>
                    <w:t>Organické rozpúšťadlá obsiahnuté v zhromaždenom odpade.</w:t>
                  </w:r>
                </w:p>
              </w:tc>
            </w:tr>
            <w:tr w:rsidR="00F80158" w:rsidRPr="008819AF" w14:paraId="15134B42" w14:textId="77777777" w:rsidTr="009C7CD3">
              <w:trPr>
                <w:trHeight w:val="199"/>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15134B40" w14:textId="77777777" w:rsidR="007170C3" w:rsidRPr="008819AF" w:rsidRDefault="006F0418">
                  <w:pPr>
                    <w:keepNext/>
                    <w:spacing w:after="60"/>
                    <w:ind w:left="215" w:hanging="215"/>
                    <w:jc w:val="center"/>
                    <w:rPr>
                      <w:rFonts w:eastAsia="Arial"/>
                      <w:lang w:bidi="cs-CZ"/>
                    </w:rPr>
                  </w:pPr>
                  <w:r w:rsidRPr="008819AF">
                    <w:rPr>
                      <w:rFonts w:eastAsia="Arial"/>
                      <w:lang w:bidi="cs-CZ"/>
                    </w:rPr>
                    <w:t>O7</w:t>
                  </w:r>
                </w:p>
              </w:tc>
              <w:tc>
                <w:tcPr>
                  <w:tcW w:w="3639" w:type="dxa"/>
                  <w:tcBorders>
                    <w:top w:val="single" w:sz="4" w:space="0" w:color="000000"/>
                    <w:left w:val="single" w:sz="4" w:space="0" w:color="000000"/>
                    <w:bottom w:val="single" w:sz="4" w:space="0" w:color="000000"/>
                    <w:right w:val="single" w:sz="4" w:space="0" w:color="000000"/>
                  </w:tcBorders>
                </w:tcPr>
                <w:p w14:paraId="15134B41" w14:textId="77777777" w:rsidR="007170C3" w:rsidRPr="008819AF" w:rsidRDefault="006F0418">
                  <w:pPr>
                    <w:ind w:right="355"/>
                    <w:rPr>
                      <w:rFonts w:eastAsia="Arial"/>
                      <w:lang w:bidi="cs-CZ"/>
                    </w:rPr>
                  </w:pPr>
                  <w:r w:rsidRPr="008819AF">
                    <w:rPr>
                      <w:rFonts w:eastAsia="Arial"/>
                      <w:lang w:bidi="cs-CZ"/>
                    </w:rPr>
                    <w:t>Organické rozpúšťadlá alebo organické rozpúšťadlá obsiahnuté v zmesiach, ktoré sa predali alebo ktoré sú určené na predaj ako komerčné výrobky.</w:t>
                  </w:r>
                </w:p>
              </w:tc>
            </w:tr>
            <w:tr w:rsidR="00F80158" w:rsidRPr="008819AF" w14:paraId="15134B45" w14:textId="77777777" w:rsidTr="009C7CD3">
              <w:trPr>
                <w:trHeight w:val="199"/>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15134B43" w14:textId="77777777" w:rsidR="007170C3" w:rsidRPr="008819AF" w:rsidRDefault="006F0418">
                  <w:pPr>
                    <w:keepNext/>
                    <w:spacing w:after="60"/>
                    <w:ind w:left="215" w:hanging="215"/>
                    <w:jc w:val="center"/>
                    <w:rPr>
                      <w:rFonts w:eastAsia="Arial"/>
                      <w:lang w:bidi="cs-CZ"/>
                    </w:rPr>
                  </w:pPr>
                  <w:r w:rsidRPr="008819AF">
                    <w:rPr>
                      <w:rFonts w:eastAsia="Arial"/>
                      <w:lang w:bidi="cs-CZ"/>
                    </w:rPr>
                    <w:lastRenderedPageBreak/>
                    <w:t>O8</w:t>
                  </w:r>
                </w:p>
              </w:tc>
              <w:tc>
                <w:tcPr>
                  <w:tcW w:w="3639" w:type="dxa"/>
                  <w:tcBorders>
                    <w:top w:val="single" w:sz="4" w:space="0" w:color="000000"/>
                    <w:left w:val="single" w:sz="4" w:space="0" w:color="000000"/>
                    <w:bottom w:val="single" w:sz="4" w:space="0" w:color="000000"/>
                    <w:right w:val="single" w:sz="4" w:space="0" w:color="000000"/>
                  </w:tcBorders>
                </w:tcPr>
                <w:p w14:paraId="15134B44" w14:textId="77777777" w:rsidR="007170C3" w:rsidRPr="008819AF" w:rsidRDefault="006F0418">
                  <w:pPr>
                    <w:ind w:right="355"/>
                    <w:rPr>
                      <w:rFonts w:eastAsia="Arial"/>
                      <w:lang w:bidi="cs-CZ"/>
                    </w:rPr>
                  </w:pPr>
                  <w:r w:rsidRPr="008819AF">
                    <w:rPr>
                      <w:rFonts w:eastAsia="Arial"/>
                      <w:lang w:bidi="cs-CZ"/>
                    </w:rPr>
                    <w:t>Organické rozpúšťadlá obsiahnuté v zmesiach, ktoré boli zhodnotené na opätovné použitie, ale sa nepovažujú za vstup do procesu, pokiaľ už neboli započítané v rámci O7.</w:t>
                  </w:r>
                </w:p>
              </w:tc>
            </w:tr>
            <w:tr w:rsidR="00F80158" w:rsidRPr="008819AF" w14:paraId="15134B49" w14:textId="77777777" w:rsidTr="009C7CD3">
              <w:trPr>
                <w:trHeight w:val="103"/>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15134B46" w14:textId="77777777" w:rsidR="007170C3" w:rsidRPr="008819AF" w:rsidRDefault="006F0418">
                  <w:pPr>
                    <w:keepNext/>
                    <w:spacing w:after="60"/>
                    <w:ind w:left="215" w:hanging="215"/>
                    <w:jc w:val="center"/>
                    <w:rPr>
                      <w:rFonts w:eastAsia="Arial"/>
                      <w:lang w:bidi="cs-CZ"/>
                    </w:rPr>
                  </w:pPr>
                  <w:r w:rsidRPr="008819AF">
                    <w:rPr>
                      <w:rFonts w:eastAsia="Arial"/>
                      <w:lang w:bidi="cs-CZ"/>
                    </w:rPr>
                    <w:t>O9</w:t>
                  </w:r>
                </w:p>
              </w:tc>
              <w:tc>
                <w:tcPr>
                  <w:tcW w:w="3639" w:type="dxa"/>
                  <w:tcBorders>
                    <w:top w:val="single" w:sz="4" w:space="0" w:color="000000"/>
                    <w:left w:val="single" w:sz="4" w:space="0" w:color="000000"/>
                    <w:bottom w:val="single" w:sz="4" w:space="0" w:color="000000"/>
                    <w:right w:val="single" w:sz="4" w:space="0" w:color="000000"/>
                  </w:tcBorders>
                </w:tcPr>
                <w:p w14:paraId="15134B47" w14:textId="77777777" w:rsidR="007170C3" w:rsidRPr="008819AF" w:rsidRDefault="006F0418">
                  <w:pPr>
                    <w:ind w:left="215" w:right="355" w:hanging="215"/>
                    <w:rPr>
                      <w:rFonts w:eastAsia="Arial"/>
                      <w:lang w:bidi="cs-CZ"/>
                    </w:rPr>
                  </w:pPr>
                  <w:r w:rsidRPr="008819AF">
                    <w:rPr>
                      <w:rFonts w:eastAsia="Arial"/>
                      <w:lang w:bidi="cs-CZ"/>
                    </w:rPr>
                    <w:t xml:space="preserve">Organické rozpúšťadlá, ktoré unikli </w:t>
                  </w:r>
                </w:p>
                <w:p w14:paraId="15134B48" w14:textId="77777777" w:rsidR="007170C3" w:rsidRPr="008819AF" w:rsidRDefault="006F0418">
                  <w:pPr>
                    <w:ind w:left="215" w:right="355" w:hanging="215"/>
                    <w:rPr>
                      <w:rFonts w:eastAsia="Arial"/>
                      <w:lang w:bidi="cs-CZ"/>
                    </w:rPr>
                  </w:pPr>
                  <w:r w:rsidRPr="008819AF">
                    <w:rPr>
                      <w:rFonts w:eastAsia="Arial"/>
                      <w:lang w:bidi="cs-CZ"/>
                    </w:rPr>
                    <w:t>iným spôsobom.</w:t>
                  </w:r>
                </w:p>
              </w:tc>
            </w:tr>
          </w:tbl>
          <w:p w14:paraId="15134B4A" w14:textId="77777777" w:rsidR="007170C3" w:rsidRPr="008819AF" w:rsidRDefault="007170C3">
            <w:pPr>
              <w:ind w:left="215" w:hanging="215"/>
              <w:rPr>
                <w:rFonts w:eastAsia="Arial"/>
              </w:rPr>
            </w:pPr>
          </w:p>
        </w:tc>
        <w:tc>
          <w:tcPr>
            <w:tcW w:w="881" w:type="dxa"/>
            <w:tcBorders>
              <w:top w:val="single" w:sz="4" w:space="0" w:color="000000"/>
              <w:left w:val="single" w:sz="6" w:space="0" w:color="000000"/>
              <w:bottom w:val="single" w:sz="6" w:space="0" w:color="000000"/>
              <w:right w:val="single" w:sz="6" w:space="0" w:color="000000"/>
            </w:tcBorders>
          </w:tcPr>
          <w:p w14:paraId="15134B4B" w14:textId="77777777" w:rsidR="007170C3" w:rsidRPr="008819AF" w:rsidRDefault="009C7CD3">
            <w:pPr>
              <w:ind w:left="215" w:hanging="215"/>
              <w:rPr>
                <w:rFonts w:eastAsia="Arial"/>
                <w:lang w:bidi="cs-CZ"/>
              </w:rPr>
            </w:pPr>
            <w:r w:rsidRPr="008819AF">
              <w:rPr>
                <w:rFonts w:eastAsia="Arial"/>
                <w:lang w:bidi="cs-CZ"/>
              </w:rPr>
              <w:lastRenderedPageBreak/>
              <w:t>N</w:t>
            </w:r>
          </w:p>
        </w:tc>
        <w:tc>
          <w:tcPr>
            <w:tcW w:w="678" w:type="dxa"/>
            <w:tcBorders>
              <w:top w:val="single" w:sz="4" w:space="0" w:color="000000"/>
              <w:left w:val="single" w:sz="6" w:space="0" w:color="000000"/>
              <w:bottom w:val="single" w:sz="6" w:space="0" w:color="000000"/>
              <w:right w:val="single" w:sz="6" w:space="0" w:color="000000"/>
            </w:tcBorders>
          </w:tcPr>
          <w:p w14:paraId="15134B4C"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15134B4D" w14:textId="77777777" w:rsidR="007170C3" w:rsidRPr="008819AF" w:rsidRDefault="009C7CD3">
            <w:r w:rsidRPr="008819AF">
              <w:t>Pr.6 časť VI.</w:t>
            </w:r>
          </w:p>
        </w:tc>
        <w:tc>
          <w:tcPr>
            <w:tcW w:w="5954" w:type="dxa"/>
            <w:tcBorders>
              <w:top w:val="single" w:sz="4" w:space="0" w:color="000000"/>
              <w:left w:val="single" w:sz="6" w:space="0" w:color="000000"/>
              <w:bottom w:val="single" w:sz="6" w:space="0" w:color="000000"/>
              <w:right w:val="single" w:sz="6" w:space="0" w:color="000000"/>
            </w:tcBorders>
          </w:tcPr>
          <w:p w14:paraId="15134B4E" w14:textId="77777777" w:rsidR="009C7CD3" w:rsidRPr="008819AF" w:rsidRDefault="009C7CD3" w:rsidP="009C7CD3">
            <w:pPr>
              <w:keepNext/>
              <w:spacing w:after="120"/>
              <w:jc w:val="both"/>
              <w:rPr>
                <w:b/>
              </w:rPr>
            </w:pPr>
            <w:r w:rsidRPr="008819AF">
              <w:rPr>
                <w:b/>
              </w:rPr>
              <w:t>2.</w:t>
            </w:r>
            <w:r w:rsidRPr="008819AF">
              <w:t xml:space="preserve">  </w:t>
            </w:r>
            <w:r w:rsidRPr="008819AF">
              <w:rPr>
                <w:b/>
              </w:rPr>
              <w:t xml:space="preserve">Veličiny na vypracovanie ročnej bilancie rozpúšťadiel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16"/>
              <w:gridCol w:w="5192"/>
            </w:tblGrid>
            <w:tr w:rsidR="009C7CD3" w:rsidRPr="008819AF" w14:paraId="15134B50" w14:textId="77777777" w:rsidTr="009C7CD3">
              <w:trPr>
                <w:trHeight w:val="431"/>
                <w:jc w:val="center"/>
              </w:trPr>
              <w:tc>
                <w:tcPr>
                  <w:tcW w:w="5808" w:type="dxa"/>
                  <w:gridSpan w:val="2"/>
                  <w:vAlign w:val="center"/>
                </w:tcPr>
                <w:p w14:paraId="15134B4F" w14:textId="77777777" w:rsidR="009C7CD3" w:rsidRPr="008819AF" w:rsidRDefault="009C7CD3" w:rsidP="009C7CD3">
                  <w:pPr>
                    <w:jc w:val="right"/>
                    <w:rPr>
                      <w:b/>
                      <w:sz w:val="18"/>
                      <w:szCs w:val="18"/>
                    </w:rPr>
                  </w:pPr>
                  <w:r w:rsidRPr="008819AF">
                    <w:rPr>
                      <w:b/>
                      <w:iCs/>
                      <w:sz w:val="18"/>
                      <w:szCs w:val="18"/>
                    </w:rPr>
                    <w:t xml:space="preserve">Vstupy </w:t>
                  </w:r>
                  <w:r w:rsidRPr="008819AF">
                    <w:rPr>
                      <w:b/>
                      <w:sz w:val="18"/>
                      <w:szCs w:val="18"/>
                    </w:rPr>
                    <w:t xml:space="preserve">organických rozpúšťadiel </w:t>
                  </w:r>
                  <w:r w:rsidRPr="008819AF">
                    <w:rPr>
                      <w:b/>
                      <w:iCs/>
                      <w:sz w:val="18"/>
                      <w:szCs w:val="18"/>
                    </w:rPr>
                    <w:t xml:space="preserve">(I)                 </w:t>
                  </w:r>
                  <w:r w:rsidRPr="008819AF">
                    <w:rPr>
                      <w:bCs/>
                      <w:sz w:val="18"/>
                      <w:szCs w:val="18"/>
                    </w:rPr>
                    <w:t>[</w:t>
                  </w:r>
                  <w:r w:rsidRPr="008819AF">
                    <w:rPr>
                      <w:sz w:val="18"/>
                      <w:szCs w:val="18"/>
                    </w:rPr>
                    <w:t>g, kg alebo t</w:t>
                  </w:r>
                  <w:r w:rsidRPr="008819AF">
                    <w:rPr>
                      <w:bCs/>
                      <w:sz w:val="18"/>
                      <w:szCs w:val="18"/>
                    </w:rPr>
                    <w:t>]</w:t>
                  </w:r>
                </w:p>
              </w:tc>
            </w:tr>
            <w:tr w:rsidR="009C7CD3" w:rsidRPr="008819AF" w14:paraId="15134B53" w14:textId="77777777" w:rsidTr="009C7CD3">
              <w:trPr>
                <w:trHeight w:val="888"/>
                <w:jc w:val="center"/>
              </w:trPr>
              <w:tc>
                <w:tcPr>
                  <w:tcW w:w="616" w:type="dxa"/>
                  <w:vAlign w:val="center"/>
                </w:tcPr>
                <w:p w14:paraId="15134B51" w14:textId="77777777" w:rsidR="009C7CD3" w:rsidRPr="008819AF" w:rsidRDefault="009C7CD3" w:rsidP="009C7CD3">
                  <w:pPr>
                    <w:jc w:val="center"/>
                    <w:rPr>
                      <w:sz w:val="18"/>
                      <w:szCs w:val="18"/>
                    </w:rPr>
                  </w:pPr>
                  <w:r w:rsidRPr="008819AF">
                    <w:rPr>
                      <w:sz w:val="18"/>
                      <w:szCs w:val="18"/>
                    </w:rPr>
                    <w:t>I1</w:t>
                  </w:r>
                </w:p>
              </w:tc>
              <w:tc>
                <w:tcPr>
                  <w:tcW w:w="5192" w:type="dxa"/>
                  <w:vAlign w:val="center"/>
                </w:tcPr>
                <w:p w14:paraId="15134B52" w14:textId="77777777" w:rsidR="009C7CD3" w:rsidRPr="008819AF" w:rsidRDefault="009C7CD3" w:rsidP="009C7CD3">
                  <w:pPr>
                    <w:jc w:val="both"/>
                    <w:rPr>
                      <w:sz w:val="18"/>
                      <w:szCs w:val="18"/>
                    </w:rPr>
                  </w:pPr>
                  <w:r w:rsidRPr="008819AF">
                    <w:rPr>
                      <w:sz w:val="18"/>
                      <w:szCs w:val="18"/>
                    </w:rPr>
                    <w:t>Množstvo organických rozpúšťadiel alebo ich množstvo v zmesiach, ktoré boli zakúpené a ktoré sa používajú ako vstup do procesu za časové obdobie, za ktoré sa vypočítava hmotnostná bilancia.</w:t>
                  </w:r>
                </w:p>
              </w:tc>
            </w:tr>
            <w:tr w:rsidR="009C7CD3" w:rsidRPr="008819AF" w14:paraId="15134B56" w14:textId="77777777" w:rsidTr="009C7CD3">
              <w:trPr>
                <w:trHeight w:val="788"/>
                <w:jc w:val="center"/>
              </w:trPr>
              <w:tc>
                <w:tcPr>
                  <w:tcW w:w="616" w:type="dxa"/>
                  <w:vAlign w:val="center"/>
                </w:tcPr>
                <w:p w14:paraId="15134B54" w14:textId="77777777" w:rsidR="009C7CD3" w:rsidRPr="008819AF" w:rsidRDefault="009C7CD3" w:rsidP="009C7CD3">
                  <w:pPr>
                    <w:jc w:val="center"/>
                    <w:rPr>
                      <w:sz w:val="18"/>
                      <w:szCs w:val="18"/>
                    </w:rPr>
                  </w:pPr>
                  <w:r w:rsidRPr="008819AF">
                    <w:rPr>
                      <w:sz w:val="18"/>
                      <w:szCs w:val="18"/>
                    </w:rPr>
                    <w:t>I2</w:t>
                  </w:r>
                </w:p>
              </w:tc>
              <w:tc>
                <w:tcPr>
                  <w:tcW w:w="5192" w:type="dxa"/>
                  <w:vAlign w:val="center"/>
                </w:tcPr>
                <w:p w14:paraId="15134B55" w14:textId="77777777" w:rsidR="009C7CD3" w:rsidRPr="008819AF" w:rsidRDefault="009C7CD3" w:rsidP="009C7CD3">
                  <w:pPr>
                    <w:jc w:val="both"/>
                    <w:rPr>
                      <w:sz w:val="18"/>
                      <w:szCs w:val="18"/>
                    </w:rPr>
                  </w:pPr>
                  <w:r w:rsidRPr="008819AF">
                    <w:rPr>
                      <w:sz w:val="18"/>
                      <w:szCs w:val="18"/>
                    </w:rPr>
                    <w:t>Množstvo organických rozpúšťadiel alebo ich množstvo v použitých zmesiach, ktoré boli recyklované a opätovne sa použijú ako vstup do procesu. Recyklované organické rozpúšťadlo sa započítava vždy, keď sa použije na danú  činnosť.</w:t>
                  </w:r>
                </w:p>
              </w:tc>
            </w:tr>
            <w:tr w:rsidR="009C7CD3" w:rsidRPr="008819AF" w14:paraId="15134B58" w14:textId="77777777" w:rsidTr="009C7CD3">
              <w:trPr>
                <w:trHeight w:val="459"/>
                <w:jc w:val="center"/>
              </w:trPr>
              <w:tc>
                <w:tcPr>
                  <w:tcW w:w="5808" w:type="dxa"/>
                  <w:gridSpan w:val="2"/>
                  <w:vAlign w:val="center"/>
                </w:tcPr>
                <w:p w14:paraId="15134B57" w14:textId="77777777" w:rsidR="009C7CD3" w:rsidRPr="008819AF" w:rsidRDefault="009C7CD3" w:rsidP="009C7CD3">
                  <w:pPr>
                    <w:jc w:val="right"/>
                    <w:rPr>
                      <w:b/>
                      <w:sz w:val="18"/>
                      <w:szCs w:val="18"/>
                    </w:rPr>
                  </w:pPr>
                  <w:r w:rsidRPr="008819AF">
                    <w:rPr>
                      <w:b/>
                      <w:sz w:val="18"/>
                      <w:szCs w:val="18"/>
                    </w:rPr>
                    <w:t>Výstupy organických rozpúšťadiel (O)</w:t>
                  </w:r>
                  <w:r w:rsidRPr="008819AF">
                    <w:rPr>
                      <w:bCs/>
                      <w:sz w:val="18"/>
                      <w:szCs w:val="18"/>
                    </w:rPr>
                    <w:t xml:space="preserve">           [</w:t>
                  </w:r>
                  <w:r w:rsidRPr="008819AF">
                    <w:rPr>
                      <w:sz w:val="18"/>
                      <w:szCs w:val="18"/>
                    </w:rPr>
                    <w:t>g, kg alebo t</w:t>
                  </w:r>
                  <w:r w:rsidRPr="008819AF">
                    <w:rPr>
                      <w:bCs/>
                      <w:sz w:val="18"/>
                      <w:szCs w:val="18"/>
                    </w:rPr>
                    <w:t>]</w:t>
                  </w:r>
                </w:p>
              </w:tc>
            </w:tr>
            <w:tr w:rsidR="009C7CD3" w:rsidRPr="008819AF" w14:paraId="15134B5B" w14:textId="77777777" w:rsidTr="009C7CD3">
              <w:trPr>
                <w:trHeight w:val="496"/>
                <w:jc w:val="center"/>
              </w:trPr>
              <w:tc>
                <w:tcPr>
                  <w:tcW w:w="616" w:type="dxa"/>
                  <w:vAlign w:val="center"/>
                </w:tcPr>
                <w:p w14:paraId="15134B59" w14:textId="77777777" w:rsidR="009C7CD3" w:rsidRPr="008819AF" w:rsidRDefault="009C7CD3" w:rsidP="009C7CD3">
                  <w:pPr>
                    <w:jc w:val="center"/>
                    <w:rPr>
                      <w:sz w:val="18"/>
                      <w:szCs w:val="18"/>
                    </w:rPr>
                  </w:pPr>
                  <w:r w:rsidRPr="008819AF">
                    <w:rPr>
                      <w:sz w:val="18"/>
                      <w:szCs w:val="18"/>
                    </w:rPr>
                    <w:t>O1</w:t>
                  </w:r>
                </w:p>
              </w:tc>
              <w:tc>
                <w:tcPr>
                  <w:tcW w:w="5192" w:type="dxa"/>
                  <w:vAlign w:val="center"/>
                </w:tcPr>
                <w:p w14:paraId="15134B5A" w14:textId="77777777" w:rsidR="009C7CD3" w:rsidRPr="008819AF" w:rsidRDefault="009C7CD3" w:rsidP="009C7CD3">
                  <w:pPr>
                    <w:jc w:val="both"/>
                    <w:rPr>
                      <w:sz w:val="18"/>
                      <w:szCs w:val="18"/>
                    </w:rPr>
                  </w:pPr>
                  <w:r w:rsidRPr="008819AF">
                    <w:rPr>
                      <w:sz w:val="18"/>
                      <w:szCs w:val="18"/>
                    </w:rPr>
                    <w:t>Emisie v odpadových plynoch.</w:t>
                  </w:r>
                </w:p>
              </w:tc>
            </w:tr>
            <w:tr w:rsidR="009C7CD3" w:rsidRPr="008819AF" w14:paraId="15134B5F" w14:textId="77777777" w:rsidTr="009C7CD3">
              <w:trPr>
                <w:trHeight w:val="702"/>
                <w:jc w:val="center"/>
              </w:trPr>
              <w:tc>
                <w:tcPr>
                  <w:tcW w:w="616" w:type="dxa"/>
                  <w:vAlign w:val="center"/>
                </w:tcPr>
                <w:p w14:paraId="15134B5C" w14:textId="77777777" w:rsidR="009C7CD3" w:rsidRPr="008819AF" w:rsidRDefault="009C7CD3" w:rsidP="009C7CD3">
                  <w:pPr>
                    <w:ind w:left="426" w:hanging="426"/>
                    <w:jc w:val="center"/>
                    <w:rPr>
                      <w:sz w:val="18"/>
                      <w:szCs w:val="18"/>
                    </w:rPr>
                  </w:pPr>
                  <w:r w:rsidRPr="008819AF">
                    <w:rPr>
                      <w:sz w:val="18"/>
                      <w:szCs w:val="18"/>
                    </w:rPr>
                    <w:t>O2</w:t>
                  </w:r>
                </w:p>
                <w:p w14:paraId="15134B5D" w14:textId="77777777" w:rsidR="009C7CD3" w:rsidRPr="008819AF" w:rsidRDefault="009C7CD3" w:rsidP="009C7CD3">
                  <w:pPr>
                    <w:jc w:val="center"/>
                    <w:rPr>
                      <w:sz w:val="18"/>
                      <w:szCs w:val="18"/>
                    </w:rPr>
                  </w:pPr>
                </w:p>
              </w:tc>
              <w:tc>
                <w:tcPr>
                  <w:tcW w:w="5192" w:type="dxa"/>
                  <w:vAlign w:val="center"/>
                </w:tcPr>
                <w:p w14:paraId="15134B5E" w14:textId="77777777" w:rsidR="009C7CD3" w:rsidRPr="008819AF" w:rsidRDefault="009C7CD3" w:rsidP="009C7CD3">
                  <w:pPr>
                    <w:jc w:val="both"/>
                    <w:rPr>
                      <w:sz w:val="18"/>
                      <w:szCs w:val="18"/>
                    </w:rPr>
                  </w:pPr>
                  <w:r w:rsidRPr="008819AF">
                    <w:rPr>
                      <w:sz w:val="18"/>
                      <w:szCs w:val="18"/>
                    </w:rPr>
                    <w:t>Úniky organických rozpúšťadiel  do odpadových vôd, ktoré sa odvádzajú z procesu; ak sú odpadové vody čistené, je to potrebné pri výpočte O5 zohľadniť.</w:t>
                  </w:r>
                </w:p>
              </w:tc>
            </w:tr>
            <w:tr w:rsidR="009C7CD3" w:rsidRPr="008819AF" w14:paraId="15134B62" w14:textId="77777777" w:rsidTr="009C7CD3">
              <w:trPr>
                <w:jc w:val="center"/>
              </w:trPr>
              <w:tc>
                <w:tcPr>
                  <w:tcW w:w="616" w:type="dxa"/>
                  <w:vAlign w:val="center"/>
                </w:tcPr>
                <w:p w14:paraId="15134B60" w14:textId="77777777" w:rsidR="009C7CD3" w:rsidRPr="008819AF" w:rsidRDefault="009C7CD3" w:rsidP="009C7CD3">
                  <w:pPr>
                    <w:jc w:val="center"/>
                    <w:rPr>
                      <w:sz w:val="18"/>
                      <w:szCs w:val="18"/>
                    </w:rPr>
                  </w:pPr>
                  <w:r w:rsidRPr="008819AF">
                    <w:rPr>
                      <w:sz w:val="18"/>
                      <w:szCs w:val="18"/>
                    </w:rPr>
                    <w:t>O3</w:t>
                  </w:r>
                </w:p>
              </w:tc>
              <w:tc>
                <w:tcPr>
                  <w:tcW w:w="5192" w:type="dxa"/>
                  <w:vAlign w:val="center"/>
                </w:tcPr>
                <w:p w14:paraId="15134B61" w14:textId="77777777" w:rsidR="009C7CD3" w:rsidRPr="008819AF" w:rsidRDefault="009C7CD3" w:rsidP="009C7CD3">
                  <w:pPr>
                    <w:jc w:val="both"/>
                    <w:rPr>
                      <w:sz w:val="18"/>
                      <w:szCs w:val="18"/>
                    </w:rPr>
                  </w:pPr>
                  <w:r w:rsidRPr="008819AF">
                    <w:rPr>
                      <w:sz w:val="18"/>
                      <w:szCs w:val="18"/>
                    </w:rPr>
                    <w:t>Organické rozpúšťadlá, ktoré zostávajú ako znečistenie alebo zvyšky vo výrobkoch vychádzajúcich z procesu.</w:t>
                  </w:r>
                </w:p>
              </w:tc>
            </w:tr>
            <w:tr w:rsidR="009C7CD3" w:rsidRPr="008819AF" w14:paraId="15134B66" w14:textId="77777777" w:rsidTr="009C7CD3">
              <w:trPr>
                <w:trHeight w:val="892"/>
                <w:jc w:val="center"/>
              </w:trPr>
              <w:tc>
                <w:tcPr>
                  <w:tcW w:w="616" w:type="dxa"/>
                  <w:vAlign w:val="center"/>
                </w:tcPr>
                <w:p w14:paraId="15134B63" w14:textId="77777777" w:rsidR="009C7CD3" w:rsidRPr="008819AF" w:rsidRDefault="009C7CD3" w:rsidP="009C7CD3">
                  <w:pPr>
                    <w:ind w:left="426" w:hanging="426"/>
                    <w:jc w:val="center"/>
                    <w:rPr>
                      <w:sz w:val="18"/>
                      <w:szCs w:val="18"/>
                    </w:rPr>
                  </w:pPr>
                  <w:r w:rsidRPr="008819AF">
                    <w:rPr>
                      <w:sz w:val="18"/>
                      <w:szCs w:val="18"/>
                    </w:rPr>
                    <w:t>O4</w:t>
                  </w:r>
                </w:p>
                <w:p w14:paraId="15134B64" w14:textId="77777777" w:rsidR="009C7CD3" w:rsidRPr="008819AF" w:rsidRDefault="009C7CD3" w:rsidP="009C7CD3">
                  <w:pPr>
                    <w:jc w:val="center"/>
                    <w:rPr>
                      <w:sz w:val="18"/>
                      <w:szCs w:val="18"/>
                    </w:rPr>
                  </w:pPr>
                </w:p>
              </w:tc>
              <w:tc>
                <w:tcPr>
                  <w:tcW w:w="5192" w:type="dxa"/>
                  <w:vAlign w:val="center"/>
                </w:tcPr>
                <w:p w14:paraId="15134B65" w14:textId="77777777" w:rsidR="009C7CD3" w:rsidRPr="008819AF" w:rsidRDefault="009C7CD3" w:rsidP="009C7CD3">
                  <w:pPr>
                    <w:ind w:right="-78"/>
                    <w:jc w:val="both"/>
                    <w:rPr>
                      <w:sz w:val="18"/>
                      <w:szCs w:val="18"/>
                    </w:rPr>
                  </w:pPr>
                  <w:r w:rsidRPr="008819AF">
                    <w:rPr>
                      <w:sz w:val="18"/>
                      <w:szCs w:val="18"/>
                    </w:rPr>
                    <w:t>Nezachytené emisie organických rozpúšťadiel uvoľnené do ovzdušia; všeobecne sa sem zahŕňa bežné vetranie miestností, pri ktorej vzduch z pracovného prostredia uniká do   ovzdušia cez okná, dvere, vetracie  alebo iné otvory. </w:t>
                  </w:r>
                </w:p>
              </w:tc>
            </w:tr>
            <w:tr w:rsidR="009C7CD3" w:rsidRPr="008819AF" w14:paraId="15134B69" w14:textId="77777777" w:rsidTr="009C7CD3">
              <w:trPr>
                <w:trHeight w:val="410"/>
                <w:jc w:val="center"/>
              </w:trPr>
              <w:tc>
                <w:tcPr>
                  <w:tcW w:w="616" w:type="dxa"/>
                  <w:vAlign w:val="center"/>
                </w:tcPr>
                <w:p w14:paraId="15134B67" w14:textId="77777777" w:rsidR="009C7CD3" w:rsidRPr="008819AF" w:rsidRDefault="009C7CD3" w:rsidP="009C7CD3">
                  <w:pPr>
                    <w:jc w:val="center"/>
                    <w:rPr>
                      <w:sz w:val="18"/>
                      <w:szCs w:val="18"/>
                    </w:rPr>
                  </w:pPr>
                  <w:r w:rsidRPr="008819AF">
                    <w:rPr>
                      <w:sz w:val="18"/>
                      <w:szCs w:val="18"/>
                    </w:rPr>
                    <w:t>O5</w:t>
                  </w:r>
                </w:p>
              </w:tc>
              <w:tc>
                <w:tcPr>
                  <w:tcW w:w="5192" w:type="dxa"/>
                  <w:vAlign w:val="center"/>
                </w:tcPr>
                <w:p w14:paraId="15134B68" w14:textId="77777777" w:rsidR="009C7CD3" w:rsidRPr="008819AF" w:rsidRDefault="009C7CD3" w:rsidP="009C7CD3">
                  <w:pPr>
                    <w:jc w:val="both"/>
                    <w:rPr>
                      <w:sz w:val="18"/>
                      <w:szCs w:val="18"/>
                    </w:rPr>
                  </w:pPr>
                  <w:r w:rsidRPr="008819AF">
                    <w:rPr>
                      <w:sz w:val="18"/>
                      <w:szCs w:val="18"/>
                    </w:rPr>
                    <w:t>Straty organických rozpúšťadiel alebo organických zlúčenín spôsobené chemickými alebo fyzikálnymi reakciami (napríklad spálením alebo inou úpravou odpadových plynov  alebo odpadových vôd, alebo ktoré sa zachytili, napr. adsorpciou, ak neboli započítané  do položiek  O6, O7 alebo O8).</w:t>
                  </w:r>
                </w:p>
              </w:tc>
            </w:tr>
            <w:tr w:rsidR="009C7CD3" w:rsidRPr="008819AF" w14:paraId="15134B6C" w14:textId="77777777" w:rsidTr="009C7CD3">
              <w:trPr>
                <w:trHeight w:val="393"/>
                <w:jc w:val="center"/>
              </w:trPr>
              <w:tc>
                <w:tcPr>
                  <w:tcW w:w="616" w:type="dxa"/>
                  <w:vAlign w:val="center"/>
                </w:tcPr>
                <w:p w14:paraId="15134B6A" w14:textId="77777777" w:rsidR="009C7CD3" w:rsidRPr="008819AF" w:rsidRDefault="009C7CD3" w:rsidP="009C7CD3">
                  <w:pPr>
                    <w:jc w:val="center"/>
                    <w:rPr>
                      <w:sz w:val="18"/>
                      <w:szCs w:val="18"/>
                    </w:rPr>
                  </w:pPr>
                  <w:r w:rsidRPr="008819AF">
                    <w:rPr>
                      <w:sz w:val="18"/>
                      <w:szCs w:val="18"/>
                    </w:rPr>
                    <w:t>O6</w:t>
                  </w:r>
                </w:p>
              </w:tc>
              <w:tc>
                <w:tcPr>
                  <w:tcW w:w="5192" w:type="dxa"/>
                  <w:vAlign w:val="center"/>
                </w:tcPr>
                <w:p w14:paraId="15134B6B" w14:textId="77777777" w:rsidR="009C7CD3" w:rsidRPr="008819AF" w:rsidRDefault="009C7CD3" w:rsidP="009C7CD3">
                  <w:pPr>
                    <w:jc w:val="both"/>
                    <w:rPr>
                      <w:sz w:val="18"/>
                      <w:szCs w:val="18"/>
                    </w:rPr>
                  </w:pPr>
                  <w:r w:rsidRPr="008819AF">
                    <w:rPr>
                      <w:sz w:val="18"/>
                      <w:szCs w:val="18"/>
                    </w:rPr>
                    <w:t> Organické rozpúšťadlá obsiahnuté v zhromaždenom odpade.</w:t>
                  </w:r>
                </w:p>
              </w:tc>
            </w:tr>
            <w:tr w:rsidR="009C7CD3" w:rsidRPr="008819AF" w14:paraId="15134B6F" w14:textId="77777777" w:rsidTr="009C7CD3">
              <w:trPr>
                <w:trHeight w:val="555"/>
                <w:jc w:val="center"/>
              </w:trPr>
              <w:tc>
                <w:tcPr>
                  <w:tcW w:w="616" w:type="dxa"/>
                  <w:vAlign w:val="center"/>
                </w:tcPr>
                <w:p w14:paraId="15134B6D" w14:textId="77777777" w:rsidR="009C7CD3" w:rsidRPr="008819AF" w:rsidRDefault="009C7CD3" w:rsidP="009C7CD3">
                  <w:pPr>
                    <w:jc w:val="center"/>
                    <w:rPr>
                      <w:sz w:val="18"/>
                      <w:szCs w:val="18"/>
                    </w:rPr>
                  </w:pPr>
                  <w:r w:rsidRPr="008819AF">
                    <w:rPr>
                      <w:sz w:val="18"/>
                      <w:szCs w:val="18"/>
                    </w:rPr>
                    <w:t>O7</w:t>
                  </w:r>
                </w:p>
              </w:tc>
              <w:tc>
                <w:tcPr>
                  <w:tcW w:w="5192" w:type="dxa"/>
                  <w:vAlign w:val="center"/>
                </w:tcPr>
                <w:p w14:paraId="15134B6E" w14:textId="77777777" w:rsidR="009C7CD3" w:rsidRPr="008819AF" w:rsidRDefault="009C7CD3" w:rsidP="009C7CD3">
                  <w:pPr>
                    <w:ind w:left="34" w:hanging="34"/>
                    <w:jc w:val="both"/>
                    <w:rPr>
                      <w:sz w:val="18"/>
                      <w:szCs w:val="18"/>
                    </w:rPr>
                  </w:pPr>
                  <w:r w:rsidRPr="008819AF">
                    <w:rPr>
                      <w:sz w:val="18"/>
                      <w:szCs w:val="18"/>
                    </w:rPr>
                    <w:t> Organické rozpúšťadlá alebo organické rozpúšťadlá obsiahnuté v zmesiach, ktoré sa predali alebo sú určené na predaj ako komerčné výrobky.</w:t>
                  </w:r>
                </w:p>
              </w:tc>
            </w:tr>
            <w:tr w:rsidR="009C7CD3" w:rsidRPr="008819AF" w14:paraId="15134B73" w14:textId="77777777" w:rsidTr="009C7CD3">
              <w:trPr>
                <w:trHeight w:val="693"/>
                <w:jc w:val="center"/>
              </w:trPr>
              <w:tc>
                <w:tcPr>
                  <w:tcW w:w="616" w:type="dxa"/>
                  <w:vAlign w:val="center"/>
                </w:tcPr>
                <w:p w14:paraId="15134B70" w14:textId="77777777" w:rsidR="009C7CD3" w:rsidRPr="008819AF" w:rsidRDefault="009C7CD3" w:rsidP="009C7CD3">
                  <w:pPr>
                    <w:ind w:left="284" w:hanging="284"/>
                    <w:jc w:val="center"/>
                    <w:rPr>
                      <w:sz w:val="18"/>
                      <w:szCs w:val="18"/>
                    </w:rPr>
                  </w:pPr>
                  <w:r w:rsidRPr="008819AF">
                    <w:rPr>
                      <w:sz w:val="18"/>
                      <w:szCs w:val="18"/>
                    </w:rPr>
                    <w:t>O8</w:t>
                  </w:r>
                </w:p>
                <w:p w14:paraId="15134B71" w14:textId="77777777" w:rsidR="009C7CD3" w:rsidRPr="008819AF" w:rsidRDefault="009C7CD3" w:rsidP="009C7CD3">
                  <w:pPr>
                    <w:jc w:val="center"/>
                    <w:rPr>
                      <w:sz w:val="18"/>
                      <w:szCs w:val="18"/>
                    </w:rPr>
                  </w:pPr>
                </w:p>
              </w:tc>
              <w:tc>
                <w:tcPr>
                  <w:tcW w:w="5192" w:type="dxa"/>
                  <w:vAlign w:val="center"/>
                </w:tcPr>
                <w:p w14:paraId="15134B72" w14:textId="77777777" w:rsidR="009C7CD3" w:rsidRPr="008819AF" w:rsidRDefault="009C7CD3" w:rsidP="009C7CD3">
                  <w:pPr>
                    <w:jc w:val="both"/>
                    <w:rPr>
                      <w:sz w:val="18"/>
                      <w:szCs w:val="18"/>
                    </w:rPr>
                  </w:pPr>
                  <w:r w:rsidRPr="008819AF">
                    <w:rPr>
                      <w:sz w:val="18"/>
                      <w:szCs w:val="18"/>
                    </w:rPr>
                    <w:t>Organické rozpúšťadlá obsiahnuté v zmesiach, ktoré sa regenerovali na opätovné  použitie, ak sa nepovažujú za vstup  do procesu, a neboli už započítané v rámci  položky  O7.</w:t>
                  </w:r>
                </w:p>
              </w:tc>
            </w:tr>
            <w:tr w:rsidR="009C7CD3" w:rsidRPr="008819AF" w14:paraId="15134B76" w14:textId="77777777" w:rsidTr="009C7CD3">
              <w:trPr>
                <w:trHeight w:val="419"/>
                <w:jc w:val="center"/>
              </w:trPr>
              <w:tc>
                <w:tcPr>
                  <w:tcW w:w="616" w:type="dxa"/>
                  <w:vAlign w:val="center"/>
                </w:tcPr>
                <w:p w14:paraId="15134B74" w14:textId="77777777" w:rsidR="009C7CD3" w:rsidRPr="008819AF" w:rsidRDefault="009C7CD3" w:rsidP="009C7CD3">
                  <w:pPr>
                    <w:jc w:val="center"/>
                    <w:rPr>
                      <w:sz w:val="18"/>
                      <w:szCs w:val="18"/>
                    </w:rPr>
                  </w:pPr>
                  <w:r w:rsidRPr="008819AF">
                    <w:rPr>
                      <w:sz w:val="18"/>
                      <w:szCs w:val="18"/>
                    </w:rPr>
                    <w:t>O9</w:t>
                  </w:r>
                </w:p>
              </w:tc>
              <w:tc>
                <w:tcPr>
                  <w:tcW w:w="5192" w:type="dxa"/>
                  <w:vAlign w:val="center"/>
                </w:tcPr>
                <w:p w14:paraId="15134B75" w14:textId="77777777" w:rsidR="009C7CD3" w:rsidRPr="008819AF" w:rsidRDefault="009C7CD3" w:rsidP="009C7CD3">
                  <w:pPr>
                    <w:jc w:val="both"/>
                    <w:rPr>
                      <w:sz w:val="18"/>
                      <w:szCs w:val="18"/>
                    </w:rPr>
                  </w:pPr>
                  <w:r w:rsidRPr="008819AF">
                    <w:rPr>
                      <w:sz w:val="18"/>
                      <w:szCs w:val="18"/>
                    </w:rPr>
                    <w:t>Úniky organických rozpúšťadiel iným spôsobom.</w:t>
                  </w:r>
                </w:p>
              </w:tc>
            </w:tr>
          </w:tbl>
          <w:p w14:paraId="15134B77" w14:textId="77777777" w:rsidR="009C7CD3" w:rsidRPr="008819AF" w:rsidRDefault="009C7CD3" w:rsidP="009C7CD3">
            <w:pPr>
              <w:pStyle w:val="Hlavika"/>
              <w:ind w:left="72" w:hanging="1"/>
              <w:jc w:val="both"/>
              <w:rPr>
                <w:rFonts w:ascii="Times New Roman" w:hAnsi="Times New Roman" w:cs="Times New Roman"/>
              </w:rPr>
            </w:pPr>
          </w:p>
          <w:p w14:paraId="15134B78" w14:textId="77777777" w:rsidR="007170C3" w:rsidRPr="008819AF" w:rsidRDefault="007170C3">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15134B79"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15134B7A" w14:textId="77777777" w:rsidR="007170C3" w:rsidRPr="008819AF" w:rsidRDefault="007170C3">
            <w:pPr>
              <w:ind w:left="215" w:hanging="215"/>
              <w:rPr>
                <w:rFonts w:eastAsia="Arial"/>
              </w:rPr>
            </w:pPr>
          </w:p>
        </w:tc>
      </w:tr>
      <w:tr w:rsidR="00F80158" w:rsidRPr="008819AF" w14:paraId="15134C26" w14:textId="77777777" w:rsidTr="00EC5B90">
        <w:tc>
          <w:tcPr>
            <w:tcW w:w="496" w:type="dxa"/>
            <w:tcBorders>
              <w:top w:val="single" w:sz="4" w:space="0" w:color="000000"/>
              <w:left w:val="single" w:sz="6" w:space="0" w:color="000000"/>
              <w:bottom w:val="none" w:sz="4" w:space="0" w:color="000000"/>
              <w:right w:val="single" w:sz="6" w:space="0" w:color="000000"/>
            </w:tcBorders>
          </w:tcPr>
          <w:p w14:paraId="15134B7C"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4" w:space="0" w:color="000000"/>
              <w:right w:val="single" w:sz="6" w:space="0" w:color="000000"/>
            </w:tcBorders>
          </w:tcPr>
          <w:p w14:paraId="15134B7D" w14:textId="77777777" w:rsidR="007170C3" w:rsidRPr="008819AF" w:rsidRDefault="006F0418">
            <w:pPr>
              <w:ind w:left="215" w:hanging="215"/>
              <w:rPr>
                <w:rFonts w:eastAsia="Arial"/>
                <w:lang w:bidi="cs-CZ"/>
              </w:rPr>
            </w:pPr>
            <w:r w:rsidRPr="008819AF">
              <w:rPr>
                <w:rFonts w:eastAsia="Arial"/>
                <w:lang w:bidi="cs-CZ"/>
              </w:rPr>
              <w:t xml:space="preserve">3. Použitie plánu hospodárenia s rozpúšťadlami na verifikáciu dodržiavania požiadaviek. </w:t>
            </w:r>
          </w:p>
          <w:p w14:paraId="15134B7E" w14:textId="77777777" w:rsidR="007170C3" w:rsidRPr="008819AF" w:rsidRDefault="006F0418">
            <w:pPr>
              <w:ind w:left="215" w:hanging="1"/>
              <w:rPr>
                <w:rFonts w:eastAsia="Arial"/>
                <w:lang w:bidi="cs-CZ"/>
              </w:rPr>
            </w:pPr>
            <w:r w:rsidRPr="008819AF">
              <w:rPr>
                <w:rFonts w:eastAsia="Arial"/>
                <w:lang w:bidi="cs-CZ"/>
              </w:rPr>
              <w:t>Použitie plánu hospodárenia s rozpúšťadlami je určené konkrétnymi požiadavkami, ktorých dodržiavanie sa overuje takto:</w:t>
            </w:r>
          </w:p>
          <w:p w14:paraId="15134B7F" w14:textId="77777777" w:rsidR="007170C3" w:rsidRPr="008819AF" w:rsidRDefault="006F0418">
            <w:pPr>
              <w:ind w:left="356" w:hanging="142"/>
              <w:rPr>
                <w:rFonts w:eastAsia="Arial"/>
                <w:lang w:bidi="cs-CZ"/>
              </w:rPr>
            </w:pPr>
            <w:r w:rsidRPr="008819AF">
              <w:rPr>
                <w:rFonts w:eastAsia="Arial"/>
                <w:lang w:bidi="cs-CZ"/>
              </w:rPr>
              <w:t>a) verifikácia plnenia redukčného plánu stanoveného v časti 5 s celkovým emisným limitom vyjadreným ako množstvo emisií rozpúšťadla na jednotkový výrobok alebo inak, ako je uvedené v častiach 2 a 3,</w:t>
            </w:r>
          </w:p>
          <w:p w14:paraId="15134B80" w14:textId="77777777" w:rsidR="007170C3" w:rsidRPr="008819AF" w:rsidRDefault="006F0418">
            <w:pPr>
              <w:ind w:left="497" w:hanging="141"/>
              <w:rPr>
                <w:rFonts w:eastAsia="Arial"/>
                <w:lang w:bidi="cs-CZ"/>
              </w:rPr>
            </w:pPr>
            <w:r w:rsidRPr="008819AF">
              <w:rPr>
                <w:rFonts w:eastAsia="Arial"/>
                <w:lang w:bidi="cs-CZ"/>
              </w:rPr>
              <w:t>i) pre všetky činnosti využívajúce redukčný plán stanovenú v časti 5 sa každý rok vypracuje plán hospodárenia s rozpúšťadlami na účely určenia spotreby (C). Spotreba sa vypočíta podľa nasledujúcej rovnice:</w:t>
            </w:r>
          </w:p>
          <w:p w14:paraId="15134B81" w14:textId="77777777" w:rsidR="007170C3" w:rsidRPr="008819AF" w:rsidRDefault="006F0418">
            <w:pPr>
              <w:ind w:left="1206" w:hanging="709"/>
              <w:rPr>
                <w:rFonts w:eastAsia="Arial"/>
                <w:lang w:bidi="cs-CZ"/>
              </w:rPr>
            </w:pPr>
            <w:r w:rsidRPr="008819AF">
              <w:rPr>
                <w:rFonts w:eastAsia="Arial"/>
                <w:lang w:bidi="cs-CZ"/>
              </w:rPr>
              <w:t>C = I1 – O8</w:t>
            </w:r>
          </w:p>
          <w:p w14:paraId="15134B82" w14:textId="77777777" w:rsidR="007170C3" w:rsidRPr="008819AF" w:rsidRDefault="006F0418">
            <w:pPr>
              <w:ind w:left="497"/>
              <w:rPr>
                <w:rFonts w:eastAsia="Arial"/>
                <w:lang w:bidi="cs-CZ"/>
              </w:rPr>
            </w:pPr>
            <w:r w:rsidRPr="008819AF">
              <w:rPr>
                <w:rFonts w:eastAsia="Arial"/>
                <w:lang w:bidi="cs-CZ"/>
              </w:rPr>
              <w:t>Súčasne sa stanoví obsah sušiny v náteroch, aby bolo možné odvodiť referenčné ročné množstvo emisií a cieľové množstvo emisií na každý rok;</w:t>
            </w:r>
          </w:p>
          <w:p w14:paraId="15134B83" w14:textId="77777777" w:rsidR="007170C3" w:rsidRPr="008819AF" w:rsidRDefault="006F0418">
            <w:pPr>
              <w:ind w:left="497" w:hanging="141"/>
              <w:rPr>
                <w:rFonts w:eastAsia="Arial"/>
                <w:lang w:bidi="cs-CZ"/>
              </w:rPr>
            </w:pPr>
            <w:r w:rsidRPr="008819AF">
              <w:rPr>
                <w:rFonts w:eastAsia="Arial"/>
                <w:lang w:bidi="cs-CZ"/>
              </w:rPr>
              <w:t>ii) na posúdenie splnenia celkovej emisného limitu vyjadrenej v množstve emisií z rozpúšťadiel na jednotkový výrobok alebo inak, ako je uvedené v častiach 2 a 3, sa každý rok vypracuje plán hospodárenia s rozpúšťadlami na účely určenia množstva emisií (E). Množstvo emisií sa vypočíta podľa nasledujúcej rovnice:</w:t>
            </w:r>
          </w:p>
          <w:p w14:paraId="15134B84" w14:textId="77777777" w:rsidR="007170C3" w:rsidRPr="008819AF" w:rsidRDefault="006F0418">
            <w:pPr>
              <w:ind w:left="215" w:firstLine="282"/>
              <w:rPr>
                <w:rFonts w:eastAsia="Arial"/>
                <w:lang w:bidi="cs-CZ"/>
              </w:rPr>
            </w:pPr>
            <w:r w:rsidRPr="008819AF">
              <w:rPr>
                <w:rFonts w:eastAsia="Arial"/>
                <w:lang w:bidi="cs-CZ"/>
              </w:rPr>
              <w:t>E = F + O1</w:t>
            </w:r>
          </w:p>
          <w:p w14:paraId="15134B85" w14:textId="77777777" w:rsidR="007170C3" w:rsidRPr="008819AF" w:rsidRDefault="006F0418">
            <w:pPr>
              <w:ind w:left="497"/>
              <w:rPr>
                <w:rFonts w:eastAsia="Arial"/>
                <w:lang w:bidi="cs-CZ"/>
              </w:rPr>
            </w:pPr>
            <w:r w:rsidRPr="008819AF">
              <w:rPr>
                <w:rFonts w:eastAsia="Arial"/>
                <w:lang w:bidi="cs-CZ"/>
              </w:rPr>
              <w:t>F sú fugitívne emisie, ako sú vymedzené v písmene b) bod i). Údaj o množstve emisií sa potom vydelí príslušným ukazovateľom výrobku;</w:t>
            </w:r>
          </w:p>
          <w:p w14:paraId="15134B86" w14:textId="77777777" w:rsidR="007170C3" w:rsidRPr="008819AF" w:rsidRDefault="006F0418">
            <w:pPr>
              <w:ind w:left="639" w:hanging="142"/>
              <w:rPr>
                <w:rFonts w:eastAsia="Arial"/>
                <w:lang w:bidi="cs-CZ"/>
              </w:rPr>
            </w:pPr>
            <w:r w:rsidRPr="008819AF">
              <w:rPr>
                <w:rFonts w:eastAsia="Arial"/>
                <w:lang w:bidi="cs-CZ"/>
              </w:rPr>
              <w:t xml:space="preserve">iii) na posúdenie splnenia požiadaviek článku 59 ods. 6 </w:t>
            </w:r>
            <w:r w:rsidRPr="008819AF">
              <w:rPr>
                <w:rFonts w:eastAsia="Arial"/>
                <w:lang w:bidi="cs-CZ"/>
              </w:rPr>
              <w:lastRenderedPageBreak/>
              <w:t>písm. b) bod ii) sa každý rok vypracuje plán hospodárenia s rozpúšťadlami na účely určenia celkových emisií zo všetkých činností, ktorých sa to týka, a tento údaj sa potom porovná s celkovými emisiami, ktoré by boli dosiahnuté, ak by boli splnené požiadavky častí 2, 3 a 5 na každú činnosť samostatne;</w:t>
            </w:r>
          </w:p>
          <w:p w14:paraId="15134B87" w14:textId="77777777" w:rsidR="007170C3" w:rsidRPr="008819AF" w:rsidRDefault="006F0418">
            <w:pPr>
              <w:ind w:left="356" w:hanging="142"/>
              <w:rPr>
                <w:rFonts w:eastAsia="Arial"/>
                <w:lang w:bidi="cs-CZ"/>
              </w:rPr>
            </w:pPr>
            <w:r w:rsidRPr="008819AF">
              <w:rPr>
                <w:rFonts w:eastAsia="Arial"/>
                <w:lang w:bidi="cs-CZ"/>
              </w:rPr>
              <w:t>b) určenie fugitívnych emisií na porovnanie s limitnými hodnotami fugitívnych emisií v časti 2:</w:t>
            </w:r>
          </w:p>
          <w:p w14:paraId="15134B88" w14:textId="77777777" w:rsidR="007170C3" w:rsidRPr="008819AF" w:rsidRDefault="006F0418">
            <w:pPr>
              <w:ind w:left="497" w:hanging="141"/>
              <w:rPr>
                <w:rFonts w:eastAsia="Arial"/>
                <w:lang w:bidi="cs-CZ"/>
              </w:rPr>
            </w:pPr>
            <w:r w:rsidRPr="008819AF">
              <w:rPr>
                <w:rFonts w:eastAsia="Arial"/>
                <w:lang w:bidi="cs-CZ"/>
              </w:rPr>
              <w:t>i) fugitívne emisie sa vypočítajú podľa jednej z týchto rovníc;</w:t>
            </w:r>
          </w:p>
          <w:p w14:paraId="15134B89" w14:textId="77777777" w:rsidR="007170C3" w:rsidRPr="008819AF" w:rsidRDefault="006F0418">
            <w:pPr>
              <w:ind w:left="215" w:firstLine="282"/>
              <w:rPr>
                <w:rFonts w:eastAsia="Arial"/>
                <w:lang w:bidi="cs-CZ"/>
              </w:rPr>
            </w:pPr>
            <w:r w:rsidRPr="008819AF">
              <w:rPr>
                <w:rFonts w:eastAsia="Arial"/>
                <w:lang w:bidi="cs-CZ"/>
              </w:rPr>
              <w:t>F = I1 – O1 – O5 – O6 – O7 – O8</w:t>
            </w:r>
          </w:p>
          <w:p w14:paraId="15134B8A" w14:textId="77777777" w:rsidR="007170C3" w:rsidRPr="008819AF" w:rsidRDefault="006F0418">
            <w:pPr>
              <w:ind w:left="215" w:firstLine="282"/>
              <w:rPr>
                <w:rFonts w:eastAsia="Arial"/>
                <w:lang w:bidi="cs-CZ"/>
              </w:rPr>
            </w:pPr>
            <w:r w:rsidRPr="008819AF">
              <w:rPr>
                <w:rFonts w:eastAsia="Arial"/>
                <w:lang w:bidi="cs-CZ"/>
              </w:rPr>
              <w:t>alebo</w:t>
            </w:r>
          </w:p>
          <w:p w14:paraId="15134B8B" w14:textId="77777777" w:rsidR="007170C3" w:rsidRPr="008819AF" w:rsidRDefault="006F0418">
            <w:pPr>
              <w:ind w:left="215" w:firstLine="282"/>
              <w:rPr>
                <w:rFonts w:eastAsia="Arial"/>
                <w:lang w:bidi="cs-CZ"/>
              </w:rPr>
            </w:pPr>
            <w:r w:rsidRPr="008819AF">
              <w:rPr>
                <w:rFonts w:eastAsia="Arial"/>
                <w:lang w:bidi="cs-CZ"/>
              </w:rPr>
              <w:t>F = O2 + O3 + O4 + O9</w:t>
            </w:r>
          </w:p>
          <w:p w14:paraId="15134B8C" w14:textId="77777777" w:rsidR="007170C3" w:rsidRPr="008819AF" w:rsidRDefault="006F0418">
            <w:pPr>
              <w:ind w:left="497"/>
              <w:rPr>
                <w:rFonts w:eastAsia="Arial"/>
                <w:lang w:bidi="cs-CZ"/>
              </w:rPr>
            </w:pPr>
            <w:r w:rsidRPr="008819AF">
              <w:rPr>
                <w:rFonts w:eastAsia="Arial"/>
                <w:lang w:bidi="cs-CZ"/>
              </w:rPr>
              <w:t>F sa určí buď priamym meraním množstiev, alebo ekvivalentnou metódou alebo výpočtom, napríklad na základe účinnosti zachytávania emisií v rámci procesu.</w:t>
            </w:r>
          </w:p>
          <w:p w14:paraId="15134B8D" w14:textId="77777777" w:rsidR="007170C3" w:rsidRPr="008819AF" w:rsidRDefault="006F0418">
            <w:pPr>
              <w:ind w:left="497"/>
              <w:rPr>
                <w:rFonts w:eastAsia="Arial"/>
                <w:lang w:bidi="cs-CZ"/>
              </w:rPr>
            </w:pPr>
            <w:r w:rsidRPr="008819AF">
              <w:rPr>
                <w:rFonts w:eastAsia="Arial"/>
                <w:lang w:bidi="cs-CZ"/>
              </w:rPr>
              <w:t>Limitná hodnota fugitívnych emisií je vyjadrená ako podiel množstva fugitívnych emisií a vstupného množstva rozpúšťadiel, ktorá sa vypočíta podľa nasledujúcej rovnice:</w:t>
            </w:r>
          </w:p>
          <w:p w14:paraId="15134B8E" w14:textId="77777777" w:rsidR="007170C3" w:rsidRPr="008819AF" w:rsidRDefault="006F0418">
            <w:pPr>
              <w:ind w:left="215" w:firstLine="282"/>
              <w:rPr>
                <w:rFonts w:eastAsia="Arial"/>
                <w:lang w:bidi="cs-CZ"/>
              </w:rPr>
            </w:pPr>
            <w:r w:rsidRPr="008819AF">
              <w:rPr>
                <w:rFonts w:eastAsia="Arial"/>
                <w:lang w:bidi="cs-CZ"/>
              </w:rPr>
              <w:t>I = I1 + I2</w:t>
            </w:r>
          </w:p>
        </w:tc>
        <w:tc>
          <w:tcPr>
            <w:tcW w:w="881" w:type="dxa"/>
            <w:tcBorders>
              <w:top w:val="single" w:sz="4" w:space="0" w:color="000000"/>
              <w:left w:val="single" w:sz="6" w:space="0" w:color="000000"/>
              <w:bottom w:val="single" w:sz="4" w:space="0" w:color="000000"/>
              <w:right w:val="single" w:sz="6" w:space="0" w:color="000000"/>
            </w:tcBorders>
          </w:tcPr>
          <w:p w14:paraId="15134B8F" w14:textId="77777777" w:rsidR="007170C3" w:rsidRPr="008819AF" w:rsidRDefault="009C7CD3">
            <w:pPr>
              <w:ind w:left="215" w:hanging="215"/>
              <w:rPr>
                <w:rFonts w:eastAsia="Arial"/>
                <w:lang w:bidi="cs-CZ"/>
              </w:rPr>
            </w:pPr>
            <w:r w:rsidRPr="008819AF">
              <w:rPr>
                <w:rFonts w:eastAsia="Arial"/>
                <w:lang w:bidi="cs-CZ"/>
              </w:rPr>
              <w:lastRenderedPageBreak/>
              <w:t>N</w:t>
            </w:r>
          </w:p>
        </w:tc>
        <w:tc>
          <w:tcPr>
            <w:tcW w:w="678" w:type="dxa"/>
            <w:tcBorders>
              <w:top w:val="single" w:sz="4" w:space="0" w:color="000000"/>
              <w:left w:val="single" w:sz="6" w:space="0" w:color="000000"/>
              <w:bottom w:val="single" w:sz="4" w:space="0" w:color="000000"/>
              <w:right w:val="single" w:sz="6" w:space="0" w:color="000000"/>
            </w:tcBorders>
          </w:tcPr>
          <w:p w14:paraId="15134B90" w14:textId="77777777" w:rsidR="007170C3" w:rsidRPr="008819AF" w:rsidRDefault="006F0418">
            <w:pPr>
              <w:rPr>
                <w:rFonts w:eastAsia="Arial"/>
                <w:lang w:bidi="cs-CZ"/>
              </w:rPr>
            </w:pPr>
            <w:r w:rsidRPr="008819AF">
              <w:rPr>
                <w:rFonts w:eastAsia="Arial"/>
                <w:lang w:bidi="cs-CZ"/>
              </w:rPr>
              <w:t xml:space="preserve">NV2 </w:t>
            </w:r>
          </w:p>
          <w:p w14:paraId="15134B91" w14:textId="77777777" w:rsidR="007170C3" w:rsidRPr="008819AF" w:rsidRDefault="007170C3">
            <w:pPr>
              <w:ind w:left="215" w:hanging="215"/>
              <w:rPr>
                <w:rFonts w:eastAsia="Arial"/>
                <w:lang w:bidi="cs-CZ"/>
              </w:rPr>
            </w:pPr>
          </w:p>
          <w:p w14:paraId="15134B92" w14:textId="77777777" w:rsidR="007170C3" w:rsidRPr="008819AF" w:rsidRDefault="007170C3">
            <w:pPr>
              <w:ind w:left="215" w:hanging="215"/>
              <w:rPr>
                <w:rFonts w:eastAsia="Arial"/>
                <w:lang w:bidi="cs-CZ"/>
              </w:rPr>
            </w:pPr>
          </w:p>
          <w:p w14:paraId="15134B93" w14:textId="77777777" w:rsidR="00620437" w:rsidRPr="008819AF" w:rsidRDefault="00620437">
            <w:pPr>
              <w:ind w:left="215" w:hanging="215"/>
              <w:rPr>
                <w:rFonts w:eastAsia="Arial"/>
                <w:lang w:bidi="cs-CZ"/>
              </w:rPr>
            </w:pPr>
          </w:p>
          <w:p w14:paraId="15134B94" w14:textId="77777777" w:rsidR="00620437" w:rsidRPr="008819AF" w:rsidRDefault="00620437">
            <w:pPr>
              <w:ind w:left="215" w:hanging="215"/>
              <w:rPr>
                <w:rFonts w:eastAsia="Arial"/>
                <w:lang w:bidi="cs-CZ"/>
              </w:rPr>
            </w:pPr>
          </w:p>
          <w:p w14:paraId="15134B95" w14:textId="77777777" w:rsidR="00620437" w:rsidRPr="008819AF" w:rsidRDefault="00620437">
            <w:pPr>
              <w:ind w:left="215" w:hanging="215"/>
              <w:rPr>
                <w:rFonts w:eastAsia="Arial"/>
                <w:lang w:bidi="cs-CZ"/>
              </w:rPr>
            </w:pPr>
          </w:p>
          <w:p w14:paraId="15134B96" w14:textId="77777777" w:rsidR="00620437" w:rsidRPr="008819AF" w:rsidRDefault="00620437">
            <w:pPr>
              <w:ind w:left="215" w:hanging="215"/>
              <w:rPr>
                <w:rFonts w:eastAsia="Arial"/>
                <w:lang w:bidi="cs-CZ"/>
              </w:rPr>
            </w:pPr>
          </w:p>
          <w:p w14:paraId="15134B97" w14:textId="77777777" w:rsidR="00620437" w:rsidRPr="008819AF" w:rsidRDefault="00620437">
            <w:pPr>
              <w:ind w:left="215" w:hanging="215"/>
              <w:rPr>
                <w:rFonts w:eastAsia="Arial"/>
                <w:lang w:bidi="cs-CZ"/>
              </w:rPr>
            </w:pPr>
          </w:p>
          <w:p w14:paraId="15134B98" w14:textId="77777777" w:rsidR="00620437" w:rsidRPr="008819AF" w:rsidRDefault="00620437">
            <w:pPr>
              <w:ind w:left="215" w:hanging="215"/>
              <w:rPr>
                <w:rFonts w:eastAsia="Arial"/>
                <w:lang w:bidi="cs-CZ"/>
              </w:rPr>
            </w:pPr>
          </w:p>
          <w:p w14:paraId="15134B99" w14:textId="77777777" w:rsidR="00620437" w:rsidRPr="008819AF" w:rsidRDefault="00620437">
            <w:pPr>
              <w:ind w:left="215" w:hanging="215"/>
              <w:rPr>
                <w:rFonts w:eastAsia="Arial"/>
                <w:lang w:bidi="cs-CZ"/>
              </w:rPr>
            </w:pPr>
          </w:p>
          <w:p w14:paraId="15134B9A" w14:textId="77777777" w:rsidR="00620437" w:rsidRPr="008819AF" w:rsidRDefault="00620437">
            <w:pPr>
              <w:ind w:left="215" w:hanging="215"/>
              <w:rPr>
                <w:rFonts w:eastAsia="Arial"/>
                <w:lang w:bidi="cs-CZ"/>
              </w:rPr>
            </w:pPr>
          </w:p>
          <w:p w14:paraId="15134B9B" w14:textId="77777777" w:rsidR="00620437" w:rsidRPr="008819AF" w:rsidRDefault="00620437">
            <w:pPr>
              <w:ind w:left="215" w:hanging="215"/>
              <w:rPr>
                <w:rFonts w:eastAsia="Arial"/>
                <w:lang w:bidi="cs-CZ"/>
              </w:rPr>
            </w:pPr>
          </w:p>
          <w:p w14:paraId="15134B9C" w14:textId="77777777" w:rsidR="00620437" w:rsidRPr="008819AF" w:rsidRDefault="00620437">
            <w:pPr>
              <w:ind w:left="215" w:hanging="215"/>
              <w:rPr>
                <w:rFonts w:eastAsia="Arial"/>
                <w:lang w:bidi="cs-CZ"/>
              </w:rPr>
            </w:pPr>
          </w:p>
          <w:p w14:paraId="15134B9D" w14:textId="77777777" w:rsidR="00620437" w:rsidRPr="008819AF" w:rsidRDefault="00620437">
            <w:pPr>
              <w:ind w:left="215" w:hanging="215"/>
              <w:rPr>
                <w:rFonts w:eastAsia="Arial"/>
                <w:lang w:bidi="cs-CZ"/>
              </w:rPr>
            </w:pPr>
          </w:p>
          <w:p w14:paraId="15134B9E" w14:textId="77777777" w:rsidR="00620437" w:rsidRPr="008819AF" w:rsidRDefault="00620437">
            <w:pPr>
              <w:ind w:left="215" w:hanging="215"/>
              <w:rPr>
                <w:rFonts w:eastAsia="Arial"/>
                <w:lang w:bidi="cs-CZ"/>
              </w:rPr>
            </w:pPr>
          </w:p>
          <w:p w14:paraId="15134B9F" w14:textId="77777777" w:rsidR="00620437" w:rsidRPr="008819AF" w:rsidRDefault="00620437">
            <w:pPr>
              <w:ind w:left="215" w:hanging="215"/>
              <w:rPr>
                <w:rFonts w:eastAsia="Arial"/>
                <w:lang w:bidi="cs-CZ"/>
              </w:rPr>
            </w:pPr>
          </w:p>
          <w:p w14:paraId="15134BA0" w14:textId="77777777" w:rsidR="00620437" w:rsidRPr="008819AF" w:rsidRDefault="00620437">
            <w:pPr>
              <w:ind w:left="215" w:hanging="215"/>
              <w:rPr>
                <w:rFonts w:eastAsia="Arial"/>
                <w:lang w:bidi="cs-CZ"/>
              </w:rPr>
            </w:pPr>
          </w:p>
          <w:p w14:paraId="15134BA1" w14:textId="77777777" w:rsidR="00620437" w:rsidRPr="008819AF" w:rsidRDefault="00620437">
            <w:pPr>
              <w:ind w:left="215" w:hanging="215"/>
              <w:rPr>
                <w:rFonts w:eastAsia="Arial"/>
                <w:lang w:bidi="cs-CZ"/>
              </w:rPr>
            </w:pPr>
          </w:p>
          <w:p w14:paraId="15134BA2" w14:textId="77777777" w:rsidR="00620437" w:rsidRPr="008819AF" w:rsidRDefault="00620437">
            <w:pPr>
              <w:ind w:left="215" w:hanging="215"/>
              <w:rPr>
                <w:rFonts w:eastAsia="Arial"/>
                <w:lang w:bidi="cs-CZ"/>
              </w:rPr>
            </w:pPr>
          </w:p>
          <w:p w14:paraId="15134BA3" w14:textId="77777777" w:rsidR="00620437" w:rsidRPr="008819AF" w:rsidRDefault="00620437">
            <w:pPr>
              <w:ind w:left="215" w:hanging="215"/>
              <w:rPr>
                <w:rFonts w:eastAsia="Arial"/>
                <w:lang w:bidi="cs-CZ"/>
              </w:rPr>
            </w:pPr>
          </w:p>
          <w:p w14:paraId="15134BA4" w14:textId="77777777" w:rsidR="00620437" w:rsidRPr="008819AF" w:rsidRDefault="00620437">
            <w:pPr>
              <w:ind w:left="215" w:hanging="215"/>
              <w:rPr>
                <w:rFonts w:eastAsia="Arial"/>
                <w:lang w:bidi="cs-CZ"/>
              </w:rPr>
            </w:pPr>
          </w:p>
          <w:p w14:paraId="15134BA5" w14:textId="77777777" w:rsidR="00620437" w:rsidRPr="008819AF" w:rsidRDefault="00620437">
            <w:pPr>
              <w:ind w:left="215" w:hanging="215"/>
              <w:rPr>
                <w:rFonts w:eastAsia="Arial"/>
                <w:lang w:bidi="cs-CZ"/>
              </w:rPr>
            </w:pPr>
          </w:p>
          <w:p w14:paraId="15134BA6" w14:textId="77777777" w:rsidR="00620437" w:rsidRPr="008819AF" w:rsidRDefault="00620437">
            <w:pPr>
              <w:ind w:left="215" w:hanging="215"/>
              <w:rPr>
                <w:rFonts w:eastAsia="Arial"/>
                <w:lang w:bidi="cs-CZ"/>
              </w:rPr>
            </w:pPr>
          </w:p>
          <w:p w14:paraId="15134BA7" w14:textId="77777777" w:rsidR="00620437" w:rsidRPr="008819AF" w:rsidRDefault="00620437">
            <w:pPr>
              <w:ind w:left="215" w:hanging="215"/>
              <w:rPr>
                <w:rFonts w:eastAsia="Arial"/>
                <w:lang w:bidi="cs-CZ"/>
              </w:rPr>
            </w:pPr>
          </w:p>
          <w:p w14:paraId="15134BA8" w14:textId="77777777" w:rsidR="00620437" w:rsidRPr="008819AF" w:rsidRDefault="00620437">
            <w:pPr>
              <w:ind w:left="215" w:hanging="215"/>
              <w:rPr>
                <w:rFonts w:eastAsia="Arial"/>
                <w:lang w:bidi="cs-CZ"/>
              </w:rPr>
            </w:pPr>
          </w:p>
          <w:p w14:paraId="15134BA9" w14:textId="77777777" w:rsidR="00620437" w:rsidRPr="008819AF" w:rsidRDefault="00620437">
            <w:pPr>
              <w:ind w:left="215" w:hanging="215"/>
              <w:rPr>
                <w:rFonts w:eastAsia="Arial"/>
                <w:lang w:bidi="cs-CZ"/>
              </w:rPr>
            </w:pPr>
          </w:p>
          <w:p w14:paraId="15134BAA" w14:textId="77777777" w:rsidR="00620437" w:rsidRPr="008819AF" w:rsidRDefault="00620437">
            <w:pPr>
              <w:ind w:left="215" w:hanging="215"/>
              <w:rPr>
                <w:rFonts w:eastAsia="Arial"/>
                <w:lang w:bidi="cs-CZ"/>
              </w:rPr>
            </w:pPr>
          </w:p>
          <w:p w14:paraId="15134BAB" w14:textId="77777777" w:rsidR="00620437" w:rsidRPr="008819AF" w:rsidRDefault="00620437">
            <w:pPr>
              <w:ind w:left="215" w:hanging="215"/>
              <w:rPr>
                <w:rFonts w:eastAsia="Arial"/>
                <w:lang w:bidi="cs-CZ"/>
              </w:rPr>
            </w:pPr>
          </w:p>
          <w:p w14:paraId="15134BAC" w14:textId="77777777" w:rsidR="00620437" w:rsidRPr="008819AF" w:rsidRDefault="00620437">
            <w:pPr>
              <w:ind w:left="215" w:hanging="215"/>
              <w:rPr>
                <w:rFonts w:eastAsia="Arial"/>
                <w:lang w:bidi="cs-CZ"/>
              </w:rPr>
            </w:pPr>
          </w:p>
          <w:p w14:paraId="15134BAD" w14:textId="77777777" w:rsidR="00620437" w:rsidRPr="008819AF" w:rsidRDefault="00620437">
            <w:pPr>
              <w:ind w:left="215" w:hanging="215"/>
              <w:rPr>
                <w:rFonts w:eastAsia="Arial"/>
                <w:lang w:bidi="cs-CZ"/>
              </w:rPr>
            </w:pPr>
          </w:p>
          <w:p w14:paraId="15134BAE" w14:textId="77777777" w:rsidR="00620437" w:rsidRPr="008819AF" w:rsidRDefault="00620437">
            <w:pPr>
              <w:ind w:left="215" w:hanging="215"/>
              <w:rPr>
                <w:rFonts w:eastAsia="Arial"/>
                <w:lang w:bidi="cs-CZ"/>
              </w:rPr>
            </w:pPr>
          </w:p>
          <w:p w14:paraId="15134BAF" w14:textId="77777777" w:rsidR="00620437" w:rsidRPr="008819AF" w:rsidRDefault="00620437">
            <w:pPr>
              <w:ind w:left="215" w:hanging="215"/>
              <w:rPr>
                <w:rFonts w:eastAsia="Arial"/>
                <w:lang w:bidi="cs-CZ"/>
              </w:rPr>
            </w:pPr>
          </w:p>
          <w:p w14:paraId="15134BB0" w14:textId="77777777" w:rsidR="00620437" w:rsidRPr="008819AF" w:rsidRDefault="00620437">
            <w:pPr>
              <w:ind w:left="215" w:hanging="215"/>
              <w:rPr>
                <w:rFonts w:eastAsia="Arial"/>
                <w:lang w:bidi="cs-CZ"/>
              </w:rPr>
            </w:pPr>
          </w:p>
          <w:p w14:paraId="15134BB1" w14:textId="77777777" w:rsidR="00620437" w:rsidRPr="008819AF" w:rsidRDefault="00620437">
            <w:pPr>
              <w:ind w:left="215" w:hanging="215"/>
              <w:rPr>
                <w:rFonts w:eastAsia="Arial"/>
                <w:lang w:bidi="cs-CZ"/>
              </w:rPr>
            </w:pPr>
          </w:p>
          <w:p w14:paraId="15134BB2" w14:textId="77777777" w:rsidR="00620437" w:rsidRPr="008819AF" w:rsidRDefault="00620437">
            <w:pPr>
              <w:ind w:left="215" w:hanging="215"/>
              <w:rPr>
                <w:rFonts w:eastAsia="Arial"/>
                <w:lang w:bidi="cs-CZ"/>
              </w:rPr>
            </w:pPr>
          </w:p>
          <w:p w14:paraId="15134BB3" w14:textId="77777777" w:rsidR="00620437" w:rsidRPr="008819AF" w:rsidRDefault="00620437">
            <w:pPr>
              <w:ind w:left="215" w:hanging="215"/>
              <w:rPr>
                <w:rFonts w:eastAsia="Arial"/>
                <w:lang w:bidi="cs-CZ"/>
              </w:rPr>
            </w:pPr>
          </w:p>
          <w:p w14:paraId="15134BB4" w14:textId="77777777" w:rsidR="00620437" w:rsidRPr="008819AF" w:rsidRDefault="00620437">
            <w:pPr>
              <w:ind w:left="215" w:hanging="215"/>
              <w:rPr>
                <w:rFonts w:eastAsia="Arial"/>
                <w:lang w:bidi="cs-CZ"/>
              </w:rPr>
            </w:pPr>
          </w:p>
          <w:p w14:paraId="15134BB5" w14:textId="77777777" w:rsidR="00620437" w:rsidRPr="008819AF" w:rsidRDefault="00620437">
            <w:pPr>
              <w:ind w:left="215" w:hanging="215"/>
              <w:rPr>
                <w:rFonts w:eastAsia="Arial"/>
                <w:lang w:bidi="cs-CZ"/>
              </w:rPr>
            </w:pPr>
          </w:p>
          <w:p w14:paraId="15134BB6" w14:textId="77777777" w:rsidR="00620437" w:rsidRPr="008819AF" w:rsidRDefault="00620437">
            <w:pPr>
              <w:ind w:left="215" w:hanging="215"/>
              <w:rPr>
                <w:rFonts w:eastAsia="Arial"/>
                <w:lang w:bidi="cs-CZ"/>
              </w:rPr>
            </w:pPr>
          </w:p>
          <w:p w14:paraId="15134BB7" w14:textId="77777777" w:rsidR="00620437" w:rsidRPr="008819AF" w:rsidRDefault="00620437">
            <w:pPr>
              <w:ind w:left="215" w:hanging="215"/>
              <w:rPr>
                <w:rFonts w:eastAsia="Arial"/>
                <w:lang w:bidi="cs-CZ"/>
              </w:rPr>
            </w:pPr>
          </w:p>
          <w:p w14:paraId="15134BB8" w14:textId="77777777" w:rsidR="00620437" w:rsidRPr="008819AF" w:rsidRDefault="00620437">
            <w:pPr>
              <w:ind w:left="215" w:hanging="215"/>
              <w:rPr>
                <w:rFonts w:eastAsia="Arial"/>
                <w:lang w:bidi="cs-CZ"/>
              </w:rPr>
            </w:pPr>
          </w:p>
          <w:p w14:paraId="15134BB9" w14:textId="77777777" w:rsidR="00620437" w:rsidRPr="008819AF" w:rsidRDefault="00620437">
            <w:pPr>
              <w:ind w:left="215" w:hanging="215"/>
              <w:rPr>
                <w:rFonts w:eastAsia="Arial"/>
                <w:lang w:bidi="cs-CZ"/>
              </w:rPr>
            </w:pPr>
          </w:p>
          <w:p w14:paraId="15134BBA" w14:textId="77777777" w:rsidR="00620437" w:rsidRPr="008819AF" w:rsidRDefault="00620437">
            <w:pPr>
              <w:ind w:left="215" w:hanging="215"/>
              <w:rPr>
                <w:rFonts w:eastAsia="Arial"/>
                <w:lang w:bidi="cs-CZ"/>
              </w:rPr>
            </w:pPr>
          </w:p>
          <w:p w14:paraId="15134BBB" w14:textId="77777777" w:rsidR="00620437" w:rsidRPr="008819AF" w:rsidRDefault="00620437">
            <w:pPr>
              <w:ind w:left="215" w:hanging="215"/>
              <w:rPr>
                <w:rFonts w:eastAsia="Arial"/>
                <w:lang w:bidi="cs-CZ"/>
              </w:rPr>
            </w:pPr>
          </w:p>
          <w:p w14:paraId="15134BBC" w14:textId="77777777" w:rsidR="00620437" w:rsidRPr="008819AF" w:rsidRDefault="00620437">
            <w:pPr>
              <w:ind w:left="215" w:hanging="215"/>
              <w:rPr>
                <w:rFonts w:eastAsia="Arial"/>
                <w:lang w:bidi="cs-CZ"/>
              </w:rPr>
            </w:pPr>
          </w:p>
          <w:p w14:paraId="15134BBD" w14:textId="77777777" w:rsidR="00620437" w:rsidRPr="008819AF" w:rsidRDefault="00620437">
            <w:pPr>
              <w:ind w:left="215" w:hanging="215"/>
              <w:rPr>
                <w:rFonts w:eastAsia="Arial"/>
                <w:lang w:bidi="cs-CZ"/>
              </w:rPr>
            </w:pPr>
          </w:p>
          <w:p w14:paraId="15134BBE" w14:textId="77777777" w:rsidR="00620437" w:rsidRPr="008819AF" w:rsidRDefault="00620437">
            <w:pPr>
              <w:ind w:left="215" w:hanging="215"/>
              <w:rPr>
                <w:rFonts w:eastAsia="Arial"/>
                <w:lang w:bidi="cs-CZ"/>
              </w:rPr>
            </w:pPr>
          </w:p>
          <w:p w14:paraId="15134BBF" w14:textId="77777777" w:rsidR="007170C3" w:rsidRPr="008819AF" w:rsidRDefault="007170C3">
            <w:pPr>
              <w:ind w:left="215" w:hanging="215"/>
              <w:rPr>
                <w:rFonts w:eastAsia="Arial"/>
                <w:lang w:bidi="cs-CZ"/>
              </w:rPr>
            </w:pPr>
          </w:p>
          <w:p w14:paraId="15134BC0" w14:textId="77777777" w:rsidR="007170C3" w:rsidRPr="008819AF" w:rsidRDefault="006F0418">
            <w:pPr>
              <w:rPr>
                <w:rFonts w:eastAsia="Arial"/>
                <w:lang w:bidi="cs-CZ"/>
              </w:rPr>
            </w:pPr>
            <w:r w:rsidRPr="008819AF">
              <w:rPr>
                <w:rFonts w:eastAsia="Arial"/>
                <w:lang w:bidi="cs-CZ"/>
              </w:rPr>
              <w:t xml:space="preserve"> NV1 </w:t>
            </w:r>
          </w:p>
        </w:tc>
        <w:tc>
          <w:tcPr>
            <w:tcW w:w="567" w:type="dxa"/>
            <w:tcBorders>
              <w:top w:val="single" w:sz="4" w:space="0" w:color="000000"/>
              <w:left w:val="single" w:sz="6" w:space="0" w:color="000000"/>
              <w:bottom w:val="single" w:sz="4" w:space="0" w:color="000000"/>
              <w:right w:val="single" w:sz="6" w:space="0" w:color="000000"/>
            </w:tcBorders>
          </w:tcPr>
          <w:p w14:paraId="15134BC1" w14:textId="77777777" w:rsidR="007170C3" w:rsidRPr="008819AF" w:rsidRDefault="007170C3">
            <w:pPr>
              <w:pStyle w:val="BodyText21"/>
              <w:spacing w:before="0" w:line="240" w:lineRule="auto"/>
              <w:jc w:val="left"/>
              <w:rPr>
                <w:rFonts w:ascii="Times New Roman" w:hAnsi="Times New Roman" w:cs="Times New Roman"/>
              </w:rPr>
            </w:pPr>
          </w:p>
          <w:p w14:paraId="15134BC2" w14:textId="77777777" w:rsidR="007170C3" w:rsidRPr="008819AF" w:rsidRDefault="007170C3">
            <w:pPr>
              <w:pStyle w:val="BodyText21"/>
              <w:spacing w:before="0" w:line="240" w:lineRule="auto"/>
              <w:jc w:val="left"/>
              <w:rPr>
                <w:rFonts w:ascii="Times New Roman" w:hAnsi="Times New Roman" w:cs="Times New Roman"/>
              </w:rPr>
            </w:pPr>
          </w:p>
          <w:p w14:paraId="15134BC3" w14:textId="77777777" w:rsidR="007170C3" w:rsidRPr="008819AF" w:rsidRDefault="007170C3">
            <w:pPr>
              <w:pStyle w:val="BodyText21"/>
              <w:spacing w:before="0" w:line="240" w:lineRule="auto"/>
              <w:jc w:val="left"/>
              <w:rPr>
                <w:rFonts w:ascii="Times New Roman" w:hAnsi="Times New Roman" w:cs="Times New Roman"/>
              </w:rPr>
            </w:pPr>
          </w:p>
          <w:p w14:paraId="15134BC4" w14:textId="77777777" w:rsidR="00620437" w:rsidRPr="008819AF" w:rsidRDefault="00620437">
            <w:pPr>
              <w:pStyle w:val="BodyText21"/>
              <w:spacing w:before="0" w:line="240" w:lineRule="auto"/>
              <w:jc w:val="left"/>
              <w:rPr>
                <w:rFonts w:ascii="Times New Roman" w:hAnsi="Times New Roman" w:cs="Times New Roman"/>
              </w:rPr>
            </w:pPr>
          </w:p>
          <w:p w14:paraId="15134BC5" w14:textId="77777777" w:rsidR="00620437" w:rsidRPr="008819AF" w:rsidRDefault="00620437">
            <w:pPr>
              <w:pStyle w:val="BodyText21"/>
              <w:spacing w:before="0" w:line="240" w:lineRule="auto"/>
              <w:jc w:val="left"/>
              <w:rPr>
                <w:rFonts w:ascii="Times New Roman" w:hAnsi="Times New Roman" w:cs="Times New Roman"/>
              </w:rPr>
            </w:pPr>
          </w:p>
          <w:p w14:paraId="15134BC6" w14:textId="77777777" w:rsidR="00620437" w:rsidRPr="008819AF" w:rsidRDefault="00620437">
            <w:pPr>
              <w:pStyle w:val="BodyText21"/>
              <w:spacing w:before="0" w:line="240" w:lineRule="auto"/>
              <w:jc w:val="left"/>
              <w:rPr>
                <w:rFonts w:ascii="Times New Roman" w:hAnsi="Times New Roman" w:cs="Times New Roman"/>
              </w:rPr>
            </w:pPr>
          </w:p>
          <w:p w14:paraId="15134BC7" w14:textId="77777777" w:rsidR="00620437" w:rsidRPr="008819AF" w:rsidRDefault="00620437">
            <w:pPr>
              <w:pStyle w:val="BodyText21"/>
              <w:spacing w:before="0" w:line="240" w:lineRule="auto"/>
              <w:jc w:val="left"/>
              <w:rPr>
                <w:rFonts w:ascii="Times New Roman" w:hAnsi="Times New Roman" w:cs="Times New Roman"/>
              </w:rPr>
            </w:pPr>
          </w:p>
          <w:p w14:paraId="15134BC8" w14:textId="77777777" w:rsidR="00620437" w:rsidRPr="008819AF" w:rsidRDefault="00620437">
            <w:pPr>
              <w:pStyle w:val="BodyText21"/>
              <w:spacing w:before="0" w:line="240" w:lineRule="auto"/>
              <w:jc w:val="left"/>
              <w:rPr>
                <w:rFonts w:ascii="Times New Roman" w:hAnsi="Times New Roman" w:cs="Times New Roman"/>
              </w:rPr>
            </w:pPr>
          </w:p>
          <w:p w14:paraId="15134BC9" w14:textId="77777777" w:rsidR="00620437" w:rsidRPr="008819AF" w:rsidRDefault="00620437">
            <w:pPr>
              <w:pStyle w:val="BodyText21"/>
              <w:spacing w:before="0" w:line="240" w:lineRule="auto"/>
              <w:jc w:val="left"/>
              <w:rPr>
                <w:rFonts w:ascii="Times New Roman" w:hAnsi="Times New Roman" w:cs="Times New Roman"/>
              </w:rPr>
            </w:pPr>
          </w:p>
          <w:p w14:paraId="15134BCA" w14:textId="77777777" w:rsidR="00620437" w:rsidRPr="008819AF" w:rsidRDefault="00620437">
            <w:pPr>
              <w:pStyle w:val="BodyText21"/>
              <w:spacing w:before="0" w:line="240" w:lineRule="auto"/>
              <w:jc w:val="left"/>
              <w:rPr>
                <w:rFonts w:ascii="Times New Roman" w:hAnsi="Times New Roman" w:cs="Times New Roman"/>
              </w:rPr>
            </w:pPr>
          </w:p>
          <w:p w14:paraId="15134BCB" w14:textId="77777777" w:rsidR="00620437" w:rsidRPr="008819AF" w:rsidRDefault="00620437">
            <w:pPr>
              <w:pStyle w:val="BodyText21"/>
              <w:spacing w:before="0" w:line="240" w:lineRule="auto"/>
              <w:jc w:val="left"/>
              <w:rPr>
                <w:rFonts w:ascii="Times New Roman" w:hAnsi="Times New Roman" w:cs="Times New Roman"/>
              </w:rPr>
            </w:pPr>
          </w:p>
          <w:p w14:paraId="15134BCC" w14:textId="77777777" w:rsidR="00620437" w:rsidRPr="008819AF" w:rsidRDefault="00620437">
            <w:pPr>
              <w:pStyle w:val="BodyText21"/>
              <w:spacing w:before="0" w:line="240" w:lineRule="auto"/>
              <w:jc w:val="left"/>
              <w:rPr>
                <w:rFonts w:ascii="Times New Roman" w:hAnsi="Times New Roman" w:cs="Times New Roman"/>
              </w:rPr>
            </w:pPr>
          </w:p>
          <w:p w14:paraId="15134BCD" w14:textId="77777777" w:rsidR="00620437" w:rsidRPr="008819AF" w:rsidRDefault="00620437">
            <w:pPr>
              <w:pStyle w:val="BodyText21"/>
              <w:spacing w:before="0" w:line="240" w:lineRule="auto"/>
              <w:jc w:val="left"/>
              <w:rPr>
                <w:rFonts w:ascii="Times New Roman" w:hAnsi="Times New Roman" w:cs="Times New Roman"/>
              </w:rPr>
            </w:pPr>
          </w:p>
          <w:p w14:paraId="15134BCE" w14:textId="77777777" w:rsidR="00620437" w:rsidRPr="008819AF" w:rsidRDefault="00620437">
            <w:pPr>
              <w:pStyle w:val="BodyText21"/>
              <w:spacing w:before="0" w:line="240" w:lineRule="auto"/>
              <w:jc w:val="left"/>
              <w:rPr>
                <w:rFonts w:ascii="Times New Roman" w:hAnsi="Times New Roman" w:cs="Times New Roman"/>
              </w:rPr>
            </w:pPr>
          </w:p>
          <w:p w14:paraId="15134BCF" w14:textId="77777777" w:rsidR="00620437" w:rsidRPr="008819AF" w:rsidRDefault="00620437">
            <w:pPr>
              <w:pStyle w:val="BodyText21"/>
              <w:spacing w:before="0" w:line="240" w:lineRule="auto"/>
              <w:jc w:val="left"/>
              <w:rPr>
                <w:rFonts w:ascii="Times New Roman" w:hAnsi="Times New Roman" w:cs="Times New Roman"/>
              </w:rPr>
            </w:pPr>
          </w:p>
          <w:p w14:paraId="15134BD0" w14:textId="77777777" w:rsidR="00620437" w:rsidRPr="008819AF" w:rsidRDefault="00620437">
            <w:pPr>
              <w:pStyle w:val="BodyText21"/>
              <w:spacing w:before="0" w:line="240" w:lineRule="auto"/>
              <w:jc w:val="left"/>
              <w:rPr>
                <w:rFonts w:ascii="Times New Roman" w:hAnsi="Times New Roman" w:cs="Times New Roman"/>
              </w:rPr>
            </w:pPr>
          </w:p>
          <w:p w14:paraId="15134BD1" w14:textId="77777777" w:rsidR="00620437" w:rsidRPr="008819AF" w:rsidRDefault="00620437">
            <w:pPr>
              <w:pStyle w:val="BodyText21"/>
              <w:spacing w:before="0" w:line="240" w:lineRule="auto"/>
              <w:jc w:val="left"/>
              <w:rPr>
                <w:rFonts w:ascii="Times New Roman" w:hAnsi="Times New Roman" w:cs="Times New Roman"/>
              </w:rPr>
            </w:pPr>
          </w:p>
          <w:p w14:paraId="15134BD2" w14:textId="77777777" w:rsidR="00620437" w:rsidRPr="008819AF" w:rsidRDefault="00620437">
            <w:pPr>
              <w:pStyle w:val="BodyText21"/>
              <w:spacing w:before="0" w:line="240" w:lineRule="auto"/>
              <w:jc w:val="left"/>
              <w:rPr>
                <w:rFonts w:ascii="Times New Roman" w:hAnsi="Times New Roman" w:cs="Times New Roman"/>
              </w:rPr>
            </w:pPr>
          </w:p>
          <w:p w14:paraId="15134BD3" w14:textId="77777777" w:rsidR="00620437" w:rsidRPr="008819AF" w:rsidRDefault="00620437">
            <w:pPr>
              <w:pStyle w:val="BodyText21"/>
              <w:spacing w:before="0" w:line="240" w:lineRule="auto"/>
              <w:jc w:val="left"/>
              <w:rPr>
                <w:rFonts w:ascii="Times New Roman" w:hAnsi="Times New Roman" w:cs="Times New Roman"/>
              </w:rPr>
            </w:pPr>
          </w:p>
          <w:p w14:paraId="15134BD4" w14:textId="77777777" w:rsidR="00620437" w:rsidRPr="008819AF" w:rsidRDefault="00620437">
            <w:pPr>
              <w:pStyle w:val="BodyText21"/>
              <w:spacing w:before="0" w:line="240" w:lineRule="auto"/>
              <w:jc w:val="left"/>
              <w:rPr>
                <w:rFonts w:ascii="Times New Roman" w:hAnsi="Times New Roman" w:cs="Times New Roman"/>
              </w:rPr>
            </w:pPr>
          </w:p>
          <w:p w14:paraId="15134BD5" w14:textId="77777777" w:rsidR="00620437" w:rsidRPr="008819AF" w:rsidRDefault="00620437">
            <w:pPr>
              <w:pStyle w:val="BodyText21"/>
              <w:spacing w:before="0" w:line="240" w:lineRule="auto"/>
              <w:jc w:val="left"/>
              <w:rPr>
                <w:rFonts w:ascii="Times New Roman" w:hAnsi="Times New Roman" w:cs="Times New Roman"/>
              </w:rPr>
            </w:pPr>
          </w:p>
          <w:p w14:paraId="15134BD6" w14:textId="77777777" w:rsidR="00620437" w:rsidRPr="008819AF" w:rsidRDefault="00620437">
            <w:pPr>
              <w:pStyle w:val="BodyText21"/>
              <w:spacing w:before="0" w:line="240" w:lineRule="auto"/>
              <w:jc w:val="left"/>
              <w:rPr>
                <w:rFonts w:ascii="Times New Roman" w:hAnsi="Times New Roman" w:cs="Times New Roman"/>
              </w:rPr>
            </w:pPr>
          </w:p>
          <w:p w14:paraId="15134BD7" w14:textId="77777777" w:rsidR="00620437" w:rsidRPr="008819AF" w:rsidRDefault="00620437">
            <w:pPr>
              <w:pStyle w:val="BodyText21"/>
              <w:spacing w:before="0" w:line="240" w:lineRule="auto"/>
              <w:jc w:val="left"/>
              <w:rPr>
                <w:rFonts w:ascii="Times New Roman" w:hAnsi="Times New Roman" w:cs="Times New Roman"/>
              </w:rPr>
            </w:pPr>
          </w:p>
          <w:p w14:paraId="15134BD8" w14:textId="77777777" w:rsidR="00620437" w:rsidRPr="008819AF" w:rsidRDefault="00620437">
            <w:pPr>
              <w:pStyle w:val="BodyText21"/>
              <w:spacing w:before="0" w:line="240" w:lineRule="auto"/>
              <w:jc w:val="left"/>
              <w:rPr>
                <w:rFonts w:ascii="Times New Roman" w:hAnsi="Times New Roman" w:cs="Times New Roman"/>
              </w:rPr>
            </w:pPr>
          </w:p>
          <w:p w14:paraId="15134BD9" w14:textId="77777777" w:rsidR="00620437" w:rsidRPr="008819AF" w:rsidRDefault="00620437">
            <w:pPr>
              <w:pStyle w:val="BodyText21"/>
              <w:spacing w:before="0" w:line="240" w:lineRule="auto"/>
              <w:jc w:val="left"/>
              <w:rPr>
                <w:rFonts w:ascii="Times New Roman" w:hAnsi="Times New Roman" w:cs="Times New Roman"/>
              </w:rPr>
            </w:pPr>
          </w:p>
          <w:p w14:paraId="15134BDA" w14:textId="77777777" w:rsidR="00620437" w:rsidRPr="008819AF" w:rsidRDefault="00620437">
            <w:pPr>
              <w:pStyle w:val="BodyText21"/>
              <w:spacing w:before="0" w:line="240" w:lineRule="auto"/>
              <w:jc w:val="left"/>
              <w:rPr>
                <w:rFonts w:ascii="Times New Roman" w:hAnsi="Times New Roman" w:cs="Times New Roman"/>
              </w:rPr>
            </w:pPr>
          </w:p>
          <w:p w14:paraId="15134BDB" w14:textId="77777777" w:rsidR="00620437" w:rsidRPr="008819AF" w:rsidRDefault="00620437">
            <w:pPr>
              <w:pStyle w:val="BodyText21"/>
              <w:spacing w:before="0" w:line="240" w:lineRule="auto"/>
              <w:jc w:val="left"/>
              <w:rPr>
                <w:rFonts w:ascii="Times New Roman" w:hAnsi="Times New Roman" w:cs="Times New Roman"/>
              </w:rPr>
            </w:pPr>
          </w:p>
          <w:p w14:paraId="15134BDC" w14:textId="77777777" w:rsidR="00620437" w:rsidRPr="008819AF" w:rsidRDefault="00620437">
            <w:pPr>
              <w:pStyle w:val="BodyText21"/>
              <w:spacing w:before="0" w:line="240" w:lineRule="auto"/>
              <w:jc w:val="left"/>
              <w:rPr>
                <w:rFonts w:ascii="Times New Roman" w:hAnsi="Times New Roman" w:cs="Times New Roman"/>
              </w:rPr>
            </w:pPr>
          </w:p>
          <w:p w14:paraId="15134BDD" w14:textId="77777777" w:rsidR="00620437" w:rsidRPr="008819AF" w:rsidRDefault="00620437">
            <w:pPr>
              <w:pStyle w:val="BodyText21"/>
              <w:spacing w:before="0" w:line="240" w:lineRule="auto"/>
              <w:jc w:val="left"/>
              <w:rPr>
                <w:rFonts w:ascii="Times New Roman" w:hAnsi="Times New Roman" w:cs="Times New Roman"/>
              </w:rPr>
            </w:pPr>
          </w:p>
          <w:p w14:paraId="15134BDE" w14:textId="77777777" w:rsidR="00620437" w:rsidRPr="008819AF" w:rsidRDefault="00620437">
            <w:pPr>
              <w:pStyle w:val="BodyText21"/>
              <w:spacing w:before="0" w:line="240" w:lineRule="auto"/>
              <w:jc w:val="left"/>
              <w:rPr>
                <w:rFonts w:ascii="Times New Roman" w:hAnsi="Times New Roman" w:cs="Times New Roman"/>
              </w:rPr>
            </w:pPr>
          </w:p>
          <w:p w14:paraId="15134BDF" w14:textId="77777777" w:rsidR="00620437" w:rsidRPr="008819AF" w:rsidRDefault="00620437">
            <w:pPr>
              <w:pStyle w:val="BodyText21"/>
              <w:spacing w:before="0" w:line="240" w:lineRule="auto"/>
              <w:jc w:val="left"/>
              <w:rPr>
                <w:rFonts w:ascii="Times New Roman" w:hAnsi="Times New Roman" w:cs="Times New Roman"/>
              </w:rPr>
            </w:pPr>
          </w:p>
          <w:p w14:paraId="15134BE0" w14:textId="77777777" w:rsidR="00620437" w:rsidRPr="008819AF" w:rsidRDefault="00620437">
            <w:pPr>
              <w:pStyle w:val="BodyText21"/>
              <w:spacing w:before="0" w:line="240" w:lineRule="auto"/>
              <w:jc w:val="left"/>
              <w:rPr>
                <w:rFonts w:ascii="Times New Roman" w:hAnsi="Times New Roman" w:cs="Times New Roman"/>
              </w:rPr>
            </w:pPr>
          </w:p>
          <w:p w14:paraId="15134BE1" w14:textId="77777777" w:rsidR="00620437" w:rsidRPr="008819AF" w:rsidRDefault="00620437">
            <w:pPr>
              <w:pStyle w:val="BodyText21"/>
              <w:spacing w:before="0" w:line="240" w:lineRule="auto"/>
              <w:jc w:val="left"/>
              <w:rPr>
                <w:rFonts w:ascii="Times New Roman" w:hAnsi="Times New Roman" w:cs="Times New Roman"/>
              </w:rPr>
            </w:pPr>
          </w:p>
          <w:p w14:paraId="15134BE2" w14:textId="77777777" w:rsidR="00620437" w:rsidRPr="008819AF" w:rsidRDefault="00620437">
            <w:pPr>
              <w:pStyle w:val="BodyText21"/>
              <w:spacing w:before="0" w:line="240" w:lineRule="auto"/>
              <w:jc w:val="left"/>
              <w:rPr>
                <w:rFonts w:ascii="Times New Roman" w:hAnsi="Times New Roman" w:cs="Times New Roman"/>
              </w:rPr>
            </w:pPr>
          </w:p>
          <w:p w14:paraId="15134BE3" w14:textId="77777777" w:rsidR="00620437" w:rsidRPr="008819AF" w:rsidRDefault="00620437">
            <w:pPr>
              <w:pStyle w:val="BodyText21"/>
              <w:spacing w:before="0" w:line="240" w:lineRule="auto"/>
              <w:jc w:val="left"/>
              <w:rPr>
                <w:rFonts w:ascii="Times New Roman" w:hAnsi="Times New Roman" w:cs="Times New Roman"/>
              </w:rPr>
            </w:pPr>
          </w:p>
          <w:p w14:paraId="15134BE4" w14:textId="77777777" w:rsidR="00620437" w:rsidRPr="008819AF" w:rsidRDefault="00620437">
            <w:pPr>
              <w:pStyle w:val="BodyText21"/>
              <w:spacing w:before="0" w:line="240" w:lineRule="auto"/>
              <w:jc w:val="left"/>
              <w:rPr>
                <w:rFonts w:ascii="Times New Roman" w:hAnsi="Times New Roman" w:cs="Times New Roman"/>
              </w:rPr>
            </w:pPr>
          </w:p>
          <w:p w14:paraId="15134BE5" w14:textId="77777777" w:rsidR="00620437" w:rsidRPr="008819AF" w:rsidRDefault="00620437">
            <w:pPr>
              <w:pStyle w:val="BodyText21"/>
              <w:spacing w:before="0" w:line="240" w:lineRule="auto"/>
              <w:jc w:val="left"/>
              <w:rPr>
                <w:rFonts w:ascii="Times New Roman" w:hAnsi="Times New Roman" w:cs="Times New Roman"/>
              </w:rPr>
            </w:pPr>
          </w:p>
          <w:p w14:paraId="15134BE6" w14:textId="77777777" w:rsidR="00620437" w:rsidRPr="008819AF" w:rsidRDefault="00620437">
            <w:pPr>
              <w:pStyle w:val="BodyText21"/>
              <w:spacing w:before="0" w:line="240" w:lineRule="auto"/>
              <w:jc w:val="left"/>
              <w:rPr>
                <w:rFonts w:ascii="Times New Roman" w:hAnsi="Times New Roman" w:cs="Times New Roman"/>
              </w:rPr>
            </w:pPr>
          </w:p>
          <w:p w14:paraId="15134BE7" w14:textId="77777777" w:rsidR="00620437" w:rsidRPr="008819AF" w:rsidRDefault="00620437">
            <w:pPr>
              <w:pStyle w:val="BodyText21"/>
              <w:spacing w:before="0" w:line="240" w:lineRule="auto"/>
              <w:jc w:val="left"/>
              <w:rPr>
                <w:rFonts w:ascii="Times New Roman" w:hAnsi="Times New Roman" w:cs="Times New Roman"/>
              </w:rPr>
            </w:pPr>
          </w:p>
          <w:p w14:paraId="15134BE8" w14:textId="77777777" w:rsidR="00620437" w:rsidRPr="008819AF" w:rsidRDefault="00620437">
            <w:pPr>
              <w:pStyle w:val="BodyText21"/>
              <w:spacing w:before="0" w:line="240" w:lineRule="auto"/>
              <w:jc w:val="left"/>
              <w:rPr>
                <w:rFonts w:ascii="Times New Roman" w:hAnsi="Times New Roman" w:cs="Times New Roman"/>
              </w:rPr>
            </w:pPr>
          </w:p>
          <w:p w14:paraId="15134BE9" w14:textId="77777777" w:rsidR="00620437" w:rsidRPr="008819AF" w:rsidRDefault="00620437">
            <w:pPr>
              <w:pStyle w:val="BodyText21"/>
              <w:spacing w:before="0" w:line="240" w:lineRule="auto"/>
              <w:jc w:val="left"/>
              <w:rPr>
                <w:rFonts w:ascii="Times New Roman" w:hAnsi="Times New Roman" w:cs="Times New Roman"/>
              </w:rPr>
            </w:pPr>
          </w:p>
          <w:p w14:paraId="15134BEA" w14:textId="77777777" w:rsidR="00620437" w:rsidRPr="008819AF" w:rsidRDefault="00620437">
            <w:pPr>
              <w:pStyle w:val="BodyText21"/>
              <w:spacing w:before="0" w:line="240" w:lineRule="auto"/>
              <w:jc w:val="left"/>
              <w:rPr>
                <w:rFonts w:ascii="Times New Roman" w:hAnsi="Times New Roman" w:cs="Times New Roman"/>
              </w:rPr>
            </w:pPr>
          </w:p>
          <w:p w14:paraId="15134BEB" w14:textId="77777777" w:rsidR="00620437" w:rsidRPr="008819AF" w:rsidRDefault="00620437">
            <w:pPr>
              <w:pStyle w:val="BodyText21"/>
              <w:spacing w:before="0" w:line="240" w:lineRule="auto"/>
              <w:jc w:val="left"/>
              <w:rPr>
                <w:rFonts w:ascii="Times New Roman" w:hAnsi="Times New Roman" w:cs="Times New Roman"/>
              </w:rPr>
            </w:pPr>
          </w:p>
          <w:p w14:paraId="15134BEC" w14:textId="77777777" w:rsidR="00620437" w:rsidRPr="008819AF" w:rsidRDefault="00620437">
            <w:pPr>
              <w:pStyle w:val="BodyText21"/>
              <w:spacing w:before="0" w:line="240" w:lineRule="auto"/>
              <w:jc w:val="left"/>
              <w:rPr>
                <w:rFonts w:ascii="Times New Roman" w:hAnsi="Times New Roman" w:cs="Times New Roman"/>
              </w:rPr>
            </w:pPr>
          </w:p>
          <w:p w14:paraId="15134BED" w14:textId="77777777" w:rsidR="00620437" w:rsidRPr="008819AF" w:rsidRDefault="00620437">
            <w:pPr>
              <w:pStyle w:val="BodyText21"/>
              <w:spacing w:before="0" w:line="240" w:lineRule="auto"/>
              <w:jc w:val="left"/>
              <w:rPr>
                <w:rFonts w:ascii="Times New Roman" w:hAnsi="Times New Roman" w:cs="Times New Roman"/>
              </w:rPr>
            </w:pPr>
          </w:p>
          <w:p w14:paraId="15134BEE" w14:textId="77777777" w:rsidR="00620437" w:rsidRPr="008819AF" w:rsidRDefault="00620437">
            <w:pPr>
              <w:pStyle w:val="BodyText21"/>
              <w:spacing w:before="0" w:line="240" w:lineRule="auto"/>
              <w:jc w:val="left"/>
              <w:rPr>
                <w:rFonts w:ascii="Times New Roman" w:hAnsi="Times New Roman" w:cs="Times New Roman"/>
              </w:rPr>
            </w:pPr>
          </w:p>
          <w:p w14:paraId="15134BEF" w14:textId="77777777" w:rsidR="00620437" w:rsidRPr="008819AF" w:rsidRDefault="00620437">
            <w:pPr>
              <w:pStyle w:val="BodyText21"/>
              <w:spacing w:before="0" w:line="240" w:lineRule="auto"/>
              <w:jc w:val="left"/>
              <w:rPr>
                <w:rFonts w:ascii="Times New Roman" w:hAnsi="Times New Roman" w:cs="Times New Roman"/>
              </w:rPr>
            </w:pPr>
          </w:p>
          <w:p w14:paraId="15134BF0" w14:textId="77777777" w:rsidR="007170C3" w:rsidRPr="008819AF" w:rsidRDefault="007170C3">
            <w:pPr>
              <w:pStyle w:val="BodyText21"/>
              <w:spacing w:before="0" w:line="240" w:lineRule="auto"/>
              <w:jc w:val="left"/>
              <w:rPr>
                <w:rFonts w:ascii="Times New Roman" w:hAnsi="Times New Roman" w:cs="Times New Roman"/>
              </w:rPr>
            </w:pPr>
          </w:p>
          <w:p w14:paraId="15134BF1" w14:textId="77777777" w:rsidR="00132937" w:rsidRPr="008819AF" w:rsidRDefault="00132937">
            <w:pPr>
              <w:pStyle w:val="BodyText21"/>
              <w:spacing w:before="0" w:line="240" w:lineRule="auto"/>
              <w:ind w:left="0" w:firstLine="0"/>
              <w:jc w:val="left"/>
              <w:rPr>
                <w:rFonts w:ascii="Times New Roman" w:hAnsi="Times New Roman" w:cs="Times New Roman"/>
              </w:rPr>
            </w:pPr>
            <w:r w:rsidRPr="008819AF">
              <w:rPr>
                <w:rFonts w:ascii="Times New Roman" w:hAnsi="Times New Roman" w:cs="Times New Roman"/>
              </w:rPr>
              <w:t>§10</w:t>
            </w:r>
          </w:p>
          <w:p w14:paraId="15134BF2" w14:textId="77777777" w:rsidR="00132937" w:rsidRPr="008819AF" w:rsidRDefault="00132937">
            <w:pPr>
              <w:pStyle w:val="BodyText21"/>
              <w:spacing w:before="0" w:line="240" w:lineRule="auto"/>
              <w:ind w:left="0" w:firstLine="0"/>
              <w:jc w:val="left"/>
              <w:rPr>
                <w:rFonts w:ascii="Times New Roman" w:hAnsi="Times New Roman" w:cs="Times New Roman"/>
              </w:rPr>
            </w:pPr>
            <w:r w:rsidRPr="008819AF">
              <w:rPr>
                <w:rFonts w:ascii="Times New Roman" w:hAnsi="Times New Roman" w:cs="Times New Roman"/>
              </w:rPr>
              <w:t>O5</w:t>
            </w:r>
          </w:p>
        </w:tc>
        <w:tc>
          <w:tcPr>
            <w:tcW w:w="5954" w:type="dxa"/>
            <w:tcBorders>
              <w:top w:val="single" w:sz="4" w:space="0" w:color="000000"/>
              <w:left w:val="single" w:sz="6" w:space="0" w:color="000000"/>
              <w:bottom w:val="single" w:sz="4" w:space="0" w:color="000000"/>
              <w:right w:val="single" w:sz="6" w:space="0" w:color="000000"/>
            </w:tcBorders>
          </w:tcPr>
          <w:p w14:paraId="15134BF3" w14:textId="77777777" w:rsidR="009C7CD3" w:rsidRPr="008819AF" w:rsidRDefault="00620437" w:rsidP="00C860FF">
            <w:pPr>
              <w:pStyle w:val="Odsekzoznamu"/>
              <w:keepNext/>
              <w:numPr>
                <w:ilvl w:val="0"/>
                <w:numId w:val="109"/>
              </w:numPr>
              <w:spacing w:after="120"/>
              <w:rPr>
                <w:b/>
                <w:bCs/>
                <w:sz w:val="20"/>
                <w:szCs w:val="20"/>
              </w:rPr>
            </w:pPr>
            <w:r w:rsidRPr="008819AF">
              <w:rPr>
                <w:b/>
                <w:bCs/>
                <w:sz w:val="20"/>
                <w:szCs w:val="20"/>
              </w:rPr>
              <w:lastRenderedPageBreak/>
              <w:t xml:space="preserve">3.  </w:t>
            </w:r>
            <w:r w:rsidR="009C7CD3" w:rsidRPr="008819AF">
              <w:rPr>
                <w:b/>
                <w:bCs/>
                <w:sz w:val="20"/>
                <w:szCs w:val="20"/>
              </w:rPr>
              <w:t xml:space="preserve">Základné bilančné vzťahy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
              <w:gridCol w:w="1613"/>
              <w:gridCol w:w="1276"/>
              <w:gridCol w:w="2477"/>
            </w:tblGrid>
            <w:tr w:rsidR="009C7CD3" w:rsidRPr="008819AF" w14:paraId="15134BF7" w14:textId="77777777" w:rsidTr="00620437">
              <w:trPr>
                <w:jc w:val="center"/>
              </w:trPr>
              <w:tc>
                <w:tcPr>
                  <w:tcW w:w="438" w:type="dxa"/>
                  <w:vAlign w:val="center"/>
                </w:tcPr>
                <w:p w14:paraId="15134BF4" w14:textId="77777777" w:rsidR="009C7CD3" w:rsidRPr="008819AF" w:rsidRDefault="009C7CD3" w:rsidP="00620437">
                  <w:pPr>
                    <w:tabs>
                      <w:tab w:val="left" w:pos="709"/>
                    </w:tabs>
                    <w:rPr>
                      <w:sz w:val="18"/>
                      <w:szCs w:val="18"/>
                    </w:rPr>
                  </w:pPr>
                </w:p>
              </w:tc>
              <w:tc>
                <w:tcPr>
                  <w:tcW w:w="2889" w:type="dxa"/>
                  <w:gridSpan w:val="2"/>
                  <w:vAlign w:val="center"/>
                </w:tcPr>
                <w:p w14:paraId="15134BF5" w14:textId="77777777" w:rsidR="009C7CD3" w:rsidRPr="008819AF" w:rsidRDefault="009C7CD3" w:rsidP="00620437">
                  <w:pPr>
                    <w:tabs>
                      <w:tab w:val="left" w:pos="709"/>
                    </w:tabs>
                    <w:rPr>
                      <w:sz w:val="18"/>
                      <w:szCs w:val="18"/>
                    </w:rPr>
                  </w:pPr>
                  <w:r w:rsidRPr="008819AF">
                    <w:rPr>
                      <w:b/>
                      <w:bCs/>
                      <w:sz w:val="18"/>
                      <w:szCs w:val="18"/>
                    </w:rPr>
                    <w:t xml:space="preserve">Veličina </w:t>
                  </w:r>
                </w:p>
              </w:tc>
              <w:tc>
                <w:tcPr>
                  <w:tcW w:w="2477" w:type="dxa"/>
                  <w:vAlign w:val="center"/>
                </w:tcPr>
                <w:p w14:paraId="15134BF6" w14:textId="77777777" w:rsidR="009C7CD3" w:rsidRPr="008819AF" w:rsidRDefault="009C7CD3" w:rsidP="00620437">
                  <w:pPr>
                    <w:jc w:val="both"/>
                    <w:rPr>
                      <w:sz w:val="18"/>
                      <w:szCs w:val="18"/>
                    </w:rPr>
                  </w:pPr>
                  <w:r w:rsidRPr="008819AF">
                    <w:rPr>
                      <w:b/>
                      <w:bCs/>
                      <w:sz w:val="18"/>
                      <w:szCs w:val="18"/>
                    </w:rPr>
                    <w:t xml:space="preserve">Bilančný vzťah </w:t>
                  </w:r>
                  <w:r w:rsidRPr="008819AF">
                    <w:rPr>
                      <w:bCs/>
                      <w:sz w:val="18"/>
                      <w:szCs w:val="18"/>
                    </w:rPr>
                    <w:t>[</w:t>
                  </w:r>
                  <w:r w:rsidRPr="008819AF">
                    <w:rPr>
                      <w:sz w:val="18"/>
                      <w:szCs w:val="18"/>
                    </w:rPr>
                    <w:t>g, kg alebo t</w:t>
                  </w:r>
                  <w:r w:rsidRPr="008819AF">
                    <w:rPr>
                      <w:bCs/>
                      <w:sz w:val="18"/>
                      <w:szCs w:val="18"/>
                    </w:rPr>
                    <w:t>]</w:t>
                  </w:r>
                </w:p>
              </w:tc>
            </w:tr>
            <w:tr w:rsidR="009C7CD3" w:rsidRPr="008819AF" w14:paraId="15134BFB" w14:textId="77777777" w:rsidTr="00620437">
              <w:trPr>
                <w:jc w:val="center"/>
              </w:trPr>
              <w:tc>
                <w:tcPr>
                  <w:tcW w:w="438" w:type="dxa"/>
                  <w:vAlign w:val="center"/>
                </w:tcPr>
                <w:p w14:paraId="15134BF8" w14:textId="77777777" w:rsidR="009C7CD3" w:rsidRPr="008819AF" w:rsidRDefault="009C7CD3" w:rsidP="00620437">
                  <w:pPr>
                    <w:tabs>
                      <w:tab w:val="left" w:pos="709"/>
                    </w:tabs>
                    <w:jc w:val="center"/>
                    <w:rPr>
                      <w:sz w:val="18"/>
                      <w:szCs w:val="18"/>
                    </w:rPr>
                  </w:pPr>
                  <w:r w:rsidRPr="008819AF">
                    <w:rPr>
                      <w:sz w:val="18"/>
                      <w:szCs w:val="18"/>
                    </w:rPr>
                    <w:t>C</w:t>
                  </w:r>
                </w:p>
              </w:tc>
              <w:tc>
                <w:tcPr>
                  <w:tcW w:w="2889" w:type="dxa"/>
                  <w:gridSpan w:val="2"/>
                  <w:vAlign w:val="center"/>
                </w:tcPr>
                <w:p w14:paraId="15134BF9" w14:textId="77777777" w:rsidR="009C7CD3" w:rsidRPr="008819AF" w:rsidRDefault="009C7CD3" w:rsidP="00620437">
                  <w:pPr>
                    <w:tabs>
                      <w:tab w:val="left" w:pos="709"/>
                    </w:tabs>
                    <w:ind w:right="-108"/>
                    <w:rPr>
                      <w:sz w:val="18"/>
                      <w:szCs w:val="18"/>
                    </w:rPr>
                  </w:pPr>
                  <w:r w:rsidRPr="008819AF">
                    <w:rPr>
                      <w:sz w:val="18"/>
                      <w:szCs w:val="18"/>
                    </w:rPr>
                    <w:t xml:space="preserve">Spotreba organických rozpúšťadiel </w:t>
                  </w:r>
                </w:p>
              </w:tc>
              <w:tc>
                <w:tcPr>
                  <w:tcW w:w="2477" w:type="dxa"/>
                  <w:vAlign w:val="center"/>
                </w:tcPr>
                <w:p w14:paraId="15134BFA" w14:textId="77777777" w:rsidR="009C7CD3" w:rsidRPr="008819AF" w:rsidRDefault="009C7CD3" w:rsidP="00620437">
                  <w:pPr>
                    <w:rPr>
                      <w:sz w:val="18"/>
                      <w:szCs w:val="18"/>
                    </w:rPr>
                  </w:pPr>
                  <w:r w:rsidRPr="008819AF">
                    <w:rPr>
                      <w:sz w:val="18"/>
                      <w:szCs w:val="18"/>
                    </w:rPr>
                    <w:t xml:space="preserve">C = I1 - O8      </w:t>
                  </w:r>
                </w:p>
              </w:tc>
            </w:tr>
            <w:tr w:rsidR="009C7CD3" w:rsidRPr="008819AF" w14:paraId="15134BFF" w14:textId="77777777" w:rsidTr="00620437">
              <w:trPr>
                <w:jc w:val="center"/>
              </w:trPr>
              <w:tc>
                <w:tcPr>
                  <w:tcW w:w="438" w:type="dxa"/>
                  <w:vAlign w:val="center"/>
                </w:tcPr>
                <w:p w14:paraId="15134BFC" w14:textId="77777777" w:rsidR="009C7CD3" w:rsidRPr="008819AF" w:rsidRDefault="009C7CD3" w:rsidP="00620437">
                  <w:pPr>
                    <w:tabs>
                      <w:tab w:val="left" w:pos="709"/>
                    </w:tabs>
                    <w:jc w:val="center"/>
                    <w:rPr>
                      <w:sz w:val="18"/>
                      <w:szCs w:val="18"/>
                    </w:rPr>
                  </w:pPr>
                  <w:r w:rsidRPr="008819AF">
                    <w:rPr>
                      <w:sz w:val="18"/>
                      <w:szCs w:val="18"/>
                    </w:rPr>
                    <w:t>I</w:t>
                  </w:r>
                </w:p>
              </w:tc>
              <w:tc>
                <w:tcPr>
                  <w:tcW w:w="2889" w:type="dxa"/>
                  <w:gridSpan w:val="2"/>
                  <w:vAlign w:val="center"/>
                </w:tcPr>
                <w:p w14:paraId="15134BFD" w14:textId="77777777" w:rsidR="009C7CD3" w:rsidRPr="008819AF" w:rsidRDefault="009C7CD3" w:rsidP="00620437">
                  <w:pPr>
                    <w:tabs>
                      <w:tab w:val="left" w:pos="709"/>
                    </w:tabs>
                    <w:rPr>
                      <w:sz w:val="18"/>
                      <w:szCs w:val="18"/>
                    </w:rPr>
                  </w:pPr>
                  <w:r w:rsidRPr="008819AF">
                    <w:rPr>
                      <w:sz w:val="18"/>
                      <w:szCs w:val="18"/>
                    </w:rPr>
                    <w:t xml:space="preserve">Celkový vstup </w:t>
                  </w:r>
                </w:p>
              </w:tc>
              <w:tc>
                <w:tcPr>
                  <w:tcW w:w="2477" w:type="dxa"/>
                  <w:vAlign w:val="center"/>
                </w:tcPr>
                <w:p w14:paraId="15134BFE" w14:textId="77777777" w:rsidR="009C7CD3" w:rsidRPr="008819AF" w:rsidRDefault="009C7CD3" w:rsidP="00620437">
                  <w:pPr>
                    <w:rPr>
                      <w:sz w:val="18"/>
                      <w:szCs w:val="18"/>
                    </w:rPr>
                  </w:pPr>
                  <w:r w:rsidRPr="008819AF">
                    <w:rPr>
                      <w:sz w:val="18"/>
                      <w:szCs w:val="18"/>
                    </w:rPr>
                    <w:t xml:space="preserve">I = I1 + I2          </w:t>
                  </w:r>
                </w:p>
              </w:tc>
            </w:tr>
            <w:tr w:rsidR="009C7CD3" w:rsidRPr="008819AF" w14:paraId="15134C04" w14:textId="77777777" w:rsidTr="00620437">
              <w:trPr>
                <w:jc w:val="center"/>
              </w:trPr>
              <w:tc>
                <w:tcPr>
                  <w:tcW w:w="438" w:type="dxa"/>
                  <w:vMerge w:val="restart"/>
                  <w:vAlign w:val="center"/>
                </w:tcPr>
                <w:p w14:paraId="15134C00" w14:textId="77777777" w:rsidR="009C7CD3" w:rsidRPr="008819AF" w:rsidRDefault="009C7CD3" w:rsidP="00620437">
                  <w:pPr>
                    <w:tabs>
                      <w:tab w:val="left" w:pos="709"/>
                    </w:tabs>
                    <w:jc w:val="center"/>
                    <w:rPr>
                      <w:sz w:val="18"/>
                      <w:szCs w:val="18"/>
                    </w:rPr>
                  </w:pPr>
                  <w:r w:rsidRPr="008819AF">
                    <w:rPr>
                      <w:sz w:val="18"/>
                      <w:szCs w:val="18"/>
                    </w:rPr>
                    <w:t>F</w:t>
                  </w:r>
                </w:p>
              </w:tc>
              <w:tc>
                <w:tcPr>
                  <w:tcW w:w="1613" w:type="dxa"/>
                  <w:vMerge w:val="restart"/>
                  <w:vAlign w:val="center"/>
                </w:tcPr>
                <w:p w14:paraId="15134C01" w14:textId="77777777" w:rsidR="009C7CD3" w:rsidRPr="008819AF" w:rsidRDefault="009C7CD3" w:rsidP="00620437">
                  <w:pPr>
                    <w:tabs>
                      <w:tab w:val="left" w:pos="709"/>
                    </w:tabs>
                    <w:rPr>
                      <w:sz w:val="18"/>
                      <w:szCs w:val="18"/>
                    </w:rPr>
                  </w:pPr>
                  <w:r w:rsidRPr="008819AF">
                    <w:rPr>
                      <w:sz w:val="18"/>
                      <w:szCs w:val="18"/>
                    </w:rPr>
                    <w:t xml:space="preserve">Fugitívne emisie </w:t>
                  </w:r>
                </w:p>
              </w:tc>
              <w:tc>
                <w:tcPr>
                  <w:tcW w:w="1276" w:type="dxa"/>
                  <w:vAlign w:val="center"/>
                </w:tcPr>
                <w:p w14:paraId="15134C02" w14:textId="77777777" w:rsidR="009C7CD3" w:rsidRPr="008819AF" w:rsidRDefault="009C7CD3" w:rsidP="00620437">
                  <w:pPr>
                    <w:tabs>
                      <w:tab w:val="left" w:pos="709"/>
                    </w:tabs>
                    <w:rPr>
                      <w:sz w:val="18"/>
                      <w:szCs w:val="18"/>
                    </w:rPr>
                  </w:pPr>
                  <w:r w:rsidRPr="008819AF">
                    <w:rPr>
                      <w:sz w:val="18"/>
                      <w:szCs w:val="18"/>
                    </w:rPr>
                    <w:t>Nepriama bilancia</w:t>
                  </w:r>
                </w:p>
              </w:tc>
              <w:tc>
                <w:tcPr>
                  <w:tcW w:w="2477" w:type="dxa"/>
                  <w:vAlign w:val="center"/>
                </w:tcPr>
                <w:p w14:paraId="15134C03" w14:textId="77777777" w:rsidR="009C7CD3" w:rsidRPr="008819AF" w:rsidRDefault="009C7CD3" w:rsidP="00620437">
                  <w:pPr>
                    <w:ind w:right="-108"/>
                    <w:rPr>
                      <w:sz w:val="18"/>
                      <w:szCs w:val="18"/>
                    </w:rPr>
                  </w:pPr>
                  <w:r w:rsidRPr="008819AF">
                    <w:rPr>
                      <w:sz w:val="18"/>
                      <w:szCs w:val="18"/>
                    </w:rPr>
                    <w:t xml:space="preserve">F = I1 - O1 - O5 - O6 - O7 - O8      </w:t>
                  </w:r>
                </w:p>
              </w:tc>
            </w:tr>
            <w:tr w:rsidR="009C7CD3" w:rsidRPr="008819AF" w14:paraId="15134C09" w14:textId="77777777" w:rsidTr="00620437">
              <w:trPr>
                <w:jc w:val="center"/>
              </w:trPr>
              <w:tc>
                <w:tcPr>
                  <w:tcW w:w="438" w:type="dxa"/>
                  <w:vMerge/>
                  <w:vAlign w:val="center"/>
                </w:tcPr>
                <w:p w14:paraId="15134C05" w14:textId="77777777" w:rsidR="009C7CD3" w:rsidRPr="008819AF" w:rsidRDefault="009C7CD3" w:rsidP="00620437">
                  <w:pPr>
                    <w:tabs>
                      <w:tab w:val="left" w:pos="709"/>
                    </w:tabs>
                    <w:jc w:val="center"/>
                    <w:rPr>
                      <w:sz w:val="18"/>
                      <w:szCs w:val="18"/>
                    </w:rPr>
                  </w:pPr>
                </w:p>
              </w:tc>
              <w:tc>
                <w:tcPr>
                  <w:tcW w:w="1613" w:type="dxa"/>
                  <w:vMerge/>
                  <w:vAlign w:val="center"/>
                </w:tcPr>
                <w:p w14:paraId="15134C06" w14:textId="77777777" w:rsidR="009C7CD3" w:rsidRPr="008819AF" w:rsidRDefault="009C7CD3" w:rsidP="00620437">
                  <w:pPr>
                    <w:rPr>
                      <w:sz w:val="18"/>
                      <w:szCs w:val="18"/>
                    </w:rPr>
                  </w:pPr>
                </w:p>
              </w:tc>
              <w:tc>
                <w:tcPr>
                  <w:tcW w:w="1276" w:type="dxa"/>
                  <w:vAlign w:val="center"/>
                </w:tcPr>
                <w:p w14:paraId="15134C07" w14:textId="77777777" w:rsidR="009C7CD3" w:rsidRPr="008819AF" w:rsidRDefault="009C7CD3" w:rsidP="00620437">
                  <w:pPr>
                    <w:tabs>
                      <w:tab w:val="left" w:pos="709"/>
                    </w:tabs>
                    <w:rPr>
                      <w:sz w:val="18"/>
                      <w:szCs w:val="18"/>
                    </w:rPr>
                  </w:pPr>
                  <w:r w:rsidRPr="008819AF">
                    <w:rPr>
                      <w:sz w:val="18"/>
                      <w:szCs w:val="18"/>
                    </w:rPr>
                    <w:t>Priama bilancia</w:t>
                  </w:r>
                </w:p>
              </w:tc>
              <w:tc>
                <w:tcPr>
                  <w:tcW w:w="2477" w:type="dxa"/>
                  <w:vAlign w:val="center"/>
                </w:tcPr>
                <w:p w14:paraId="15134C08" w14:textId="77777777" w:rsidR="009C7CD3" w:rsidRPr="008819AF" w:rsidRDefault="009C7CD3" w:rsidP="00620437">
                  <w:pPr>
                    <w:rPr>
                      <w:sz w:val="18"/>
                      <w:szCs w:val="18"/>
                    </w:rPr>
                  </w:pPr>
                  <w:r w:rsidRPr="008819AF">
                    <w:rPr>
                      <w:sz w:val="18"/>
                      <w:szCs w:val="18"/>
                    </w:rPr>
                    <w:t xml:space="preserve">F = O2 + O3  + O4 + O9     </w:t>
                  </w:r>
                </w:p>
              </w:tc>
            </w:tr>
            <w:tr w:rsidR="009C7CD3" w:rsidRPr="008819AF" w14:paraId="15134C0D" w14:textId="77777777" w:rsidTr="00620437">
              <w:trPr>
                <w:jc w:val="center"/>
              </w:trPr>
              <w:tc>
                <w:tcPr>
                  <w:tcW w:w="438" w:type="dxa"/>
                  <w:vAlign w:val="center"/>
                </w:tcPr>
                <w:p w14:paraId="15134C0A" w14:textId="77777777" w:rsidR="009C7CD3" w:rsidRPr="008819AF" w:rsidRDefault="009C7CD3" w:rsidP="00620437">
                  <w:pPr>
                    <w:tabs>
                      <w:tab w:val="left" w:pos="709"/>
                    </w:tabs>
                    <w:jc w:val="center"/>
                    <w:rPr>
                      <w:sz w:val="18"/>
                      <w:szCs w:val="18"/>
                    </w:rPr>
                  </w:pPr>
                  <w:r w:rsidRPr="008819AF">
                    <w:rPr>
                      <w:sz w:val="18"/>
                      <w:szCs w:val="18"/>
                    </w:rPr>
                    <w:t>E</w:t>
                  </w:r>
                </w:p>
              </w:tc>
              <w:tc>
                <w:tcPr>
                  <w:tcW w:w="2889" w:type="dxa"/>
                  <w:gridSpan w:val="2"/>
                  <w:vAlign w:val="center"/>
                </w:tcPr>
                <w:p w14:paraId="15134C0B" w14:textId="77777777" w:rsidR="009C7CD3" w:rsidRPr="008819AF" w:rsidRDefault="009C7CD3" w:rsidP="00620437">
                  <w:pPr>
                    <w:tabs>
                      <w:tab w:val="left" w:pos="709"/>
                    </w:tabs>
                    <w:rPr>
                      <w:sz w:val="18"/>
                      <w:szCs w:val="18"/>
                    </w:rPr>
                  </w:pPr>
                  <w:r w:rsidRPr="008819AF">
                    <w:rPr>
                      <w:sz w:val="18"/>
                      <w:szCs w:val="18"/>
                    </w:rPr>
                    <w:t xml:space="preserve">Celkové množstvo emisií </w:t>
                  </w:r>
                </w:p>
              </w:tc>
              <w:tc>
                <w:tcPr>
                  <w:tcW w:w="2477" w:type="dxa"/>
                  <w:vAlign w:val="center"/>
                </w:tcPr>
                <w:p w14:paraId="15134C0C" w14:textId="77777777" w:rsidR="009C7CD3" w:rsidRPr="008819AF" w:rsidRDefault="009C7CD3" w:rsidP="00620437">
                  <w:pPr>
                    <w:rPr>
                      <w:sz w:val="18"/>
                      <w:szCs w:val="18"/>
                    </w:rPr>
                  </w:pPr>
                  <w:r w:rsidRPr="008819AF">
                    <w:rPr>
                      <w:sz w:val="18"/>
                      <w:szCs w:val="18"/>
                    </w:rPr>
                    <w:t xml:space="preserve">E = F + O1     </w:t>
                  </w:r>
                </w:p>
              </w:tc>
            </w:tr>
          </w:tbl>
          <w:p w14:paraId="15134C0E" w14:textId="77777777" w:rsidR="00620437" w:rsidRPr="008819AF" w:rsidRDefault="00620437" w:rsidP="00620437">
            <w:pPr>
              <w:pStyle w:val="Zkladntext2"/>
              <w:keepNext/>
              <w:rPr>
                <w:rFonts w:ascii="Times New Roman" w:hAnsi="Times New Roman" w:cs="Times New Roman"/>
                <w:b/>
                <w:sz w:val="20"/>
                <w:szCs w:val="20"/>
              </w:rPr>
            </w:pPr>
            <w:r w:rsidRPr="008819AF">
              <w:rPr>
                <w:rFonts w:ascii="Times New Roman" w:hAnsi="Times New Roman" w:cs="Times New Roman"/>
                <w:b/>
                <w:sz w:val="20"/>
                <w:szCs w:val="20"/>
              </w:rPr>
              <w:t>4.  Preukázanie plnenia požiadaviek na zníženie emisií na základe bilancie rozpúšťadiel</w:t>
            </w:r>
          </w:p>
          <w:p w14:paraId="15134C0F" w14:textId="77777777" w:rsidR="00620437" w:rsidRPr="008819AF" w:rsidRDefault="00620437" w:rsidP="00620437">
            <w:pPr>
              <w:pStyle w:val="Zkladntext2"/>
              <w:spacing w:before="120"/>
              <w:ind w:left="0" w:firstLine="0"/>
              <w:rPr>
                <w:rFonts w:ascii="Times New Roman" w:hAnsi="Times New Roman" w:cs="Times New Roman"/>
                <w:sz w:val="20"/>
                <w:szCs w:val="20"/>
              </w:rPr>
            </w:pPr>
            <w:r w:rsidRPr="008819AF">
              <w:rPr>
                <w:rFonts w:ascii="Times New Roman" w:hAnsi="Times New Roman" w:cs="Times New Roman"/>
                <w:sz w:val="20"/>
                <w:szCs w:val="20"/>
              </w:rPr>
              <w:t>Na preukázanie plnenia požiadaviek  na zníženie emisií  sa vychádza  z bilancie rozpúšťadiel</w:t>
            </w:r>
            <w:r w:rsidRPr="008819AF">
              <w:rPr>
                <w:rFonts w:ascii="Times New Roman" w:hAnsi="Times New Roman" w:cs="Times New Roman"/>
                <w:sz w:val="20"/>
                <w:szCs w:val="20"/>
                <w:lang w:eastAsia="ar-SA"/>
              </w:rPr>
              <w:t xml:space="preserve"> pre danú činnosť</w:t>
            </w:r>
            <w:r w:rsidRPr="008819AF">
              <w:rPr>
                <w:rFonts w:ascii="Times New Roman" w:hAnsi="Times New Roman" w:cs="Times New Roman"/>
                <w:sz w:val="20"/>
                <w:szCs w:val="20"/>
              </w:rPr>
              <w:t xml:space="preserve">, ktorá sa vypracuje podľa aktuálnych údajov každoročne.  </w:t>
            </w:r>
          </w:p>
          <w:p w14:paraId="15134C10" w14:textId="77777777" w:rsidR="00620437" w:rsidRPr="008819AF" w:rsidRDefault="00620437" w:rsidP="00620437">
            <w:pPr>
              <w:pStyle w:val="Zkladntext2"/>
              <w:spacing w:before="120"/>
              <w:ind w:left="425" w:hanging="425"/>
              <w:rPr>
                <w:rFonts w:ascii="Times New Roman" w:hAnsi="Times New Roman" w:cs="Times New Roman"/>
                <w:bCs/>
                <w:sz w:val="20"/>
                <w:szCs w:val="20"/>
              </w:rPr>
            </w:pPr>
            <w:r w:rsidRPr="008819AF">
              <w:rPr>
                <w:rFonts w:ascii="Times New Roman" w:hAnsi="Times New Roman" w:cs="Times New Roman"/>
                <w:b/>
                <w:sz w:val="20"/>
                <w:szCs w:val="20"/>
              </w:rPr>
              <w:t>4.1</w:t>
            </w:r>
            <w:r w:rsidRPr="008819AF">
              <w:rPr>
                <w:rFonts w:ascii="Times New Roman" w:hAnsi="Times New Roman" w:cs="Times New Roman"/>
                <w:sz w:val="20"/>
                <w:szCs w:val="20"/>
              </w:rPr>
              <w:t xml:space="preserve"> </w:t>
            </w:r>
            <w:r w:rsidRPr="008819AF">
              <w:rPr>
                <w:rFonts w:ascii="Times New Roman" w:hAnsi="Times New Roman" w:cs="Times New Roman"/>
                <w:b/>
                <w:sz w:val="20"/>
                <w:szCs w:val="20"/>
              </w:rPr>
              <w:t>Emisný podiel fugitívnych emisií</w:t>
            </w:r>
            <w:r w:rsidRPr="008819AF">
              <w:rPr>
                <w:rFonts w:ascii="Times New Roman" w:hAnsi="Times New Roman" w:cs="Times New Roman"/>
                <w:sz w:val="20"/>
                <w:szCs w:val="20"/>
              </w:rPr>
              <w:t xml:space="preserve"> EH</w:t>
            </w:r>
            <w:r w:rsidRPr="008819AF">
              <w:rPr>
                <w:rFonts w:ascii="Times New Roman" w:hAnsi="Times New Roman" w:cs="Times New Roman"/>
                <w:sz w:val="20"/>
                <w:szCs w:val="20"/>
                <w:vertAlign w:val="subscript"/>
              </w:rPr>
              <w:t>F</w:t>
            </w:r>
            <w:r w:rsidRPr="008819AF">
              <w:rPr>
                <w:rFonts w:ascii="Times New Roman" w:hAnsi="Times New Roman" w:cs="Times New Roman"/>
                <w:bCs/>
                <w:sz w:val="20"/>
                <w:szCs w:val="20"/>
              </w:rPr>
              <w:t xml:space="preserve"> [%] </w:t>
            </w:r>
            <w:r w:rsidRPr="008819AF">
              <w:rPr>
                <w:rFonts w:ascii="Times New Roman" w:hAnsi="Times New Roman" w:cs="Times New Roman"/>
                <w:sz w:val="20"/>
                <w:szCs w:val="20"/>
              </w:rPr>
              <w:t xml:space="preserve">sa vypočíta ako percentuálny podiel množstva fugitívnych emisií a vstupného množstva organických rozpúšťadiel I podľa vzťahu: </w:t>
            </w:r>
          </w:p>
          <w:p w14:paraId="15134C11" w14:textId="77777777" w:rsidR="00620437" w:rsidRPr="008819AF" w:rsidRDefault="00620437" w:rsidP="00620437">
            <w:pPr>
              <w:pStyle w:val="Odsekzoznamu1"/>
              <w:spacing w:before="120" w:after="120"/>
              <w:ind w:left="425"/>
              <w:rPr>
                <w:bCs/>
                <w:sz w:val="20"/>
                <w:szCs w:val="20"/>
              </w:rPr>
            </w:pPr>
            <w:r w:rsidRPr="008819AF">
              <w:rPr>
                <w:sz w:val="20"/>
                <w:szCs w:val="20"/>
              </w:rPr>
              <w:t xml:space="preserve">                  EH</w:t>
            </w:r>
            <w:r w:rsidRPr="008819AF">
              <w:rPr>
                <w:sz w:val="20"/>
                <w:szCs w:val="20"/>
                <w:vertAlign w:val="subscript"/>
              </w:rPr>
              <w:t xml:space="preserve">F </w:t>
            </w:r>
            <w:r w:rsidRPr="008819AF">
              <w:rPr>
                <w:sz w:val="20"/>
                <w:szCs w:val="20"/>
              </w:rPr>
              <w:t xml:space="preserve">=  (F / I) x 100    </w:t>
            </w:r>
            <w:r w:rsidRPr="008819AF">
              <w:rPr>
                <w:bCs/>
                <w:sz w:val="20"/>
                <w:szCs w:val="20"/>
              </w:rPr>
              <w:t xml:space="preserve">[%] </w:t>
            </w:r>
          </w:p>
          <w:p w14:paraId="15134C12" w14:textId="77777777" w:rsidR="00620437" w:rsidRPr="008819AF" w:rsidRDefault="00620437" w:rsidP="00620437">
            <w:pPr>
              <w:pStyle w:val="Odsekzoznamu1"/>
              <w:ind w:left="72"/>
              <w:jc w:val="both"/>
              <w:rPr>
                <w:bCs/>
                <w:sz w:val="20"/>
                <w:szCs w:val="20"/>
              </w:rPr>
            </w:pPr>
            <w:r w:rsidRPr="008819AF">
              <w:rPr>
                <w:bCs/>
                <w:sz w:val="20"/>
                <w:szCs w:val="20"/>
              </w:rPr>
              <w:t>EH</w:t>
            </w:r>
            <w:r w:rsidRPr="008819AF">
              <w:rPr>
                <w:bCs/>
                <w:sz w:val="20"/>
                <w:szCs w:val="20"/>
                <w:vertAlign w:val="subscript"/>
              </w:rPr>
              <w:t xml:space="preserve">F  </w:t>
            </w:r>
            <w:r w:rsidRPr="008819AF">
              <w:rPr>
                <w:bCs/>
                <w:sz w:val="20"/>
                <w:szCs w:val="20"/>
              </w:rPr>
              <w:t xml:space="preserve">- emisná hodnota fugitívnych emisií </w:t>
            </w:r>
          </w:p>
          <w:p w14:paraId="15134C13" w14:textId="77777777" w:rsidR="00620437" w:rsidRPr="008819AF" w:rsidRDefault="00620437" w:rsidP="00620437">
            <w:pPr>
              <w:pStyle w:val="Odsekzoznamu1"/>
              <w:ind w:left="72"/>
              <w:jc w:val="both"/>
              <w:rPr>
                <w:bCs/>
                <w:sz w:val="20"/>
                <w:szCs w:val="20"/>
              </w:rPr>
            </w:pPr>
            <w:r w:rsidRPr="008819AF">
              <w:rPr>
                <w:bCs/>
                <w:sz w:val="20"/>
                <w:szCs w:val="20"/>
              </w:rPr>
              <w:t xml:space="preserve">F - fugitívne emisie sa zistia buď: </w:t>
            </w:r>
          </w:p>
          <w:p w14:paraId="15134C14" w14:textId="77777777" w:rsidR="00620437" w:rsidRPr="008819AF" w:rsidRDefault="00620437" w:rsidP="00C860FF">
            <w:pPr>
              <w:pStyle w:val="Odsekzoznamu1"/>
              <w:numPr>
                <w:ilvl w:val="0"/>
                <w:numId w:val="105"/>
              </w:numPr>
              <w:ind w:left="72" w:firstLine="0"/>
              <w:jc w:val="both"/>
              <w:rPr>
                <w:bCs/>
                <w:sz w:val="20"/>
                <w:szCs w:val="20"/>
              </w:rPr>
            </w:pPr>
            <w:r w:rsidRPr="008819AF">
              <w:rPr>
                <w:bCs/>
                <w:sz w:val="20"/>
                <w:szCs w:val="20"/>
              </w:rPr>
              <w:t xml:space="preserve">výpočtom: </w:t>
            </w:r>
          </w:p>
          <w:p w14:paraId="15134C15" w14:textId="77777777" w:rsidR="00620437" w:rsidRPr="008819AF" w:rsidRDefault="00620437" w:rsidP="00620437">
            <w:pPr>
              <w:pStyle w:val="Odsekzoznamu1"/>
              <w:spacing w:after="60"/>
              <w:ind w:left="72"/>
              <w:jc w:val="both"/>
              <w:rPr>
                <w:bCs/>
                <w:sz w:val="20"/>
                <w:szCs w:val="20"/>
              </w:rPr>
            </w:pPr>
            <w:r w:rsidRPr="008819AF">
              <w:rPr>
                <w:bCs/>
                <w:sz w:val="20"/>
                <w:szCs w:val="20"/>
              </w:rPr>
              <w:t xml:space="preserve">fugitívne emisie sa zistia buď priamo alebo nepriamo podľa vzťahov </w:t>
            </w:r>
            <w:r w:rsidRPr="008819AF">
              <w:rPr>
                <w:bCs/>
                <w:sz w:val="20"/>
                <w:szCs w:val="20"/>
              </w:rPr>
              <w:lastRenderedPageBreak/>
              <w:t xml:space="preserve">uvedených v bode 3, pričom F sa určí ako buď priamym meraním  množstiev, alebo ekvivalentnou metódou alebo ekvivalentným výpočtom napr. použitím účinnosti zachytávania  v rámci procesu, alebo </w:t>
            </w:r>
          </w:p>
          <w:p w14:paraId="15134C16" w14:textId="77777777" w:rsidR="00620437" w:rsidRPr="008819AF" w:rsidRDefault="00620437" w:rsidP="00C860FF">
            <w:pPr>
              <w:pStyle w:val="Odsekzoznamu1"/>
              <w:numPr>
                <w:ilvl w:val="0"/>
                <w:numId w:val="105"/>
              </w:numPr>
              <w:spacing w:after="120"/>
              <w:ind w:left="72" w:firstLine="0"/>
              <w:jc w:val="both"/>
              <w:rPr>
                <w:bCs/>
                <w:sz w:val="20"/>
                <w:szCs w:val="20"/>
              </w:rPr>
            </w:pPr>
            <w:r w:rsidRPr="008819AF">
              <w:rPr>
                <w:bCs/>
                <w:sz w:val="20"/>
                <w:szCs w:val="20"/>
              </w:rPr>
              <w:t xml:space="preserve">krátkym, ale zato kompletným súborom meraní, ktoré nie je treba opakovať, pokiaľ nedôjde k zmene alebo úprave  technického vybavenia. </w:t>
            </w:r>
          </w:p>
          <w:p w14:paraId="15134C17" w14:textId="77777777" w:rsidR="00620437" w:rsidRPr="008819AF" w:rsidRDefault="00620437" w:rsidP="00620437">
            <w:pPr>
              <w:pStyle w:val="Odsekzoznamu1"/>
              <w:spacing w:after="60"/>
              <w:ind w:left="72"/>
              <w:rPr>
                <w:bCs/>
                <w:sz w:val="20"/>
                <w:szCs w:val="20"/>
              </w:rPr>
            </w:pPr>
            <w:r w:rsidRPr="008819AF">
              <w:rPr>
                <w:bCs/>
                <w:sz w:val="20"/>
                <w:szCs w:val="20"/>
              </w:rPr>
              <w:t xml:space="preserve">I - celkový vstup;  zistí sa  podľa  vzťahu v bode 3  </w:t>
            </w:r>
          </w:p>
          <w:p w14:paraId="15134C18" w14:textId="77777777" w:rsidR="00620437" w:rsidRPr="008819AF" w:rsidRDefault="00620437" w:rsidP="00620437">
            <w:pPr>
              <w:pStyle w:val="Formuledadoption"/>
              <w:spacing w:before="0" w:after="0"/>
              <w:rPr>
                <w:sz w:val="20"/>
                <w:szCs w:val="20"/>
              </w:rPr>
            </w:pPr>
            <w:r w:rsidRPr="008819AF">
              <w:rPr>
                <w:rFonts w:eastAsia="EUAlbertina-Regular-Identity-H"/>
                <w:b/>
                <w:sz w:val="20"/>
                <w:szCs w:val="20"/>
              </w:rPr>
              <w:t xml:space="preserve">4.1 Emisný podiel celkových emisií </w:t>
            </w:r>
            <w:r w:rsidRPr="008819AF">
              <w:rPr>
                <w:rFonts w:eastAsia="EUAlbertina-Regular-Identity-H"/>
                <w:sz w:val="20"/>
                <w:szCs w:val="20"/>
              </w:rPr>
              <w:t xml:space="preserve">sa vypočíta ako percentuálny podiel množstva celkových emisií a množstva organických rozpúšťadiel ako celkový vstup alebo ako </w:t>
            </w:r>
            <w:r w:rsidRPr="008819AF">
              <w:rPr>
                <w:sz w:val="20"/>
                <w:szCs w:val="20"/>
              </w:rPr>
              <w:t>podiel množstva celkových emisií a množstva alebo veľkosti produkcie podľa toho, ako je ustanovený.</w:t>
            </w:r>
          </w:p>
          <w:p w14:paraId="15134C19" w14:textId="77777777" w:rsidR="00620437" w:rsidRPr="008819AF" w:rsidRDefault="00620437" w:rsidP="00620437">
            <w:pPr>
              <w:spacing w:before="120" w:after="120"/>
              <w:ind w:left="72"/>
              <w:rPr>
                <w:lang w:eastAsia="ar-SA"/>
              </w:rPr>
            </w:pPr>
            <w:r w:rsidRPr="008819AF">
              <w:rPr>
                <w:lang w:eastAsia="ar-SA"/>
              </w:rPr>
              <w:t>EH</w:t>
            </w:r>
            <w:r w:rsidRPr="008819AF">
              <w:rPr>
                <w:vertAlign w:val="subscript"/>
                <w:lang w:eastAsia="ar-SA"/>
              </w:rPr>
              <w:t>c</w:t>
            </w:r>
            <w:r w:rsidRPr="008819AF">
              <w:rPr>
                <w:lang w:eastAsia="ar-SA"/>
              </w:rPr>
              <w:t xml:space="preserve">= E/I x 100     </w:t>
            </w:r>
            <w:r w:rsidRPr="008819AF">
              <w:rPr>
                <w:bCs/>
              </w:rPr>
              <w:t>[</w:t>
            </w:r>
            <w:r w:rsidRPr="008819AF">
              <w:t>%</w:t>
            </w:r>
            <w:r w:rsidRPr="008819AF">
              <w:rPr>
                <w:bCs/>
              </w:rPr>
              <w:t>]</w:t>
            </w:r>
            <w:r w:rsidRPr="008819AF">
              <w:rPr>
                <w:lang w:eastAsia="ar-SA"/>
              </w:rPr>
              <w:t xml:space="preserve">   alebo    </w:t>
            </w:r>
          </w:p>
          <w:p w14:paraId="15134C1A" w14:textId="77777777" w:rsidR="00620437" w:rsidRPr="008819AF" w:rsidRDefault="00620437" w:rsidP="00620437">
            <w:pPr>
              <w:spacing w:before="120" w:after="120"/>
              <w:ind w:left="72"/>
              <w:rPr>
                <w:lang w:eastAsia="ar-SA"/>
              </w:rPr>
            </w:pPr>
            <w:r w:rsidRPr="008819AF">
              <w:rPr>
                <w:lang w:eastAsia="ar-SA"/>
              </w:rPr>
              <w:t>EH</w:t>
            </w:r>
            <w:r w:rsidRPr="008819AF">
              <w:rPr>
                <w:vertAlign w:val="subscript"/>
                <w:lang w:eastAsia="ar-SA"/>
              </w:rPr>
              <w:t>c</w:t>
            </w:r>
            <w:r w:rsidRPr="008819AF">
              <w:rPr>
                <w:lang w:eastAsia="ar-SA"/>
              </w:rPr>
              <w:t xml:space="preserve">= E/P      </w:t>
            </w:r>
            <w:r w:rsidRPr="008819AF">
              <w:rPr>
                <w:bCs/>
              </w:rPr>
              <w:t>[</w:t>
            </w:r>
            <w:r w:rsidRPr="008819AF">
              <w:t>g/kg, g/m</w:t>
            </w:r>
            <w:r w:rsidRPr="008819AF">
              <w:rPr>
                <w:vertAlign w:val="superscript"/>
              </w:rPr>
              <w:t>2</w:t>
            </w:r>
            <w:r w:rsidRPr="008819AF">
              <w:t>, kg/m</w:t>
            </w:r>
            <w:r w:rsidRPr="008819AF">
              <w:rPr>
                <w:vertAlign w:val="superscript"/>
              </w:rPr>
              <w:t>3</w:t>
            </w:r>
            <w:r w:rsidRPr="008819AF">
              <w:t>, kg/t  alebo g/pár</w:t>
            </w:r>
            <w:r w:rsidRPr="008819AF">
              <w:rPr>
                <w:bCs/>
              </w:rPr>
              <w:t>]</w:t>
            </w:r>
          </w:p>
          <w:p w14:paraId="15134C1B" w14:textId="77777777" w:rsidR="00620437" w:rsidRPr="008819AF" w:rsidRDefault="00620437" w:rsidP="00620437">
            <w:pPr>
              <w:pStyle w:val="Odsekzoznamu1"/>
              <w:ind w:left="426"/>
              <w:jc w:val="both"/>
              <w:rPr>
                <w:bCs/>
                <w:sz w:val="20"/>
                <w:szCs w:val="20"/>
              </w:rPr>
            </w:pPr>
            <w:r w:rsidRPr="008819AF">
              <w:rPr>
                <w:bCs/>
                <w:sz w:val="20"/>
                <w:szCs w:val="20"/>
              </w:rPr>
              <w:t>EH</w:t>
            </w:r>
            <w:r w:rsidRPr="008819AF">
              <w:rPr>
                <w:bCs/>
                <w:sz w:val="20"/>
                <w:szCs w:val="20"/>
                <w:vertAlign w:val="subscript"/>
              </w:rPr>
              <w:t xml:space="preserve">C  </w:t>
            </w:r>
            <w:r w:rsidRPr="008819AF">
              <w:rPr>
                <w:bCs/>
                <w:sz w:val="20"/>
                <w:szCs w:val="20"/>
              </w:rPr>
              <w:t xml:space="preserve">- emisná hodnota celkových emisií </w:t>
            </w:r>
          </w:p>
          <w:p w14:paraId="15134C1C" w14:textId="77777777" w:rsidR="00620437" w:rsidRPr="008819AF" w:rsidRDefault="00620437" w:rsidP="00620437">
            <w:pPr>
              <w:ind w:left="426"/>
              <w:rPr>
                <w:lang w:eastAsia="ar-SA"/>
              </w:rPr>
            </w:pPr>
            <w:r w:rsidRPr="008819AF">
              <w:rPr>
                <w:lang w:eastAsia="ar-SA"/>
              </w:rPr>
              <w:t xml:space="preserve">E - množstvo celkových emisií </w:t>
            </w:r>
          </w:p>
          <w:p w14:paraId="15134C1D" w14:textId="77777777" w:rsidR="00620437" w:rsidRPr="008819AF" w:rsidRDefault="00620437" w:rsidP="00620437">
            <w:pPr>
              <w:ind w:left="426"/>
              <w:rPr>
                <w:lang w:eastAsia="ar-SA"/>
              </w:rPr>
            </w:pPr>
            <w:r w:rsidRPr="008819AF">
              <w:rPr>
                <w:lang w:eastAsia="ar-SA"/>
              </w:rPr>
              <w:t xml:space="preserve">I  - celkový vstup;  </w:t>
            </w:r>
            <w:r w:rsidRPr="008819AF">
              <w:rPr>
                <w:bCs/>
              </w:rPr>
              <w:t xml:space="preserve">zistí sa  podľa  vzťahu v bode 3  </w:t>
            </w:r>
          </w:p>
          <w:p w14:paraId="15134C1E" w14:textId="77777777" w:rsidR="00620437" w:rsidRPr="008819AF" w:rsidRDefault="00620437" w:rsidP="00620437">
            <w:pPr>
              <w:ind w:left="426"/>
              <w:rPr>
                <w:lang w:eastAsia="ar-SA"/>
              </w:rPr>
            </w:pPr>
            <w:r w:rsidRPr="008819AF">
              <w:rPr>
                <w:lang w:eastAsia="ar-SA"/>
              </w:rPr>
              <w:t>P - množstvo produktu napr. párov obuvi</w:t>
            </w:r>
          </w:p>
          <w:p w14:paraId="15134C1F" w14:textId="77777777" w:rsidR="00620437" w:rsidRPr="008819AF" w:rsidRDefault="00620437" w:rsidP="00620437">
            <w:pPr>
              <w:pStyle w:val="Formuledadoption"/>
              <w:spacing w:before="0" w:after="0"/>
              <w:rPr>
                <w:sz w:val="20"/>
                <w:szCs w:val="20"/>
              </w:rPr>
            </w:pPr>
            <w:r w:rsidRPr="008819AF">
              <w:rPr>
                <w:b/>
                <w:sz w:val="20"/>
                <w:szCs w:val="20"/>
              </w:rPr>
              <w:t xml:space="preserve">4.2 Plnenie redukčného plánu </w:t>
            </w:r>
            <w:r w:rsidRPr="008819AF">
              <w:rPr>
                <w:sz w:val="20"/>
                <w:szCs w:val="20"/>
              </w:rPr>
              <w:t xml:space="preserve">sa preukazuje porovnaním vypusteného množstva celkových emisií s cieľovými emisiami.  </w:t>
            </w:r>
          </w:p>
          <w:p w14:paraId="15134C20" w14:textId="77777777" w:rsidR="00620437" w:rsidRPr="008819AF" w:rsidRDefault="00620437">
            <w:pPr>
              <w:keepNext/>
              <w:jc w:val="both"/>
              <w:rPr>
                <w:rFonts w:eastAsia="Arial"/>
                <w:i/>
                <w:iCs/>
                <w:lang w:bidi="cs-CZ"/>
              </w:rPr>
            </w:pPr>
          </w:p>
          <w:p w14:paraId="15134C21" w14:textId="77777777" w:rsidR="00132937" w:rsidRPr="008819AF" w:rsidRDefault="00132937" w:rsidP="00132937">
            <w:pPr>
              <w:jc w:val="both"/>
              <w:rPr>
                <w:rFonts w:eastAsia="Arial"/>
              </w:rPr>
            </w:pPr>
            <w:r w:rsidRPr="008819AF">
              <w:rPr>
                <w:rFonts w:eastAsia="Arial"/>
              </w:rPr>
              <w:t>(5)</w:t>
            </w:r>
            <w:r w:rsidRPr="008819AF">
              <w:rPr>
                <w:rFonts w:eastAsia="Arial"/>
              </w:rPr>
              <w:tab/>
              <w:t xml:space="preserve">Podľa schváleného postupu výpočtu ročnej bilancie organických rozpúšťadiel sa množstvo emisie alebo zodpovedajúci výstup organického rozpúšťadla v danom bilančnom prúde, alebo hodnota fyzikálno-chemickej veličiny, ktorá je potrebná na zistenie množstva danej fugitívnej emisie podľa svojho významu, zisťuje </w:t>
            </w:r>
          </w:p>
          <w:p w14:paraId="15134C22" w14:textId="77777777" w:rsidR="00132937" w:rsidRPr="008819AF" w:rsidRDefault="00132937" w:rsidP="00132937">
            <w:pPr>
              <w:jc w:val="both"/>
              <w:rPr>
                <w:rFonts w:eastAsia="Arial"/>
              </w:rPr>
            </w:pPr>
            <w:r w:rsidRPr="008819AF">
              <w:rPr>
                <w:rFonts w:eastAsia="Arial"/>
              </w:rPr>
              <w:t>a)</w:t>
            </w:r>
            <w:r w:rsidRPr="008819AF">
              <w:rPr>
                <w:rFonts w:eastAsia="Arial"/>
              </w:rPr>
              <w:tab/>
              <w:t>priamym meraním množstva emisie alebo ekvivalentnou metódou jej nepriameho merania, alebo ekvivalentným technickým výpočtom, ak možno preukázateľne zistiť a uplatniť reprezentatívnu hodnotu účinnosti zachytávania organického rozpúšťadla v procese,</w:t>
            </w:r>
          </w:p>
          <w:p w14:paraId="15134C23" w14:textId="77777777" w:rsidR="007170C3" w:rsidRPr="008819AF" w:rsidRDefault="00132937" w:rsidP="00132937">
            <w:pPr>
              <w:jc w:val="both"/>
              <w:rPr>
                <w:rFonts w:eastAsia="Arial"/>
                <w:lang w:bidi="cs-CZ"/>
              </w:rPr>
            </w:pPr>
            <w:r w:rsidRPr="008819AF">
              <w:rPr>
                <w:rFonts w:eastAsia="Arial"/>
              </w:rPr>
              <w:t>b)</w:t>
            </w:r>
            <w:r w:rsidRPr="008819AF">
              <w:rPr>
                <w:rFonts w:eastAsia="Arial"/>
              </w:rPr>
              <w:tab/>
              <w:t>krátkym kompletným súborom meraní, chemických analýz alebo iných obdobných technických skúšok daného bilančného prúdu, ktoré nie je potrebné vykonávať opakovane, ak nedôjde k zmene technického zariadenia alebo technológie a súčasne nie je pochybnosť o ich reprezentatívnosti pre daný rok výpočtu ročnej bilancie.</w:t>
            </w:r>
          </w:p>
        </w:tc>
        <w:tc>
          <w:tcPr>
            <w:tcW w:w="709" w:type="dxa"/>
            <w:tcBorders>
              <w:top w:val="single" w:sz="4" w:space="0" w:color="000000"/>
              <w:left w:val="single" w:sz="6" w:space="0" w:color="000000"/>
              <w:bottom w:val="single" w:sz="4" w:space="0" w:color="000000"/>
              <w:right w:val="single" w:sz="6" w:space="0" w:color="000000"/>
            </w:tcBorders>
          </w:tcPr>
          <w:p w14:paraId="15134C24"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4" w:space="0" w:color="000000"/>
              <w:right w:val="single" w:sz="6" w:space="0" w:color="000000"/>
            </w:tcBorders>
          </w:tcPr>
          <w:p w14:paraId="15134C25" w14:textId="77777777" w:rsidR="007170C3" w:rsidRPr="008819AF" w:rsidRDefault="007170C3">
            <w:pPr>
              <w:ind w:left="215" w:hanging="215"/>
              <w:rPr>
                <w:rFonts w:eastAsia="Arial"/>
              </w:rPr>
            </w:pPr>
          </w:p>
        </w:tc>
      </w:tr>
      <w:tr w:rsidR="00F80158" w:rsidRPr="008819AF" w14:paraId="15134C3A" w14:textId="77777777" w:rsidTr="00EC5B90">
        <w:tc>
          <w:tcPr>
            <w:tcW w:w="496" w:type="dxa"/>
            <w:tcBorders>
              <w:top w:val="single" w:sz="6" w:space="0" w:color="000000"/>
              <w:left w:val="single" w:sz="6" w:space="0" w:color="000000"/>
              <w:bottom w:val="single" w:sz="6" w:space="0" w:color="000000"/>
              <w:right w:val="single" w:sz="6" w:space="0" w:color="000000"/>
            </w:tcBorders>
          </w:tcPr>
          <w:p w14:paraId="15134C27"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C28" w14:textId="77777777" w:rsidR="007170C3" w:rsidRPr="008819AF" w:rsidRDefault="006F0418">
            <w:pPr>
              <w:ind w:left="215" w:hanging="215"/>
              <w:rPr>
                <w:rFonts w:eastAsia="Arial"/>
                <w:lang w:bidi="cs-CZ"/>
              </w:rPr>
            </w:pPr>
            <w:r w:rsidRPr="008819AF">
              <w:rPr>
                <w:rFonts w:eastAsia="Arial"/>
                <w:lang w:bidi="cs-CZ"/>
              </w:rPr>
              <w:t>ii) fugitívne emisie sa stanovia krátkym, ale zato komplexným súborom meraní, a nie je potrebné ho opakovať, pokiaľ nedôjde k zmene alebo úprave technického vybavenia.</w:t>
            </w:r>
          </w:p>
        </w:tc>
        <w:tc>
          <w:tcPr>
            <w:tcW w:w="881" w:type="dxa"/>
            <w:tcBorders>
              <w:top w:val="single" w:sz="4" w:space="0" w:color="000000"/>
              <w:left w:val="single" w:sz="6" w:space="0" w:color="000000"/>
              <w:bottom w:val="single" w:sz="6" w:space="0" w:color="000000"/>
              <w:right w:val="single" w:sz="6" w:space="0" w:color="000000"/>
            </w:tcBorders>
          </w:tcPr>
          <w:p w14:paraId="15134C29" w14:textId="77777777" w:rsidR="007170C3" w:rsidRPr="008819AF" w:rsidRDefault="00620437">
            <w:pPr>
              <w:ind w:left="215" w:hanging="215"/>
              <w:rPr>
                <w:rFonts w:eastAsia="Arial"/>
                <w:lang w:bidi="cs-CZ"/>
              </w:rPr>
            </w:pPr>
            <w:r w:rsidRPr="008819AF">
              <w:rPr>
                <w:rFonts w:eastAsia="Arial"/>
                <w:lang w:bidi="cs-CZ"/>
              </w:rPr>
              <w:t>N</w:t>
            </w:r>
          </w:p>
          <w:p w14:paraId="15134C2A" w14:textId="77777777" w:rsidR="007170C3" w:rsidRPr="008819AF" w:rsidRDefault="007170C3">
            <w:pPr>
              <w:rPr>
                <w:rFonts w:eastAsia="Arial"/>
                <w:lang w:bidi="cs-CZ"/>
              </w:rPr>
            </w:pPr>
          </w:p>
        </w:tc>
        <w:tc>
          <w:tcPr>
            <w:tcW w:w="678" w:type="dxa"/>
            <w:tcBorders>
              <w:top w:val="single" w:sz="4" w:space="0" w:color="000000"/>
              <w:left w:val="single" w:sz="6" w:space="0" w:color="000000"/>
              <w:bottom w:val="single" w:sz="6" w:space="0" w:color="000000"/>
              <w:right w:val="single" w:sz="6" w:space="0" w:color="000000"/>
            </w:tcBorders>
          </w:tcPr>
          <w:p w14:paraId="15134C2B" w14:textId="77777777" w:rsidR="007170C3" w:rsidRPr="008819AF" w:rsidRDefault="006F0418">
            <w:pPr>
              <w:rPr>
                <w:rFonts w:eastAsia="Arial"/>
                <w:lang w:bidi="cs-CZ"/>
              </w:rPr>
            </w:pPr>
            <w:r w:rsidRPr="008819AF">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15134C2C" w14:textId="77777777" w:rsidR="007170C3" w:rsidRPr="008819AF" w:rsidRDefault="00132937">
            <w:r w:rsidRPr="008819AF">
              <w:t>§10</w:t>
            </w:r>
          </w:p>
          <w:p w14:paraId="15134C2D" w14:textId="77777777" w:rsidR="00132937" w:rsidRPr="008819AF" w:rsidRDefault="00132937">
            <w:r w:rsidRPr="008819AF">
              <w:t>O4</w:t>
            </w:r>
          </w:p>
          <w:p w14:paraId="15134C2E" w14:textId="77777777" w:rsidR="00132937" w:rsidRPr="008819AF" w:rsidRDefault="00132937"/>
          <w:p w14:paraId="15134C2F" w14:textId="77777777" w:rsidR="00132937" w:rsidRPr="008819AF" w:rsidRDefault="00132937"/>
          <w:p w14:paraId="15134C30" w14:textId="77777777" w:rsidR="00132937" w:rsidRPr="008819AF" w:rsidRDefault="00132937"/>
          <w:p w14:paraId="15134C31" w14:textId="77777777" w:rsidR="00132937" w:rsidRPr="008819AF" w:rsidRDefault="00132937"/>
          <w:p w14:paraId="15134C32" w14:textId="77777777" w:rsidR="00132937" w:rsidRPr="008819AF" w:rsidRDefault="00132937">
            <w:r w:rsidRPr="008819AF">
              <w:t>O5</w:t>
            </w:r>
          </w:p>
        </w:tc>
        <w:tc>
          <w:tcPr>
            <w:tcW w:w="5954" w:type="dxa"/>
            <w:tcBorders>
              <w:top w:val="single" w:sz="4" w:space="0" w:color="000000"/>
              <w:left w:val="single" w:sz="6" w:space="0" w:color="000000"/>
              <w:bottom w:val="single" w:sz="6" w:space="0" w:color="000000"/>
              <w:right w:val="single" w:sz="6" w:space="0" w:color="000000"/>
            </w:tcBorders>
          </w:tcPr>
          <w:p w14:paraId="15134C33" w14:textId="77777777" w:rsidR="00132937" w:rsidRPr="008819AF" w:rsidRDefault="00132937" w:rsidP="00132937">
            <w:pPr>
              <w:jc w:val="both"/>
              <w:rPr>
                <w:rFonts w:eastAsia="Arial"/>
              </w:rPr>
            </w:pPr>
            <w:r w:rsidRPr="008819AF">
              <w:rPr>
                <w:rFonts w:eastAsia="Arial"/>
              </w:rPr>
              <w:lastRenderedPageBreak/>
              <w:t>(4)</w:t>
            </w:r>
            <w:r w:rsidRPr="008819AF">
              <w:rPr>
                <w:rFonts w:eastAsia="Arial"/>
              </w:rPr>
              <w:tab/>
              <w:t>Údaje o dodržaní emisného limitu určeného pre zariadenie používajúce organické rozpúšťadlá pre fugitívne emisie a emisného limitu určeného pre celkové emisie sa zisťujú a preukazujú postupom podľa schválenej ročnej bilancie organických rozpúšťadiel.5)</w:t>
            </w:r>
          </w:p>
          <w:p w14:paraId="15134C34" w14:textId="77777777" w:rsidR="00132937" w:rsidRPr="008819AF" w:rsidRDefault="00132937" w:rsidP="00132937">
            <w:pPr>
              <w:jc w:val="both"/>
              <w:rPr>
                <w:rFonts w:eastAsia="Arial"/>
              </w:rPr>
            </w:pPr>
          </w:p>
          <w:p w14:paraId="15134C35" w14:textId="77777777" w:rsidR="00132937" w:rsidRPr="008819AF" w:rsidRDefault="00132937" w:rsidP="00132937">
            <w:pPr>
              <w:jc w:val="both"/>
              <w:rPr>
                <w:rFonts w:eastAsia="Arial"/>
              </w:rPr>
            </w:pPr>
            <w:r w:rsidRPr="008819AF">
              <w:rPr>
                <w:rFonts w:eastAsia="Arial"/>
              </w:rPr>
              <w:t>(5)</w:t>
            </w:r>
            <w:r w:rsidRPr="008819AF">
              <w:rPr>
                <w:rFonts w:eastAsia="Arial"/>
              </w:rPr>
              <w:tab/>
              <w:t xml:space="preserve">Podľa schváleného postupu výpočtu ročnej bilancie organických rozpúšťadiel sa množstvo emisie alebo zodpovedajúci výstup organického rozpúšťadla v danom bilančnom prúde, alebo hodnota fyzikálno-chemickej veličiny, ktorá je potrebná na zistenie množstva danej fugitívnej emisie podľa svojho významu, zisťuje </w:t>
            </w:r>
          </w:p>
          <w:p w14:paraId="15134C36" w14:textId="77777777" w:rsidR="00132937" w:rsidRPr="008819AF" w:rsidRDefault="00132937" w:rsidP="00132937">
            <w:pPr>
              <w:jc w:val="both"/>
              <w:rPr>
                <w:rFonts w:eastAsia="Arial"/>
              </w:rPr>
            </w:pPr>
            <w:r w:rsidRPr="008819AF">
              <w:rPr>
                <w:rFonts w:eastAsia="Arial"/>
              </w:rPr>
              <w:t>a)</w:t>
            </w:r>
            <w:r w:rsidRPr="008819AF">
              <w:rPr>
                <w:rFonts w:eastAsia="Arial"/>
              </w:rPr>
              <w:tab/>
              <w:t>priamym meraním množstva emisie alebo ekvivalentnou metódou jej nepriameho merania, alebo ekvivalentným technickým výpočtom, ak možno preukázateľne zistiť a uplatniť reprezentatívnu hodnotu účinnosti zachytávania organického rozpúšťadla v procese,</w:t>
            </w:r>
          </w:p>
          <w:p w14:paraId="15134C37" w14:textId="77777777" w:rsidR="007170C3" w:rsidRPr="008819AF" w:rsidRDefault="00132937" w:rsidP="00132937">
            <w:pPr>
              <w:jc w:val="both"/>
              <w:rPr>
                <w:rFonts w:eastAsia="Arial"/>
              </w:rPr>
            </w:pPr>
            <w:r w:rsidRPr="008819AF">
              <w:rPr>
                <w:rFonts w:eastAsia="Arial"/>
              </w:rPr>
              <w:t>b)</w:t>
            </w:r>
            <w:r w:rsidRPr="008819AF">
              <w:rPr>
                <w:rFonts w:eastAsia="Arial"/>
              </w:rPr>
              <w:tab/>
              <w:t>krátkym kompletným súborom meraní, chemických analýz alebo iných obdobných technických skúšok daného bilančného prúdu, ktoré nie je potrebné vykonávať opakovane, ak nedôjde k zmene technického zariadenia alebo technológie a súčasne nie je pochybnosť o ich reprezentatívnosti pre daný rok výpočtu ročnej bilancie.</w:t>
            </w:r>
          </w:p>
        </w:tc>
        <w:tc>
          <w:tcPr>
            <w:tcW w:w="709" w:type="dxa"/>
            <w:tcBorders>
              <w:top w:val="single" w:sz="4" w:space="0" w:color="000000"/>
              <w:left w:val="single" w:sz="6" w:space="0" w:color="000000"/>
              <w:bottom w:val="single" w:sz="6" w:space="0" w:color="000000"/>
              <w:right w:val="single" w:sz="6" w:space="0" w:color="000000"/>
            </w:tcBorders>
          </w:tcPr>
          <w:p w14:paraId="15134C38" w14:textId="77777777" w:rsidR="007170C3" w:rsidRPr="008819AF" w:rsidRDefault="007170C3"/>
        </w:tc>
        <w:tc>
          <w:tcPr>
            <w:tcW w:w="607" w:type="dxa"/>
            <w:tcBorders>
              <w:top w:val="single" w:sz="4" w:space="0" w:color="000000"/>
              <w:left w:val="single" w:sz="6" w:space="0" w:color="000000"/>
              <w:bottom w:val="single" w:sz="6" w:space="0" w:color="000000"/>
              <w:right w:val="single" w:sz="6" w:space="0" w:color="000000"/>
            </w:tcBorders>
          </w:tcPr>
          <w:p w14:paraId="15134C39" w14:textId="77777777" w:rsidR="007170C3" w:rsidRPr="008819AF" w:rsidRDefault="007170C3">
            <w:pPr>
              <w:ind w:left="6"/>
              <w:rPr>
                <w:rFonts w:eastAsia="Arial"/>
              </w:rPr>
            </w:pPr>
          </w:p>
        </w:tc>
      </w:tr>
      <w:tr w:rsidR="00F80158" w:rsidRPr="008819AF" w14:paraId="15134C4B" w14:textId="77777777" w:rsidTr="00EC5B90">
        <w:tc>
          <w:tcPr>
            <w:tcW w:w="496" w:type="dxa"/>
            <w:tcBorders>
              <w:top w:val="single" w:sz="4" w:space="0" w:color="000000"/>
              <w:left w:val="single" w:sz="6" w:space="0" w:color="000000"/>
              <w:bottom w:val="single" w:sz="6" w:space="0" w:color="000000"/>
              <w:right w:val="single" w:sz="6" w:space="0" w:color="000000"/>
            </w:tcBorders>
          </w:tcPr>
          <w:p w14:paraId="15134C3B"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C3C" w14:textId="77777777" w:rsidR="007170C3" w:rsidRPr="008819AF" w:rsidRDefault="006F0418">
            <w:pPr>
              <w:ind w:left="215" w:hanging="215"/>
              <w:rPr>
                <w:rFonts w:eastAsia="Arial"/>
                <w:lang w:bidi="cs-CZ"/>
              </w:rPr>
            </w:pPr>
            <w:r w:rsidRPr="008819AF">
              <w:rPr>
                <w:rFonts w:eastAsia="Arial"/>
                <w:lang w:bidi="cs-CZ"/>
              </w:rPr>
              <w:t>ČASŤ 8</w:t>
            </w:r>
          </w:p>
          <w:p w14:paraId="15134C3D" w14:textId="77777777" w:rsidR="007170C3" w:rsidRPr="008819AF" w:rsidRDefault="006F0418">
            <w:pPr>
              <w:rPr>
                <w:rFonts w:eastAsia="Arial"/>
                <w:i/>
                <w:iCs/>
                <w:lang w:bidi="cs-CZ"/>
              </w:rPr>
            </w:pPr>
            <w:r w:rsidRPr="008819AF">
              <w:rPr>
                <w:rFonts w:eastAsia="Arial"/>
                <w:i/>
                <w:iCs/>
                <w:lang w:bidi="cs-CZ"/>
              </w:rPr>
              <w:t>Posúdenie dodržiavania emisných limitov v odpadových plynoch</w:t>
            </w:r>
          </w:p>
          <w:p w14:paraId="15134C3E" w14:textId="77777777" w:rsidR="007170C3" w:rsidRPr="008819AF" w:rsidRDefault="006F0418">
            <w:pPr>
              <w:ind w:left="215" w:hanging="215"/>
              <w:rPr>
                <w:rFonts w:eastAsia="Arial"/>
                <w:lang w:bidi="cs-CZ"/>
              </w:rPr>
            </w:pPr>
            <w:r w:rsidRPr="008819AF">
              <w:rPr>
                <w:rFonts w:eastAsia="Arial"/>
                <w:lang w:bidi="cs-CZ"/>
              </w:rPr>
              <w:t xml:space="preserve">1. V prípade kontinuálnych meraní sa emisné limity považujú za dodržané, ak: </w:t>
            </w:r>
          </w:p>
          <w:p w14:paraId="15134C3F" w14:textId="77777777" w:rsidR="007170C3" w:rsidRPr="008819AF" w:rsidRDefault="006F0418">
            <w:pPr>
              <w:ind w:left="356" w:hanging="142"/>
              <w:rPr>
                <w:rFonts w:eastAsia="Arial"/>
                <w:lang w:bidi="cs-CZ"/>
              </w:rPr>
            </w:pPr>
            <w:r w:rsidRPr="008819AF">
              <w:rPr>
                <w:rFonts w:eastAsia="Arial"/>
                <w:lang w:bidi="cs-CZ"/>
              </w:rPr>
              <w:t>a) žiadny z aritmetických priemerov všetkých platných odčítaných hodnôt získaných počas 24 hodín prevádzky zariadenia alebo činnosti, s výnimkou nábehu a odstávky a údržby vybavenia, neprevyšuje emisné limity,</w:t>
            </w:r>
          </w:p>
          <w:p w14:paraId="15134C40" w14:textId="77777777" w:rsidR="007170C3" w:rsidRPr="008819AF" w:rsidRDefault="006F0418">
            <w:pPr>
              <w:ind w:left="356" w:hanging="142"/>
              <w:rPr>
                <w:rFonts w:eastAsia="Arial"/>
                <w:lang w:bidi="cs-CZ"/>
              </w:rPr>
            </w:pPr>
            <w:r w:rsidRPr="008819AF">
              <w:rPr>
                <w:rFonts w:eastAsia="Arial"/>
                <w:lang w:bidi="cs-CZ"/>
              </w:rPr>
              <w:t>b) žiadny z hodinových priemerov neprevyšuje emisný limit o viac ako o faktor 1,5.</w:t>
            </w:r>
          </w:p>
        </w:tc>
        <w:tc>
          <w:tcPr>
            <w:tcW w:w="881" w:type="dxa"/>
            <w:tcBorders>
              <w:top w:val="single" w:sz="4" w:space="0" w:color="000000"/>
              <w:left w:val="single" w:sz="6" w:space="0" w:color="000000"/>
              <w:bottom w:val="single" w:sz="6" w:space="0" w:color="000000"/>
              <w:right w:val="single" w:sz="6" w:space="0" w:color="000000"/>
            </w:tcBorders>
          </w:tcPr>
          <w:p w14:paraId="15134C41" w14:textId="77777777" w:rsidR="007170C3" w:rsidRPr="008819AF" w:rsidRDefault="00620437">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15134C42"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15134C43" w14:textId="77777777" w:rsidR="007170C3" w:rsidRPr="008819AF" w:rsidRDefault="00620437">
            <w:r w:rsidRPr="008819AF">
              <w:t>§31</w:t>
            </w:r>
          </w:p>
          <w:p w14:paraId="15134C44" w14:textId="77777777" w:rsidR="00620437" w:rsidRPr="008819AF" w:rsidRDefault="00620437">
            <w:r w:rsidRPr="008819AF">
              <w:t>O1</w:t>
            </w:r>
          </w:p>
        </w:tc>
        <w:tc>
          <w:tcPr>
            <w:tcW w:w="5954" w:type="dxa"/>
            <w:tcBorders>
              <w:top w:val="single" w:sz="4" w:space="0" w:color="000000"/>
              <w:left w:val="single" w:sz="6" w:space="0" w:color="000000"/>
              <w:bottom w:val="single" w:sz="6" w:space="0" w:color="000000"/>
              <w:right w:val="single" w:sz="6" w:space="0" w:color="000000"/>
            </w:tcBorders>
          </w:tcPr>
          <w:p w14:paraId="15134C45" w14:textId="77777777" w:rsidR="00620437" w:rsidRPr="008819AF" w:rsidRDefault="00620437">
            <w:pPr>
              <w:pStyle w:val="Hlavika"/>
              <w:ind w:left="72" w:hanging="1"/>
              <w:jc w:val="both"/>
              <w:rPr>
                <w:rFonts w:ascii="Times New Roman" w:hAnsi="Times New Roman" w:cs="Times New Roman"/>
              </w:rPr>
            </w:pPr>
            <w:r w:rsidRPr="008819AF">
              <w:rPr>
                <w:rFonts w:ascii="Times New Roman" w:eastAsia="Calibri" w:hAnsi="Times New Roman" w:cs="Times New Roman"/>
                <w:b/>
                <w:color w:val="000000"/>
              </w:rPr>
              <w:t>Hodnotenie dodržiavania emisných limitov pre zariadenia používajúce organické rozpúšťadlá</w:t>
            </w:r>
          </w:p>
          <w:p w14:paraId="15134C46" w14:textId="77777777" w:rsidR="00B91E91" w:rsidRPr="008819AF" w:rsidRDefault="00B91E91" w:rsidP="00B91E91">
            <w:pPr>
              <w:spacing w:after="99" w:line="261" w:lineRule="auto"/>
              <w:ind w:left="-15" w:firstLine="15"/>
              <w:jc w:val="both"/>
              <w:rPr>
                <w:rFonts w:eastAsia="Calibri"/>
                <w:noProof/>
              </w:rPr>
            </w:pPr>
            <w:r w:rsidRPr="008819AF">
              <w:rPr>
                <w:rFonts w:eastAsia="Calibri"/>
                <w:noProof/>
              </w:rPr>
              <w:t>(1) Emisný limit pre prchavé organické zlúčeniny v odpadovom plyne sa pri kontinuálnom meraní považuje za dodržaný, ak sú súčasne splnené tieto požiadavky:</w:t>
            </w:r>
          </w:p>
          <w:p w14:paraId="15134C47" w14:textId="77777777" w:rsidR="00B91E91" w:rsidRPr="008819AF" w:rsidRDefault="00B91E91" w:rsidP="00C860FF">
            <w:pPr>
              <w:numPr>
                <w:ilvl w:val="0"/>
                <w:numId w:val="106"/>
              </w:numPr>
              <w:spacing w:after="99" w:line="261" w:lineRule="auto"/>
              <w:ind w:left="0"/>
              <w:jc w:val="both"/>
              <w:rPr>
                <w:rFonts w:eastAsia="Calibri"/>
                <w:noProof/>
              </w:rPr>
            </w:pPr>
            <w:r w:rsidRPr="008819AF">
              <w:rPr>
                <w:rFonts w:eastAsia="Calibri"/>
                <w:noProof/>
              </w:rPr>
              <w:t>žiadna priemerná hodnota za 24 hodín prevádzky zariadenia alebo činnosti okrem nábehu, odstavovania a údržby neprekročí hodnotu emisného limitu; priemerom za 24 hodín sa rozumie aritmetický priemer všetkých platných nameraných hodnôt počas 24 hodín normálnej prevádzky,</w:t>
            </w:r>
          </w:p>
          <w:p w14:paraId="15134C48" w14:textId="77777777" w:rsidR="007170C3" w:rsidRPr="008819AF" w:rsidRDefault="00B91E91" w:rsidP="00C860FF">
            <w:pPr>
              <w:numPr>
                <w:ilvl w:val="0"/>
                <w:numId w:val="106"/>
              </w:numPr>
              <w:spacing w:after="204" w:line="261" w:lineRule="auto"/>
              <w:ind w:left="0"/>
              <w:jc w:val="both"/>
              <w:rPr>
                <w:lang w:bidi="cs-CZ"/>
              </w:rPr>
            </w:pPr>
            <w:r w:rsidRPr="008819AF">
              <w:rPr>
                <w:rFonts w:eastAsia="Calibri"/>
                <w:noProof/>
              </w:rPr>
              <w:t>žiadna hodinová priemerná hodnota neprekročí 1,5-násobok hodnoty emisného limitu.</w:t>
            </w:r>
          </w:p>
        </w:tc>
        <w:tc>
          <w:tcPr>
            <w:tcW w:w="709" w:type="dxa"/>
            <w:tcBorders>
              <w:top w:val="single" w:sz="4" w:space="0" w:color="000000"/>
              <w:left w:val="single" w:sz="6" w:space="0" w:color="000000"/>
              <w:bottom w:val="single" w:sz="6" w:space="0" w:color="000000"/>
              <w:right w:val="single" w:sz="6" w:space="0" w:color="000000"/>
            </w:tcBorders>
          </w:tcPr>
          <w:p w14:paraId="15134C49"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15134C4A" w14:textId="77777777" w:rsidR="007170C3" w:rsidRPr="008819AF" w:rsidRDefault="007170C3">
            <w:pPr>
              <w:ind w:left="215" w:hanging="215"/>
              <w:rPr>
                <w:rFonts w:eastAsia="Arial"/>
              </w:rPr>
            </w:pPr>
          </w:p>
        </w:tc>
      </w:tr>
      <w:tr w:rsidR="00F80158" w:rsidRPr="008819AF" w14:paraId="15134C59" w14:textId="77777777" w:rsidTr="00EC5B90">
        <w:trPr>
          <w:trHeight w:val="1528"/>
        </w:trPr>
        <w:tc>
          <w:tcPr>
            <w:tcW w:w="496" w:type="dxa"/>
            <w:tcBorders>
              <w:top w:val="single" w:sz="4" w:space="0" w:color="000000"/>
              <w:left w:val="single" w:sz="6" w:space="0" w:color="000000"/>
              <w:bottom w:val="single" w:sz="6" w:space="0" w:color="000000"/>
              <w:right w:val="single" w:sz="6" w:space="0" w:color="000000"/>
            </w:tcBorders>
          </w:tcPr>
          <w:p w14:paraId="15134C4C"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C4D" w14:textId="77777777" w:rsidR="007170C3" w:rsidRPr="008819AF" w:rsidRDefault="006F0418">
            <w:pPr>
              <w:ind w:left="215" w:hanging="215"/>
              <w:rPr>
                <w:rFonts w:eastAsia="Arial"/>
                <w:lang w:bidi="cs-CZ"/>
              </w:rPr>
            </w:pPr>
            <w:r w:rsidRPr="008819AF">
              <w:rPr>
                <w:rFonts w:eastAsia="Arial"/>
                <w:lang w:bidi="cs-CZ"/>
              </w:rPr>
              <w:t xml:space="preserve">2.V prípade periodických meraní sa emisné limity považujú za dodržané, ak počas jedného monitorovania: </w:t>
            </w:r>
          </w:p>
          <w:p w14:paraId="15134C4E" w14:textId="77777777" w:rsidR="007170C3" w:rsidRPr="008819AF" w:rsidRDefault="006F0418">
            <w:pPr>
              <w:ind w:left="356" w:hanging="142"/>
              <w:rPr>
                <w:rFonts w:eastAsia="Arial"/>
                <w:lang w:bidi="cs-CZ"/>
              </w:rPr>
            </w:pPr>
            <w:r w:rsidRPr="008819AF">
              <w:rPr>
                <w:rFonts w:eastAsia="Arial"/>
                <w:lang w:bidi="cs-CZ"/>
              </w:rPr>
              <w:t>a) priemer všetkých nameraných hodnôt neprevyšuje emisné limity,</w:t>
            </w:r>
          </w:p>
          <w:p w14:paraId="15134C4F" w14:textId="77777777" w:rsidR="007170C3" w:rsidRPr="008819AF" w:rsidRDefault="006F0418">
            <w:pPr>
              <w:ind w:left="356" w:hanging="142"/>
              <w:rPr>
                <w:rFonts w:eastAsia="Arial"/>
                <w:lang w:bidi="cs-CZ"/>
              </w:rPr>
            </w:pPr>
            <w:r w:rsidRPr="008819AF">
              <w:rPr>
                <w:rFonts w:eastAsia="Arial"/>
                <w:lang w:bidi="cs-CZ"/>
              </w:rPr>
              <w:t>b) žiaden z hodinových priemerov neprevyšuje emisný limit o viac ako o faktor 1,5.</w:t>
            </w:r>
          </w:p>
        </w:tc>
        <w:tc>
          <w:tcPr>
            <w:tcW w:w="881" w:type="dxa"/>
            <w:tcBorders>
              <w:top w:val="single" w:sz="4" w:space="0" w:color="000000"/>
              <w:left w:val="single" w:sz="6" w:space="0" w:color="000000"/>
              <w:bottom w:val="single" w:sz="6" w:space="0" w:color="000000"/>
              <w:right w:val="single" w:sz="6" w:space="0" w:color="000000"/>
            </w:tcBorders>
          </w:tcPr>
          <w:p w14:paraId="15134C50" w14:textId="77777777" w:rsidR="007170C3" w:rsidRPr="008819AF" w:rsidRDefault="00B91E91">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15134C51"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15134C52" w14:textId="77777777" w:rsidR="007170C3" w:rsidRPr="008819AF" w:rsidRDefault="00B91E91">
            <w:r w:rsidRPr="008819AF">
              <w:t>§31</w:t>
            </w:r>
          </w:p>
          <w:p w14:paraId="15134C53" w14:textId="77777777" w:rsidR="00B91E91" w:rsidRPr="008819AF" w:rsidRDefault="00B91E91">
            <w:r w:rsidRPr="008819AF">
              <w:t>O2</w:t>
            </w:r>
          </w:p>
        </w:tc>
        <w:tc>
          <w:tcPr>
            <w:tcW w:w="5954" w:type="dxa"/>
            <w:tcBorders>
              <w:top w:val="single" w:sz="4" w:space="0" w:color="000000"/>
              <w:left w:val="single" w:sz="6" w:space="0" w:color="000000"/>
              <w:bottom w:val="single" w:sz="6" w:space="0" w:color="000000"/>
              <w:right w:val="single" w:sz="6" w:space="0" w:color="000000"/>
            </w:tcBorders>
          </w:tcPr>
          <w:p w14:paraId="15134C54" w14:textId="77777777" w:rsidR="00B91E91" w:rsidRPr="008819AF" w:rsidRDefault="00B91E91" w:rsidP="00B91E91">
            <w:pPr>
              <w:spacing w:after="99" w:line="261" w:lineRule="auto"/>
              <w:ind w:left="-15" w:firstLine="15"/>
              <w:jc w:val="both"/>
              <w:rPr>
                <w:rFonts w:eastAsia="Calibri"/>
                <w:noProof/>
              </w:rPr>
            </w:pPr>
            <w:r w:rsidRPr="008819AF">
              <w:rPr>
                <w:rFonts w:eastAsia="Calibri"/>
                <w:noProof/>
              </w:rPr>
              <w:t>(2) Emisný limit pre prchavé organické zlúčeniny v odpadovom plyne sa pri diskontinuálnom meraní považuje za dodržaný, ak sú súčasne splnené tieto požiadavky:</w:t>
            </w:r>
          </w:p>
          <w:p w14:paraId="15134C55" w14:textId="77777777" w:rsidR="00B91E91" w:rsidRPr="008819AF" w:rsidRDefault="00B91E91" w:rsidP="00C860FF">
            <w:pPr>
              <w:numPr>
                <w:ilvl w:val="0"/>
                <w:numId w:val="107"/>
              </w:numPr>
              <w:spacing w:after="99" w:line="261" w:lineRule="auto"/>
              <w:ind w:left="0"/>
              <w:jc w:val="both"/>
              <w:rPr>
                <w:rFonts w:eastAsia="Calibri"/>
                <w:noProof/>
              </w:rPr>
            </w:pPr>
            <w:r w:rsidRPr="008819AF">
              <w:rPr>
                <w:rFonts w:eastAsia="Calibri"/>
                <w:noProof/>
              </w:rPr>
              <w:t>aritmetický priemer všetkých nameraných hodnôt v danej sérii jednotlivých meraní neprekročí hodnotu emisného limitu,</w:t>
            </w:r>
          </w:p>
          <w:p w14:paraId="15134C56" w14:textId="77777777" w:rsidR="007170C3" w:rsidRPr="008819AF" w:rsidRDefault="00B91E91" w:rsidP="00C860FF">
            <w:pPr>
              <w:numPr>
                <w:ilvl w:val="0"/>
                <w:numId w:val="107"/>
              </w:numPr>
              <w:spacing w:after="204" w:line="261" w:lineRule="auto"/>
              <w:ind w:left="0"/>
              <w:jc w:val="both"/>
              <w:rPr>
                <w:lang w:bidi="cs-CZ"/>
              </w:rPr>
            </w:pPr>
            <w:r w:rsidRPr="008819AF">
              <w:rPr>
                <w:rFonts w:eastAsia="Calibri"/>
                <w:noProof/>
              </w:rPr>
              <w:t>žiadna hodinová priemerná hodnota neprekročí 1,5-násobok hodnoty emisného limitu.</w:t>
            </w:r>
          </w:p>
        </w:tc>
        <w:tc>
          <w:tcPr>
            <w:tcW w:w="709" w:type="dxa"/>
            <w:tcBorders>
              <w:top w:val="single" w:sz="4" w:space="0" w:color="000000"/>
              <w:left w:val="single" w:sz="6" w:space="0" w:color="000000"/>
              <w:bottom w:val="single" w:sz="6" w:space="0" w:color="000000"/>
              <w:right w:val="single" w:sz="6" w:space="0" w:color="000000"/>
            </w:tcBorders>
          </w:tcPr>
          <w:p w14:paraId="15134C57"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15134C58" w14:textId="77777777" w:rsidR="007170C3" w:rsidRPr="008819AF" w:rsidRDefault="007170C3">
            <w:pPr>
              <w:ind w:left="215" w:hanging="215"/>
              <w:rPr>
                <w:rFonts w:eastAsia="Arial"/>
              </w:rPr>
            </w:pPr>
          </w:p>
        </w:tc>
      </w:tr>
      <w:tr w:rsidR="00F80158" w:rsidRPr="008819AF" w14:paraId="15134C64" w14:textId="77777777" w:rsidTr="00EC5B90">
        <w:tc>
          <w:tcPr>
            <w:tcW w:w="496" w:type="dxa"/>
            <w:tcBorders>
              <w:top w:val="single" w:sz="4" w:space="0" w:color="000000"/>
              <w:left w:val="single" w:sz="6" w:space="0" w:color="000000"/>
              <w:bottom w:val="single" w:sz="6" w:space="0" w:color="000000"/>
              <w:right w:val="single" w:sz="6" w:space="0" w:color="000000"/>
            </w:tcBorders>
          </w:tcPr>
          <w:p w14:paraId="15134C5A"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C5B" w14:textId="77777777" w:rsidR="007170C3" w:rsidRPr="008819AF" w:rsidRDefault="006F0418">
            <w:pPr>
              <w:ind w:left="215" w:hanging="215"/>
              <w:rPr>
                <w:rFonts w:eastAsia="Arial"/>
                <w:lang w:bidi="cs-CZ"/>
              </w:rPr>
            </w:pPr>
            <w:r w:rsidRPr="008819AF">
              <w:rPr>
                <w:rFonts w:eastAsia="Arial"/>
                <w:lang w:bidi="cs-CZ"/>
              </w:rPr>
              <w:t xml:space="preserve">3.  Súlad s časťou 4 sa overí na základe súčtu hmotnostných koncentrácií jednotlivých príslušných prchavých organických </w:t>
            </w:r>
            <w:r w:rsidRPr="008819AF">
              <w:rPr>
                <w:rFonts w:eastAsia="Arial"/>
                <w:lang w:bidi="cs-CZ"/>
              </w:rPr>
              <w:lastRenderedPageBreak/>
              <w:t>zlúčenín. Vo všetkých ostatných prípadoch sa dodržanie ustanovení overí na základe celkovej hmotnosti emitovaného organického uhlíka, pokiaľ v časti 2 nie je uvedené inak.</w:t>
            </w:r>
          </w:p>
        </w:tc>
        <w:tc>
          <w:tcPr>
            <w:tcW w:w="881" w:type="dxa"/>
            <w:tcBorders>
              <w:top w:val="single" w:sz="4" w:space="0" w:color="000000"/>
              <w:left w:val="single" w:sz="6" w:space="0" w:color="000000"/>
              <w:bottom w:val="single" w:sz="6" w:space="0" w:color="000000"/>
              <w:right w:val="single" w:sz="6" w:space="0" w:color="000000"/>
            </w:tcBorders>
          </w:tcPr>
          <w:p w14:paraId="15134C5C" w14:textId="77777777" w:rsidR="007170C3" w:rsidRPr="008819AF" w:rsidRDefault="00B91E91">
            <w:pPr>
              <w:ind w:left="215" w:hanging="215"/>
              <w:rPr>
                <w:rFonts w:eastAsia="Arial"/>
                <w:lang w:bidi="cs-CZ"/>
              </w:rPr>
            </w:pPr>
            <w:r w:rsidRPr="008819AF">
              <w:rPr>
                <w:rFonts w:eastAsia="Arial"/>
                <w:lang w:bidi="cs-CZ"/>
              </w:rPr>
              <w:lastRenderedPageBreak/>
              <w:t>N</w:t>
            </w:r>
          </w:p>
        </w:tc>
        <w:tc>
          <w:tcPr>
            <w:tcW w:w="678" w:type="dxa"/>
            <w:tcBorders>
              <w:top w:val="single" w:sz="4" w:space="0" w:color="000000"/>
              <w:left w:val="single" w:sz="6" w:space="0" w:color="000000"/>
              <w:bottom w:val="single" w:sz="6" w:space="0" w:color="000000"/>
              <w:right w:val="single" w:sz="6" w:space="0" w:color="000000"/>
            </w:tcBorders>
          </w:tcPr>
          <w:p w14:paraId="15134C5D"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15134C5E" w14:textId="77777777" w:rsidR="007170C3" w:rsidRPr="008819AF" w:rsidRDefault="00B91E91">
            <w:r w:rsidRPr="008819AF">
              <w:t>§31 O5</w:t>
            </w:r>
          </w:p>
        </w:tc>
        <w:tc>
          <w:tcPr>
            <w:tcW w:w="5954" w:type="dxa"/>
            <w:tcBorders>
              <w:top w:val="single" w:sz="4" w:space="0" w:color="000000"/>
              <w:left w:val="single" w:sz="6" w:space="0" w:color="000000"/>
              <w:bottom w:val="single" w:sz="6" w:space="0" w:color="000000"/>
              <w:right w:val="single" w:sz="6" w:space="0" w:color="000000"/>
            </w:tcBorders>
          </w:tcPr>
          <w:p w14:paraId="15134C5F" w14:textId="77777777" w:rsidR="00B91E91" w:rsidRPr="008819AF" w:rsidRDefault="00B91E91" w:rsidP="00B91E91">
            <w:pPr>
              <w:spacing w:after="120"/>
              <w:jc w:val="both"/>
              <w:rPr>
                <w:rFonts w:eastAsia="Calibri"/>
                <w:noProof/>
              </w:rPr>
            </w:pPr>
            <w:r w:rsidRPr="008819AF">
              <w:rPr>
                <w:rFonts w:eastAsia="Calibri"/>
                <w:noProof/>
              </w:rPr>
              <w:t>(3) Emisné limity pre prchavé organické zlúčeniny v odpadových plynoch sa preukazujú</w:t>
            </w:r>
          </w:p>
          <w:p w14:paraId="15134C60" w14:textId="77777777" w:rsidR="00B91E91" w:rsidRPr="008819AF" w:rsidRDefault="00B91E91" w:rsidP="00C860FF">
            <w:pPr>
              <w:numPr>
                <w:ilvl w:val="0"/>
                <w:numId w:val="108"/>
              </w:numPr>
              <w:spacing w:after="120"/>
              <w:ind w:left="74"/>
              <w:jc w:val="both"/>
              <w:rPr>
                <w:rFonts w:eastAsia="Calibri"/>
                <w:noProof/>
              </w:rPr>
            </w:pPr>
            <w:r w:rsidRPr="008819AF">
              <w:rPr>
                <w:rFonts w:eastAsia="Calibri"/>
                <w:noProof/>
              </w:rPr>
              <w:lastRenderedPageBreak/>
              <w:t>pre súčet hmotnostných koncentrácií jednotlivých organických zlúčenín, ak ide o emisné limity pre znečisťujúce látky zaradené podľa § 28 ods. 1 písm. a) alebo písm. b),</w:t>
            </w:r>
          </w:p>
          <w:p w14:paraId="15134C61" w14:textId="77777777" w:rsidR="007170C3" w:rsidRPr="008819AF" w:rsidRDefault="00B91E91" w:rsidP="00C860FF">
            <w:pPr>
              <w:numPr>
                <w:ilvl w:val="0"/>
                <w:numId w:val="108"/>
              </w:numPr>
              <w:spacing w:after="120"/>
              <w:ind w:left="74"/>
              <w:jc w:val="both"/>
              <w:rPr>
                <w:lang w:bidi="cs-CZ"/>
              </w:rPr>
            </w:pPr>
            <w:r w:rsidRPr="008819AF">
              <w:rPr>
                <w:rFonts w:eastAsia="Calibri"/>
                <w:noProof/>
              </w:rPr>
              <w:t>pre hmotnosť prchavých organických zlúčenín vyjadrenú ako celkový organický uhlík v ostatných prípadoch.</w:t>
            </w:r>
          </w:p>
        </w:tc>
        <w:tc>
          <w:tcPr>
            <w:tcW w:w="709" w:type="dxa"/>
            <w:tcBorders>
              <w:top w:val="single" w:sz="4" w:space="0" w:color="000000"/>
              <w:left w:val="single" w:sz="6" w:space="0" w:color="000000"/>
              <w:bottom w:val="single" w:sz="6" w:space="0" w:color="000000"/>
              <w:right w:val="single" w:sz="6" w:space="0" w:color="000000"/>
            </w:tcBorders>
          </w:tcPr>
          <w:p w14:paraId="15134C62"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15134C63" w14:textId="77777777" w:rsidR="007170C3" w:rsidRPr="008819AF" w:rsidRDefault="007170C3">
            <w:pPr>
              <w:ind w:left="215" w:hanging="215"/>
              <w:rPr>
                <w:rFonts w:eastAsia="Arial"/>
              </w:rPr>
            </w:pPr>
          </w:p>
        </w:tc>
      </w:tr>
      <w:tr w:rsidR="007170C3" w:rsidRPr="008819AF" w14:paraId="15134C6F" w14:textId="77777777" w:rsidTr="00EC5B90">
        <w:tc>
          <w:tcPr>
            <w:tcW w:w="496" w:type="dxa"/>
            <w:tcBorders>
              <w:top w:val="single" w:sz="4" w:space="0" w:color="000000"/>
              <w:left w:val="single" w:sz="6" w:space="0" w:color="000000"/>
              <w:bottom w:val="single" w:sz="6" w:space="0" w:color="000000"/>
              <w:right w:val="single" w:sz="6" w:space="0" w:color="000000"/>
            </w:tcBorders>
          </w:tcPr>
          <w:p w14:paraId="15134C65" w14:textId="77777777" w:rsidR="007170C3" w:rsidRPr="008819AF"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15134C66" w14:textId="77777777" w:rsidR="007170C3" w:rsidRPr="008819AF" w:rsidRDefault="006F0418">
            <w:pPr>
              <w:ind w:left="215" w:hanging="215"/>
              <w:rPr>
                <w:rFonts w:eastAsia="Arial"/>
              </w:rPr>
            </w:pPr>
            <w:r w:rsidRPr="008819AF">
              <w:rPr>
                <w:rFonts w:eastAsia="Arial"/>
                <w:lang w:bidi="cs-CZ"/>
              </w:rPr>
              <w:t>4. Ak je to technicky opodstatnené, môžu byť k odpadovým plynom na účely chladenia alebo riedenia pripočítané objemy plynov, ale tieto objemy sa nesmú brať do úvahy pri určovaní hmotnostnej koncentrácie znečisťujúcich látok v odpadovom plyne.</w:t>
            </w:r>
            <w:r w:rsidRPr="008819AF">
              <w:rPr>
                <w:rFonts w:eastAsia="Arial"/>
              </w:rPr>
              <w:tab/>
            </w:r>
            <w:r w:rsidRPr="008819AF">
              <w:rPr>
                <w:rFonts w:eastAsia="Arial"/>
              </w:rPr>
              <w:tab/>
            </w:r>
          </w:p>
        </w:tc>
        <w:tc>
          <w:tcPr>
            <w:tcW w:w="881" w:type="dxa"/>
            <w:tcBorders>
              <w:top w:val="single" w:sz="4" w:space="0" w:color="000000"/>
              <w:left w:val="single" w:sz="6" w:space="0" w:color="000000"/>
              <w:bottom w:val="single" w:sz="6" w:space="0" w:color="000000"/>
              <w:right w:val="single" w:sz="6" w:space="0" w:color="000000"/>
            </w:tcBorders>
          </w:tcPr>
          <w:p w14:paraId="15134C67" w14:textId="77777777" w:rsidR="007170C3" w:rsidRPr="008819AF" w:rsidRDefault="00B91E91">
            <w:pPr>
              <w:ind w:left="215" w:hanging="215"/>
              <w:rPr>
                <w:rFonts w:eastAsia="Arial"/>
                <w:lang w:bidi="cs-CZ"/>
              </w:rPr>
            </w:pPr>
            <w:r w:rsidRPr="008819AF">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15134C68"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15134C69" w14:textId="77777777" w:rsidR="007170C3" w:rsidRPr="008819AF" w:rsidRDefault="00B91E91">
            <w:r w:rsidRPr="008819AF">
              <w:t>§6</w:t>
            </w:r>
          </w:p>
          <w:p w14:paraId="15134C6A" w14:textId="77777777" w:rsidR="00B91E91" w:rsidRPr="008819AF" w:rsidRDefault="00B91E91">
            <w:r w:rsidRPr="008819AF">
              <w:t>O8</w:t>
            </w:r>
          </w:p>
          <w:p w14:paraId="15134C6B" w14:textId="77777777" w:rsidR="00B91E91" w:rsidRPr="008819AF" w:rsidRDefault="00B91E91"/>
        </w:tc>
        <w:tc>
          <w:tcPr>
            <w:tcW w:w="5954" w:type="dxa"/>
            <w:tcBorders>
              <w:top w:val="single" w:sz="4" w:space="0" w:color="000000"/>
              <w:left w:val="single" w:sz="6" w:space="0" w:color="000000"/>
              <w:bottom w:val="single" w:sz="6" w:space="0" w:color="000000"/>
              <w:right w:val="single" w:sz="6" w:space="0" w:color="000000"/>
            </w:tcBorders>
          </w:tcPr>
          <w:p w14:paraId="15134C6C" w14:textId="77777777" w:rsidR="007170C3" w:rsidRPr="008819AF" w:rsidRDefault="00B91E91" w:rsidP="00B91E91">
            <w:pPr>
              <w:spacing w:after="99" w:line="261" w:lineRule="auto"/>
              <w:jc w:val="both"/>
              <w:rPr>
                <w:lang w:bidi="cs-CZ"/>
              </w:rPr>
            </w:pPr>
            <w:r w:rsidRPr="008819AF">
              <w:rPr>
                <w:rFonts w:eastAsia="Calibri"/>
                <w:noProof/>
              </w:rPr>
              <w:t>(8) Množstvo vzduchu alebo inertného plynu privádzané do zariadenia na ochladzovanie odpadových plynov alebo z dôvodu bezpečnosti sa pri hodnotení dodržania emisných limitov podľa § 20, 25, 31, 34 odčítava. Zrieďovanie na účel znižovania koncentrácie znečisťujúcich látok v odpadových plynoch pre dodržanie emisného limitu nie je prípustné.</w:t>
            </w:r>
          </w:p>
        </w:tc>
        <w:tc>
          <w:tcPr>
            <w:tcW w:w="709" w:type="dxa"/>
            <w:tcBorders>
              <w:top w:val="single" w:sz="4" w:space="0" w:color="000000"/>
              <w:left w:val="single" w:sz="6" w:space="0" w:color="000000"/>
              <w:bottom w:val="single" w:sz="6" w:space="0" w:color="000000"/>
              <w:right w:val="single" w:sz="6" w:space="0" w:color="000000"/>
            </w:tcBorders>
          </w:tcPr>
          <w:p w14:paraId="15134C6D" w14:textId="77777777" w:rsidR="007170C3" w:rsidRPr="008819AF" w:rsidRDefault="007170C3">
            <w:pPr>
              <w:ind w:left="215" w:hanging="215"/>
              <w:rPr>
                <w:rFonts w:eastAsia="Arial"/>
                <w:lang w:bidi="cs-CZ"/>
              </w:rPr>
            </w:pPr>
          </w:p>
        </w:tc>
        <w:tc>
          <w:tcPr>
            <w:tcW w:w="607" w:type="dxa"/>
            <w:tcBorders>
              <w:top w:val="single" w:sz="4" w:space="0" w:color="000000"/>
              <w:left w:val="single" w:sz="6" w:space="0" w:color="000000"/>
              <w:bottom w:val="single" w:sz="6" w:space="0" w:color="000000"/>
              <w:right w:val="single" w:sz="6" w:space="0" w:color="000000"/>
            </w:tcBorders>
          </w:tcPr>
          <w:p w14:paraId="15134C6E" w14:textId="77777777" w:rsidR="007170C3" w:rsidRPr="008819AF" w:rsidRDefault="007170C3">
            <w:pPr>
              <w:ind w:left="215" w:hanging="215"/>
              <w:rPr>
                <w:rFonts w:eastAsia="Arial"/>
              </w:rPr>
            </w:pPr>
          </w:p>
        </w:tc>
      </w:tr>
    </w:tbl>
    <w:p w14:paraId="15134C70" w14:textId="77777777" w:rsidR="007170C3" w:rsidRPr="008819AF" w:rsidRDefault="007170C3">
      <w:pPr>
        <w:rPr>
          <w:rFonts w:ascii="Arial" w:eastAsia="Arial" w:hAnsi="Arial" w:cs="Arial"/>
          <w:sz w:val="16"/>
          <w:szCs w:val="16"/>
          <w:lang w:bidi="cs-CZ"/>
        </w:rPr>
      </w:pPr>
    </w:p>
    <w:p w14:paraId="15134C71" w14:textId="77777777" w:rsidR="007170C3" w:rsidRPr="008819AF" w:rsidRDefault="006F0418">
      <w:pPr>
        <w:rPr>
          <w:rFonts w:ascii="Arial" w:eastAsia="Arial" w:hAnsi="Arial" w:cs="Arial"/>
          <w:sz w:val="16"/>
          <w:szCs w:val="16"/>
          <w:lang w:bidi="cs-CZ"/>
        </w:rPr>
      </w:pPr>
      <w:r w:rsidRPr="008819AF">
        <w:rPr>
          <w:rFonts w:ascii="Arial" w:eastAsia="Arial" w:hAnsi="Arial" w:cs="Arial"/>
          <w:sz w:val="16"/>
          <w:szCs w:val="16"/>
          <w:lang w:bidi="cs-CZ"/>
        </w:rPr>
        <w:br w:type="column"/>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83"/>
        <w:gridCol w:w="4714"/>
        <w:gridCol w:w="759"/>
        <w:gridCol w:w="913"/>
        <w:gridCol w:w="608"/>
        <w:gridCol w:w="5777"/>
        <w:gridCol w:w="760"/>
        <w:gridCol w:w="1064"/>
      </w:tblGrid>
      <w:tr w:rsidR="00F80158" w:rsidRPr="008819AF" w14:paraId="15134C7A" w14:textId="77777777" w:rsidTr="00B91E91">
        <w:trPr>
          <w:trHeight w:val="850"/>
        </w:trPr>
        <w:tc>
          <w:tcPr>
            <w:tcW w:w="637" w:type="dxa"/>
            <w:tcBorders>
              <w:top w:val="single" w:sz="4" w:space="0" w:color="000000"/>
              <w:left w:val="single" w:sz="6" w:space="0" w:color="000000"/>
              <w:bottom w:val="single" w:sz="6" w:space="0" w:color="000000"/>
              <w:right w:val="single" w:sz="6" w:space="0" w:color="000000"/>
            </w:tcBorders>
          </w:tcPr>
          <w:p w14:paraId="15134C72" w14:textId="77777777" w:rsidR="007170C3" w:rsidRPr="008819AF" w:rsidRDefault="006F0418">
            <w:pPr>
              <w:pStyle w:val="Default"/>
              <w:rPr>
                <w:rFonts w:ascii="Times New Roman" w:eastAsia="Arial" w:hAnsi="Times New Roman" w:cs="Times New Roman"/>
                <w:color w:val="auto"/>
                <w:sz w:val="20"/>
                <w:szCs w:val="20"/>
              </w:rPr>
            </w:pPr>
            <w:r w:rsidRPr="008819AF">
              <w:rPr>
                <w:rFonts w:ascii="Times New Roman" w:eastAsia="Arial" w:hAnsi="Times New Roman" w:cs="Times New Roman"/>
                <w:i/>
                <w:iCs/>
                <w:color w:val="auto"/>
                <w:sz w:val="20"/>
                <w:szCs w:val="20"/>
              </w:rPr>
              <w:t>PRÍLOHA VIII</w:t>
            </w:r>
          </w:p>
        </w:tc>
        <w:tc>
          <w:tcPr>
            <w:tcW w:w="4395" w:type="dxa"/>
            <w:tcBorders>
              <w:top w:val="single" w:sz="4" w:space="0" w:color="000000"/>
              <w:left w:val="single" w:sz="6" w:space="0" w:color="000000"/>
              <w:bottom w:val="single" w:sz="6" w:space="0" w:color="000000"/>
              <w:right w:val="single" w:sz="6" w:space="0" w:color="000000"/>
            </w:tcBorders>
          </w:tcPr>
          <w:p w14:paraId="15134C73" w14:textId="77777777" w:rsidR="007170C3" w:rsidRPr="008819AF" w:rsidRDefault="006F0418">
            <w:pPr>
              <w:rPr>
                <w:rFonts w:eastAsia="Arial"/>
              </w:rPr>
            </w:pPr>
            <w:r w:rsidRPr="008819AF">
              <w:rPr>
                <w:rFonts w:eastAsia="Arial"/>
                <w:b/>
                <w:bCs/>
                <w:lang w:bidi="cs-CZ"/>
              </w:rPr>
              <w:t>Technické ustanovenia pre zariadenia, ktoré vyrábajú oxid titaničitý</w:t>
            </w:r>
          </w:p>
        </w:tc>
        <w:tc>
          <w:tcPr>
            <w:tcW w:w="708" w:type="dxa"/>
            <w:tcBorders>
              <w:top w:val="single" w:sz="4" w:space="0" w:color="000000"/>
              <w:left w:val="single" w:sz="6" w:space="0" w:color="000000"/>
              <w:bottom w:val="single" w:sz="6" w:space="0" w:color="000000"/>
              <w:right w:val="single" w:sz="6" w:space="0" w:color="000000"/>
            </w:tcBorders>
          </w:tcPr>
          <w:p w14:paraId="15134C74" w14:textId="77777777" w:rsidR="007170C3" w:rsidRPr="008819AF" w:rsidRDefault="007170C3">
            <w:pPr>
              <w:ind w:left="215" w:hanging="215"/>
              <w:rPr>
                <w:rFonts w:eastAsia="Arial"/>
                <w:lang w:bidi="cs-CZ"/>
              </w:rPr>
            </w:pPr>
          </w:p>
        </w:tc>
        <w:tc>
          <w:tcPr>
            <w:tcW w:w="851" w:type="dxa"/>
            <w:tcBorders>
              <w:top w:val="single" w:sz="4" w:space="0" w:color="000000"/>
              <w:left w:val="single" w:sz="6" w:space="0" w:color="000000"/>
              <w:bottom w:val="single" w:sz="6" w:space="0" w:color="000000"/>
              <w:right w:val="single" w:sz="6" w:space="0" w:color="000000"/>
            </w:tcBorders>
          </w:tcPr>
          <w:p w14:paraId="15134C75" w14:textId="77777777" w:rsidR="007170C3" w:rsidRPr="008819AF" w:rsidRDefault="007170C3">
            <w:pPr>
              <w:ind w:left="215" w:hanging="215"/>
              <w:rPr>
                <w:rFonts w:eastAsia="Arial"/>
                <w:lang w:bidi="cs-CZ"/>
              </w:rPr>
            </w:pPr>
          </w:p>
        </w:tc>
        <w:tc>
          <w:tcPr>
            <w:tcW w:w="567" w:type="dxa"/>
            <w:tcBorders>
              <w:top w:val="single" w:sz="4" w:space="0" w:color="000000"/>
              <w:left w:val="single" w:sz="6" w:space="0" w:color="000000"/>
              <w:bottom w:val="single" w:sz="6" w:space="0" w:color="000000"/>
              <w:right w:val="single" w:sz="6" w:space="0" w:color="000000"/>
            </w:tcBorders>
          </w:tcPr>
          <w:p w14:paraId="15134C76" w14:textId="77777777" w:rsidR="007170C3" w:rsidRPr="008819AF" w:rsidRDefault="007170C3">
            <w:pPr>
              <w:pStyle w:val="BodyText21"/>
              <w:jc w:val="left"/>
              <w:rPr>
                <w:rFonts w:ascii="Times New Roman" w:hAnsi="Times New Roman" w:cs="Times New Roman"/>
              </w:rPr>
            </w:pPr>
          </w:p>
        </w:tc>
        <w:tc>
          <w:tcPr>
            <w:tcW w:w="5386" w:type="dxa"/>
            <w:tcBorders>
              <w:top w:val="single" w:sz="4" w:space="0" w:color="000000"/>
              <w:left w:val="single" w:sz="6" w:space="0" w:color="000000"/>
              <w:bottom w:val="single" w:sz="6" w:space="0" w:color="000000"/>
              <w:right w:val="single" w:sz="6" w:space="0" w:color="000000"/>
            </w:tcBorders>
          </w:tcPr>
          <w:p w14:paraId="15134C77" w14:textId="77777777" w:rsidR="007170C3" w:rsidRPr="008819AF" w:rsidRDefault="007170C3">
            <w:pPr>
              <w:pStyle w:val="Nadpis6"/>
              <w:jc w:val="left"/>
              <w:rPr>
                <w:rFonts w:ascii="Times New Roman" w:hAnsi="Times New Roman" w:cs="Times New Roman"/>
                <w:b w:val="0"/>
                <w:bCs w:val="0"/>
                <w:sz w:val="20"/>
                <w:szCs w:val="20"/>
              </w:rPr>
            </w:pPr>
          </w:p>
        </w:tc>
        <w:tc>
          <w:tcPr>
            <w:tcW w:w="709" w:type="dxa"/>
            <w:tcBorders>
              <w:top w:val="single" w:sz="4" w:space="0" w:color="000000"/>
              <w:left w:val="single" w:sz="6" w:space="0" w:color="000000"/>
              <w:bottom w:val="single" w:sz="6" w:space="0" w:color="000000"/>
              <w:right w:val="single" w:sz="6" w:space="0" w:color="000000"/>
            </w:tcBorders>
          </w:tcPr>
          <w:p w14:paraId="15134C78" w14:textId="77777777" w:rsidR="007170C3" w:rsidRPr="008819AF" w:rsidRDefault="007170C3">
            <w:pPr>
              <w:ind w:left="215" w:hanging="215"/>
              <w:rPr>
                <w:rFonts w:eastAsia="Arial"/>
                <w:lang w:bidi="cs-CZ"/>
              </w:rPr>
            </w:pPr>
          </w:p>
        </w:tc>
        <w:tc>
          <w:tcPr>
            <w:tcW w:w="992" w:type="dxa"/>
            <w:tcBorders>
              <w:top w:val="single" w:sz="4" w:space="0" w:color="000000"/>
              <w:left w:val="single" w:sz="6" w:space="0" w:color="000000"/>
              <w:bottom w:val="single" w:sz="6" w:space="0" w:color="000000"/>
              <w:right w:val="single" w:sz="6" w:space="0" w:color="000000"/>
            </w:tcBorders>
          </w:tcPr>
          <w:p w14:paraId="15134C79" w14:textId="77777777" w:rsidR="007170C3" w:rsidRPr="008819AF" w:rsidRDefault="007170C3">
            <w:pPr>
              <w:ind w:left="215" w:hanging="215"/>
              <w:rPr>
                <w:rFonts w:eastAsia="Arial"/>
              </w:rPr>
            </w:pPr>
          </w:p>
        </w:tc>
      </w:tr>
      <w:tr w:rsidR="00F80158" w:rsidRPr="008819AF" w14:paraId="15134C86" w14:textId="77777777" w:rsidTr="00B91E91">
        <w:tc>
          <w:tcPr>
            <w:tcW w:w="637" w:type="dxa"/>
            <w:tcBorders>
              <w:top w:val="single" w:sz="4" w:space="0" w:color="000000"/>
              <w:left w:val="single" w:sz="6" w:space="0" w:color="000000"/>
              <w:bottom w:val="single" w:sz="6" w:space="0" w:color="000000"/>
              <w:right w:val="single" w:sz="6" w:space="0" w:color="000000"/>
            </w:tcBorders>
          </w:tcPr>
          <w:p w14:paraId="15134C7B" w14:textId="77777777" w:rsidR="007170C3" w:rsidRPr="008819AF" w:rsidRDefault="007170C3">
            <w:pPr>
              <w:ind w:left="215" w:hanging="215"/>
              <w:rPr>
                <w:rFonts w:eastAsia="Arial"/>
                <w:lang w:bidi="cs-CZ"/>
              </w:rPr>
            </w:pPr>
          </w:p>
        </w:tc>
        <w:tc>
          <w:tcPr>
            <w:tcW w:w="4395" w:type="dxa"/>
            <w:tcBorders>
              <w:top w:val="single" w:sz="4" w:space="0" w:color="000000"/>
              <w:left w:val="single" w:sz="6" w:space="0" w:color="000000"/>
              <w:bottom w:val="single" w:sz="6" w:space="0" w:color="000000"/>
              <w:right w:val="single" w:sz="6" w:space="0" w:color="000000"/>
            </w:tcBorders>
          </w:tcPr>
          <w:p w14:paraId="15134C7C" w14:textId="77777777" w:rsidR="007170C3" w:rsidRPr="008819AF" w:rsidRDefault="006F0418">
            <w:pPr>
              <w:ind w:left="215" w:hanging="215"/>
              <w:rPr>
                <w:rFonts w:eastAsia="Arial"/>
                <w:lang w:bidi="cs-CZ"/>
              </w:rPr>
            </w:pPr>
            <w:r w:rsidRPr="008819AF">
              <w:rPr>
                <w:rFonts w:eastAsia="Arial"/>
                <w:lang w:bidi="cs-CZ"/>
              </w:rPr>
              <w:t>ČASŤ 1</w:t>
            </w:r>
          </w:p>
          <w:p w14:paraId="15134C7D" w14:textId="77777777" w:rsidR="007170C3" w:rsidRPr="008819AF" w:rsidRDefault="006F0418">
            <w:pPr>
              <w:ind w:left="215" w:hanging="215"/>
              <w:rPr>
                <w:rFonts w:eastAsia="Arial"/>
                <w:i/>
                <w:iCs/>
                <w:lang w:bidi="cs-CZ"/>
              </w:rPr>
            </w:pPr>
            <w:r w:rsidRPr="008819AF">
              <w:rPr>
                <w:rFonts w:eastAsia="Arial"/>
                <w:i/>
                <w:iCs/>
                <w:lang w:bidi="cs-CZ"/>
              </w:rPr>
              <w:t>Emisné limity pre emisie do vody</w:t>
            </w:r>
          </w:p>
          <w:p w14:paraId="15134C7E" w14:textId="77777777" w:rsidR="007170C3" w:rsidRPr="008819AF" w:rsidRDefault="006F0418">
            <w:pPr>
              <w:ind w:left="215" w:hanging="215"/>
              <w:rPr>
                <w:rFonts w:eastAsia="Arial"/>
                <w:lang w:bidi="cs-CZ"/>
              </w:rPr>
            </w:pPr>
            <w:r w:rsidRPr="008819AF">
              <w:rPr>
                <w:rFonts w:eastAsia="Arial"/>
                <w:lang w:bidi="cs-CZ"/>
              </w:rPr>
              <w:t xml:space="preserve">1.  V prípade zariadení, ktoré používajú sulfátový proces (ako ročný priemer): </w:t>
            </w:r>
          </w:p>
          <w:p w14:paraId="15134C7F" w14:textId="77777777" w:rsidR="007170C3" w:rsidRPr="008819AF" w:rsidRDefault="006F0418">
            <w:pPr>
              <w:ind w:left="215" w:hanging="1"/>
              <w:rPr>
                <w:rFonts w:eastAsia="Arial"/>
              </w:rPr>
            </w:pPr>
            <w:r w:rsidRPr="008819AF">
              <w:rPr>
                <w:rFonts w:eastAsia="Arial"/>
                <w:lang w:bidi="cs-CZ"/>
              </w:rPr>
              <w:t>550 kg síranu na tonu vyrobeného oxidu titaničitého.</w:t>
            </w:r>
          </w:p>
        </w:tc>
        <w:tc>
          <w:tcPr>
            <w:tcW w:w="708" w:type="dxa"/>
            <w:tcBorders>
              <w:top w:val="single" w:sz="4" w:space="0" w:color="000000"/>
              <w:left w:val="single" w:sz="6" w:space="0" w:color="000000"/>
              <w:bottom w:val="single" w:sz="6" w:space="0" w:color="000000"/>
              <w:right w:val="single" w:sz="6" w:space="0" w:color="000000"/>
            </w:tcBorders>
          </w:tcPr>
          <w:p w14:paraId="15134C80" w14:textId="77777777" w:rsidR="007170C3" w:rsidRPr="008819AF" w:rsidRDefault="007170C3">
            <w:pPr>
              <w:ind w:left="215" w:hanging="215"/>
              <w:rPr>
                <w:rFonts w:eastAsia="Arial"/>
                <w:lang w:bidi="cs-CZ"/>
              </w:rPr>
            </w:pPr>
          </w:p>
        </w:tc>
        <w:tc>
          <w:tcPr>
            <w:tcW w:w="851" w:type="dxa"/>
            <w:tcBorders>
              <w:top w:val="single" w:sz="4" w:space="0" w:color="000000"/>
              <w:left w:val="single" w:sz="6" w:space="0" w:color="000000"/>
              <w:bottom w:val="single" w:sz="6" w:space="0" w:color="000000"/>
              <w:right w:val="single" w:sz="6" w:space="0" w:color="000000"/>
            </w:tcBorders>
          </w:tcPr>
          <w:p w14:paraId="15134C81" w14:textId="77777777" w:rsidR="007170C3" w:rsidRPr="008819AF" w:rsidRDefault="007170C3">
            <w:pPr>
              <w:ind w:left="215" w:hanging="215"/>
              <w:rPr>
                <w:rFonts w:eastAsia="Arial"/>
                <w:lang w:bidi="cs-CZ"/>
              </w:rPr>
            </w:pPr>
          </w:p>
        </w:tc>
        <w:tc>
          <w:tcPr>
            <w:tcW w:w="567" w:type="dxa"/>
            <w:tcBorders>
              <w:top w:val="single" w:sz="4" w:space="0" w:color="000000"/>
              <w:left w:val="single" w:sz="6" w:space="0" w:color="000000"/>
              <w:bottom w:val="single" w:sz="6" w:space="0" w:color="000000"/>
              <w:right w:val="single" w:sz="6" w:space="0" w:color="000000"/>
            </w:tcBorders>
          </w:tcPr>
          <w:p w14:paraId="15134C82" w14:textId="77777777" w:rsidR="007170C3" w:rsidRPr="008819AF" w:rsidRDefault="007170C3">
            <w:pPr>
              <w:pStyle w:val="BodyText21"/>
              <w:jc w:val="left"/>
              <w:rPr>
                <w:rFonts w:ascii="Times New Roman" w:hAnsi="Times New Roman" w:cs="Times New Roman"/>
              </w:rPr>
            </w:pPr>
          </w:p>
        </w:tc>
        <w:tc>
          <w:tcPr>
            <w:tcW w:w="5386" w:type="dxa"/>
            <w:tcBorders>
              <w:top w:val="single" w:sz="4" w:space="0" w:color="000000"/>
              <w:left w:val="single" w:sz="6" w:space="0" w:color="000000"/>
              <w:bottom w:val="single" w:sz="6" w:space="0" w:color="000000"/>
              <w:right w:val="single" w:sz="6" w:space="0" w:color="000000"/>
            </w:tcBorders>
          </w:tcPr>
          <w:p w14:paraId="15134C83" w14:textId="77777777" w:rsidR="007170C3" w:rsidRPr="008819AF" w:rsidRDefault="007170C3">
            <w:pPr>
              <w:pStyle w:val="Nadpis6"/>
              <w:jc w:val="left"/>
              <w:rPr>
                <w:rFonts w:ascii="Times New Roman" w:hAnsi="Times New Roman" w:cs="Times New Roman"/>
                <w:b w:val="0"/>
                <w:bCs w:val="0"/>
                <w:sz w:val="20"/>
                <w:szCs w:val="20"/>
              </w:rPr>
            </w:pPr>
          </w:p>
        </w:tc>
        <w:tc>
          <w:tcPr>
            <w:tcW w:w="709" w:type="dxa"/>
            <w:tcBorders>
              <w:top w:val="single" w:sz="4" w:space="0" w:color="000000"/>
              <w:left w:val="single" w:sz="6" w:space="0" w:color="000000"/>
              <w:bottom w:val="single" w:sz="6" w:space="0" w:color="000000"/>
              <w:right w:val="single" w:sz="6" w:space="0" w:color="000000"/>
            </w:tcBorders>
          </w:tcPr>
          <w:p w14:paraId="15134C84" w14:textId="77777777" w:rsidR="007170C3" w:rsidRPr="008819AF" w:rsidRDefault="007170C3">
            <w:pPr>
              <w:ind w:left="215" w:hanging="215"/>
              <w:rPr>
                <w:rFonts w:eastAsia="Arial"/>
                <w:lang w:bidi="cs-CZ"/>
              </w:rPr>
            </w:pPr>
          </w:p>
        </w:tc>
        <w:tc>
          <w:tcPr>
            <w:tcW w:w="992" w:type="dxa"/>
            <w:tcBorders>
              <w:top w:val="single" w:sz="4" w:space="0" w:color="000000"/>
              <w:left w:val="single" w:sz="6" w:space="0" w:color="000000"/>
              <w:bottom w:val="single" w:sz="6" w:space="0" w:color="000000"/>
              <w:right w:val="single" w:sz="6" w:space="0" w:color="000000"/>
            </w:tcBorders>
          </w:tcPr>
          <w:p w14:paraId="15134C85" w14:textId="77777777" w:rsidR="007170C3" w:rsidRPr="008819AF" w:rsidRDefault="007170C3">
            <w:pPr>
              <w:ind w:left="215" w:hanging="215"/>
              <w:rPr>
                <w:rFonts w:eastAsia="Arial"/>
              </w:rPr>
            </w:pPr>
          </w:p>
        </w:tc>
      </w:tr>
      <w:tr w:rsidR="00F80158" w:rsidRPr="008819AF" w14:paraId="15134C92" w14:textId="77777777" w:rsidTr="00B91E91">
        <w:tc>
          <w:tcPr>
            <w:tcW w:w="637" w:type="dxa"/>
            <w:tcBorders>
              <w:top w:val="single" w:sz="4" w:space="0" w:color="000000"/>
              <w:left w:val="single" w:sz="6" w:space="0" w:color="000000"/>
              <w:bottom w:val="single" w:sz="6" w:space="0" w:color="000000"/>
              <w:right w:val="single" w:sz="6" w:space="0" w:color="000000"/>
            </w:tcBorders>
          </w:tcPr>
          <w:p w14:paraId="15134C87" w14:textId="77777777" w:rsidR="007170C3" w:rsidRPr="008819AF" w:rsidRDefault="007170C3">
            <w:pPr>
              <w:ind w:left="215" w:hanging="215"/>
              <w:rPr>
                <w:rFonts w:eastAsia="Arial"/>
                <w:lang w:bidi="cs-CZ"/>
              </w:rPr>
            </w:pPr>
          </w:p>
        </w:tc>
        <w:tc>
          <w:tcPr>
            <w:tcW w:w="4395" w:type="dxa"/>
            <w:tcBorders>
              <w:top w:val="single" w:sz="4" w:space="0" w:color="000000"/>
              <w:left w:val="single" w:sz="6" w:space="0" w:color="000000"/>
              <w:bottom w:val="single" w:sz="6" w:space="0" w:color="000000"/>
              <w:right w:val="single" w:sz="6" w:space="0" w:color="000000"/>
            </w:tcBorders>
          </w:tcPr>
          <w:p w14:paraId="15134C88" w14:textId="77777777" w:rsidR="007170C3" w:rsidRPr="008819AF" w:rsidRDefault="006F0418">
            <w:pPr>
              <w:ind w:left="215" w:hanging="215"/>
              <w:rPr>
                <w:rFonts w:eastAsia="Arial"/>
                <w:lang w:bidi="cs-CZ"/>
              </w:rPr>
            </w:pPr>
            <w:r w:rsidRPr="008819AF">
              <w:rPr>
                <w:rFonts w:eastAsia="Arial"/>
                <w:lang w:bidi="cs-CZ"/>
              </w:rPr>
              <w:t xml:space="preserve">2. V prípade zariadení, ktoré používajú chloridový proces (ako ročný priemer): </w:t>
            </w:r>
          </w:p>
          <w:p w14:paraId="15134C89" w14:textId="77777777" w:rsidR="007170C3" w:rsidRPr="008819AF" w:rsidRDefault="006F0418">
            <w:pPr>
              <w:ind w:left="497" w:hanging="283"/>
              <w:rPr>
                <w:rFonts w:eastAsia="Arial"/>
                <w:lang w:bidi="cs-CZ"/>
              </w:rPr>
            </w:pPr>
            <w:r w:rsidRPr="008819AF">
              <w:rPr>
                <w:rFonts w:eastAsia="Arial"/>
                <w:lang w:bidi="cs-CZ"/>
              </w:rPr>
              <w:t>a) 130 kg chloridu na tonu oxidu titaničitého vyrobeného pri používaní neutrálneho rutilu,</w:t>
            </w:r>
          </w:p>
          <w:p w14:paraId="15134C8A" w14:textId="77777777" w:rsidR="007170C3" w:rsidRPr="008819AF" w:rsidRDefault="006F0418">
            <w:pPr>
              <w:ind w:left="497" w:hanging="283"/>
              <w:rPr>
                <w:rFonts w:eastAsia="Arial"/>
                <w:lang w:bidi="cs-CZ"/>
              </w:rPr>
            </w:pPr>
            <w:r w:rsidRPr="008819AF">
              <w:rPr>
                <w:rFonts w:eastAsia="Arial"/>
                <w:lang w:bidi="cs-CZ"/>
              </w:rPr>
              <w:t>b) 228 kg chloridu na tonu oxidu titaničitého vyrobeného pri používaní syntetického rutilu,</w:t>
            </w:r>
          </w:p>
          <w:p w14:paraId="15134C8B" w14:textId="77777777" w:rsidR="007170C3" w:rsidRPr="008819AF" w:rsidRDefault="006F0418">
            <w:pPr>
              <w:ind w:left="497" w:hanging="283"/>
              <w:rPr>
                <w:rFonts w:eastAsia="Arial"/>
                <w:lang w:bidi="cs-CZ"/>
              </w:rPr>
            </w:pPr>
            <w:r w:rsidRPr="008819AF">
              <w:rPr>
                <w:rFonts w:eastAsia="Arial"/>
                <w:lang w:bidi="cs-CZ"/>
              </w:rPr>
              <w:t>c) 330 kg chloridu na tonu oxidu titaničitého vyrobeného pri používaní strusky. Pre zariadenia vypúšťajúce odpad do slanej vody (v ústí riek, v pobrežných vodách, na otvorenom mori) môže byť stanovená emisný limit 450 kg chloridu na tonu oxidu titaničitého vyrobeného pri používaní strusky.</w:t>
            </w:r>
          </w:p>
        </w:tc>
        <w:tc>
          <w:tcPr>
            <w:tcW w:w="708" w:type="dxa"/>
            <w:tcBorders>
              <w:top w:val="single" w:sz="4" w:space="0" w:color="000000"/>
              <w:left w:val="single" w:sz="6" w:space="0" w:color="000000"/>
              <w:bottom w:val="single" w:sz="6" w:space="0" w:color="000000"/>
              <w:right w:val="single" w:sz="6" w:space="0" w:color="000000"/>
            </w:tcBorders>
          </w:tcPr>
          <w:p w14:paraId="15134C8C" w14:textId="77777777" w:rsidR="007170C3" w:rsidRPr="008819AF" w:rsidRDefault="007170C3">
            <w:pPr>
              <w:ind w:left="215" w:hanging="215"/>
              <w:rPr>
                <w:rFonts w:eastAsia="Arial"/>
                <w:lang w:bidi="cs-CZ"/>
              </w:rPr>
            </w:pPr>
          </w:p>
        </w:tc>
        <w:tc>
          <w:tcPr>
            <w:tcW w:w="851" w:type="dxa"/>
            <w:tcBorders>
              <w:top w:val="single" w:sz="4" w:space="0" w:color="000000"/>
              <w:left w:val="single" w:sz="6" w:space="0" w:color="000000"/>
              <w:bottom w:val="single" w:sz="6" w:space="0" w:color="000000"/>
              <w:right w:val="single" w:sz="6" w:space="0" w:color="000000"/>
            </w:tcBorders>
          </w:tcPr>
          <w:p w14:paraId="15134C8D" w14:textId="77777777" w:rsidR="007170C3" w:rsidRPr="008819AF" w:rsidRDefault="007170C3">
            <w:pPr>
              <w:ind w:left="215" w:hanging="215"/>
              <w:rPr>
                <w:rFonts w:eastAsia="Arial"/>
                <w:lang w:bidi="cs-CZ"/>
              </w:rPr>
            </w:pPr>
          </w:p>
        </w:tc>
        <w:tc>
          <w:tcPr>
            <w:tcW w:w="567" w:type="dxa"/>
            <w:tcBorders>
              <w:top w:val="single" w:sz="4" w:space="0" w:color="000000"/>
              <w:left w:val="single" w:sz="6" w:space="0" w:color="000000"/>
              <w:bottom w:val="single" w:sz="6" w:space="0" w:color="000000"/>
              <w:right w:val="single" w:sz="6" w:space="0" w:color="000000"/>
            </w:tcBorders>
          </w:tcPr>
          <w:p w14:paraId="15134C8E" w14:textId="77777777" w:rsidR="007170C3" w:rsidRPr="008819AF" w:rsidRDefault="007170C3">
            <w:pPr>
              <w:pStyle w:val="BodyText21"/>
              <w:jc w:val="left"/>
              <w:rPr>
                <w:rFonts w:ascii="Times New Roman" w:hAnsi="Times New Roman" w:cs="Times New Roman"/>
              </w:rPr>
            </w:pPr>
          </w:p>
        </w:tc>
        <w:tc>
          <w:tcPr>
            <w:tcW w:w="5386" w:type="dxa"/>
            <w:tcBorders>
              <w:top w:val="single" w:sz="4" w:space="0" w:color="000000"/>
              <w:left w:val="single" w:sz="6" w:space="0" w:color="000000"/>
              <w:bottom w:val="single" w:sz="6" w:space="0" w:color="000000"/>
              <w:right w:val="single" w:sz="6" w:space="0" w:color="000000"/>
            </w:tcBorders>
          </w:tcPr>
          <w:p w14:paraId="15134C8F" w14:textId="77777777" w:rsidR="007170C3" w:rsidRPr="008819AF" w:rsidRDefault="007170C3">
            <w:pPr>
              <w:pStyle w:val="Nadpis6"/>
              <w:jc w:val="left"/>
              <w:rPr>
                <w:rFonts w:ascii="Times New Roman" w:hAnsi="Times New Roman" w:cs="Times New Roman"/>
                <w:b w:val="0"/>
                <w:bCs w:val="0"/>
                <w:sz w:val="20"/>
                <w:szCs w:val="20"/>
              </w:rPr>
            </w:pPr>
          </w:p>
        </w:tc>
        <w:tc>
          <w:tcPr>
            <w:tcW w:w="709" w:type="dxa"/>
            <w:tcBorders>
              <w:top w:val="single" w:sz="4" w:space="0" w:color="000000"/>
              <w:left w:val="single" w:sz="6" w:space="0" w:color="000000"/>
              <w:bottom w:val="single" w:sz="6" w:space="0" w:color="000000"/>
              <w:right w:val="single" w:sz="6" w:space="0" w:color="000000"/>
            </w:tcBorders>
          </w:tcPr>
          <w:p w14:paraId="15134C90" w14:textId="77777777" w:rsidR="007170C3" w:rsidRPr="008819AF" w:rsidRDefault="007170C3">
            <w:pPr>
              <w:ind w:left="215" w:hanging="215"/>
              <w:rPr>
                <w:rFonts w:eastAsia="Arial"/>
                <w:lang w:bidi="cs-CZ"/>
              </w:rPr>
            </w:pPr>
          </w:p>
        </w:tc>
        <w:tc>
          <w:tcPr>
            <w:tcW w:w="992" w:type="dxa"/>
            <w:tcBorders>
              <w:top w:val="single" w:sz="4" w:space="0" w:color="000000"/>
              <w:left w:val="single" w:sz="6" w:space="0" w:color="000000"/>
              <w:bottom w:val="single" w:sz="6" w:space="0" w:color="000000"/>
              <w:right w:val="single" w:sz="6" w:space="0" w:color="000000"/>
            </w:tcBorders>
          </w:tcPr>
          <w:p w14:paraId="15134C91" w14:textId="77777777" w:rsidR="007170C3" w:rsidRPr="008819AF" w:rsidRDefault="007170C3">
            <w:pPr>
              <w:ind w:left="215" w:hanging="215"/>
              <w:rPr>
                <w:rFonts w:eastAsia="Arial"/>
              </w:rPr>
            </w:pPr>
          </w:p>
        </w:tc>
      </w:tr>
      <w:tr w:rsidR="00F80158" w:rsidRPr="008819AF" w14:paraId="15134C9B" w14:textId="77777777" w:rsidTr="00B91E91">
        <w:tc>
          <w:tcPr>
            <w:tcW w:w="637" w:type="dxa"/>
            <w:tcBorders>
              <w:top w:val="single" w:sz="4" w:space="0" w:color="000000"/>
              <w:left w:val="single" w:sz="6" w:space="0" w:color="000000"/>
              <w:bottom w:val="single" w:sz="6" w:space="0" w:color="000000"/>
              <w:right w:val="single" w:sz="6" w:space="0" w:color="000000"/>
            </w:tcBorders>
          </w:tcPr>
          <w:p w14:paraId="15134C93" w14:textId="77777777" w:rsidR="007170C3" w:rsidRPr="008819AF" w:rsidRDefault="007170C3">
            <w:pPr>
              <w:ind w:left="215" w:hanging="215"/>
              <w:rPr>
                <w:rFonts w:eastAsia="Arial"/>
                <w:lang w:bidi="cs-CZ"/>
              </w:rPr>
            </w:pPr>
          </w:p>
        </w:tc>
        <w:tc>
          <w:tcPr>
            <w:tcW w:w="4395" w:type="dxa"/>
            <w:tcBorders>
              <w:top w:val="single" w:sz="4" w:space="0" w:color="000000"/>
              <w:left w:val="single" w:sz="6" w:space="0" w:color="000000"/>
              <w:bottom w:val="single" w:sz="6" w:space="0" w:color="000000"/>
              <w:right w:val="single" w:sz="6" w:space="0" w:color="000000"/>
            </w:tcBorders>
          </w:tcPr>
          <w:p w14:paraId="15134C94" w14:textId="77777777" w:rsidR="007170C3" w:rsidRPr="008819AF" w:rsidRDefault="006F0418">
            <w:pPr>
              <w:ind w:left="215" w:hanging="215"/>
              <w:rPr>
                <w:rFonts w:eastAsia="Arial"/>
              </w:rPr>
            </w:pPr>
            <w:r w:rsidRPr="008819AF">
              <w:rPr>
                <w:rFonts w:eastAsia="Arial"/>
                <w:lang w:bidi="cs-CZ"/>
              </w:rPr>
              <w:t>3. Pre zariadenia, ktoré používajú chloridový proces a viac ako jeden druh rudy, platia emisné limity v bode 2 podľa pomeru množstva použitých rúd.</w:t>
            </w:r>
          </w:p>
        </w:tc>
        <w:tc>
          <w:tcPr>
            <w:tcW w:w="708" w:type="dxa"/>
            <w:tcBorders>
              <w:top w:val="single" w:sz="4" w:space="0" w:color="000000"/>
              <w:left w:val="single" w:sz="6" w:space="0" w:color="000000"/>
              <w:bottom w:val="single" w:sz="6" w:space="0" w:color="000000"/>
              <w:right w:val="single" w:sz="6" w:space="0" w:color="000000"/>
            </w:tcBorders>
          </w:tcPr>
          <w:p w14:paraId="15134C95" w14:textId="77777777" w:rsidR="007170C3" w:rsidRPr="008819AF" w:rsidRDefault="007170C3">
            <w:pPr>
              <w:ind w:left="215" w:hanging="215"/>
              <w:rPr>
                <w:rFonts w:eastAsia="Arial"/>
                <w:lang w:bidi="cs-CZ"/>
              </w:rPr>
            </w:pPr>
          </w:p>
        </w:tc>
        <w:tc>
          <w:tcPr>
            <w:tcW w:w="851" w:type="dxa"/>
            <w:tcBorders>
              <w:top w:val="single" w:sz="4" w:space="0" w:color="000000"/>
              <w:left w:val="single" w:sz="6" w:space="0" w:color="000000"/>
              <w:bottom w:val="single" w:sz="6" w:space="0" w:color="000000"/>
              <w:right w:val="single" w:sz="6" w:space="0" w:color="000000"/>
            </w:tcBorders>
          </w:tcPr>
          <w:p w14:paraId="15134C96" w14:textId="77777777" w:rsidR="007170C3" w:rsidRPr="008819AF" w:rsidRDefault="007170C3">
            <w:pPr>
              <w:ind w:left="215" w:hanging="215"/>
              <w:rPr>
                <w:rFonts w:eastAsia="Arial"/>
                <w:lang w:bidi="cs-CZ"/>
              </w:rPr>
            </w:pPr>
          </w:p>
        </w:tc>
        <w:tc>
          <w:tcPr>
            <w:tcW w:w="567" w:type="dxa"/>
            <w:tcBorders>
              <w:top w:val="single" w:sz="4" w:space="0" w:color="000000"/>
              <w:left w:val="single" w:sz="6" w:space="0" w:color="000000"/>
              <w:bottom w:val="single" w:sz="6" w:space="0" w:color="000000"/>
              <w:right w:val="single" w:sz="6" w:space="0" w:color="000000"/>
            </w:tcBorders>
          </w:tcPr>
          <w:p w14:paraId="15134C97" w14:textId="77777777" w:rsidR="007170C3" w:rsidRPr="008819AF" w:rsidRDefault="007170C3">
            <w:pPr>
              <w:pStyle w:val="BodyText21"/>
              <w:jc w:val="left"/>
              <w:rPr>
                <w:rFonts w:ascii="Times New Roman" w:hAnsi="Times New Roman" w:cs="Times New Roman"/>
              </w:rPr>
            </w:pPr>
          </w:p>
        </w:tc>
        <w:tc>
          <w:tcPr>
            <w:tcW w:w="5386" w:type="dxa"/>
            <w:tcBorders>
              <w:top w:val="single" w:sz="4" w:space="0" w:color="000000"/>
              <w:left w:val="single" w:sz="6" w:space="0" w:color="000000"/>
              <w:bottom w:val="single" w:sz="6" w:space="0" w:color="000000"/>
              <w:right w:val="single" w:sz="6" w:space="0" w:color="000000"/>
            </w:tcBorders>
          </w:tcPr>
          <w:p w14:paraId="15134C98" w14:textId="77777777" w:rsidR="007170C3" w:rsidRPr="008819AF" w:rsidRDefault="007170C3">
            <w:pPr>
              <w:pStyle w:val="Nadpis6"/>
              <w:jc w:val="left"/>
              <w:rPr>
                <w:rFonts w:ascii="Times New Roman" w:hAnsi="Times New Roman" w:cs="Times New Roman"/>
                <w:b w:val="0"/>
                <w:bCs w:val="0"/>
                <w:sz w:val="20"/>
                <w:szCs w:val="20"/>
              </w:rPr>
            </w:pPr>
          </w:p>
        </w:tc>
        <w:tc>
          <w:tcPr>
            <w:tcW w:w="709" w:type="dxa"/>
            <w:tcBorders>
              <w:top w:val="single" w:sz="4" w:space="0" w:color="000000"/>
              <w:left w:val="single" w:sz="6" w:space="0" w:color="000000"/>
              <w:bottom w:val="single" w:sz="6" w:space="0" w:color="000000"/>
              <w:right w:val="single" w:sz="6" w:space="0" w:color="000000"/>
            </w:tcBorders>
          </w:tcPr>
          <w:p w14:paraId="15134C99" w14:textId="77777777" w:rsidR="007170C3" w:rsidRPr="008819AF" w:rsidRDefault="007170C3">
            <w:pPr>
              <w:ind w:left="215" w:hanging="215"/>
              <w:rPr>
                <w:rFonts w:eastAsia="Arial"/>
                <w:lang w:bidi="cs-CZ"/>
              </w:rPr>
            </w:pPr>
          </w:p>
        </w:tc>
        <w:tc>
          <w:tcPr>
            <w:tcW w:w="992" w:type="dxa"/>
            <w:tcBorders>
              <w:top w:val="single" w:sz="4" w:space="0" w:color="000000"/>
              <w:left w:val="single" w:sz="6" w:space="0" w:color="000000"/>
              <w:bottom w:val="single" w:sz="6" w:space="0" w:color="000000"/>
              <w:right w:val="single" w:sz="6" w:space="0" w:color="000000"/>
            </w:tcBorders>
          </w:tcPr>
          <w:p w14:paraId="15134C9A" w14:textId="77777777" w:rsidR="007170C3" w:rsidRPr="008819AF" w:rsidRDefault="007170C3">
            <w:pPr>
              <w:ind w:left="215" w:hanging="215"/>
              <w:rPr>
                <w:rFonts w:eastAsia="Arial"/>
              </w:rPr>
            </w:pPr>
          </w:p>
        </w:tc>
      </w:tr>
      <w:tr w:rsidR="00F80158" w:rsidRPr="008819AF" w14:paraId="15134CEE" w14:textId="77777777" w:rsidTr="00B91E91">
        <w:tc>
          <w:tcPr>
            <w:tcW w:w="637" w:type="dxa"/>
            <w:tcBorders>
              <w:top w:val="single" w:sz="4" w:space="0" w:color="000000"/>
              <w:left w:val="single" w:sz="6" w:space="0" w:color="000000"/>
              <w:bottom w:val="single" w:sz="6" w:space="0" w:color="000000"/>
              <w:right w:val="single" w:sz="6" w:space="0" w:color="000000"/>
            </w:tcBorders>
          </w:tcPr>
          <w:p w14:paraId="15134C9C" w14:textId="77777777" w:rsidR="007170C3" w:rsidRPr="008819AF" w:rsidRDefault="007170C3">
            <w:pPr>
              <w:ind w:left="215" w:hanging="215"/>
              <w:rPr>
                <w:rFonts w:eastAsia="Arial"/>
                <w:lang w:bidi="cs-CZ"/>
              </w:rPr>
            </w:pPr>
          </w:p>
        </w:tc>
        <w:tc>
          <w:tcPr>
            <w:tcW w:w="4395" w:type="dxa"/>
            <w:tcBorders>
              <w:top w:val="single" w:sz="4" w:space="0" w:color="000000"/>
              <w:left w:val="single" w:sz="6" w:space="0" w:color="000000"/>
              <w:bottom w:val="single" w:sz="6" w:space="0" w:color="000000"/>
              <w:right w:val="single" w:sz="6" w:space="0" w:color="000000"/>
            </w:tcBorders>
          </w:tcPr>
          <w:p w14:paraId="15134C9D" w14:textId="77777777" w:rsidR="007170C3" w:rsidRPr="008819AF" w:rsidRDefault="006F0418">
            <w:pPr>
              <w:ind w:left="215" w:hanging="215"/>
              <w:rPr>
                <w:rFonts w:eastAsia="Arial"/>
                <w:lang w:bidi="cs-CZ"/>
              </w:rPr>
            </w:pPr>
            <w:r w:rsidRPr="008819AF">
              <w:rPr>
                <w:rFonts w:eastAsia="Arial"/>
                <w:lang w:bidi="cs-CZ"/>
              </w:rPr>
              <w:t>ČASŤ 2</w:t>
            </w:r>
          </w:p>
          <w:p w14:paraId="15134C9E" w14:textId="77777777" w:rsidR="007170C3" w:rsidRPr="008819AF" w:rsidRDefault="006F0418">
            <w:pPr>
              <w:ind w:left="215" w:hanging="215"/>
              <w:rPr>
                <w:rFonts w:eastAsia="Arial"/>
                <w:i/>
                <w:iCs/>
                <w:lang w:bidi="cs-CZ"/>
              </w:rPr>
            </w:pPr>
            <w:r w:rsidRPr="008819AF">
              <w:rPr>
                <w:rFonts w:eastAsia="Arial"/>
                <w:i/>
                <w:iCs/>
                <w:lang w:bidi="cs-CZ"/>
              </w:rPr>
              <w:t>Emisné limity do ovzdušia</w:t>
            </w:r>
          </w:p>
          <w:p w14:paraId="15134C9F" w14:textId="77777777" w:rsidR="007170C3" w:rsidRPr="008819AF" w:rsidRDefault="006F0418">
            <w:pPr>
              <w:ind w:left="215" w:hanging="215"/>
              <w:rPr>
                <w:rFonts w:eastAsia="Arial"/>
                <w:i/>
                <w:iCs/>
                <w:lang w:bidi="cs-CZ"/>
              </w:rPr>
            </w:pPr>
            <w:r w:rsidRPr="008819AF">
              <w:rPr>
                <w:rFonts w:eastAsia="Arial"/>
                <w:lang w:bidi="cs-CZ"/>
              </w:rPr>
              <w:t>1. Emisné limity, ktoré sú vyjadrené ako hmotnostné koncentrácie na kubický meter (Nm3) sa vypočítajú pri teplote 273,15 K a tlaku 101,3 kPa.</w:t>
            </w:r>
          </w:p>
          <w:p w14:paraId="15134CA0" w14:textId="77777777" w:rsidR="007170C3" w:rsidRPr="008819AF" w:rsidRDefault="006F0418">
            <w:pPr>
              <w:ind w:left="215" w:hanging="215"/>
              <w:rPr>
                <w:rFonts w:eastAsia="Arial"/>
                <w:lang w:bidi="cs-CZ"/>
              </w:rPr>
            </w:pPr>
            <w:r w:rsidRPr="008819AF">
              <w:rPr>
                <w:rFonts w:eastAsia="Arial"/>
                <w:lang w:bidi="cs-CZ"/>
              </w:rPr>
              <w:t>2. Pre prach: 50 mg/Nm 3 ako hodinový priemer z hlavných zdrojov a 150 mg/Nm 3 ako hodinový priemer z akéhokoľvek iného zdroja.</w:t>
            </w:r>
          </w:p>
          <w:p w14:paraId="15134CA1" w14:textId="77777777" w:rsidR="007170C3" w:rsidRPr="008819AF" w:rsidRDefault="006F0418">
            <w:pPr>
              <w:rPr>
                <w:rFonts w:eastAsia="Arial"/>
                <w:lang w:bidi="cs-CZ"/>
              </w:rPr>
            </w:pPr>
            <w:r w:rsidRPr="008819AF">
              <w:rPr>
                <w:rFonts w:eastAsia="Arial"/>
                <w:lang w:bidi="cs-CZ"/>
              </w:rPr>
              <w:t xml:space="preserve"> 3. Pre plynný oxid siričitý a sírový pochádzajúci z rozkladu a kalcinácie vrátane kvapôčok kyseliny vypočítaný ako ekvivalent SO2: </w:t>
            </w:r>
          </w:p>
          <w:p w14:paraId="15134CA2" w14:textId="77777777" w:rsidR="007170C3" w:rsidRPr="008819AF" w:rsidRDefault="006F0418">
            <w:pPr>
              <w:ind w:left="497" w:hanging="283"/>
              <w:rPr>
                <w:rFonts w:eastAsia="Arial"/>
                <w:lang w:bidi="cs-CZ"/>
              </w:rPr>
            </w:pPr>
            <w:r w:rsidRPr="008819AF">
              <w:rPr>
                <w:rFonts w:eastAsia="Arial"/>
                <w:lang w:bidi="cs-CZ"/>
              </w:rPr>
              <w:t>a) 6 kg na tonu vyrobeného oxidu titaničitého ako ročný priemer;</w:t>
            </w:r>
          </w:p>
          <w:p w14:paraId="15134CA3" w14:textId="77777777" w:rsidR="007170C3" w:rsidRPr="008819AF" w:rsidRDefault="006F0418">
            <w:pPr>
              <w:ind w:left="497" w:hanging="283"/>
              <w:rPr>
                <w:rFonts w:eastAsia="Arial"/>
                <w:lang w:bidi="cs-CZ"/>
              </w:rPr>
            </w:pPr>
            <w:r w:rsidRPr="008819AF">
              <w:rPr>
                <w:rFonts w:eastAsia="Arial"/>
                <w:lang w:bidi="cs-CZ"/>
              </w:rPr>
              <w:t>b) 500 mg/Nm3 ako hodinový priemer pre závody na koncentráciu odpadovej kyseliny.</w:t>
            </w:r>
          </w:p>
          <w:p w14:paraId="15134CA4" w14:textId="77777777" w:rsidR="007170C3" w:rsidRPr="008819AF" w:rsidRDefault="006F0418">
            <w:pPr>
              <w:ind w:left="215" w:hanging="215"/>
              <w:rPr>
                <w:rFonts w:eastAsia="Arial"/>
                <w:lang w:bidi="cs-CZ"/>
              </w:rPr>
            </w:pPr>
            <w:r w:rsidRPr="008819AF">
              <w:rPr>
                <w:rFonts w:eastAsia="Arial"/>
                <w:lang w:bidi="cs-CZ"/>
              </w:rPr>
              <w:t xml:space="preserve">4. Pre chlór v prípade zariadení, ktoré používajú </w:t>
            </w:r>
            <w:r w:rsidRPr="008819AF">
              <w:rPr>
                <w:rFonts w:eastAsia="Arial"/>
                <w:lang w:bidi="cs-CZ"/>
              </w:rPr>
              <w:lastRenderedPageBreak/>
              <w:t xml:space="preserve">chloridový proces: </w:t>
            </w:r>
          </w:p>
          <w:p w14:paraId="15134CA5" w14:textId="77777777" w:rsidR="007170C3" w:rsidRPr="008819AF" w:rsidRDefault="006F0418">
            <w:pPr>
              <w:ind w:left="497" w:hanging="283"/>
              <w:rPr>
                <w:rFonts w:eastAsia="Arial"/>
                <w:lang w:bidi="cs-CZ"/>
              </w:rPr>
            </w:pPr>
            <w:r w:rsidRPr="008819AF">
              <w:rPr>
                <w:rFonts w:eastAsia="Arial"/>
                <w:lang w:bidi="cs-CZ"/>
              </w:rPr>
              <w:t>a) 5 mg/Nm3 ako denný priemer;</w:t>
            </w:r>
          </w:p>
          <w:p w14:paraId="15134CA6" w14:textId="77777777" w:rsidR="007170C3" w:rsidRPr="008819AF" w:rsidRDefault="006F0418">
            <w:pPr>
              <w:ind w:left="497" w:hanging="283"/>
              <w:rPr>
                <w:rFonts w:eastAsia="Arial"/>
                <w:lang w:bidi="cs-CZ"/>
              </w:rPr>
            </w:pPr>
            <w:r w:rsidRPr="008819AF">
              <w:rPr>
                <w:rFonts w:eastAsia="Arial"/>
                <w:lang w:bidi="cs-CZ"/>
              </w:rPr>
              <w:t>b) v ktoromkoľvek okamihu 40 mg/Nm3.</w:t>
            </w:r>
          </w:p>
        </w:tc>
        <w:tc>
          <w:tcPr>
            <w:tcW w:w="708" w:type="dxa"/>
            <w:tcBorders>
              <w:top w:val="single" w:sz="4" w:space="0" w:color="000000"/>
              <w:left w:val="single" w:sz="6" w:space="0" w:color="000000"/>
              <w:bottom w:val="single" w:sz="6" w:space="0" w:color="000000"/>
              <w:right w:val="single" w:sz="6" w:space="0" w:color="000000"/>
            </w:tcBorders>
          </w:tcPr>
          <w:p w14:paraId="15134CA7" w14:textId="77777777" w:rsidR="007170C3" w:rsidRPr="008819AF" w:rsidRDefault="00685E6D">
            <w:pPr>
              <w:ind w:left="215" w:hanging="215"/>
              <w:rPr>
                <w:rFonts w:eastAsia="Arial"/>
                <w:lang w:bidi="cs-CZ"/>
              </w:rPr>
            </w:pPr>
            <w:r w:rsidRPr="008819AF">
              <w:rPr>
                <w:rFonts w:eastAsia="Arial"/>
                <w:lang w:bidi="cs-CZ"/>
              </w:rPr>
              <w:lastRenderedPageBreak/>
              <w:t>N</w:t>
            </w:r>
          </w:p>
        </w:tc>
        <w:tc>
          <w:tcPr>
            <w:tcW w:w="851" w:type="dxa"/>
            <w:tcBorders>
              <w:top w:val="single" w:sz="4" w:space="0" w:color="000000"/>
              <w:left w:val="single" w:sz="6" w:space="0" w:color="000000"/>
              <w:bottom w:val="single" w:sz="6" w:space="0" w:color="000000"/>
              <w:right w:val="single" w:sz="6" w:space="0" w:color="000000"/>
            </w:tcBorders>
          </w:tcPr>
          <w:p w14:paraId="15134CA8" w14:textId="77777777" w:rsidR="007170C3" w:rsidRPr="008819AF" w:rsidRDefault="006F0418">
            <w:pPr>
              <w:rPr>
                <w:rFonts w:eastAsia="Arial"/>
                <w:lang w:bidi="cs-CZ"/>
              </w:rPr>
            </w:pPr>
            <w:r w:rsidRPr="008819AF">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15134CA9" w14:textId="77777777" w:rsidR="007170C3" w:rsidRPr="008819AF" w:rsidRDefault="00685E6D">
            <w:r w:rsidRPr="008819AF">
              <w:t>Pr. 7</w:t>
            </w:r>
          </w:p>
          <w:p w14:paraId="15134CAA" w14:textId="77777777" w:rsidR="00685E6D" w:rsidRPr="008819AF" w:rsidRDefault="00685E6D"/>
          <w:p w14:paraId="15134CAB" w14:textId="77777777" w:rsidR="00685E6D" w:rsidRPr="008819AF" w:rsidRDefault="00685E6D">
            <w:r w:rsidRPr="008819AF">
              <w:t>Písm. D</w:t>
            </w:r>
          </w:p>
        </w:tc>
        <w:tc>
          <w:tcPr>
            <w:tcW w:w="5386" w:type="dxa"/>
            <w:tcBorders>
              <w:top w:val="single" w:sz="4" w:space="0" w:color="000000"/>
              <w:left w:val="single" w:sz="6" w:space="0" w:color="000000"/>
              <w:bottom w:val="single" w:sz="6" w:space="0" w:color="000000"/>
              <w:right w:val="single" w:sz="6" w:space="0" w:color="000000"/>
            </w:tcBorders>
          </w:tcPr>
          <w:p w14:paraId="15134CAC" w14:textId="77777777" w:rsidR="00685E6D" w:rsidRPr="008819AF" w:rsidRDefault="00685E6D" w:rsidP="00D823B3">
            <w:pPr>
              <w:pStyle w:val="Normln"/>
              <w:widowControl w:val="0"/>
              <w:rPr>
                <w:sz w:val="20"/>
                <w:szCs w:val="20"/>
                <w:lang w:val="sk-SK"/>
              </w:rPr>
            </w:pPr>
            <w:r w:rsidRPr="008819AF">
              <w:rPr>
                <w:sz w:val="20"/>
                <w:szCs w:val="20"/>
                <w:lang w:val="sk-SK"/>
              </w:rPr>
              <w:t>8.  VÝROBA  OXIDU TITANIČITÉHO</w:t>
            </w:r>
          </w:p>
          <w:p w14:paraId="15134CAD" w14:textId="77777777" w:rsidR="00685E6D" w:rsidRPr="008819AF" w:rsidRDefault="00685E6D" w:rsidP="00D823B3">
            <w:pPr>
              <w:pStyle w:val="Normln"/>
              <w:widowControl w:val="0"/>
              <w:spacing w:before="120"/>
              <w:rPr>
                <w:sz w:val="20"/>
                <w:szCs w:val="20"/>
                <w:lang w:val="sk-SK"/>
              </w:rPr>
            </w:pPr>
            <w:r w:rsidRPr="008819AF">
              <w:rPr>
                <w:sz w:val="20"/>
                <w:szCs w:val="20"/>
                <w:lang w:val="sk-SK"/>
              </w:rPr>
              <w:t>8.1  Síranový (sulfátový) proces výroby oxidu titaničitého</w:t>
            </w:r>
          </w:p>
          <w:p w14:paraId="15134CAE" w14:textId="77777777" w:rsidR="00685E6D" w:rsidRPr="008819AF" w:rsidRDefault="00685E6D" w:rsidP="00685E6D">
            <w:pPr>
              <w:pStyle w:val="Normln"/>
              <w:keepNext/>
              <w:spacing w:before="120" w:after="120"/>
              <w:jc w:val="both"/>
              <w:rPr>
                <w:sz w:val="20"/>
                <w:szCs w:val="20"/>
                <w:lang w:val="sk-SK"/>
              </w:rPr>
            </w:pPr>
            <w:r w:rsidRPr="008819AF">
              <w:rPr>
                <w:sz w:val="20"/>
                <w:szCs w:val="20"/>
                <w:lang w:val="sk-SK"/>
              </w:rPr>
              <w:t xml:space="preserve">8.1.2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13"/>
              <w:gridCol w:w="1459"/>
              <w:gridCol w:w="1459"/>
            </w:tblGrid>
            <w:tr w:rsidR="00D823B3" w:rsidRPr="008819AF" w14:paraId="15134CB1" w14:textId="77777777" w:rsidTr="00620437">
              <w:trPr>
                <w:trHeight w:val="340"/>
                <w:jc w:val="center"/>
              </w:trPr>
              <w:tc>
                <w:tcPr>
                  <w:tcW w:w="4500" w:type="dxa"/>
                  <w:vAlign w:val="center"/>
                </w:tcPr>
                <w:p w14:paraId="15134CAF" w14:textId="77777777" w:rsidR="00D823B3" w:rsidRPr="008819AF" w:rsidRDefault="00D823B3" w:rsidP="00620437">
                  <w:pPr>
                    <w:keepNext/>
                    <w:widowControl w:val="0"/>
                    <w:outlineLvl w:val="1"/>
                    <w:rPr>
                      <w:sz w:val="18"/>
                      <w:szCs w:val="18"/>
                    </w:rPr>
                  </w:pPr>
                  <w:r w:rsidRPr="008819AF">
                    <w:rPr>
                      <w:b/>
                      <w:sz w:val="18"/>
                      <w:szCs w:val="18"/>
                    </w:rPr>
                    <w:t>Podmienky platnosti EL</w:t>
                  </w:r>
                </w:p>
              </w:tc>
              <w:tc>
                <w:tcPr>
                  <w:tcW w:w="4680" w:type="dxa"/>
                  <w:gridSpan w:val="2"/>
                  <w:vAlign w:val="center"/>
                </w:tcPr>
                <w:p w14:paraId="15134CB0" w14:textId="77777777" w:rsidR="00D823B3" w:rsidRPr="008819AF" w:rsidRDefault="00D823B3" w:rsidP="00620437">
                  <w:pPr>
                    <w:outlineLvl w:val="1"/>
                    <w:rPr>
                      <w:sz w:val="18"/>
                      <w:szCs w:val="18"/>
                    </w:rPr>
                  </w:pPr>
                  <w:r w:rsidRPr="008819AF">
                    <w:rPr>
                      <w:sz w:val="18"/>
                      <w:szCs w:val="18"/>
                    </w:rPr>
                    <w:t>Štandardné stavové podmienky, vlhký plyn</w:t>
                  </w:r>
                </w:p>
              </w:tc>
            </w:tr>
            <w:tr w:rsidR="00D823B3" w:rsidRPr="008819AF" w14:paraId="15134CB4" w14:textId="77777777" w:rsidTr="00620437">
              <w:trPr>
                <w:trHeight w:val="340"/>
                <w:jc w:val="center"/>
              </w:trPr>
              <w:tc>
                <w:tcPr>
                  <w:tcW w:w="4500" w:type="dxa"/>
                  <w:vMerge w:val="restart"/>
                  <w:vAlign w:val="center"/>
                </w:tcPr>
                <w:p w14:paraId="15134CB2" w14:textId="77777777" w:rsidR="00D823B3" w:rsidRPr="008819AF" w:rsidRDefault="00D823B3" w:rsidP="00620437">
                  <w:pPr>
                    <w:pStyle w:val="Zkladntext20"/>
                    <w:spacing w:before="0" w:after="0"/>
                    <w:rPr>
                      <w:b/>
                      <w:sz w:val="18"/>
                      <w:szCs w:val="18"/>
                    </w:rPr>
                  </w:pPr>
                  <w:r w:rsidRPr="008819AF">
                    <w:rPr>
                      <w:b/>
                      <w:sz w:val="18"/>
                      <w:szCs w:val="18"/>
                    </w:rPr>
                    <w:t>Časť zdroja</w:t>
                  </w:r>
                </w:p>
              </w:tc>
              <w:tc>
                <w:tcPr>
                  <w:tcW w:w="4680" w:type="dxa"/>
                  <w:gridSpan w:val="2"/>
                  <w:vAlign w:val="center"/>
                </w:tcPr>
                <w:p w14:paraId="15134CB3" w14:textId="77777777" w:rsidR="00D823B3" w:rsidRPr="008819AF" w:rsidRDefault="00D823B3" w:rsidP="00620437">
                  <w:pPr>
                    <w:pStyle w:val="Zkladntext20"/>
                    <w:spacing w:before="0" w:after="0"/>
                    <w:jc w:val="center"/>
                    <w:rPr>
                      <w:sz w:val="18"/>
                      <w:szCs w:val="18"/>
                    </w:rPr>
                  </w:pPr>
                  <w:r w:rsidRPr="008819AF">
                    <w:rPr>
                      <w:rFonts w:eastAsia="Batang"/>
                      <w:b/>
                      <w:bCs/>
                      <w:sz w:val="18"/>
                      <w:szCs w:val="18"/>
                      <w:lang w:eastAsia="ko-KR"/>
                    </w:rPr>
                    <w:t>Emisné limity</w:t>
                  </w:r>
                  <w:r w:rsidRPr="008819AF">
                    <w:rPr>
                      <w:b/>
                      <w:sz w:val="18"/>
                      <w:szCs w:val="18"/>
                    </w:rPr>
                    <w:sym w:font="Symbol" w:char="F05B"/>
                  </w:r>
                  <w:r w:rsidRPr="008819AF">
                    <w:rPr>
                      <w:b/>
                      <w:sz w:val="18"/>
                      <w:szCs w:val="18"/>
                    </w:rPr>
                    <w:t>mg/m</w:t>
                  </w:r>
                  <w:r w:rsidRPr="008819AF">
                    <w:rPr>
                      <w:b/>
                      <w:sz w:val="18"/>
                      <w:szCs w:val="18"/>
                      <w:vertAlign w:val="superscript"/>
                    </w:rPr>
                    <w:t>3</w:t>
                  </w:r>
                  <w:r w:rsidRPr="008819AF">
                    <w:rPr>
                      <w:b/>
                      <w:sz w:val="18"/>
                      <w:szCs w:val="18"/>
                    </w:rPr>
                    <w:sym w:font="Symbol" w:char="F05D"/>
                  </w:r>
                </w:p>
              </w:tc>
            </w:tr>
            <w:tr w:rsidR="00D823B3" w:rsidRPr="008819AF" w14:paraId="15134CB8" w14:textId="77777777" w:rsidTr="00620437">
              <w:trPr>
                <w:trHeight w:val="340"/>
                <w:jc w:val="center"/>
              </w:trPr>
              <w:tc>
                <w:tcPr>
                  <w:tcW w:w="4500" w:type="dxa"/>
                  <w:vMerge/>
                  <w:vAlign w:val="center"/>
                </w:tcPr>
                <w:p w14:paraId="15134CB5" w14:textId="77777777" w:rsidR="00D823B3" w:rsidRPr="008819AF" w:rsidRDefault="00D823B3" w:rsidP="00620437">
                  <w:pPr>
                    <w:pStyle w:val="Normln"/>
                    <w:keepNext/>
                    <w:jc w:val="both"/>
                    <w:rPr>
                      <w:sz w:val="18"/>
                      <w:szCs w:val="18"/>
                      <w:lang w:val="sk-SK"/>
                    </w:rPr>
                  </w:pPr>
                </w:p>
              </w:tc>
              <w:tc>
                <w:tcPr>
                  <w:tcW w:w="2340" w:type="dxa"/>
                  <w:vAlign w:val="center"/>
                </w:tcPr>
                <w:p w14:paraId="15134CB6" w14:textId="77777777" w:rsidR="00D823B3" w:rsidRPr="008819AF" w:rsidRDefault="00D823B3" w:rsidP="00620437">
                  <w:pPr>
                    <w:pStyle w:val="Normln"/>
                    <w:keepNext/>
                    <w:jc w:val="center"/>
                    <w:rPr>
                      <w:b/>
                      <w:sz w:val="18"/>
                      <w:szCs w:val="18"/>
                      <w:lang w:val="sk-SK"/>
                    </w:rPr>
                  </w:pPr>
                  <w:r w:rsidRPr="008819AF">
                    <w:rPr>
                      <w:b/>
                      <w:sz w:val="18"/>
                      <w:szCs w:val="18"/>
                      <w:lang w:val="sk-SK"/>
                    </w:rPr>
                    <w:t>TZL</w:t>
                  </w:r>
                  <w:r w:rsidRPr="008819AF">
                    <w:rPr>
                      <w:b/>
                      <w:sz w:val="18"/>
                      <w:szCs w:val="18"/>
                      <w:vertAlign w:val="superscript"/>
                      <w:lang w:val="sk-SK"/>
                    </w:rPr>
                    <w:t>1</w:t>
                  </w:r>
                  <w:r w:rsidRPr="008819AF">
                    <w:rPr>
                      <w:b/>
                      <w:sz w:val="18"/>
                      <w:szCs w:val="18"/>
                      <w:lang w:val="sk-SK"/>
                    </w:rPr>
                    <w:t>)</w:t>
                  </w:r>
                </w:p>
              </w:tc>
              <w:tc>
                <w:tcPr>
                  <w:tcW w:w="2340" w:type="dxa"/>
                  <w:vAlign w:val="center"/>
                </w:tcPr>
                <w:p w14:paraId="15134CB7" w14:textId="77777777" w:rsidR="00D823B3" w:rsidRPr="008819AF" w:rsidRDefault="00D823B3" w:rsidP="00620437">
                  <w:pPr>
                    <w:pStyle w:val="Normln"/>
                    <w:keepNext/>
                    <w:jc w:val="center"/>
                    <w:rPr>
                      <w:b/>
                      <w:sz w:val="18"/>
                      <w:szCs w:val="18"/>
                      <w:lang w:val="sk-SK"/>
                    </w:rPr>
                  </w:pPr>
                  <w:r w:rsidRPr="008819AF">
                    <w:rPr>
                      <w:b/>
                      <w:sz w:val="18"/>
                      <w:szCs w:val="18"/>
                      <w:lang w:val="sk-SK"/>
                    </w:rPr>
                    <w:t>SO</w:t>
                  </w:r>
                  <w:r w:rsidRPr="008819AF">
                    <w:rPr>
                      <w:b/>
                      <w:sz w:val="18"/>
                      <w:szCs w:val="18"/>
                      <w:vertAlign w:val="subscript"/>
                      <w:lang w:val="sk-SK"/>
                    </w:rPr>
                    <w:t>X</w:t>
                  </w:r>
                </w:p>
              </w:tc>
            </w:tr>
            <w:tr w:rsidR="00D823B3" w:rsidRPr="008819AF" w14:paraId="15134CBC" w14:textId="77777777" w:rsidTr="00620437">
              <w:trPr>
                <w:trHeight w:val="340"/>
                <w:jc w:val="center"/>
              </w:trPr>
              <w:tc>
                <w:tcPr>
                  <w:tcW w:w="4500" w:type="dxa"/>
                  <w:vAlign w:val="center"/>
                </w:tcPr>
                <w:p w14:paraId="15134CB9" w14:textId="77777777" w:rsidR="00D823B3" w:rsidRPr="008819AF" w:rsidRDefault="00D823B3" w:rsidP="00620437">
                  <w:pPr>
                    <w:pStyle w:val="Normln"/>
                    <w:keepNext/>
                    <w:rPr>
                      <w:sz w:val="18"/>
                      <w:szCs w:val="18"/>
                      <w:lang w:val="sk-SK"/>
                    </w:rPr>
                  </w:pPr>
                  <w:r w:rsidRPr="008819AF">
                    <w:rPr>
                      <w:sz w:val="18"/>
                      <w:szCs w:val="18"/>
                      <w:lang w:val="sk-SK"/>
                    </w:rPr>
                    <w:t>Hlavné technologické činnosti</w:t>
                  </w:r>
                </w:p>
              </w:tc>
              <w:tc>
                <w:tcPr>
                  <w:tcW w:w="2340" w:type="dxa"/>
                  <w:vAlign w:val="center"/>
                </w:tcPr>
                <w:p w14:paraId="15134CBA" w14:textId="77777777" w:rsidR="00D823B3" w:rsidRPr="008819AF" w:rsidRDefault="00D823B3" w:rsidP="00620437">
                  <w:pPr>
                    <w:pStyle w:val="Normln"/>
                    <w:keepNext/>
                    <w:jc w:val="center"/>
                    <w:rPr>
                      <w:sz w:val="18"/>
                      <w:szCs w:val="18"/>
                      <w:lang w:val="sk-SK"/>
                    </w:rPr>
                  </w:pPr>
                  <w:r w:rsidRPr="008819AF">
                    <w:rPr>
                      <w:sz w:val="18"/>
                      <w:szCs w:val="18"/>
                      <w:lang w:val="sk-SK"/>
                    </w:rPr>
                    <w:t>50</w:t>
                  </w:r>
                </w:p>
              </w:tc>
              <w:tc>
                <w:tcPr>
                  <w:tcW w:w="2340" w:type="dxa"/>
                  <w:vAlign w:val="center"/>
                </w:tcPr>
                <w:p w14:paraId="15134CBB" w14:textId="77777777" w:rsidR="00D823B3" w:rsidRPr="008819AF" w:rsidRDefault="00D823B3" w:rsidP="00620437">
                  <w:pPr>
                    <w:pStyle w:val="Normln"/>
                    <w:keepNext/>
                    <w:jc w:val="center"/>
                    <w:rPr>
                      <w:sz w:val="18"/>
                      <w:szCs w:val="18"/>
                      <w:lang w:val="sk-SK"/>
                    </w:rPr>
                  </w:pPr>
                </w:p>
              </w:tc>
            </w:tr>
            <w:tr w:rsidR="00D823B3" w:rsidRPr="008819AF" w14:paraId="15134CC0" w14:textId="77777777" w:rsidTr="00620437">
              <w:trPr>
                <w:trHeight w:val="340"/>
                <w:jc w:val="center"/>
              </w:trPr>
              <w:tc>
                <w:tcPr>
                  <w:tcW w:w="4500" w:type="dxa"/>
                  <w:vAlign w:val="center"/>
                </w:tcPr>
                <w:p w14:paraId="15134CBD" w14:textId="77777777" w:rsidR="00D823B3" w:rsidRPr="008819AF" w:rsidRDefault="00D823B3" w:rsidP="00620437">
                  <w:pPr>
                    <w:pStyle w:val="Normln"/>
                    <w:keepNext/>
                    <w:rPr>
                      <w:sz w:val="18"/>
                      <w:szCs w:val="18"/>
                      <w:lang w:val="sk-SK"/>
                    </w:rPr>
                  </w:pPr>
                  <w:r w:rsidRPr="008819AF">
                    <w:rPr>
                      <w:sz w:val="18"/>
                      <w:szCs w:val="18"/>
                      <w:lang w:val="sk-SK"/>
                    </w:rPr>
                    <w:t>Ostatné  činnosti</w:t>
                  </w:r>
                </w:p>
              </w:tc>
              <w:tc>
                <w:tcPr>
                  <w:tcW w:w="2340" w:type="dxa"/>
                  <w:vAlign w:val="center"/>
                </w:tcPr>
                <w:p w14:paraId="15134CBE" w14:textId="77777777" w:rsidR="00D823B3" w:rsidRPr="008819AF" w:rsidRDefault="00D823B3" w:rsidP="00620437">
                  <w:pPr>
                    <w:pStyle w:val="Normln"/>
                    <w:keepNext/>
                    <w:jc w:val="center"/>
                    <w:rPr>
                      <w:sz w:val="18"/>
                      <w:szCs w:val="18"/>
                      <w:lang w:val="sk-SK"/>
                    </w:rPr>
                  </w:pPr>
                  <w:r w:rsidRPr="008819AF">
                    <w:rPr>
                      <w:sz w:val="18"/>
                      <w:szCs w:val="18"/>
                      <w:lang w:val="sk-SK"/>
                    </w:rPr>
                    <w:t>150</w:t>
                  </w:r>
                </w:p>
              </w:tc>
              <w:tc>
                <w:tcPr>
                  <w:tcW w:w="2340" w:type="dxa"/>
                  <w:vAlign w:val="center"/>
                </w:tcPr>
                <w:p w14:paraId="15134CBF" w14:textId="77777777" w:rsidR="00D823B3" w:rsidRPr="008819AF" w:rsidRDefault="00D823B3" w:rsidP="00620437">
                  <w:pPr>
                    <w:pStyle w:val="Normln"/>
                    <w:keepNext/>
                    <w:jc w:val="center"/>
                    <w:rPr>
                      <w:sz w:val="18"/>
                      <w:szCs w:val="18"/>
                      <w:lang w:val="sk-SK"/>
                    </w:rPr>
                  </w:pPr>
                </w:p>
              </w:tc>
            </w:tr>
            <w:tr w:rsidR="00D823B3" w:rsidRPr="008819AF" w14:paraId="15134CC4" w14:textId="77777777" w:rsidTr="00620437">
              <w:trPr>
                <w:trHeight w:val="340"/>
                <w:jc w:val="center"/>
              </w:trPr>
              <w:tc>
                <w:tcPr>
                  <w:tcW w:w="4500" w:type="dxa"/>
                  <w:vAlign w:val="center"/>
                </w:tcPr>
                <w:p w14:paraId="15134CC1" w14:textId="77777777" w:rsidR="00D823B3" w:rsidRPr="008819AF" w:rsidRDefault="00D823B3" w:rsidP="00620437">
                  <w:pPr>
                    <w:pStyle w:val="Normln"/>
                    <w:keepNext/>
                    <w:rPr>
                      <w:sz w:val="18"/>
                      <w:szCs w:val="18"/>
                      <w:lang w:val="sk-SK"/>
                    </w:rPr>
                  </w:pPr>
                  <w:r w:rsidRPr="008819AF">
                    <w:rPr>
                      <w:sz w:val="18"/>
                      <w:szCs w:val="18"/>
                      <w:lang w:val="sk-SK"/>
                    </w:rPr>
                    <w:t>Zariadenie na zahusťovanie kyslého odpadu</w:t>
                  </w:r>
                </w:p>
              </w:tc>
              <w:tc>
                <w:tcPr>
                  <w:tcW w:w="2340" w:type="dxa"/>
                  <w:vAlign w:val="center"/>
                </w:tcPr>
                <w:p w14:paraId="15134CC2" w14:textId="77777777" w:rsidR="00D823B3" w:rsidRPr="008819AF" w:rsidRDefault="00D823B3" w:rsidP="00620437">
                  <w:pPr>
                    <w:pStyle w:val="Normln"/>
                    <w:keepNext/>
                    <w:jc w:val="center"/>
                    <w:rPr>
                      <w:sz w:val="18"/>
                      <w:szCs w:val="18"/>
                      <w:lang w:val="sk-SK"/>
                    </w:rPr>
                  </w:pPr>
                </w:p>
              </w:tc>
              <w:tc>
                <w:tcPr>
                  <w:tcW w:w="2340" w:type="dxa"/>
                  <w:vAlign w:val="center"/>
                </w:tcPr>
                <w:p w14:paraId="15134CC3" w14:textId="77777777" w:rsidR="00D823B3" w:rsidRPr="008819AF" w:rsidRDefault="00D823B3" w:rsidP="00620437">
                  <w:pPr>
                    <w:pStyle w:val="Normln"/>
                    <w:keepNext/>
                    <w:jc w:val="center"/>
                    <w:rPr>
                      <w:sz w:val="18"/>
                      <w:szCs w:val="18"/>
                      <w:vertAlign w:val="superscript"/>
                      <w:lang w:val="sk-SK"/>
                    </w:rPr>
                  </w:pPr>
                  <w:r w:rsidRPr="008819AF">
                    <w:rPr>
                      <w:sz w:val="18"/>
                      <w:szCs w:val="18"/>
                      <w:lang w:val="sk-SK"/>
                    </w:rPr>
                    <w:t>500</w:t>
                  </w:r>
                  <w:r w:rsidRPr="008819AF">
                    <w:rPr>
                      <w:sz w:val="18"/>
                      <w:szCs w:val="18"/>
                      <w:vertAlign w:val="superscript"/>
                      <w:lang w:val="sk-SK"/>
                    </w:rPr>
                    <w:t>2</w:t>
                  </w:r>
                  <w:r w:rsidRPr="008819AF">
                    <w:rPr>
                      <w:sz w:val="18"/>
                      <w:szCs w:val="18"/>
                      <w:lang w:val="sk-SK"/>
                    </w:rPr>
                    <w:t>)</w:t>
                  </w:r>
                </w:p>
              </w:tc>
            </w:tr>
            <w:tr w:rsidR="00D823B3" w:rsidRPr="008819AF" w14:paraId="15134CC7" w14:textId="77777777" w:rsidTr="00620437">
              <w:trPr>
                <w:trHeight w:val="340"/>
                <w:jc w:val="center"/>
              </w:trPr>
              <w:tc>
                <w:tcPr>
                  <w:tcW w:w="4500" w:type="dxa"/>
                  <w:vAlign w:val="center"/>
                </w:tcPr>
                <w:p w14:paraId="15134CC5" w14:textId="77777777" w:rsidR="00D823B3" w:rsidRPr="008819AF" w:rsidRDefault="00D823B3" w:rsidP="00620437">
                  <w:pPr>
                    <w:pStyle w:val="Normln"/>
                    <w:keepNext/>
                    <w:rPr>
                      <w:sz w:val="18"/>
                      <w:szCs w:val="18"/>
                      <w:lang w:val="sk-SK"/>
                    </w:rPr>
                  </w:pPr>
                </w:p>
              </w:tc>
              <w:tc>
                <w:tcPr>
                  <w:tcW w:w="4680" w:type="dxa"/>
                  <w:gridSpan w:val="2"/>
                  <w:vAlign w:val="center"/>
                </w:tcPr>
                <w:p w14:paraId="15134CC6" w14:textId="77777777" w:rsidR="00D823B3" w:rsidRPr="008819AF" w:rsidRDefault="00D823B3" w:rsidP="00620437">
                  <w:pPr>
                    <w:pStyle w:val="Normln"/>
                    <w:keepNext/>
                    <w:jc w:val="center"/>
                    <w:rPr>
                      <w:sz w:val="18"/>
                      <w:szCs w:val="18"/>
                      <w:lang w:val="sk-SK"/>
                    </w:rPr>
                  </w:pPr>
                  <w:r w:rsidRPr="008819AF">
                    <w:rPr>
                      <w:b/>
                      <w:sz w:val="18"/>
                      <w:szCs w:val="18"/>
                      <w:lang w:val="sk-SK"/>
                    </w:rPr>
                    <w:t>Limitný emisný faktor  SO</w:t>
                  </w:r>
                  <w:r w:rsidRPr="008819AF">
                    <w:rPr>
                      <w:b/>
                      <w:sz w:val="18"/>
                      <w:szCs w:val="18"/>
                      <w:vertAlign w:val="subscript"/>
                      <w:lang w:val="sk-SK"/>
                    </w:rPr>
                    <w:t>X</w:t>
                  </w:r>
                  <w:r w:rsidRPr="008819AF">
                    <w:rPr>
                      <w:b/>
                      <w:sz w:val="18"/>
                      <w:szCs w:val="18"/>
                      <w:vertAlign w:val="superscript"/>
                      <w:lang w:val="sk-SK"/>
                    </w:rPr>
                    <w:t>3</w:t>
                  </w:r>
                  <w:r w:rsidRPr="008819AF">
                    <w:rPr>
                      <w:b/>
                      <w:sz w:val="18"/>
                      <w:szCs w:val="18"/>
                      <w:lang w:val="sk-SK"/>
                    </w:rPr>
                    <w:t>)</w:t>
                  </w:r>
                </w:p>
              </w:tc>
            </w:tr>
            <w:tr w:rsidR="00D823B3" w:rsidRPr="008819AF" w14:paraId="15134CCA" w14:textId="77777777" w:rsidTr="00620437">
              <w:trPr>
                <w:trHeight w:val="340"/>
                <w:jc w:val="center"/>
              </w:trPr>
              <w:tc>
                <w:tcPr>
                  <w:tcW w:w="4500" w:type="dxa"/>
                  <w:vAlign w:val="center"/>
                </w:tcPr>
                <w:p w14:paraId="15134CC8" w14:textId="77777777" w:rsidR="00D823B3" w:rsidRPr="008819AF" w:rsidRDefault="00D823B3" w:rsidP="00620437">
                  <w:pPr>
                    <w:pStyle w:val="Normln"/>
                    <w:keepNext/>
                    <w:rPr>
                      <w:sz w:val="18"/>
                      <w:szCs w:val="18"/>
                      <w:lang w:val="sk-SK"/>
                    </w:rPr>
                  </w:pPr>
                  <w:r w:rsidRPr="008819AF">
                    <w:rPr>
                      <w:sz w:val="18"/>
                      <w:szCs w:val="18"/>
                      <w:lang w:val="sk-SK"/>
                    </w:rPr>
                    <w:lastRenderedPageBreak/>
                    <w:t>Rozklad a kalcinácia</w:t>
                  </w:r>
                </w:p>
              </w:tc>
              <w:tc>
                <w:tcPr>
                  <w:tcW w:w="4680" w:type="dxa"/>
                  <w:gridSpan w:val="2"/>
                  <w:vAlign w:val="center"/>
                </w:tcPr>
                <w:p w14:paraId="15134CC9" w14:textId="77777777" w:rsidR="00D823B3" w:rsidRPr="008819AF" w:rsidRDefault="00D823B3" w:rsidP="00620437">
                  <w:pPr>
                    <w:pStyle w:val="Normln"/>
                    <w:keepNext/>
                    <w:ind w:right="-108"/>
                    <w:jc w:val="center"/>
                    <w:rPr>
                      <w:sz w:val="18"/>
                      <w:szCs w:val="18"/>
                      <w:lang w:val="sk-SK"/>
                    </w:rPr>
                  </w:pPr>
                  <w:r w:rsidRPr="008819AF">
                    <w:rPr>
                      <w:sz w:val="18"/>
                      <w:szCs w:val="18"/>
                      <w:lang w:val="sk-SK"/>
                    </w:rPr>
                    <w:t>6 kg/t vyrobeného  TiO</w:t>
                  </w:r>
                  <w:r w:rsidRPr="008819AF">
                    <w:rPr>
                      <w:sz w:val="18"/>
                      <w:szCs w:val="18"/>
                      <w:vertAlign w:val="subscript"/>
                      <w:lang w:val="sk-SK"/>
                    </w:rPr>
                    <w:t>2</w:t>
                  </w:r>
                </w:p>
              </w:tc>
            </w:tr>
          </w:tbl>
          <w:p w14:paraId="15134CCB" w14:textId="77777777" w:rsidR="00D823B3" w:rsidRPr="008819AF" w:rsidRDefault="00D823B3" w:rsidP="00D823B3">
            <w:pPr>
              <w:pStyle w:val="Normln"/>
              <w:keepNext/>
              <w:spacing w:before="60"/>
              <w:ind w:left="284" w:hanging="284"/>
              <w:jc w:val="both"/>
              <w:rPr>
                <w:sz w:val="20"/>
                <w:szCs w:val="20"/>
                <w:lang w:val="sk-SK"/>
              </w:rPr>
            </w:pPr>
            <w:r w:rsidRPr="008819AF">
              <w:rPr>
                <w:sz w:val="20"/>
                <w:szCs w:val="20"/>
                <w:vertAlign w:val="superscript"/>
                <w:lang w:val="sk-SK"/>
              </w:rPr>
              <w:t>1</w:t>
            </w:r>
            <w:r w:rsidRPr="008819AF">
              <w:rPr>
                <w:sz w:val="20"/>
                <w:szCs w:val="20"/>
                <w:lang w:val="sk-SK"/>
              </w:rPr>
              <w:t xml:space="preserve">) Platí ako hodinová priemerná hodnota pre všetky TZL z výrobného zariadenia, najmä rudný prach, prachový pigment a prach zo zuhoľnatených zvyškov. </w:t>
            </w:r>
          </w:p>
          <w:p w14:paraId="15134CCC" w14:textId="77777777" w:rsidR="00D823B3" w:rsidRPr="008819AF" w:rsidRDefault="00D823B3" w:rsidP="00D823B3">
            <w:pPr>
              <w:pStyle w:val="Normln"/>
              <w:keepNext/>
              <w:ind w:left="284" w:right="-1" w:hanging="284"/>
              <w:jc w:val="both"/>
              <w:rPr>
                <w:sz w:val="20"/>
                <w:szCs w:val="20"/>
                <w:lang w:val="sk-SK"/>
              </w:rPr>
            </w:pPr>
            <w:r w:rsidRPr="008819AF">
              <w:rPr>
                <w:sz w:val="20"/>
                <w:szCs w:val="20"/>
                <w:vertAlign w:val="superscript"/>
                <w:lang w:val="sk-SK"/>
              </w:rPr>
              <w:t>2</w:t>
            </w:r>
            <w:r w:rsidRPr="008819AF">
              <w:rPr>
                <w:sz w:val="20"/>
                <w:szCs w:val="20"/>
                <w:lang w:val="sk-SK"/>
              </w:rPr>
              <w:t>) Platí ako hodinová priemerná hodnota.</w:t>
            </w:r>
          </w:p>
          <w:p w14:paraId="15134CCD" w14:textId="77777777" w:rsidR="00D823B3" w:rsidRPr="008819AF" w:rsidRDefault="00D823B3" w:rsidP="00D823B3">
            <w:pPr>
              <w:pStyle w:val="Normln"/>
              <w:keepNext/>
              <w:ind w:left="284" w:right="-1" w:hanging="284"/>
              <w:jc w:val="both"/>
              <w:rPr>
                <w:sz w:val="20"/>
                <w:szCs w:val="20"/>
                <w:lang w:val="sk-SK"/>
              </w:rPr>
            </w:pPr>
            <w:r w:rsidRPr="008819AF">
              <w:rPr>
                <w:sz w:val="20"/>
                <w:szCs w:val="20"/>
                <w:vertAlign w:val="superscript"/>
                <w:lang w:val="sk-SK"/>
              </w:rPr>
              <w:t>3</w:t>
            </w:r>
            <w:r w:rsidRPr="008819AF">
              <w:rPr>
                <w:sz w:val="20"/>
                <w:szCs w:val="20"/>
                <w:lang w:val="sk-SK"/>
              </w:rPr>
              <w:t>) Platí ako ročná priemerná hodnota pre SO</w:t>
            </w:r>
            <w:r w:rsidRPr="008819AF">
              <w:rPr>
                <w:sz w:val="20"/>
                <w:szCs w:val="20"/>
                <w:vertAlign w:val="subscript"/>
                <w:lang w:val="sk-SK"/>
              </w:rPr>
              <w:t>X</w:t>
            </w:r>
            <w:r w:rsidRPr="008819AF">
              <w:rPr>
                <w:sz w:val="20"/>
                <w:szCs w:val="20"/>
                <w:lang w:val="sk-SK"/>
              </w:rPr>
              <w:t xml:space="preserve"> vrátane kvapiek H</w:t>
            </w:r>
            <w:r w:rsidRPr="008819AF">
              <w:rPr>
                <w:sz w:val="20"/>
                <w:szCs w:val="20"/>
                <w:vertAlign w:val="subscript"/>
                <w:lang w:val="sk-SK"/>
              </w:rPr>
              <w:t>2</w:t>
            </w:r>
            <w:r w:rsidRPr="008819AF">
              <w:rPr>
                <w:sz w:val="20"/>
                <w:szCs w:val="20"/>
                <w:lang w:val="sk-SK"/>
              </w:rPr>
              <w:t>SO</w:t>
            </w:r>
            <w:r w:rsidRPr="008819AF">
              <w:rPr>
                <w:sz w:val="20"/>
                <w:szCs w:val="20"/>
                <w:vertAlign w:val="subscript"/>
                <w:lang w:val="sk-SK"/>
              </w:rPr>
              <w:t>4</w:t>
            </w:r>
            <w:r w:rsidRPr="008819AF">
              <w:rPr>
                <w:sz w:val="20"/>
                <w:szCs w:val="20"/>
                <w:lang w:val="sk-SK"/>
              </w:rPr>
              <w:t xml:space="preserve"> pre rôzne štádiá výrobného procesu a procesu úpravy inertného odpadu.</w:t>
            </w:r>
          </w:p>
          <w:p w14:paraId="15134CCE" w14:textId="77777777" w:rsidR="00D823B3" w:rsidRPr="008819AF" w:rsidRDefault="00D823B3" w:rsidP="00D823B3">
            <w:pPr>
              <w:pStyle w:val="Normln"/>
              <w:widowControl w:val="0"/>
              <w:spacing w:before="120"/>
              <w:rPr>
                <w:sz w:val="20"/>
                <w:szCs w:val="20"/>
                <w:lang w:val="sk-SK"/>
              </w:rPr>
            </w:pPr>
            <w:r w:rsidRPr="008819AF">
              <w:rPr>
                <w:sz w:val="20"/>
                <w:szCs w:val="20"/>
                <w:lang w:val="sk-SK"/>
              </w:rPr>
              <w:t>8.2   Chloridový proces výroby oxidu titaničitého</w:t>
            </w:r>
          </w:p>
          <w:p w14:paraId="15134CCF" w14:textId="77777777" w:rsidR="00D823B3" w:rsidRPr="008819AF" w:rsidRDefault="00D823B3" w:rsidP="00D823B3">
            <w:pPr>
              <w:pStyle w:val="Normln"/>
              <w:widowControl w:val="0"/>
              <w:spacing w:before="120" w:after="120"/>
              <w:rPr>
                <w:sz w:val="20"/>
                <w:szCs w:val="20"/>
                <w:lang w:val="sk-SK"/>
              </w:rPr>
            </w:pPr>
            <w:r w:rsidRPr="008819AF">
              <w:rPr>
                <w:sz w:val="20"/>
                <w:szCs w:val="20"/>
                <w:lang w:val="sk-SK"/>
              </w:rPr>
              <w:t xml:space="preserve">8.2.1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84"/>
              <w:gridCol w:w="1515"/>
              <w:gridCol w:w="1432"/>
            </w:tblGrid>
            <w:tr w:rsidR="00D823B3" w:rsidRPr="008819AF" w14:paraId="15134CD2" w14:textId="77777777" w:rsidTr="00620437">
              <w:trPr>
                <w:trHeight w:val="223"/>
                <w:jc w:val="center"/>
              </w:trPr>
              <w:tc>
                <w:tcPr>
                  <w:tcW w:w="4395" w:type="dxa"/>
                  <w:vAlign w:val="center"/>
                </w:tcPr>
                <w:p w14:paraId="15134CD0" w14:textId="77777777" w:rsidR="00D823B3" w:rsidRPr="008819AF" w:rsidRDefault="00D823B3" w:rsidP="00620437">
                  <w:pPr>
                    <w:outlineLvl w:val="1"/>
                    <w:rPr>
                      <w:sz w:val="18"/>
                      <w:szCs w:val="18"/>
                    </w:rPr>
                  </w:pPr>
                  <w:r w:rsidRPr="008819AF">
                    <w:rPr>
                      <w:b/>
                      <w:sz w:val="18"/>
                      <w:szCs w:val="18"/>
                    </w:rPr>
                    <w:t>Podmienky platnosti EL</w:t>
                  </w:r>
                </w:p>
              </w:tc>
              <w:tc>
                <w:tcPr>
                  <w:tcW w:w="4677" w:type="dxa"/>
                  <w:gridSpan w:val="2"/>
                  <w:vAlign w:val="center"/>
                </w:tcPr>
                <w:p w14:paraId="15134CD1" w14:textId="77777777" w:rsidR="00D823B3" w:rsidRPr="008819AF" w:rsidRDefault="00D823B3" w:rsidP="00620437">
                  <w:pPr>
                    <w:outlineLvl w:val="1"/>
                    <w:rPr>
                      <w:sz w:val="18"/>
                      <w:szCs w:val="18"/>
                    </w:rPr>
                  </w:pPr>
                  <w:r w:rsidRPr="008819AF">
                    <w:rPr>
                      <w:sz w:val="18"/>
                      <w:szCs w:val="18"/>
                    </w:rPr>
                    <w:t>Štandardné stavové podmienky, vlhký plyn</w:t>
                  </w:r>
                </w:p>
              </w:tc>
            </w:tr>
            <w:tr w:rsidR="00D823B3" w:rsidRPr="008819AF" w14:paraId="15134CD5" w14:textId="77777777" w:rsidTr="00620437">
              <w:trPr>
                <w:trHeight w:val="340"/>
                <w:jc w:val="center"/>
              </w:trPr>
              <w:tc>
                <w:tcPr>
                  <w:tcW w:w="4395" w:type="dxa"/>
                  <w:vMerge w:val="restart"/>
                  <w:vAlign w:val="center"/>
                </w:tcPr>
                <w:p w14:paraId="15134CD3" w14:textId="77777777" w:rsidR="00D823B3" w:rsidRPr="008819AF" w:rsidRDefault="00D823B3" w:rsidP="00620437">
                  <w:pPr>
                    <w:pStyle w:val="Zkladntext20"/>
                    <w:keepNext w:val="0"/>
                    <w:spacing w:before="0"/>
                    <w:rPr>
                      <w:sz w:val="18"/>
                      <w:szCs w:val="18"/>
                    </w:rPr>
                  </w:pPr>
                  <w:r w:rsidRPr="008819AF">
                    <w:rPr>
                      <w:b/>
                      <w:sz w:val="18"/>
                      <w:szCs w:val="18"/>
                    </w:rPr>
                    <w:t>Časť zdroja</w:t>
                  </w:r>
                </w:p>
              </w:tc>
              <w:tc>
                <w:tcPr>
                  <w:tcW w:w="4677" w:type="dxa"/>
                  <w:gridSpan w:val="2"/>
                  <w:vAlign w:val="center"/>
                </w:tcPr>
                <w:p w14:paraId="15134CD4" w14:textId="77777777" w:rsidR="00D823B3" w:rsidRPr="008819AF" w:rsidRDefault="00D823B3" w:rsidP="00620437">
                  <w:pPr>
                    <w:pStyle w:val="Zkladntext20"/>
                    <w:keepNext w:val="0"/>
                    <w:spacing w:before="0"/>
                    <w:jc w:val="center"/>
                    <w:rPr>
                      <w:sz w:val="18"/>
                      <w:szCs w:val="18"/>
                    </w:rPr>
                  </w:pPr>
                  <w:r w:rsidRPr="008819AF">
                    <w:rPr>
                      <w:rFonts w:eastAsia="Batang"/>
                      <w:b/>
                      <w:bCs/>
                      <w:sz w:val="18"/>
                      <w:szCs w:val="18"/>
                      <w:lang w:eastAsia="ko-KR"/>
                    </w:rPr>
                    <w:t xml:space="preserve">Emisné limity </w:t>
                  </w:r>
                  <w:r w:rsidRPr="008819AF">
                    <w:rPr>
                      <w:b/>
                      <w:sz w:val="18"/>
                      <w:szCs w:val="18"/>
                    </w:rPr>
                    <w:sym w:font="Symbol" w:char="F05B"/>
                  </w:r>
                  <w:r w:rsidRPr="008819AF">
                    <w:rPr>
                      <w:b/>
                      <w:sz w:val="18"/>
                      <w:szCs w:val="18"/>
                    </w:rPr>
                    <w:t>mg/m</w:t>
                  </w:r>
                  <w:r w:rsidRPr="008819AF">
                    <w:rPr>
                      <w:b/>
                      <w:sz w:val="18"/>
                      <w:szCs w:val="18"/>
                      <w:vertAlign w:val="superscript"/>
                    </w:rPr>
                    <w:t>3</w:t>
                  </w:r>
                  <w:r w:rsidRPr="008819AF">
                    <w:rPr>
                      <w:b/>
                      <w:sz w:val="18"/>
                      <w:szCs w:val="18"/>
                    </w:rPr>
                    <w:sym w:font="Symbol" w:char="F05D"/>
                  </w:r>
                </w:p>
              </w:tc>
            </w:tr>
            <w:tr w:rsidR="00D823B3" w:rsidRPr="008819AF" w14:paraId="15134CD9" w14:textId="77777777" w:rsidTr="00620437">
              <w:trPr>
                <w:trHeight w:val="340"/>
                <w:jc w:val="center"/>
              </w:trPr>
              <w:tc>
                <w:tcPr>
                  <w:tcW w:w="4395" w:type="dxa"/>
                  <w:vMerge/>
                  <w:vAlign w:val="center"/>
                </w:tcPr>
                <w:p w14:paraId="15134CD6" w14:textId="77777777" w:rsidR="00D823B3" w:rsidRPr="008819AF" w:rsidRDefault="00D823B3" w:rsidP="00620437">
                  <w:pPr>
                    <w:pStyle w:val="Normln"/>
                    <w:jc w:val="both"/>
                    <w:rPr>
                      <w:sz w:val="18"/>
                      <w:szCs w:val="18"/>
                      <w:lang w:val="sk-SK"/>
                    </w:rPr>
                  </w:pPr>
                </w:p>
              </w:tc>
              <w:tc>
                <w:tcPr>
                  <w:tcW w:w="2409" w:type="dxa"/>
                  <w:vAlign w:val="center"/>
                </w:tcPr>
                <w:p w14:paraId="15134CD7" w14:textId="77777777" w:rsidR="00D823B3" w:rsidRPr="008819AF" w:rsidRDefault="00D823B3" w:rsidP="00620437">
                  <w:pPr>
                    <w:pStyle w:val="Normln"/>
                    <w:jc w:val="center"/>
                    <w:rPr>
                      <w:b/>
                      <w:sz w:val="18"/>
                      <w:szCs w:val="18"/>
                      <w:lang w:val="sk-SK"/>
                    </w:rPr>
                  </w:pPr>
                  <w:r w:rsidRPr="008819AF">
                    <w:rPr>
                      <w:b/>
                      <w:sz w:val="18"/>
                      <w:szCs w:val="18"/>
                      <w:lang w:val="sk-SK"/>
                    </w:rPr>
                    <w:t>TZL</w:t>
                  </w:r>
                  <w:r w:rsidRPr="008819AF">
                    <w:rPr>
                      <w:b/>
                      <w:sz w:val="18"/>
                      <w:szCs w:val="18"/>
                      <w:vertAlign w:val="superscript"/>
                      <w:lang w:val="sk-SK"/>
                    </w:rPr>
                    <w:t>1</w:t>
                  </w:r>
                  <w:r w:rsidRPr="008819AF">
                    <w:rPr>
                      <w:b/>
                      <w:sz w:val="18"/>
                      <w:szCs w:val="18"/>
                      <w:lang w:val="sk-SK"/>
                    </w:rPr>
                    <w:t>)</w:t>
                  </w:r>
                </w:p>
              </w:tc>
              <w:tc>
                <w:tcPr>
                  <w:tcW w:w="2268" w:type="dxa"/>
                  <w:vAlign w:val="center"/>
                </w:tcPr>
                <w:p w14:paraId="15134CD8" w14:textId="77777777" w:rsidR="00D823B3" w:rsidRPr="008819AF" w:rsidRDefault="00D823B3" w:rsidP="00620437">
                  <w:pPr>
                    <w:pStyle w:val="Normln"/>
                    <w:jc w:val="center"/>
                    <w:rPr>
                      <w:b/>
                      <w:sz w:val="18"/>
                      <w:szCs w:val="18"/>
                      <w:lang w:val="sk-SK"/>
                    </w:rPr>
                  </w:pPr>
                  <w:r w:rsidRPr="008819AF">
                    <w:rPr>
                      <w:b/>
                      <w:sz w:val="18"/>
                      <w:szCs w:val="18"/>
                      <w:lang w:val="sk-SK"/>
                    </w:rPr>
                    <w:t>Cl</w:t>
                  </w:r>
                  <w:r w:rsidRPr="008819AF">
                    <w:rPr>
                      <w:b/>
                      <w:sz w:val="18"/>
                      <w:szCs w:val="18"/>
                      <w:vertAlign w:val="subscript"/>
                      <w:lang w:val="sk-SK"/>
                    </w:rPr>
                    <w:t>2</w:t>
                  </w:r>
                </w:p>
              </w:tc>
            </w:tr>
            <w:tr w:rsidR="00D823B3" w:rsidRPr="008819AF" w14:paraId="15134CDD" w14:textId="77777777" w:rsidTr="00620437">
              <w:trPr>
                <w:trHeight w:val="340"/>
                <w:jc w:val="center"/>
              </w:trPr>
              <w:tc>
                <w:tcPr>
                  <w:tcW w:w="4395" w:type="dxa"/>
                  <w:vAlign w:val="center"/>
                </w:tcPr>
                <w:p w14:paraId="15134CDA" w14:textId="77777777" w:rsidR="00D823B3" w:rsidRPr="008819AF" w:rsidRDefault="00D823B3" w:rsidP="00620437">
                  <w:pPr>
                    <w:pStyle w:val="Normln"/>
                    <w:rPr>
                      <w:sz w:val="18"/>
                      <w:szCs w:val="18"/>
                      <w:lang w:val="sk-SK"/>
                    </w:rPr>
                  </w:pPr>
                  <w:r w:rsidRPr="008819AF">
                    <w:rPr>
                      <w:sz w:val="18"/>
                      <w:szCs w:val="18"/>
                      <w:lang w:val="sk-SK"/>
                    </w:rPr>
                    <w:t>Hlavné technologické činnosti</w:t>
                  </w:r>
                </w:p>
              </w:tc>
              <w:tc>
                <w:tcPr>
                  <w:tcW w:w="2409" w:type="dxa"/>
                  <w:vAlign w:val="center"/>
                </w:tcPr>
                <w:p w14:paraId="15134CDB" w14:textId="77777777" w:rsidR="00D823B3" w:rsidRPr="008819AF" w:rsidRDefault="00D823B3" w:rsidP="00620437">
                  <w:pPr>
                    <w:pStyle w:val="Normln"/>
                    <w:jc w:val="center"/>
                    <w:rPr>
                      <w:sz w:val="18"/>
                      <w:szCs w:val="18"/>
                      <w:lang w:val="sk-SK"/>
                    </w:rPr>
                  </w:pPr>
                  <w:r w:rsidRPr="008819AF">
                    <w:rPr>
                      <w:sz w:val="18"/>
                      <w:szCs w:val="18"/>
                      <w:lang w:val="sk-SK"/>
                    </w:rPr>
                    <w:t>50</w:t>
                  </w:r>
                </w:p>
              </w:tc>
              <w:tc>
                <w:tcPr>
                  <w:tcW w:w="2268" w:type="dxa"/>
                  <w:vAlign w:val="center"/>
                </w:tcPr>
                <w:p w14:paraId="15134CDC" w14:textId="77777777" w:rsidR="00D823B3" w:rsidRPr="008819AF" w:rsidRDefault="00D823B3" w:rsidP="00620437">
                  <w:pPr>
                    <w:pStyle w:val="Normln"/>
                    <w:jc w:val="center"/>
                    <w:rPr>
                      <w:sz w:val="18"/>
                      <w:szCs w:val="18"/>
                      <w:lang w:val="sk-SK"/>
                    </w:rPr>
                  </w:pPr>
                  <w:r w:rsidRPr="008819AF">
                    <w:rPr>
                      <w:sz w:val="18"/>
                      <w:szCs w:val="18"/>
                      <w:lang w:val="sk-SK"/>
                    </w:rPr>
                    <w:t>5</w:t>
                  </w:r>
                  <w:r w:rsidRPr="008819AF">
                    <w:rPr>
                      <w:sz w:val="18"/>
                      <w:szCs w:val="18"/>
                      <w:vertAlign w:val="superscript"/>
                      <w:lang w:val="sk-SK"/>
                    </w:rPr>
                    <w:t>2</w:t>
                  </w:r>
                  <w:r w:rsidRPr="008819AF">
                    <w:rPr>
                      <w:sz w:val="18"/>
                      <w:szCs w:val="18"/>
                      <w:lang w:val="sk-SK"/>
                    </w:rPr>
                    <w:t>),  40</w:t>
                  </w:r>
                  <w:r w:rsidRPr="008819AF">
                    <w:rPr>
                      <w:sz w:val="18"/>
                      <w:szCs w:val="18"/>
                      <w:vertAlign w:val="superscript"/>
                      <w:lang w:val="sk-SK"/>
                    </w:rPr>
                    <w:t>3</w:t>
                  </w:r>
                  <w:r w:rsidRPr="008819AF">
                    <w:rPr>
                      <w:sz w:val="18"/>
                      <w:szCs w:val="18"/>
                      <w:lang w:val="sk-SK"/>
                    </w:rPr>
                    <w:t>)</w:t>
                  </w:r>
                </w:p>
              </w:tc>
            </w:tr>
            <w:tr w:rsidR="00D823B3" w:rsidRPr="008819AF" w14:paraId="15134CE1" w14:textId="77777777" w:rsidTr="00620437">
              <w:trPr>
                <w:trHeight w:val="340"/>
                <w:jc w:val="center"/>
              </w:trPr>
              <w:tc>
                <w:tcPr>
                  <w:tcW w:w="4395" w:type="dxa"/>
                  <w:vAlign w:val="center"/>
                </w:tcPr>
                <w:p w14:paraId="15134CDE" w14:textId="77777777" w:rsidR="00D823B3" w:rsidRPr="008819AF" w:rsidRDefault="00D823B3" w:rsidP="00620437">
                  <w:pPr>
                    <w:pStyle w:val="Normln"/>
                    <w:jc w:val="both"/>
                    <w:rPr>
                      <w:sz w:val="18"/>
                      <w:szCs w:val="18"/>
                      <w:lang w:val="sk-SK"/>
                    </w:rPr>
                  </w:pPr>
                  <w:r w:rsidRPr="008819AF">
                    <w:rPr>
                      <w:sz w:val="18"/>
                      <w:szCs w:val="18"/>
                      <w:lang w:val="sk-SK"/>
                    </w:rPr>
                    <w:t>Ostatné činnosti</w:t>
                  </w:r>
                </w:p>
              </w:tc>
              <w:tc>
                <w:tcPr>
                  <w:tcW w:w="2409" w:type="dxa"/>
                  <w:vAlign w:val="center"/>
                </w:tcPr>
                <w:p w14:paraId="15134CDF" w14:textId="77777777" w:rsidR="00D823B3" w:rsidRPr="008819AF" w:rsidRDefault="00D823B3" w:rsidP="00620437">
                  <w:pPr>
                    <w:pStyle w:val="Normln"/>
                    <w:jc w:val="center"/>
                    <w:rPr>
                      <w:sz w:val="18"/>
                      <w:szCs w:val="18"/>
                      <w:lang w:val="sk-SK"/>
                    </w:rPr>
                  </w:pPr>
                  <w:r w:rsidRPr="008819AF">
                    <w:rPr>
                      <w:sz w:val="18"/>
                      <w:szCs w:val="18"/>
                      <w:lang w:val="sk-SK"/>
                    </w:rPr>
                    <w:t>150</w:t>
                  </w:r>
                </w:p>
              </w:tc>
              <w:tc>
                <w:tcPr>
                  <w:tcW w:w="2268" w:type="dxa"/>
                </w:tcPr>
                <w:p w14:paraId="15134CE0" w14:textId="77777777" w:rsidR="00D823B3" w:rsidRPr="008819AF" w:rsidRDefault="00D823B3" w:rsidP="00620437">
                  <w:pPr>
                    <w:pStyle w:val="Normln"/>
                    <w:jc w:val="center"/>
                    <w:rPr>
                      <w:sz w:val="18"/>
                      <w:szCs w:val="18"/>
                      <w:lang w:val="sk-SK"/>
                    </w:rPr>
                  </w:pPr>
                </w:p>
              </w:tc>
            </w:tr>
            <w:tr w:rsidR="00D823B3" w:rsidRPr="008819AF" w14:paraId="15134CE4" w14:textId="77777777" w:rsidTr="00620437">
              <w:trPr>
                <w:trHeight w:val="340"/>
                <w:jc w:val="center"/>
              </w:trPr>
              <w:tc>
                <w:tcPr>
                  <w:tcW w:w="4395" w:type="dxa"/>
                  <w:vAlign w:val="center"/>
                </w:tcPr>
                <w:p w14:paraId="15134CE2" w14:textId="77777777" w:rsidR="00D823B3" w:rsidRPr="008819AF" w:rsidRDefault="00D823B3" w:rsidP="00620437">
                  <w:pPr>
                    <w:pStyle w:val="Normln"/>
                    <w:jc w:val="both"/>
                    <w:rPr>
                      <w:sz w:val="18"/>
                      <w:szCs w:val="18"/>
                      <w:lang w:val="sk-SK"/>
                    </w:rPr>
                  </w:pPr>
                </w:p>
              </w:tc>
              <w:tc>
                <w:tcPr>
                  <w:tcW w:w="4677" w:type="dxa"/>
                  <w:gridSpan w:val="2"/>
                  <w:vAlign w:val="center"/>
                </w:tcPr>
                <w:p w14:paraId="15134CE3" w14:textId="77777777" w:rsidR="00D823B3" w:rsidRPr="008819AF" w:rsidRDefault="00D823B3" w:rsidP="00620437">
                  <w:pPr>
                    <w:pStyle w:val="Normln"/>
                    <w:jc w:val="center"/>
                    <w:rPr>
                      <w:sz w:val="18"/>
                      <w:szCs w:val="18"/>
                      <w:lang w:val="sk-SK"/>
                    </w:rPr>
                  </w:pPr>
                  <w:r w:rsidRPr="008819AF">
                    <w:rPr>
                      <w:b/>
                      <w:sz w:val="18"/>
                      <w:szCs w:val="18"/>
                      <w:lang w:val="sk-SK"/>
                    </w:rPr>
                    <w:t>Limitný emisný faktor  SO</w:t>
                  </w:r>
                  <w:r w:rsidRPr="008819AF">
                    <w:rPr>
                      <w:b/>
                      <w:sz w:val="18"/>
                      <w:szCs w:val="18"/>
                      <w:vertAlign w:val="subscript"/>
                      <w:lang w:val="sk-SK"/>
                    </w:rPr>
                    <w:t>X</w:t>
                  </w:r>
                  <w:r w:rsidRPr="008819AF">
                    <w:rPr>
                      <w:b/>
                      <w:sz w:val="18"/>
                      <w:szCs w:val="18"/>
                      <w:vertAlign w:val="superscript"/>
                      <w:lang w:val="sk-SK"/>
                    </w:rPr>
                    <w:t>4</w:t>
                  </w:r>
                  <w:r w:rsidRPr="008819AF">
                    <w:rPr>
                      <w:b/>
                      <w:sz w:val="18"/>
                      <w:szCs w:val="18"/>
                      <w:lang w:val="sk-SK"/>
                    </w:rPr>
                    <w:t>)</w:t>
                  </w:r>
                  <w:r w:rsidRPr="008819AF">
                    <w:rPr>
                      <w:b/>
                      <w:sz w:val="18"/>
                      <w:szCs w:val="18"/>
                      <w:vertAlign w:val="superscript"/>
                      <w:lang w:val="sk-SK"/>
                    </w:rPr>
                    <w:t xml:space="preserve"> </w:t>
                  </w:r>
                </w:p>
              </w:tc>
            </w:tr>
            <w:tr w:rsidR="00D823B3" w:rsidRPr="008819AF" w14:paraId="15134CE7" w14:textId="77777777" w:rsidTr="00620437">
              <w:trPr>
                <w:trHeight w:val="340"/>
                <w:jc w:val="center"/>
              </w:trPr>
              <w:tc>
                <w:tcPr>
                  <w:tcW w:w="4395" w:type="dxa"/>
                  <w:vAlign w:val="center"/>
                </w:tcPr>
                <w:p w14:paraId="15134CE5" w14:textId="77777777" w:rsidR="00D823B3" w:rsidRPr="008819AF" w:rsidRDefault="00D823B3" w:rsidP="00620437">
                  <w:pPr>
                    <w:pStyle w:val="Normln"/>
                    <w:jc w:val="both"/>
                    <w:rPr>
                      <w:sz w:val="18"/>
                      <w:szCs w:val="18"/>
                      <w:lang w:val="sk-SK"/>
                    </w:rPr>
                  </w:pPr>
                  <w:r w:rsidRPr="008819AF">
                    <w:rPr>
                      <w:sz w:val="18"/>
                      <w:szCs w:val="18"/>
                      <w:lang w:val="sk-SK"/>
                    </w:rPr>
                    <w:t xml:space="preserve">Celková výroba </w:t>
                  </w:r>
                </w:p>
              </w:tc>
              <w:tc>
                <w:tcPr>
                  <w:tcW w:w="4677" w:type="dxa"/>
                  <w:gridSpan w:val="2"/>
                  <w:vAlign w:val="center"/>
                </w:tcPr>
                <w:p w14:paraId="15134CE6" w14:textId="77777777" w:rsidR="00D823B3" w:rsidRPr="008819AF" w:rsidRDefault="00D823B3" w:rsidP="00620437">
                  <w:pPr>
                    <w:pStyle w:val="Normln"/>
                    <w:jc w:val="center"/>
                    <w:rPr>
                      <w:sz w:val="18"/>
                      <w:szCs w:val="18"/>
                      <w:lang w:val="sk-SK"/>
                    </w:rPr>
                  </w:pPr>
                  <w:r w:rsidRPr="008819AF">
                    <w:rPr>
                      <w:sz w:val="18"/>
                      <w:szCs w:val="18"/>
                      <w:lang w:val="sk-SK"/>
                    </w:rPr>
                    <w:t>1,7 kg/t vyrobeného  TiO</w:t>
                  </w:r>
                  <w:r w:rsidRPr="008819AF">
                    <w:rPr>
                      <w:sz w:val="18"/>
                      <w:szCs w:val="18"/>
                      <w:vertAlign w:val="subscript"/>
                      <w:lang w:val="sk-SK"/>
                    </w:rPr>
                    <w:t>2</w:t>
                  </w:r>
                </w:p>
              </w:tc>
            </w:tr>
          </w:tbl>
          <w:p w14:paraId="15134CE8" w14:textId="77777777" w:rsidR="00D823B3" w:rsidRPr="008819AF" w:rsidRDefault="00D823B3" w:rsidP="00D823B3">
            <w:pPr>
              <w:pStyle w:val="Normln"/>
              <w:spacing w:before="60"/>
              <w:ind w:left="272" w:hanging="272"/>
              <w:jc w:val="both"/>
              <w:rPr>
                <w:sz w:val="20"/>
                <w:szCs w:val="20"/>
                <w:lang w:val="sk-SK"/>
              </w:rPr>
            </w:pPr>
            <w:r w:rsidRPr="008819AF">
              <w:rPr>
                <w:sz w:val="20"/>
                <w:szCs w:val="20"/>
                <w:vertAlign w:val="superscript"/>
                <w:lang w:val="sk-SK"/>
              </w:rPr>
              <w:t>1</w:t>
            </w:r>
            <w:r w:rsidRPr="008819AF">
              <w:rPr>
                <w:sz w:val="20"/>
                <w:szCs w:val="20"/>
                <w:lang w:val="sk-SK"/>
              </w:rPr>
              <w:t xml:space="preserve">) Platí pre všetky TZL z výrobného zariadenia, najmä rudný prach, prachový pigment a prach zo zuhoľnatených zvyškov. </w:t>
            </w:r>
          </w:p>
          <w:p w14:paraId="15134CE9" w14:textId="77777777" w:rsidR="00D823B3" w:rsidRPr="008819AF" w:rsidRDefault="00D823B3" w:rsidP="00D823B3">
            <w:pPr>
              <w:pStyle w:val="Normln"/>
              <w:ind w:left="180" w:hanging="180"/>
              <w:jc w:val="both"/>
              <w:rPr>
                <w:sz w:val="20"/>
                <w:szCs w:val="20"/>
                <w:lang w:val="sk-SK"/>
              </w:rPr>
            </w:pPr>
            <w:r w:rsidRPr="008819AF">
              <w:rPr>
                <w:sz w:val="20"/>
                <w:szCs w:val="20"/>
                <w:vertAlign w:val="superscript"/>
                <w:lang w:val="sk-SK"/>
              </w:rPr>
              <w:t>2</w:t>
            </w:r>
            <w:r w:rsidRPr="008819AF">
              <w:rPr>
                <w:sz w:val="20"/>
                <w:szCs w:val="20"/>
                <w:lang w:val="sk-SK"/>
              </w:rPr>
              <w:t>)  Platí ako denná priemerná hodnota.</w:t>
            </w:r>
          </w:p>
          <w:p w14:paraId="15134CEA" w14:textId="77777777" w:rsidR="00D823B3" w:rsidRPr="008819AF" w:rsidRDefault="00D823B3" w:rsidP="00D823B3">
            <w:pPr>
              <w:pStyle w:val="Normln"/>
              <w:ind w:left="180" w:hanging="180"/>
              <w:jc w:val="both"/>
              <w:rPr>
                <w:sz w:val="20"/>
                <w:szCs w:val="20"/>
                <w:lang w:val="sk-SK"/>
              </w:rPr>
            </w:pPr>
            <w:r w:rsidRPr="008819AF">
              <w:rPr>
                <w:sz w:val="20"/>
                <w:szCs w:val="20"/>
                <w:vertAlign w:val="superscript"/>
                <w:lang w:val="sk-SK"/>
              </w:rPr>
              <w:t>3</w:t>
            </w:r>
            <w:r w:rsidRPr="008819AF">
              <w:rPr>
                <w:sz w:val="20"/>
                <w:szCs w:val="20"/>
                <w:lang w:val="sk-SK"/>
              </w:rPr>
              <w:t>)  Platí pre každú nameranú hodnotu.</w:t>
            </w:r>
          </w:p>
          <w:p w14:paraId="15134CEB" w14:textId="77777777" w:rsidR="00685E6D" w:rsidRPr="008819AF" w:rsidRDefault="00D823B3" w:rsidP="00D823B3">
            <w:pPr>
              <w:pStyle w:val="Normln"/>
              <w:ind w:left="284" w:right="-1" w:hanging="284"/>
              <w:jc w:val="both"/>
              <w:rPr>
                <w:sz w:val="20"/>
                <w:szCs w:val="20"/>
              </w:rPr>
            </w:pPr>
            <w:r w:rsidRPr="008819AF">
              <w:rPr>
                <w:sz w:val="20"/>
                <w:szCs w:val="20"/>
                <w:vertAlign w:val="superscript"/>
                <w:lang w:val="sk-SK"/>
              </w:rPr>
              <w:t>4</w:t>
            </w:r>
            <w:r w:rsidRPr="008819AF">
              <w:rPr>
                <w:sz w:val="20"/>
                <w:szCs w:val="20"/>
                <w:lang w:val="sk-SK"/>
              </w:rPr>
              <w:t>) Platí ako ročná priemerná hodnota pre SO</w:t>
            </w:r>
            <w:r w:rsidRPr="008819AF">
              <w:rPr>
                <w:sz w:val="20"/>
                <w:szCs w:val="20"/>
                <w:vertAlign w:val="subscript"/>
                <w:lang w:val="sk-SK"/>
              </w:rPr>
              <w:t>X</w:t>
            </w:r>
            <w:r w:rsidRPr="008819AF">
              <w:rPr>
                <w:sz w:val="20"/>
                <w:szCs w:val="20"/>
                <w:lang w:val="sk-SK"/>
              </w:rPr>
              <w:t xml:space="preserve"> vrátane kvapiek H</w:t>
            </w:r>
            <w:r w:rsidRPr="008819AF">
              <w:rPr>
                <w:sz w:val="20"/>
                <w:szCs w:val="20"/>
                <w:vertAlign w:val="subscript"/>
                <w:lang w:val="sk-SK"/>
              </w:rPr>
              <w:t>2</w:t>
            </w:r>
            <w:r w:rsidRPr="008819AF">
              <w:rPr>
                <w:sz w:val="20"/>
                <w:szCs w:val="20"/>
                <w:lang w:val="sk-SK"/>
              </w:rPr>
              <w:t>SO</w:t>
            </w:r>
            <w:r w:rsidRPr="008819AF">
              <w:rPr>
                <w:sz w:val="20"/>
                <w:szCs w:val="20"/>
                <w:vertAlign w:val="subscript"/>
                <w:lang w:val="sk-SK"/>
              </w:rPr>
              <w:t>4</w:t>
            </w:r>
            <w:r w:rsidRPr="008819AF">
              <w:rPr>
                <w:sz w:val="20"/>
                <w:szCs w:val="20"/>
                <w:lang w:val="sk-SK"/>
              </w:rPr>
              <w:t xml:space="preserve"> pre rôzne štádiá výrobného procesu a procesu úpravy inertného odpadu.</w:t>
            </w:r>
          </w:p>
        </w:tc>
        <w:tc>
          <w:tcPr>
            <w:tcW w:w="709" w:type="dxa"/>
            <w:tcBorders>
              <w:top w:val="single" w:sz="4" w:space="0" w:color="000000"/>
              <w:left w:val="single" w:sz="6" w:space="0" w:color="000000"/>
              <w:bottom w:val="single" w:sz="6" w:space="0" w:color="000000"/>
              <w:right w:val="single" w:sz="6" w:space="0" w:color="000000"/>
            </w:tcBorders>
          </w:tcPr>
          <w:p w14:paraId="15134CEC" w14:textId="77777777" w:rsidR="007170C3" w:rsidRPr="008819AF" w:rsidRDefault="007170C3">
            <w:pPr>
              <w:ind w:left="215" w:hanging="215"/>
              <w:rPr>
                <w:rFonts w:eastAsia="Arial"/>
                <w:lang w:bidi="cs-CZ"/>
              </w:rPr>
            </w:pPr>
          </w:p>
        </w:tc>
        <w:tc>
          <w:tcPr>
            <w:tcW w:w="992" w:type="dxa"/>
            <w:tcBorders>
              <w:top w:val="single" w:sz="4" w:space="0" w:color="000000"/>
              <w:left w:val="single" w:sz="6" w:space="0" w:color="000000"/>
              <w:bottom w:val="single" w:sz="6" w:space="0" w:color="000000"/>
              <w:right w:val="single" w:sz="6" w:space="0" w:color="000000"/>
            </w:tcBorders>
          </w:tcPr>
          <w:p w14:paraId="15134CED" w14:textId="77777777" w:rsidR="007170C3" w:rsidRPr="008819AF" w:rsidRDefault="007170C3">
            <w:pPr>
              <w:ind w:left="215" w:hanging="215"/>
              <w:rPr>
                <w:rFonts w:eastAsia="Arial"/>
              </w:rPr>
            </w:pPr>
          </w:p>
        </w:tc>
      </w:tr>
      <w:tr w:rsidR="007170C3" w:rsidRPr="00B91E91" w14:paraId="15134D00" w14:textId="77777777" w:rsidTr="00B91E91">
        <w:trPr>
          <w:trHeight w:val="65"/>
        </w:trPr>
        <w:tc>
          <w:tcPr>
            <w:tcW w:w="637" w:type="dxa"/>
            <w:tcBorders>
              <w:top w:val="single" w:sz="4" w:space="0" w:color="000000"/>
              <w:left w:val="single" w:sz="6" w:space="0" w:color="000000"/>
              <w:bottom w:val="single" w:sz="6" w:space="0" w:color="000000"/>
              <w:right w:val="single" w:sz="6" w:space="0" w:color="000000"/>
            </w:tcBorders>
          </w:tcPr>
          <w:p w14:paraId="15134CEF" w14:textId="77777777" w:rsidR="007170C3" w:rsidRPr="008819AF" w:rsidRDefault="007170C3">
            <w:pPr>
              <w:ind w:left="215" w:hanging="215"/>
              <w:rPr>
                <w:rFonts w:eastAsia="Arial"/>
                <w:lang w:bidi="cs-CZ"/>
              </w:rPr>
            </w:pPr>
          </w:p>
        </w:tc>
        <w:tc>
          <w:tcPr>
            <w:tcW w:w="4395" w:type="dxa"/>
            <w:tcBorders>
              <w:top w:val="single" w:sz="4" w:space="0" w:color="000000"/>
              <w:left w:val="single" w:sz="6" w:space="0" w:color="000000"/>
              <w:bottom w:val="single" w:sz="6" w:space="0" w:color="000000"/>
              <w:right w:val="single" w:sz="6" w:space="0" w:color="000000"/>
            </w:tcBorders>
          </w:tcPr>
          <w:p w14:paraId="15134CF0" w14:textId="77777777" w:rsidR="007170C3" w:rsidRPr="008819AF" w:rsidRDefault="006F0418">
            <w:pPr>
              <w:ind w:left="215" w:hanging="215"/>
              <w:rPr>
                <w:rFonts w:eastAsia="Arial"/>
                <w:lang w:bidi="cs-CZ"/>
              </w:rPr>
            </w:pPr>
            <w:r w:rsidRPr="008819AF">
              <w:rPr>
                <w:rFonts w:eastAsia="Arial"/>
                <w:lang w:bidi="cs-CZ"/>
              </w:rPr>
              <w:t>ČASŤ 3 Monitorovanie emisií</w:t>
            </w:r>
          </w:p>
          <w:p w14:paraId="15134CF1" w14:textId="77777777" w:rsidR="007170C3" w:rsidRPr="008819AF" w:rsidRDefault="006F0418">
            <w:pPr>
              <w:ind w:left="215" w:hanging="1"/>
              <w:rPr>
                <w:rFonts w:eastAsia="Arial"/>
                <w:lang w:bidi="cs-CZ"/>
              </w:rPr>
            </w:pPr>
            <w:r w:rsidRPr="008819AF">
              <w:rPr>
                <w:rFonts w:eastAsia="Arial"/>
                <w:lang w:bidi="cs-CZ"/>
              </w:rPr>
              <w:t>Monitorovanie emisií do ovzdušia zahŕňa aspoň kontinuálne monitorovanie:</w:t>
            </w:r>
          </w:p>
          <w:p w14:paraId="15134CF2" w14:textId="77777777" w:rsidR="007170C3" w:rsidRPr="008819AF" w:rsidRDefault="006F0418">
            <w:pPr>
              <w:ind w:left="356" w:hanging="142"/>
              <w:rPr>
                <w:rFonts w:eastAsia="Arial"/>
                <w:lang w:bidi="cs-CZ"/>
              </w:rPr>
            </w:pPr>
            <w:r w:rsidRPr="008819AF">
              <w:rPr>
                <w:rFonts w:eastAsia="Arial"/>
                <w:lang w:bidi="cs-CZ"/>
              </w:rPr>
              <w:t>a) plynného oxidu siričitého a sírového pochádzajúcich z rozkladu a kalcinácie zo zariadení na koncentráciu odpadovej kyseliny v prípade zariadení, ktoré používajú sulfátový proces;</w:t>
            </w:r>
          </w:p>
          <w:p w14:paraId="15134CF3" w14:textId="77777777" w:rsidR="007170C3" w:rsidRPr="008819AF" w:rsidRDefault="006F0418">
            <w:pPr>
              <w:ind w:left="356" w:hanging="142"/>
              <w:rPr>
                <w:rFonts w:eastAsia="Arial"/>
                <w:lang w:bidi="cs-CZ"/>
              </w:rPr>
            </w:pPr>
            <w:r w:rsidRPr="008819AF">
              <w:rPr>
                <w:rFonts w:eastAsia="Arial"/>
                <w:lang w:bidi="cs-CZ"/>
              </w:rPr>
              <w:t>b) chlóru z hlavných zdrojov v rámci zariadení, ktoré používajú chloridový proces;</w:t>
            </w:r>
          </w:p>
          <w:p w14:paraId="15134CF4" w14:textId="77777777" w:rsidR="007170C3" w:rsidRPr="008819AF" w:rsidRDefault="006F0418">
            <w:pPr>
              <w:ind w:left="356" w:hanging="142"/>
              <w:rPr>
                <w:rFonts w:eastAsia="Arial"/>
                <w:lang w:bidi="cs-CZ"/>
              </w:rPr>
            </w:pPr>
            <w:r w:rsidRPr="008819AF">
              <w:rPr>
                <w:rFonts w:eastAsia="Arial"/>
                <w:lang w:bidi="cs-CZ"/>
              </w:rPr>
              <w:t xml:space="preserve">c) prachu z hlavných zdrojov. </w:t>
            </w:r>
          </w:p>
        </w:tc>
        <w:tc>
          <w:tcPr>
            <w:tcW w:w="708" w:type="dxa"/>
            <w:tcBorders>
              <w:top w:val="single" w:sz="4" w:space="0" w:color="000000"/>
              <w:left w:val="single" w:sz="6" w:space="0" w:color="000000"/>
              <w:bottom w:val="single" w:sz="6" w:space="0" w:color="000000"/>
              <w:right w:val="single" w:sz="6" w:space="0" w:color="000000"/>
            </w:tcBorders>
          </w:tcPr>
          <w:p w14:paraId="15134CF5" w14:textId="77777777" w:rsidR="007170C3" w:rsidRPr="008819AF" w:rsidRDefault="007170C3">
            <w:pPr>
              <w:ind w:left="215" w:hanging="215"/>
              <w:rPr>
                <w:rFonts w:eastAsia="Arial"/>
                <w:lang w:bidi="cs-CZ"/>
              </w:rPr>
            </w:pPr>
          </w:p>
          <w:p w14:paraId="15134CF6" w14:textId="77777777" w:rsidR="007170C3" w:rsidRPr="008819AF" w:rsidRDefault="007170C3">
            <w:pPr>
              <w:rPr>
                <w:rFonts w:eastAsia="Arial"/>
                <w:lang w:bidi="cs-CZ"/>
              </w:rPr>
            </w:pPr>
          </w:p>
        </w:tc>
        <w:tc>
          <w:tcPr>
            <w:tcW w:w="851" w:type="dxa"/>
            <w:tcBorders>
              <w:top w:val="single" w:sz="4" w:space="0" w:color="000000"/>
              <w:left w:val="single" w:sz="6" w:space="0" w:color="000000"/>
              <w:bottom w:val="single" w:sz="6" w:space="0" w:color="000000"/>
              <w:right w:val="single" w:sz="6" w:space="0" w:color="000000"/>
            </w:tcBorders>
          </w:tcPr>
          <w:p w14:paraId="15134CF7" w14:textId="77777777" w:rsidR="007170C3" w:rsidRPr="008819AF" w:rsidRDefault="006F0418">
            <w:pPr>
              <w:rPr>
                <w:rFonts w:eastAsia="Arial"/>
                <w:lang w:bidi="cs-CZ"/>
              </w:rPr>
            </w:pPr>
            <w:r w:rsidRPr="008819AF">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15134CF8" w14:textId="77777777" w:rsidR="007170C3" w:rsidRPr="008819AF" w:rsidRDefault="00132937">
            <w:r w:rsidRPr="008819AF">
              <w:t>§11</w:t>
            </w:r>
          </w:p>
          <w:p w14:paraId="15134CF9" w14:textId="77777777" w:rsidR="00132937" w:rsidRPr="008819AF" w:rsidRDefault="00132937">
            <w:r w:rsidRPr="008819AF">
              <w:t>O3</w:t>
            </w:r>
          </w:p>
        </w:tc>
        <w:tc>
          <w:tcPr>
            <w:tcW w:w="5386" w:type="dxa"/>
            <w:tcBorders>
              <w:top w:val="single" w:sz="4" w:space="0" w:color="000000"/>
              <w:left w:val="single" w:sz="6" w:space="0" w:color="000000"/>
              <w:bottom w:val="single" w:sz="6" w:space="0" w:color="000000"/>
              <w:right w:val="single" w:sz="6" w:space="0" w:color="000000"/>
            </w:tcBorders>
          </w:tcPr>
          <w:p w14:paraId="15134CFA" w14:textId="77777777" w:rsidR="00132937" w:rsidRPr="008819AF" w:rsidRDefault="00132937" w:rsidP="00132937">
            <w:pPr>
              <w:jc w:val="both"/>
              <w:rPr>
                <w:rFonts w:eastAsia="Arial"/>
              </w:rPr>
            </w:pPr>
            <w:r w:rsidRPr="008819AF">
              <w:rPr>
                <w:rFonts w:eastAsia="Arial"/>
              </w:rPr>
              <w:t>(3)</w:t>
            </w:r>
            <w:r w:rsidRPr="008819AF">
              <w:rPr>
                <w:rFonts w:eastAsia="Arial"/>
              </w:rPr>
              <w:tab/>
              <w:t>Ak ide o výrobu oxidu titaničitého, kontinuálnym meraním sa údaje o dodržaní určeného emisného limitu a množstvo emisie zisťujú najmenej vo výduchoch s hmotnostným tokom podľa odseku 1 pre</w:t>
            </w:r>
          </w:p>
          <w:p w14:paraId="15134CFB" w14:textId="77777777" w:rsidR="00132937" w:rsidRPr="008819AF" w:rsidRDefault="00132937" w:rsidP="00132937">
            <w:pPr>
              <w:jc w:val="both"/>
              <w:rPr>
                <w:rFonts w:eastAsia="Arial"/>
              </w:rPr>
            </w:pPr>
            <w:r w:rsidRPr="008819AF">
              <w:rPr>
                <w:rFonts w:eastAsia="Arial"/>
              </w:rPr>
              <w:t>a)</w:t>
            </w:r>
            <w:r w:rsidRPr="008819AF">
              <w:rPr>
                <w:rFonts w:eastAsia="Arial"/>
              </w:rPr>
              <w:tab/>
              <w:t>plynný oxid siričitý a oxid sírový vyjadrené ako oxid siričitý vo výduchoch zo zariadení na rozklad, kalcináciu a zahusťovanie odpadovej kyseliny sírovej pri sulfátovom procese výroby,</w:t>
            </w:r>
          </w:p>
          <w:p w14:paraId="15134CFC" w14:textId="77777777" w:rsidR="00132937" w:rsidRPr="008819AF" w:rsidRDefault="00132937" w:rsidP="00132937">
            <w:pPr>
              <w:jc w:val="both"/>
              <w:rPr>
                <w:rFonts w:eastAsia="Arial"/>
              </w:rPr>
            </w:pPr>
            <w:r w:rsidRPr="008819AF">
              <w:rPr>
                <w:rFonts w:eastAsia="Arial"/>
              </w:rPr>
              <w:t>b)</w:t>
            </w:r>
            <w:r w:rsidRPr="008819AF">
              <w:rPr>
                <w:rFonts w:eastAsia="Arial"/>
              </w:rPr>
              <w:tab/>
              <w:t>chlór pri použití chlórového procesu,</w:t>
            </w:r>
          </w:p>
          <w:p w14:paraId="15134CFD" w14:textId="77777777" w:rsidR="007170C3" w:rsidRPr="00B91E91" w:rsidRDefault="00132937" w:rsidP="00132937">
            <w:pPr>
              <w:jc w:val="both"/>
              <w:rPr>
                <w:rFonts w:eastAsia="Arial"/>
              </w:rPr>
            </w:pPr>
            <w:r w:rsidRPr="008819AF">
              <w:rPr>
                <w:rFonts w:eastAsia="Arial"/>
              </w:rPr>
              <w:t>c)</w:t>
            </w:r>
            <w:r w:rsidRPr="008819AF">
              <w:rPr>
                <w:rFonts w:eastAsia="Arial"/>
              </w:rPr>
              <w:tab/>
              <w:t>tuhé znečisťujúce látky.</w:t>
            </w:r>
            <w:bookmarkStart w:id="4" w:name="_GoBack"/>
            <w:bookmarkEnd w:id="4"/>
          </w:p>
        </w:tc>
        <w:tc>
          <w:tcPr>
            <w:tcW w:w="709" w:type="dxa"/>
            <w:tcBorders>
              <w:top w:val="single" w:sz="4" w:space="0" w:color="000000"/>
              <w:left w:val="single" w:sz="6" w:space="0" w:color="000000"/>
              <w:bottom w:val="single" w:sz="6" w:space="0" w:color="000000"/>
              <w:right w:val="single" w:sz="6" w:space="0" w:color="000000"/>
            </w:tcBorders>
          </w:tcPr>
          <w:p w14:paraId="15134CFE" w14:textId="77777777" w:rsidR="007170C3" w:rsidRPr="00B91E91" w:rsidRDefault="007170C3"/>
        </w:tc>
        <w:tc>
          <w:tcPr>
            <w:tcW w:w="992" w:type="dxa"/>
            <w:tcBorders>
              <w:top w:val="single" w:sz="4" w:space="0" w:color="000000"/>
              <w:left w:val="single" w:sz="6" w:space="0" w:color="000000"/>
              <w:bottom w:val="single" w:sz="6" w:space="0" w:color="000000"/>
              <w:right w:val="single" w:sz="6" w:space="0" w:color="000000"/>
            </w:tcBorders>
          </w:tcPr>
          <w:p w14:paraId="15134CFF" w14:textId="77777777" w:rsidR="007170C3" w:rsidRPr="00B91E91" w:rsidRDefault="007170C3">
            <w:pPr>
              <w:ind w:left="6"/>
              <w:rPr>
                <w:rFonts w:eastAsia="Arial"/>
              </w:rPr>
            </w:pPr>
          </w:p>
        </w:tc>
      </w:tr>
    </w:tbl>
    <w:p w14:paraId="15134D01" w14:textId="77777777" w:rsidR="007170C3" w:rsidRPr="00757CF3" w:rsidRDefault="007170C3">
      <w:pPr>
        <w:pStyle w:val="BodyText21"/>
        <w:spacing w:before="0" w:line="240" w:lineRule="auto"/>
        <w:jc w:val="left"/>
        <w:rPr>
          <w:sz w:val="16"/>
          <w:szCs w:val="16"/>
        </w:rPr>
      </w:pPr>
    </w:p>
    <w:sectPr w:rsidR="007170C3" w:rsidRPr="00757CF3" w:rsidSect="0021052F">
      <w:footerReference w:type="default" r:id="rId19"/>
      <w:pgSz w:w="16840" w:h="11907"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34D07" w14:textId="77777777" w:rsidR="00236AB5" w:rsidRDefault="00236AB5">
      <w:r>
        <w:separator/>
      </w:r>
    </w:p>
  </w:endnote>
  <w:endnote w:type="continuationSeparator" w:id="0">
    <w:p w14:paraId="15134D08" w14:textId="77777777" w:rsidR="00236AB5" w:rsidRDefault="0023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i*r*n*w">
    <w:altName w:val="Times New Roman"/>
    <w:charset w:val="00"/>
    <w:family w:val="auto"/>
    <w:pitch w:val="default"/>
  </w:font>
  <w:font w:name="w*n*d*n*s">
    <w:altName w:val="Times New Roman"/>
    <w:charset w:val="00"/>
    <w:family w:val="auto"/>
    <w:pitch w:val="default"/>
  </w:font>
  <w:font w:name="s*m*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m*s*n*w*r*m*n">
    <w:altName w:val="Times New Roman"/>
    <w:charset w:val="00"/>
    <w:family w:val="auto"/>
    <w:pitch w:val="default"/>
  </w:font>
  <w:font w:name="a*i*l">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Arial Greek">
    <w:altName w:val="Arial"/>
    <w:charset w:val="EE"/>
    <w:family w:val="swiss"/>
    <w:pitch w:val="variable"/>
    <w:sig w:usb0="E0002EFF" w:usb1="C000785B" w:usb2="00000009" w:usb3="00000000" w:csb0="000001FF" w:csb1="00000000"/>
  </w:font>
  <w:font w:name="EUAlbertina-Regular-Identity-H">
    <w:altName w:val="Gubbi"/>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4D09" w14:textId="3E816271" w:rsidR="00236AB5" w:rsidRDefault="00236AB5">
    <w:pPr>
      <w:pStyle w:val="Pta"/>
      <w:framePr w:w="331" w:wrap="auto" w:vAnchor="text" w:hAnchor="page" w:x="8295" w:y="2"/>
      <w:widowControl w:val="0"/>
      <w:rPr>
        <w:rStyle w:val="slostrany"/>
        <w:rFonts w:ascii="Arial" w:eastAsia="Arial" w:hAnsi="Arial" w:cs="Arial"/>
        <w:sz w:val="17"/>
      </w:rPr>
    </w:pPr>
    <w:r>
      <w:rPr>
        <w:rStyle w:val="slostrany"/>
        <w:rFonts w:ascii="Arial" w:eastAsia="Arial" w:hAnsi="Arial" w:cs="Arial"/>
        <w:sz w:val="17"/>
      </w:rPr>
      <w:fldChar w:fldCharType="begin"/>
    </w:r>
    <w:r>
      <w:rPr>
        <w:rStyle w:val="slostrany"/>
        <w:rFonts w:ascii="Arial" w:eastAsia="Arial" w:hAnsi="Arial" w:cs="Arial"/>
        <w:sz w:val="17"/>
      </w:rPr>
      <w:instrText xml:space="preserve">PAGE  </w:instrText>
    </w:r>
    <w:r>
      <w:fldChar w:fldCharType="separate"/>
    </w:r>
    <w:r w:rsidR="00F9799C">
      <w:rPr>
        <w:rStyle w:val="slostrany"/>
        <w:rFonts w:ascii="Arial" w:eastAsia="Arial" w:hAnsi="Arial" w:cs="Arial"/>
        <w:noProof/>
        <w:sz w:val="17"/>
      </w:rPr>
      <w:t>4</w:t>
    </w:r>
    <w:r>
      <w:fldChar w:fldCharType="end"/>
    </w:r>
  </w:p>
  <w:p w14:paraId="15134D0A" w14:textId="77777777" w:rsidR="00236AB5" w:rsidRDefault="00236AB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34D05" w14:textId="77777777" w:rsidR="00236AB5" w:rsidRDefault="00236AB5">
      <w:r>
        <w:separator/>
      </w:r>
    </w:p>
  </w:footnote>
  <w:footnote w:type="continuationSeparator" w:id="0">
    <w:p w14:paraId="15134D06" w14:textId="77777777" w:rsidR="00236AB5" w:rsidRDefault="00236AB5">
      <w:r>
        <w:continuationSeparator/>
      </w:r>
    </w:p>
  </w:footnote>
  <w:footnote w:id="1">
    <w:p w14:paraId="15134D0B" w14:textId="77777777" w:rsidR="00236AB5" w:rsidRPr="00AC1740" w:rsidRDefault="00236AB5" w:rsidP="00877613">
      <w:pPr>
        <w:pStyle w:val="Textpoznmkypodiarou"/>
        <w:jc w:val="both"/>
      </w:pPr>
      <w:r w:rsidRPr="00AC1740">
        <w:rPr>
          <w:rStyle w:val="Odkaznapoznmkupodiarou"/>
          <w:rFonts w:eastAsia="Arial"/>
        </w:rPr>
        <w:footnoteRef/>
      </w:r>
      <w:r w:rsidRPr="00AC1740">
        <w:t xml:space="preserve"> ) Vyhláška Ministerstva životného prostredia Slovenskej republiky č. 365/2015 Z. z., ktorou sa</w:t>
      </w:r>
      <w:r>
        <w:t xml:space="preserve"> </w:t>
      </w:r>
      <w:r w:rsidRPr="00AC1740">
        <w:t>ustanovuje Katalóg odpadov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D301F"/>
    <w:multiLevelType w:val="multilevel"/>
    <w:tmpl w:val="932D301F"/>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F3D346D3"/>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709" w:firstLine="0"/>
      </w:pPr>
      <w:rPr>
        <w:color w:val="00000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 w15:restartNumberingAfterBreak="0">
    <w:nsid w:val="004D4AAB"/>
    <w:multiLevelType w:val="hybridMultilevel"/>
    <w:tmpl w:val="79C28230"/>
    <w:lvl w:ilvl="0" w:tplc="12709C86">
      <w:start w:val="1"/>
      <w:numFmt w:val="lowerLetter"/>
      <w:lvlText w:val="%1)"/>
      <w:lvlJc w:val="left"/>
      <w:pPr>
        <w:ind w:left="227" w:hanging="227"/>
      </w:pPr>
      <w:rPr>
        <w:rFonts w:ascii="Times New Roman" w:eastAsia="Times New Roman" w:hAnsi="Times New Roman" w:cs="Times New Roman"/>
      </w:rPr>
    </w:lvl>
    <w:lvl w:ilvl="1" w:tplc="34F64242">
      <w:start w:val="1"/>
      <w:numFmt w:val="lowerLetter"/>
      <w:lvlText w:val="%2."/>
      <w:lvlJc w:val="left"/>
      <w:pPr>
        <w:ind w:left="1440" w:hanging="360"/>
      </w:pPr>
      <w:rPr>
        <w:rFonts w:ascii="Times New Roman" w:eastAsia="Times New Roman" w:hAnsi="Times New Roman" w:cs="Times New Roman"/>
      </w:rPr>
    </w:lvl>
    <w:lvl w:ilvl="2" w:tplc="392E2BE0">
      <w:start w:val="1"/>
      <w:numFmt w:val="lowerRoman"/>
      <w:lvlText w:val="%3."/>
      <w:lvlJc w:val="right"/>
      <w:pPr>
        <w:ind w:left="2160" w:hanging="180"/>
      </w:pPr>
      <w:rPr>
        <w:rFonts w:ascii="Times New Roman" w:eastAsia="Times New Roman" w:hAnsi="Times New Roman" w:cs="Times New Roman"/>
      </w:rPr>
    </w:lvl>
    <w:lvl w:ilvl="3" w:tplc="7CBA76B4">
      <w:start w:val="1"/>
      <w:numFmt w:val="decimal"/>
      <w:lvlText w:val="%4."/>
      <w:lvlJc w:val="left"/>
      <w:pPr>
        <w:ind w:left="2880" w:hanging="360"/>
      </w:pPr>
      <w:rPr>
        <w:rFonts w:ascii="Times New Roman" w:eastAsia="Times New Roman" w:hAnsi="Times New Roman" w:cs="Times New Roman"/>
      </w:rPr>
    </w:lvl>
    <w:lvl w:ilvl="4" w:tplc="72660E5A">
      <w:start w:val="1"/>
      <w:numFmt w:val="lowerLetter"/>
      <w:lvlText w:val="%5."/>
      <w:lvlJc w:val="left"/>
      <w:pPr>
        <w:ind w:left="3600" w:hanging="360"/>
      </w:pPr>
      <w:rPr>
        <w:rFonts w:ascii="Times New Roman" w:eastAsia="Times New Roman" w:hAnsi="Times New Roman" w:cs="Times New Roman"/>
      </w:rPr>
    </w:lvl>
    <w:lvl w:ilvl="5" w:tplc="07C0A250">
      <w:start w:val="1"/>
      <w:numFmt w:val="lowerRoman"/>
      <w:lvlText w:val="%6."/>
      <w:lvlJc w:val="right"/>
      <w:pPr>
        <w:ind w:left="4320" w:hanging="180"/>
      </w:pPr>
      <w:rPr>
        <w:rFonts w:ascii="Times New Roman" w:eastAsia="Times New Roman" w:hAnsi="Times New Roman" w:cs="Times New Roman"/>
      </w:rPr>
    </w:lvl>
    <w:lvl w:ilvl="6" w:tplc="40EE696C">
      <w:start w:val="1"/>
      <w:numFmt w:val="decimal"/>
      <w:lvlText w:val="%7."/>
      <w:lvlJc w:val="left"/>
      <w:pPr>
        <w:ind w:left="5040" w:hanging="360"/>
      </w:pPr>
      <w:rPr>
        <w:rFonts w:ascii="Times New Roman" w:eastAsia="Times New Roman" w:hAnsi="Times New Roman" w:cs="Times New Roman"/>
      </w:rPr>
    </w:lvl>
    <w:lvl w:ilvl="7" w:tplc="D942551E">
      <w:start w:val="1"/>
      <w:numFmt w:val="lowerLetter"/>
      <w:lvlText w:val="%8."/>
      <w:lvlJc w:val="left"/>
      <w:pPr>
        <w:ind w:left="5760" w:hanging="360"/>
      </w:pPr>
      <w:rPr>
        <w:rFonts w:ascii="Times New Roman" w:eastAsia="Times New Roman" w:hAnsi="Times New Roman" w:cs="Times New Roman"/>
      </w:rPr>
    </w:lvl>
    <w:lvl w:ilvl="8" w:tplc="C12A017A">
      <w:start w:val="1"/>
      <w:numFmt w:val="lowerRoman"/>
      <w:lvlText w:val="%9."/>
      <w:lvlJc w:val="right"/>
      <w:pPr>
        <w:ind w:left="6480" w:hanging="180"/>
      </w:pPr>
      <w:rPr>
        <w:rFonts w:ascii="Times New Roman" w:eastAsia="Times New Roman" w:hAnsi="Times New Roman" w:cs="Times New Roman"/>
      </w:rPr>
    </w:lvl>
  </w:abstractNum>
  <w:abstractNum w:abstractNumId="3" w15:restartNumberingAfterBreak="0">
    <w:nsid w:val="00AC64D4"/>
    <w:multiLevelType w:val="hybridMultilevel"/>
    <w:tmpl w:val="910A94C4"/>
    <w:lvl w:ilvl="0" w:tplc="846A429A">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4" w15:restartNumberingAfterBreak="0">
    <w:nsid w:val="019E3C5F"/>
    <w:multiLevelType w:val="hybridMultilevel"/>
    <w:tmpl w:val="708C2732"/>
    <w:lvl w:ilvl="0" w:tplc="FA261E6A">
      <w:start w:val="1"/>
      <w:numFmt w:val="lowerLetter"/>
      <w:lvlText w:val="%1)"/>
      <w:lvlJc w:val="left"/>
      <w:pPr>
        <w:ind w:left="441" w:hanging="227"/>
      </w:pPr>
      <w:rPr>
        <w:rFonts w:ascii="Times New Roman" w:eastAsia="Times New Roman" w:hAnsi="Times New Roman" w:cs="Times New Roman"/>
      </w:rPr>
    </w:lvl>
    <w:lvl w:ilvl="1" w:tplc="3E0CD5A8">
      <w:start w:val="1"/>
      <w:numFmt w:val="lowerRoman"/>
      <w:lvlText w:val="%2)"/>
      <w:lvlJc w:val="left"/>
      <w:pPr>
        <w:ind w:left="1440" w:hanging="360"/>
      </w:pPr>
      <w:rPr>
        <w:rFonts w:ascii="Times New Roman" w:eastAsia="Times New Roman" w:hAnsi="Times New Roman" w:cs="Times New Roman"/>
      </w:rPr>
    </w:lvl>
    <w:lvl w:ilvl="2" w:tplc="14401B02">
      <w:start w:val="1"/>
      <w:numFmt w:val="lowerRoman"/>
      <w:lvlText w:val="%3."/>
      <w:lvlJc w:val="right"/>
      <w:pPr>
        <w:ind w:left="2160" w:hanging="180"/>
      </w:pPr>
      <w:rPr>
        <w:rFonts w:ascii="Times New Roman" w:eastAsia="Times New Roman" w:hAnsi="Times New Roman" w:cs="Times New Roman"/>
      </w:rPr>
    </w:lvl>
    <w:lvl w:ilvl="3" w:tplc="69E87E94">
      <w:start w:val="1"/>
      <w:numFmt w:val="decimal"/>
      <w:lvlText w:val="%4."/>
      <w:lvlJc w:val="left"/>
      <w:pPr>
        <w:ind w:left="2880" w:hanging="360"/>
      </w:pPr>
      <w:rPr>
        <w:rFonts w:ascii="Times New Roman" w:eastAsia="Times New Roman" w:hAnsi="Times New Roman" w:cs="Times New Roman"/>
      </w:rPr>
    </w:lvl>
    <w:lvl w:ilvl="4" w:tplc="7CA075A0">
      <w:start w:val="1"/>
      <w:numFmt w:val="lowerLetter"/>
      <w:lvlText w:val="%5."/>
      <w:lvlJc w:val="left"/>
      <w:pPr>
        <w:ind w:left="3600" w:hanging="360"/>
      </w:pPr>
      <w:rPr>
        <w:rFonts w:ascii="Times New Roman" w:eastAsia="Times New Roman" w:hAnsi="Times New Roman" w:cs="Times New Roman"/>
      </w:rPr>
    </w:lvl>
    <w:lvl w:ilvl="5" w:tplc="E91697C2">
      <w:start w:val="1"/>
      <w:numFmt w:val="lowerRoman"/>
      <w:lvlText w:val="%6."/>
      <w:lvlJc w:val="right"/>
      <w:pPr>
        <w:ind w:left="4320" w:hanging="180"/>
      </w:pPr>
      <w:rPr>
        <w:rFonts w:ascii="Times New Roman" w:eastAsia="Times New Roman" w:hAnsi="Times New Roman" w:cs="Times New Roman"/>
      </w:rPr>
    </w:lvl>
    <w:lvl w:ilvl="6" w:tplc="63C63FDE">
      <w:start w:val="1"/>
      <w:numFmt w:val="decimal"/>
      <w:lvlText w:val="%7."/>
      <w:lvlJc w:val="left"/>
      <w:pPr>
        <w:ind w:left="5040" w:hanging="360"/>
      </w:pPr>
      <w:rPr>
        <w:rFonts w:ascii="Times New Roman" w:eastAsia="Times New Roman" w:hAnsi="Times New Roman" w:cs="Times New Roman"/>
      </w:rPr>
    </w:lvl>
    <w:lvl w:ilvl="7" w:tplc="ADFC3E8C">
      <w:start w:val="1"/>
      <w:numFmt w:val="lowerLetter"/>
      <w:lvlText w:val="%8."/>
      <w:lvlJc w:val="left"/>
      <w:pPr>
        <w:ind w:left="5760" w:hanging="360"/>
      </w:pPr>
      <w:rPr>
        <w:rFonts w:ascii="Times New Roman" w:eastAsia="Times New Roman" w:hAnsi="Times New Roman" w:cs="Times New Roman"/>
      </w:rPr>
    </w:lvl>
    <w:lvl w:ilvl="8" w:tplc="14124D02">
      <w:start w:val="1"/>
      <w:numFmt w:val="lowerRoman"/>
      <w:lvlText w:val="%9."/>
      <w:lvlJc w:val="right"/>
      <w:pPr>
        <w:ind w:left="6480" w:hanging="180"/>
      </w:pPr>
      <w:rPr>
        <w:rFonts w:ascii="Times New Roman" w:eastAsia="Times New Roman" w:hAnsi="Times New Roman" w:cs="Times New Roman"/>
      </w:rPr>
    </w:lvl>
  </w:abstractNum>
  <w:abstractNum w:abstractNumId="5" w15:restartNumberingAfterBreak="0">
    <w:nsid w:val="026B7EFF"/>
    <w:multiLevelType w:val="hybridMultilevel"/>
    <w:tmpl w:val="A3A439D6"/>
    <w:lvl w:ilvl="0" w:tplc="2580EDE0">
      <w:start w:val="1"/>
      <w:numFmt w:val="decimal"/>
      <w:lvlText w:val="·"/>
      <w:lvlJc w:val="left"/>
      <w:pPr>
        <w:ind w:left="0"/>
      </w:pPr>
      <w:rPr>
        <w:rFonts w:ascii="Times New Roman" w:eastAsia="Times New Roman" w:hAnsi="Times New Roman" w:cs="Times New Roman"/>
      </w:rPr>
    </w:lvl>
    <w:lvl w:ilvl="1" w:tplc="5C2699F8">
      <w:numFmt w:val="decimal"/>
      <w:lvlText w:val="o"/>
      <w:lvlJc w:val="left"/>
      <w:pPr>
        <w:ind w:left="0"/>
      </w:pPr>
      <w:rPr>
        <w:rFonts w:ascii="Times New Roman" w:eastAsia="Times New Roman" w:hAnsi="Times New Roman" w:cs="Times New Roman"/>
      </w:rPr>
    </w:lvl>
    <w:lvl w:ilvl="2" w:tplc="3AB0E736">
      <w:numFmt w:val="decimal"/>
      <w:lvlText w:val="§"/>
      <w:lvlJc w:val="left"/>
      <w:pPr>
        <w:ind w:left="0"/>
      </w:pPr>
      <w:rPr>
        <w:rFonts w:ascii="Times New Roman" w:eastAsia="Times New Roman" w:hAnsi="Times New Roman" w:cs="Times New Roman"/>
      </w:rPr>
    </w:lvl>
    <w:lvl w:ilvl="3" w:tplc="B292F8A4">
      <w:numFmt w:val="decimal"/>
      <w:lvlText w:val="·"/>
      <w:lvlJc w:val="left"/>
      <w:pPr>
        <w:ind w:left="0"/>
      </w:pPr>
      <w:rPr>
        <w:rFonts w:ascii="Times New Roman" w:eastAsia="Times New Roman" w:hAnsi="Times New Roman" w:cs="Times New Roman"/>
      </w:rPr>
    </w:lvl>
    <w:lvl w:ilvl="4" w:tplc="72B29044">
      <w:numFmt w:val="decimal"/>
      <w:lvlText w:val="o"/>
      <w:lvlJc w:val="left"/>
      <w:pPr>
        <w:ind w:left="0"/>
      </w:pPr>
      <w:rPr>
        <w:rFonts w:ascii="Times New Roman" w:eastAsia="Times New Roman" w:hAnsi="Times New Roman" w:cs="Times New Roman"/>
      </w:rPr>
    </w:lvl>
    <w:lvl w:ilvl="5" w:tplc="F3C8CD54">
      <w:numFmt w:val="decimal"/>
      <w:lvlText w:val="§"/>
      <w:lvlJc w:val="left"/>
      <w:pPr>
        <w:ind w:left="0"/>
      </w:pPr>
      <w:rPr>
        <w:rFonts w:ascii="Times New Roman" w:eastAsia="Times New Roman" w:hAnsi="Times New Roman" w:cs="Times New Roman"/>
      </w:rPr>
    </w:lvl>
    <w:lvl w:ilvl="6" w:tplc="AF0E204E">
      <w:numFmt w:val="decimal"/>
      <w:lvlText w:val="·"/>
      <w:lvlJc w:val="left"/>
      <w:pPr>
        <w:ind w:left="0"/>
      </w:pPr>
      <w:rPr>
        <w:rFonts w:ascii="Times New Roman" w:eastAsia="Times New Roman" w:hAnsi="Times New Roman" w:cs="Times New Roman"/>
      </w:rPr>
    </w:lvl>
    <w:lvl w:ilvl="7" w:tplc="CDFCBE8E">
      <w:numFmt w:val="decimal"/>
      <w:lvlText w:val="o"/>
      <w:lvlJc w:val="left"/>
      <w:pPr>
        <w:ind w:left="0"/>
      </w:pPr>
      <w:rPr>
        <w:rFonts w:ascii="Times New Roman" w:eastAsia="Times New Roman" w:hAnsi="Times New Roman" w:cs="Times New Roman"/>
      </w:rPr>
    </w:lvl>
    <w:lvl w:ilvl="8" w:tplc="092EA9CA">
      <w:numFmt w:val="decimal"/>
      <w:lvlText w:val="§"/>
      <w:lvlJc w:val="left"/>
      <w:pPr>
        <w:ind w:left="0"/>
      </w:pPr>
      <w:rPr>
        <w:rFonts w:ascii="Times New Roman" w:eastAsia="Times New Roman" w:hAnsi="Times New Roman" w:cs="Times New Roman"/>
      </w:rPr>
    </w:lvl>
  </w:abstractNum>
  <w:abstractNum w:abstractNumId="6" w15:restartNumberingAfterBreak="0">
    <w:nsid w:val="02A05C05"/>
    <w:multiLevelType w:val="hybridMultilevel"/>
    <w:tmpl w:val="EBF24F9C"/>
    <w:lvl w:ilvl="0" w:tplc="70B2C2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E0153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12FCC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84332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EA094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FED14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0E16B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2E61A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A459F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D40AF0"/>
    <w:multiLevelType w:val="hybridMultilevel"/>
    <w:tmpl w:val="80E07B52"/>
    <w:lvl w:ilvl="0" w:tplc="582E3790">
      <w:start w:val="1"/>
      <w:numFmt w:val="lowerLetter"/>
      <w:lvlText w:val="%1)"/>
      <w:lvlJc w:val="left"/>
      <w:pPr>
        <w:ind w:left="227" w:hanging="227"/>
      </w:pPr>
      <w:rPr>
        <w:rFonts w:ascii="Times New Roman" w:eastAsia="Times New Roman" w:hAnsi="Times New Roman" w:cs="Times New Roman"/>
      </w:rPr>
    </w:lvl>
    <w:lvl w:ilvl="1" w:tplc="141CF9CA">
      <w:start w:val="1"/>
      <w:numFmt w:val="lowerLetter"/>
      <w:lvlText w:val="%2."/>
      <w:lvlJc w:val="left"/>
      <w:pPr>
        <w:ind w:left="1440" w:hanging="360"/>
      </w:pPr>
      <w:rPr>
        <w:rFonts w:ascii="Times New Roman" w:eastAsia="Times New Roman" w:hAnsi="Times New Roman" w:cs="Times New Roman"/>
      </w:rPr>
    </w:lvl>
    <w:lvl w:ilvl="2" w:tplc="7A0CAFF6">
      <w:start w:val="1"/>
      <w:numFmt w:val="lowerRoman"/>
      <w:lvlText w:val="%3."/>
      <w:lvlJc w:val="right"/>
      <w:pPr>
        <w:ind w:left="2160" w:hanging="180"/>
      </w:pPr>
      <w:rPr>
        <w:rFonts w:ascii="Times New Roman" w:eastAsia="Times New Roman" w:hAnsi="Times New Roman" w:cs="Times New Roman"/>
      </w:rPr>
    </w:lvl>
    <w:lvl w:ilvl="3" w:tplc="E804A030">
      <w:start w:val="1"/>
      <w:numFmt w:val="decimal"/>
      <w:lvlText w:val="%4."/>
      <w:lvlJc w:val="left"/>
      <w:pPr>
        <w:ind w:left="2880" w:hanging="360"/>
      </w:pPr>
      <w:rPr>
        <w:rFonts w:ascii="Times New Roman" w:eastAsia="Times New Roman" w:hAnsi="Times New Roman" w:cs="Times New Roman"/>
      </w:rPr>
    </w:lvl>
    <w:lvl w:ilvl="4" w:tplc="FF7A8002">
      <w:start w:val="1"/>
      <w:numFmt w:val="lowerLetter"/>
      <w:lvlText w:val="%5."/>
      <w:lvlJc w:val="left"/>
      <w:pPr>
        <w:ind w:left="3600" w:hanging="360"/>
      </w:pPr>
      <w:rPr>
        <w:rFonts w:ascii="Times New Roman" w:eastAsia="Times New Roman" w:hAnsi="Times New Roman" w:cs="Times New Roman"/>
      </w:rPr>
    </w:lvl>
    <w:lvl w:ilvl="5" w:tplc="3CBECC6A">
      <w:start w:val="1"/>
      <w:numFmt w:val="lowerRoman"/>
      <w:lvlText w:val="%6."/>
      <w:lvlJc w:val="right"/>
      <w:pPr>
        <w:ind w:left="4320" w:hanging="180"/>
      </w:pPr>
      <w:rPr>
        <w:rFonts w:ascii="Times New Roman" w:eastAsia="Times New Roman" w:hAnsi="Times New Roman" w:cs="Times New Roman"/>
      </w:rPr>
    </w:lvl>
    <w:lvl w:ilvl="6" w:tplc="A636F7DA">
      <w:start w:val="1"/>
      <w:numFmt w:val="decimal"/>
      <w:lvlText w:val="%7."/>
      <w:lvlJc w:val="left"/>
      <w:pPr>
        <w:ind w:left="5040" w:hanging="360"/>
      </w:pPr>
      <w:rPr>
        <w:rFonts w:ascii="Times New Roman" w:eastAsia="Times New Roman" w:hAnsi="Times New Roman" w:cs="Times New Roman"/>
      </w:rPr>
    </w:lvl>
    <w:lvl w:ilvl="7" w:tplc="F01846EE">
      <w:start w:val="1"/>
      <w:numFmt w:val="lowerLetter"/>
      <w:lvlText w:val="%8."/>
      <w:lvlJc w:val="left"/>
      <w:pPr>
        <w:ind w:left="5760" w:hanging="360"/>
      </w:pPr>
      <w:rPr>
        <w:rFonts w:ascii="Times New Roman" w:eastAsia="Times New Roman" w:hAnsi="Times New Roman" w:cs="Times New Roman"/>
      </w:rPr>
    </w:lvl>
    <w:lvl w:ilvl="8" w:tplc="989AF5F0">
      <w:start w:val="1"/>
      <w:numFmt w:val="lowerRoman"/>
      <w:lvlText w:val="%9."/>
      <w:lvlJc w:val="right"/>
      <w:pPr>
        <w:ind w:left="6480" w:hanging="180"/>
      </w:pPr>
      <w:rPr>
        <w:rFonts w:ascii="Times New Roman" w:eastAsia="Times New Roman" w:hAnsi="Times New Roman" w:cs="Times New Roman"/>
      </w:rPr>
    </w:lvl>
  </w:abstractNum>
  <w:abstractNum w:abstractNumId="8" w15:restartNumberingAfterBreak="0">
    <w:nsid w:val="05B22C44"/>
    <w:multiLevelType w:val="hybridMultilevel"/>
    <w:tmpl w:val="E37A6406"/>
    <w:lvl w:ilvl="0" w:tplc="041B0017">
      <w:start w:val="1"/>
      <w:numFmt w:val="lowerLetter"/>
      <w:lvlText w:val="%1)"/>
      <w:lvlJc w:val="left"/>
      <w:pPr>
        <w:ind w:left="654" w:hanging="360"/>
      </w:pPr>
      <w:rPr>
        <w:rFonts w:cs="Times New Roman"/>
      </w:rPr>
    </w:lvl>
    <w:lvl w:ilvl="1" w:tplc="04090019" w:tentative="1">
      <w:start w:val="1"/>
      <w:numFmt w:val="lowerLetter"/>
      <w:lvlText w:val="%2."/>
      <w:lvlJc w:val="left"/>
      <w:pPr>
        <w:ind w:left="1374" w:hanging="360"/>
      </w:pPr>
      <w:rPr>
        <w:rFonts w:cs="Times New Roman"/>
      </w:rPr>
    </w:lvl>
    <w:lvl w:ilvl="2" w:tplc="0409001B" w:tentative="1">
      <w:start w:val="1"/>
      <w:numFmt w:val="lowerRoman"/>
      <w:lvlText w:val="%3."/>
      <w:lvlJc w:val="right"/>
      <w:pPr>
        <w:ind w:left="2094" w:hanging="180"/>
      </w:pPr>
      <w:rPr>
        <w:rFonts w:cs="Times New Roman"/>
      </w:rPr>
    </w:lvl>
    <w:lvl w:ilvl="3" w:tplc="0409000F" w:tentative="1">
      <w:start w:val="1"/>
      <w:numFmt w:val="decimal"/>
      <w:lvlText w:val="%4."/>
      <w:lvlJc w:val="left"/>
      <w:pPr>
        <w:ind w:left="2814" w:hanging="360"/>
      </w:pPr>
      <w:rPr>
        <w:rFonts w:cs="Times New Roman"/>
      </w:rPr>
    </w:lvl>
    <w:lvl w:ilvl="4" w:tplc="04090019" w:tentative="1">
      <w:start w:val="1"/>
      <w:numFmt w:val="lowerLetter"/>
      <w:lvlText w:val="%5."/>
      <w:lvlJc w:val="left"/>
      <w:pPr>
        <w:ind w:left="3534" w:hanging="360"/>
      </w:pPr>
      <w:rPr>
        <w:rFonts w:cs="Times New Roman"/>
      </w:rPr>
    </w:lvl>
    <w:lvl w:ilvl="5" w:tplc="0409001B" w:tentative="1">
      <w:start w:val="1"/>
      <w:numFmt w:val="lowerRoman"/>
      <w:lvlText w:val="%6."/>
      <w:lvlJc w:val="right"/>
      <w:pPr>
        <w:ind w:left="4254" w:hanging="180"/>
      </w:pPr>
      <w:rPr>
        <w:rFonts w:cs="Times New Roman"/>
      </w:rPr>
    </w:lvl>
    <w:lvl w:ilvl="6" w:tplc="0409000F" w:tentative="1">
      <w:start w:val="1"/>
      <w:numFmt w:val="decimal"/>
      <w:lvlText w:val="%7."/>
      <w:lvlJc w:val="left"/>
      <w:pPr>
        <w:ind w:left="4974" w:hanging="360"/>
      </w:pPr>
      <w:rPr>
        <w:rFonts w:cs="Times New Roman"/>
      </w:rPr>
    </w:lvl>
    <w:lvl w:ilvl="7" w:tplc="04090019" w:tentative="1">
      <w:start w:val="1"/>
      <w:numFmt w:val="lowerLetter"/>
      <w:lvlText w:val="%8."/>
      <w:lvlJc w:val="left"/>
      <w:pPr>
        <w:ind w:left="5694" w:hanging="360"/>
      </w:pPr>
      <w:rPr>
        <w:rFonts w:cs="Times New Roman"/>
      </w:rPr>
    </w:lvl>
    <w:lvl w:ilvl="8" w:tplc="0409001B" w:tentative="1">
      <w:start w:val="1"/>
      <w:numFmt w:val="lowerRoman"/>
      <w:lvlText w:val="%9."/>
      <w:lvlJc w:val="right"/>
      <w:pPr>
        <w:ind w:left="6414" w:hanging="180"/>
      </w:pPr>
      <w:rPr>
        <w:rFonts w:cs="Times New Roman"/>
      </w:rPr>
    </w:lvl>
  </w:abstractNum>
  <w:abstractNum w:abstractNumId="9" w15:restartNumberingAfterBreak="0">
    <w:nsid w:val="05CA4D0D"/>
    <w:multiLevelType w:val="hybridMultilevel"/>
    <w:tmpl w:val="42365C24"/>
    <w:lvl w:ilvl="0" w:tplc="518496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BC185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6A85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883B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4854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2877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9AB1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26AD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504E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936107"/>
    <w:multiLevelType w:val="hybridMultilevel"/>
    <w:tmpl w:val="2230F832"/>
    <w:lvl w:ilvl="0" w:tplc="635E61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90B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6A4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3637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8AD9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E0BB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7EC7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BC3F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7A67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F47843"/>
    <w:multiLevelType w:val="hybridMultilevel"/>
    <w:tmpl w:val="0400B496"/>
    <w:lvl w:ilvl="0" w:tplc="575A8D1C">
      <w:start w:val="1"/>
      <w:numFmt w:val="lowerLetter"/>
      <w:lvlText w:val="%1)"/>
      <w:lvlJc w:val="left"/>
      <w:pPr>
        <w:ind w:left="227" w:hanging="227"/>
      </w:pPr>
      <w:rPr>
        <w:rFonts w:ascii="Times New Roman" w:eastAsia="Times New Roman" w:hAnsi="Times New Roman" w:cs="Times New Roman"/>
      </w:rPr>
    </w:lvl>
    <w:lvl w:ilvl="1" w:tplc="02F8330E">
      <w:start w:val="1"/>
      <w:numFmt w:val="lowerLetter"/>
      <w:lvlText w:val="%2."/>
      <w:lvlJc w:val="left"/>
      <w:pPr>
        <w:ind w:left="1440" w:hanging="360"/>
      </w:pPr>
      <w:rPr>
        <w:rFonts w:ascii="Times New Roman" w:eastAsia="Times New Roman" w:hAnsi="Times New Roman" w:cs="Times New Roman"/>
      </w:rPr>
    </w:lvl>
    <w:lvl w:ilvl="2" w:tplc="2188DB86">
      <w:start w:val="1"/>
      <w:numFmt w:val="lowerRoman"/>
      <w:lvlText w:val="%3."/>
      <w:lvlJc w:val="right"/>
      <w:pPr>
        <w:ind w:left="2160" w:hanging="180"/>
      </w:pPr>
      <w:rPr>
        <w:rFonts w:ascii="Times New Roman" w:eastAsia="Times New Roman" w:hAnsi="Times New Roman" w:cs="Times New Roman"/>
      </w:rPr>
    </w:lvl>
    <w:lvl w:ilvl="3" w:tplc="64BC200A">
      <w:start w:val="1"/>
      <w:numFmt w:val="decimal"/>
      <w:lvlText w:val="%4."/>
      <w:lvlJc w:val="left"/>
      <w:pPr>
        <w:ind w:left="2880" w:hanging="360"/>
      </w:pPr>
      <w:rPr>
        <w:rFonts w:ascii="Times New Roman" w:eastAsia="Times New Roman" w:hAnsi="Times New Roman" w:cs="Times New Roman"/>
      </w:rPr>
    </w:lvl>
    <w:lvl w:ilvl="4" w:tplc="8F02CF40">
      <w:start w:val="1"/>
      <w:numFmt w:val="lowerLetter"/>
      <w:lvlText w:val="%5."/>
      <w:lvlJc w:val="left"/>
      <w:pPr>
        <w:ind w:left="3600" w:hanging="360"/>
      </w:pPr>
      <w:rPr>
        <w:rFonts w:ascii="Times New Roman" w:eastAsia="Times New Roman" w:hAnsi="Times New Roman" w:cs="Times New Roman"/>
      </w:rPr>
    </w:lvl>
    <w:lvl w:ilvl="5" w:tplc="831C6CE4">
      <w:start w:val="1"/>
      <w:numFmt w:val="lowerRoman"/>
      <w:lvlText w:val="%6."/>
      <w:lvlJc w:val="right"/>
      <w:pPr>
        <w:ind w:left="4320" w:hanging="180"/>
      </w:pPr>
      <w:rPr>
        <w:rFonts w:ascii="Times New Roman" w:eastAsia="Times New Roman" w:hAnsi="Times New Roman" w:cs="Times New Roman"/>
      </w:rPr>
    </w:lvl>
    <w:lvl w:ilvl="6" w:tplc="FFC24796">
      <w:start w:val="1"/>
      <w:numFmt w:val="decimal"/>
      <w:lvlText w:val="%7."/>
      <w:lvlJc w:val="left"/>
      <w:pPr>
        <w:ind w:left="5040" w:hanging="360"/>
      </w:pPr>
      <w:rPr>
        <w:rFonts w:ascii="Times New Roman" w:eastAsia="Times New Roman" w:hAnsi="Times New Roman" w:cs="Times New Roman"/>
      </w:rPr>
    </w:lvl>
    <w:lvl w:ilvl="7" w:tplc="A7E0EAEC">
      <w:start w:val="1"/>
      <w:numFmt w:val="lowerLetter"/>
      <w:lvlText w:val="%8."/>
      <w:lvlJc w:val="left"/>
      <w:pPr>
        <w:ind w:left="5760" w:hanging="360"/>
      </w:pPr>
      <w:rPr>
        <w:rFonts w:ascii="Times New Roman" w:eastAsia="Times New Roman" w:hAnsi="Times New Roman" w:cs="Times New Roman"/>
      </w:rPr>
    </w:lvl>
    <w:lvl w:ilvl="8" w:tplc="05FCF478">
      <w:start w:val="1"/>
      <w:numFmt w:val="lowerRoman"/>
      <w:lvlText w:val="%9."/>
      <w:lvlJc w:val="right"/>
      <w:pPr>
        <w:ind w:left="6480" w:hanging="180"/>
      </w:pPr>
      <w:rPr>
        <w:rFonts w:ascii="Times New Roman" w:eastAsia="Times New Roman" w:hAnsi="Times New Roman" w:cs="Times New Roman"/>
      </w:rPr>
    </w:lvl>
  </w:abstractNum>
  <w:abstractNum w:abstractNumId="12" w15:restartNumberingAfterBreak="0">
    <w:nsid w:val="087400E2"/>
    <w:multiLevelType w:val="hybridMultilevel"/>
    <w:tmpl w:val="28640C28"/>
    <w:lvl w:ilvl="0" w:tplc="BD6A0F5A">
      <w:start w:val="1"/>
      <w:numFmt w:val="decimal"/>
      <w:lvlText w:val="%1."/>
      <w:lvlJc w:val="left"/>
      <w:pPr>
        <w:ind w:left="0"/>
      </w:pPr>
      <w:rPr>
        <w:rFonts w:ascii="Times New Roman" w:eastAsia="Times New Roman" w:hAnsi="Times New Roman" w:cs="Times New Roman"/>
      </w:rPr>
    </w:lvl>
    <w:lvl w:ilvl="1" w:tplc="4434D0C4">
      <w:numFmt w:val="decimal"/>
      <w:lvlText w:val="o"/>
      <w:lvlJc w:val="left"/>
      <w:pPr>
        <w:ind w:left="0"/>
      </w:pPr>
      <w:rPr>
        <w:rFonts w:ascii="Times New Roman" w:eastAsia="Times New Roman" w:hAnsi="Times New Roman" w:cs="Times New Roman"/>
      </w:rPr>
    </w:lvl>
    <w:lvl w:ilvl="2" w:tplc="75081C54">
      <w:numFmt w:val="decimal"/>
      <w:lvlText w:val="§"/>
      <w:lvlJc w:val="left"/>
      <w:pPr>
        <w:ind w:left="0"/>
      </w:pPr>
      <w:rPr>
        <w:rFonts w:ascii="Times New Roman" w:eastAsia="Times New Roman" w:hAnsi="Times New Roman" w:cs="Times New Roman"/>
      </w:rPr>
    </w:lvl>
    <w:lvl w:ilvl="3" w:tplc="4AFAE52A">
      <w:numFmt w:val="decimal"/>
      <w:lvlText w:val="·"/>
      <w:lvlJc w:val="left"/>
      <w:pPr>
        <w:ind w:left="0"/>
      </w:pPr>
      <w:rPr>
        <w:rFonts w:ascii="Times New Roman" w:eastAsia="Times New Roman" w:hAnsi="Times New Roman" w:cs="Times New Roman"/>
      </w:rPr>
    </w:lvl>
    <w:lvl w:ilvl="4" w:tplc="1A5205FC">
      <w:numFmt w:val="decimal"/>
      <w:lvlText w:val="o"/>
      <w:lvlJc w:val="left"/>
      <w:pPr>
        <w:ind w:left="0"/>
      </w:pPr>
      <w:rPr>
        <w:rFonts w:ascii="Times New Roman" w:eastAsia="Times New Roman" w:hAnsi="Times New Roman" w:cs="Times New Roman"/>
      </w:rPr>
    </w:lvl>
    <w:lvl w:ilvl="5" w:tplc="DB3AC158">
      <w:numFmt w:val="decimal"/>
      <w:lvlText w:val="§"/>
      <w:lvlJc w:val="left"/>
      <w:pPr>
        <w:ind w:left="0"/>
      </w:pPr>
      <w:rPr>
        <w:rFonts w:ascii="Times New Roman" w:eastAsia="Times New Roman" w:hAnsi="Times New Roman" w:cs="Times New Roman"/>
      </w:rPr>
    </w:lvl>
    <w:lvl w:ilvl="6" w:tplc="CE9CCADC">
      <w:numFmt w:val="decimal"/>
      <w:lvlText w:val="·"/>
      <w:lvlJc w:val="left"/>
      <w:pPr>
        <w:ind w:left="0"/>
      </w:pPr>
      <w:rPr>
        <w:rFonts w:ascii="Times New Roman" w:eastAsia="Times New Roman" w:hAnsi="Times New Roman" w:cs="Times New Roman"/>
      </w:rPr>
    </w:lvl>
    <w:lvl w:ilvl="7" w:tplc="D10A1E86">
      <w:numFmt w:val="decimal"/>
      <w:lvlText w:val="o"/>
      <w:lvlJc w:val="left"/>
      <w:pPr>
        <w:ind w:left="0"/>
      </w:pPr>
      <w:rPr>
        <w:rFonts w:ascii="Times New Roman" w:eastAsia="Times New Roman" w:hAnsi="Times New Roman" w:cs="Times New Roman"/>
      </w:rPr>
    </w:lvl>
    <w:lvl w:ilvl="8" w:tplc="719CFABC">
      <w:numFmt w:val="decimal"/>
      <w:lvlText w:val="§"/>
      <w:lvlJc w:val="left"/>
      <w:pPr>
        <w:ind w:left="0"/>
      </w:pPr>
      <w:rPr>
        <w:rFonts w:ascii="Times New Roman" w:eastAsia="Times New Roman" w:hAnsi="Times New Roman" w:cs="Times New Roman"/>
      </w:rPr>
    </w:lvl>
  </w:abstractNum>
  <w:abstractNum w:abstractNumId="13" w15:restartNumberingAfterBreak="0">
    <w:nsid w:val="0A2604B5"/>
    <w:multiLevelType w:val="hybridMultilevel"/>
    <w:tmpl w:val="ABE4EA1A"/>
    <w:lvl w:ilvl="0" w:tplc="73F4D238">
      <w:start w:val="1"/>
      <w:numFmt w:val="bullet"/>
      <w:pStyle w:val="pseo"/>
      <w:lvlText w:val=" "/>
      <w:lvlJc w:val="left"/>
      <w:pPr>
        <w:ind w:left="643" w:hanging="360"/>
      </w:pPr>
      <w:rPr>
        <w:rFonts w:ascii="Symbol" w:eastAsia="Symbol" w:hAnsi="Symbol" w:cs="Symbol"/>
      </w:rPr>
    </w:lvl>
    <w:lvl w:ilvl="1" w:tplc="66125E0A">
      <w:start w:val="1"/>
      <w:numFmt w:val="bullet"/>
      <w:lvlText w:val="o"/>
      <w:lvlJc w:val="left"/>
      <w:pPr>
        <w:ind w:left="1440" w:hanging="360"/>
      </w:pPr>
      <w:rPr>
        <w:rFonts w:ascii="Courier New" w:eastAsia="Courier New" w:hAnsi="Courier New" w:cs="Courier New" w:hint="default"/>
      </w:rPr>
    </w:lvl>
    <w:lvl w:ilvl="2" w:tplc="379A7E72">
      <w:start w:val="1"/>
      <w:numFmt w:val="bullet"/>
      <w:lvlText w:val="§"/>
      <w:lvlJc w:val="left"/>
      <w:pPr>
        <w:ind w:left="2160" w:hanging="360"/>
      </w:pPr>
      <w:rPr>
        <w:rFonts w:ascii="Wingdings" w:eastAsia="Wingdings" w:hAnsi="Wingdings" w:cs="Wingdings" w:hint="default"/>
      </w:rPr>
    </w:lvl>
    <w:lvl w:ilvl="3" w:tplc="48928AD6">
      <w:start w:val="1"/>
      <w:numFmt w:val="bullet"/>
      <w:lvlText w:val="·"/>
      <w:lvlJc w:val="left"/>
      <w:pPr>
        <w:ind w:left="2880" w:hanging="360"/>
      </w:pPr>
      <w:rPr>
        <w:rFonts w:ascii="Symbol" w:eastAsia="Symbol" w:hAnsi="Symbol" w:cs="Symbol" w:hint="default"/>
      </w:rPr>
    </w:lvl>
    <w:lvl w:ilvl="4" w:tplc="B26A140E">
      <w:start w:val="1"/>
      <w:numFmt w:val="bullet"/>
      <w:lvlText w:val="o"/>
      <w:lvlJc w:val="left"/>
      <w:pPr>
        <w:ind w:left="3600" w:hanging="360"/>
      </w:pPr>
      <w:rPr>
        <w:rFonts w:ascii="Courier New" w:eastAsia="Courier New" w:hAnsi="Courier New" w:cs="Courier New" w:hint="default"/>
      </w:rPr>
    </w:lvl>
    <w:lvl w:ilvl="5" w:tplc="D71616A0">
      <w:start w:val="1"/>
      <w:numFmt w:val="bullet"/>
      <w:lvlText w:val="§"/>
      <w:lvlJc w:val="left"/>
      <w:pPr>
        <w:ind w:left="4320" w:hanging="360"/>
      </w:pPr>
      <w:rPr>
        <w:rFonts w:ascii="Wingdings" w:eastAsia="Wingdings" w:hAnsi="Wingdings" w:cs="Wingdings" w:hint="default"/>
      </w:rPr>
    </w:lvl>
    <w:lvl w:ilvl="6" w:tplc="71A09E2C">
      <w:start w:val="1"/>
      <w:numFmt w:val="bullet"/>
      <w:lvlText w:val="·"/>
      <w:lvlJc w:val="left"/>
      <w:pPr>
        <w:ind w:left="5040" w:hanging="360"/>
      </w:pPr>
      <w:rPr>
        <w:rFonts w:ascii="Symbol" w:eastAsia="Symbol" w:hAnsi="Symbol" w:cs="Symbol" w:hint="default"/>
      </w:rPr>
    </w:lvl>
    <w:lvl w:ilvl="7" w:tplc="A8B81CC2">
      <w:start w:val="1"/>
      <w:numFmt w:val="bullet"/>
      <w:lvlText w:val="o"/>
      <w:lvlJc w:val="left"/>
      <w:pPr>
        <w:ind w:left="5760" w:hanging="360"/>
      </w:pPr>
      <w:rPr>
        <w:rFonts w:ascii="Courier New" w:eastAsia="Courier New" w:hAnsi="Courier New" w:cs="Courier New" w:hint="default"/>
      </w:rPr>
    </w:lvl>
    <w:lvl w:ilvl="8" w:tplc="9CB8D6D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0AB57147"/>
    <w:multiLevelType w:val="hybridMultilevel"/>
    <w:tmpl w:val="022EFD2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B0A2189"/>
    <w:multiLevelType w:val="multilevel"/>
    <w:tmpl w:val="170EDE26"/>
    <w:lvl w:ilvl="0">
      <w:start w:val="1"/>
      <w:numFmt w:val="decimal"/>
      <w:lvlText w:val="%1."/>
      <w:lvlJc w:val="left"/>
      <w:pPr>
        <w:ind w:left="360" w:hanging="360"/>
      </w:pPr>
      <w:rPr>
        <w:rFonts w:cs="Times New Roman" w:hint="default"/>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15:restartNumberingAfterBreak="0">
    <w:nsid w:val="0C374A6A"/>
    <w:multiLevelType w:val="hybridMultilevel"/>
    <w:tmpl w:val="0B1ECB60"/>
    <w:lvl w:ilvl="0" w:tplc="DCA684D8">
      <w:start w:val="1"/>
      <w:numFmt w:val="lowerLetter"/>
      <w:lvlText w:val="%1)"/>
      <w:lvlJc w:val="left"/>
      <w:pPr>
        <w:ind w:left="227" w:hanging="227"/>
      </w:pPr>
      <w:rPr>
        <w:rFonts w:ascii="Times New Roman" w:eastAsia="Times New Roman" w:hAnsi="Times New Roman" w:cs="Times New Roman"/>
      </w:rPr>
    </w:lvl>
    <w:lvl w:ilvl="1" w:tplc="BE5A13BE">
      <w:start w:val="1"/>
      <w:numFmt w:val="lowerLetter"/>
      <w:lvlText w:val="%2."/>
      <w:lvlJc w:val="left"/>
      <w:pPr>
        <w:ind w:left="1440" w:hanging="360"/>
      </w:pPr>
      <w:rPr>
        <w:rFonts w:ascii="Times New Roman" w:eastAsia="Times New Roman" w:hAnsi="Times New Roman" w:cs="Times New Roman"/>
      </w:rPr>
    </w:lvl>
    <w:lvl w:ilvl="2" w:tplc="AE4E6022">
      <w:start w:val="1"/>
      <w:numFmt w:val="lowerRoman"/>
      <w:lvlText w:val="%3."/>
      <w:lvlJc w:val="right"/>
      <w:pPr>
        <w:ind w:left="2160" w:hanging="180"/>
      </w:pPr>
      <w:rPr>
        <w:rFonts w:ascii="Times New Roman" w:eastAsia="Times New Roman" w:hAnsi="Times New Roman" w:cs="Times New Roman"/>
      </w:rPr>
    </w:lvl>
    <w:lvl w:ilvl="3" w:tplc="4BF20B7C">
      <w:start w:val="1"/>
      <w:numFmt w:val="decimal"/>
      <w:lvlText w:val="%4."/>
      <w:lvlJc w:val="left"/>
      <w:pPr>
        <w:ind w:left="2880" w:hanging="360"/>
      </w:pPr>
      <w:rPr>
        <w:rFonts w:ascii="Times New Roman" w:eastAsia="Times New Roman" w:hAnsi="Times New Roman" w:cs="Times New Roman"/>
      </w:rPr>
    </w:lvl>
    <w:lvl w:ilvl="4" w:tplc="D3C25C22">
      <w:start w:val="1"/>
      <w:numFmt w:val="lowerLetter"/>
      <w:lvlText w:val="%5."/>
      <w:lvlJc w:val="left"/>
      <w:pPr>
        <w:ind w:left="3600" w:hanging="360"/>
      </w:pPr>
      <w:rPr>
        <w:rFonts w:ascii="Times New Roman" w:eastAsia="Times New Roman" w:hAnsi="Times New Roman" w:cs="Times New Roman"/>
      </w:rPr>
    </w:lvl>
    <w:lvl w:ilvl="5" w:tplc="03123174">
      <w:start w:val="1"/>
      <w:numFmt w:val="lowerRoman"/>
      <w:lvlText w:val="%6."/>
      <w:lvlJc w:val="right"/>
      <w:pPr>
        <w:ind w:left="4320" w:hanging="180"/>
      </w:pPr>
      <w:rPr>
        <w:rFonts w:ascii="Times New Roman" w:eastAsia="Times New Roman" w:hAnsi="Times New Roman" w:cs="Times New Roman"/>
      </w:rPr>
    </w:lvl>
    <w:lvl w:ilvl="6" w:tplc="A7A871AE">
      <w:start w:val="1"/>
      <w:numFmt w:val="decimal"/>
      <w:lvlText w:val="%7."/>
      <w:lvlJc w:val="left"/>
      <w:pPr>
        <w:ind w:left="5040" w:hanging="360"/>
      </w:pPr>
      <w:rPr>
        <w:rFonts w:ascii="Times New Roman" w:eastAsia="Times New Roman" w:hAnsi="Times New Roman" w:cs="Times New Roman"/>
      </w:rPr>
    </w:lvl>
    <w:lvl w:ilvl="7" w:tplc="A1A85120">
      <w:start w:val="1"/>
      <w:numFmt w:val="lowerLetter"/>
      <w:lvlText w:val="%8."/>
      <w:lvlJc w:val="left"/>
      <w:pPr>
        <w:ind w:left="5760" w:hanging="360"/>
      </w:pPr>
      <w:rPr>
        <w:rFonts w:ascii="Times New Roman" w:eastAsia="Times New Roman" w:hAnsi="Times New Roman" w:cs="Times New Roman"/>
      </w:rPr>
    </w:lvl>
    <w:lvl w:ilvl="8" w:tplc="CA908A84">
      <w:start w:val="1"/>
      <w:numFmt w:val="lowerRoman"/>
      <w:lvlText w:val="%9."/>
      <w:lvlJc w:val="right"/>
      <w:pPr>
        <w:ind w:left="6480" w:hanging="180"/>
      </w:pPr>
      <w:rPr>
        <w:rFonts w:ascii="Times New Roman" w:eastAsia="Times New Roman" w:hAnsi="Times New Roman" w:cs="Times New Roman"/>
      </w:rPr>
    </w:lvl>
  </w:abstractNum>
  <w:abstractNum w:abstractNumId="17" w15:restartNumberingAfterBreak="0">
    <w:nsid w:val="0CA671F7"/>
    <w:multiLevelType w:val="hybridMultilevel"/>
    <w:tmpl w:val="D0BC450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8" w15:restartNumberingAfterBreak="0">
    <w:nsid w:val="0E3664FF"/>
    <w:multiLevelType w:val="hybridMultilevel"/>
    <w:tmpl w:val="BB1CBB7A"/>
    <w:lvl w:ilvl="0" w:tplc="DAA21B84">
      <w:start w:val="1"/>
      <w:numFmt w:val="lowerLetter"/>
      <w:lvlText w:val="%1)"/>
      <w:lvlJc w:val="left"/>
      <w:pPr>
        <w:ind w:left="227" w:hanging="227"/>
      </w:pPr>
      <w:rPr>
        <w:rFonts w:ascii="Times New Roman" w:eastAsia="Times New Roman" w:hAnsi="Times New Roman" w:cs="Times New Roman"/>
      </w:rPr>
    </w:lvl>
    <w:lvl w:ilvl="1" w:tplc="F20AEA90">
      <w:start w:val="1"/>
      <w:numFmt w:val="lowerLetter"/>
      <w:lvlText w:val="%2."/>
      <w:lvlJc w:val="left"/>
      <w:pPr>
        <w:ind w:left="1440" w:hanging="360"/>
      </w:pPr>
      <w:rPr>
        <w:rFonts w:ascii="Times New Roman" w:eastAsia="Times New Roman" w:hAnsi="Times New Roman" w:cs="Times New Roman"/>
      </w:rPr>
    </w:lvl>
    <w:lvl w:ilvl="2" w:tplc="44AE1FD2">
      <w:start w:val="1"/>
      <w:numFmt w:val="lowerRoman"/>
      <w:lvlText w:val="%3."/>
      <w:lvlJc w:val="right"/>
      <w:pPr>
        <w:ind w:left="2160" w:hanging="180"/>
      </w:pPr>
      <w:rPr>
        <w:rFonts w:ascii="Times New Roman" w:eastAsia="Times New Roman" w:hAnsi="Times New Roman" w:cs="Times New Roman"/>
      </w:rPr>
    </w:lvl>
    <w:lvl w:ilvl="3" w:tplc="33BE7B14">
      <w:start w:val="1"/>
      <w:numFmt w:val="decimal"/>
      <w:lvlText w:val="%4."/>
      <w:lvlJc w:val="left"/>
      <w:pPr>
        <w:ind w:left="2880" w:hanging="360"/>
      </w:pPr>
      <w:rPr>
        <w:rFonts w:ascii="Times New Roman" w:eastAsia="Times New Roman" w:hAnsi="Times New Roman" w:cs="Times New Roman"/>
      </w:rPr>
    </w:lvl>
    <w:lvl w:ilvl="4" w:tplc="48BE218E">
      <w:start w:val="1"/>
      <w:numFmt w:val="lowerLetter"/>
      <w:lvlText w:val="%5."/>
      <w:lvlJc w:val="left"/>
      <w:pPr>
        <w:ind w:left="3600" w:hanging="360"/>
      </w:pPr>
      <w:rPr>
        <w:rFonts w:ascii="Times New Roman" w:eastAsia="Times New Roman" w:hAnsi="Times New Roman" w:cs="Times New Roman"/>
      </w:rPr>
    </w:lvl>
    <w:lvl w:ilvl="5" w:tplc="8C004532">
      <w:start w:val="1"/>
      <w:numFmt w:val="lowerRoman"/>
      <w:lvlText w:val="%6."/>
      <w:lvlJc w:val="right"/>
      <w:pPr>
        <w:ind w:left="4320" w:hanging="180"/>
      </w:pPr>
      <w:rPr>
        <w:rFonts w:ascii="Times New Roman" w:eastAsia="Times New Roman" w:hAnsi="Times New Roman" w:cs="Times New Roman"/>
      </w:rPr>
    </w:lvl>
    <w:lvl w:ilvl="6" w:tplc="DAF687DA">
      <w:start w:val="1"/>
      <w:numFmt w:val="decimal"/>
      <w:lvlText w:val="%7."/>
      <w:lvlJc w:val="left"/>
      <w:pPr>
        <w:ind w:left="5040" w:hanging="360"/>
      </w:pPr>
      <w:rPr>
        <w:rFonts w:ascii="Times New Roman" w:eastAsia="Times New Roman" w:hAnsi="Times New Roman" w:cs="Times New Roman"/>
      </w:rPr>
    </w:lvl>
    <w:lvl w:ilvl="7" w:tplc="581EF274">
      <w:start w:val="1"/>
      <w:numFmt w:val="lowerLetter"/>
      <w:lvlText w:val="%8."/>
      <w:lvlJc w:val="left"/>
      <w:pPr>
        <w:ind w:left="5760" w:hanging="360"/>
      </w:pPr>
      <w:rPr>
        <w:rFonts w:ascii="Times New Roman" w:eastAsia="Times New Roman" w:hAnsi="Times New Roman" w:cs="Times New Roman"/>
      </w:rPr>
    </w:lvl>
    <w:lvl w:ilvl="8" w:tplc="FC24925E">
      <w:start w:val="1"/>
      <w:numFmt w:val="lowerRoman"/>
      <w:lvlText w:val="%9."/>
      <w:lvlJc w:val="right"/>
      <w:pPr>
        <w:ind w:left="6480" w:hanging="180"/>
      </w:pPr>
      <w:rPr>
        <w:rFonts w:ascii="Times New Roman" w:eastAsia="Times New Roman" w:hAnsi="Times New Roman" w:cs="Times New Roman"/>
      </w:rPr>
    </w:lvl>
  </w:abstractNum>
  <w:abstractNum w:abstractNumId="19" w15:restartNumberingAfterBreak="0">
    <w:nsid w:val="0E6864D4"/>
    <w:multiLevelType w:val="hybridMultilevel"/>
    <w:tmpl w:val="DEE8F136"/>
    <w:lvl w:ilvl="0" w:tplc="E258D4CA">
      <w:start w:val="1"/>
      <w:numFmt w:val="decimal"/>
      <w:lvlText w:val="3.1.%1"/>
      <w:lvlJc w:val="left"/>
      <w:pPr>
        <w:tabs>
          <w:tab w:val="num" w:pos="397"/>
        </w:tabs>
        <w:ind w:left="720" w:hanging="360"/>
      </w:pPr>
      <w:rPr>
        <w:rFonts w:cs="Times New Roman" w:hint="default"/>
      </w:rPr>
    </w:lvl>
    <w:lvl w:ilvl="1" w:tplc="3984DFC8">
      <w:start w:val="1"/>
      <w:numFmt w:val="lowerLetter"/>
      <w:lvlText w:val="%2)"/>
      <w:lvlJc w:val="left"/>
      <w:pPr>
        <w:tabs>
          <w:tab w:val="num" w:pos="928"/>
        </w:tabs>
        <w:ind w:left="928"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F0D2A1C"/>
    <w:multiLevelType w:val="hybridMultilevel"/>
    <w:tmpl w:val="44E8CC50"/>
    <w:lvl w:ilvl="0" w:tplc="A4AAA5C6">
      <w:start w:val="1"/>
      <w:numFmt w:val="lowerLetter"/>
      <w:lvlText w:val="%1)"/>
      <w:lvlJc w:val="left"/>
      <w:pPr>
        <w:ind w:left="227" w:hanging="227"/>
      </w:pPr>
      <w:rPr>
        <w:rFonts w:ascii="Times New Roman" w:eastAsia="Times New Roman" w:hAnsi="Times New Roman" w:cs="Times New Roman"/>
      </w:rPr>
    </w:lvl>
    <w:lvl w:ilvl="1" w:tplc="28C2F008">
      <w:start w:val="1"/>
      <w:numFmt w:val="lowerLetter"/>
      <w:lvlText w:val="%2."/>
      <w:lvlJc w:val="left"/>
      <w:pPr>
        <w:ind w:left="1440" w:hanging="360"/>
      </w:pPr>
      <w:rPr>
        <w:rFonts w:ascii="Times New Roman" w:eastAsia="Times New Roman" w:hAnsi="Times New Roman" w:cs="Times New Roman"/>
      </w:rPr>
    </w:lvl>
    <w:lvl w:ilvl="2" w:tplc="FD64AB12">
      <w:start w:val="1"/>
      <w:numFmt w:val="lowerRoman"/>
      <w:lvlText w:val="%3."/>
      <w:lvlJc w:val="right"/>
      <w:pPr>
        <w:ind w:left="2160" w:hanging="180"/>
      </w:pPr>
      <w:rPr>
        <w:rFonts w:ascii="Times New Roman" w:eastAsia="Times New Roman" w:hAnsi="Times New Roman" w:cs="Times New Roman"/>
      </w:rPr>
    </w:lvl>
    <w:lvl w:ilvl="3" w:tplc="7FEE3DA8">
      <w:start w:val="1"/>
      <w:numFmt w:val="decimal"/>
      <w:lvlText w:val="%4."/>
      <w:lvlJc w:val="left"/>
      <w:pPr>
        <w:ind w:left="2880" w:hanging="360"/>
      </w:pPr>
      <w:rPr>
        <w:rFonts w:ascii="Times New Roman" w:eastAsia="Times New Roman" w:hAnsi="Times New Roman" w:cs="Times New Roman"/>
      </w:rPr>
    </w:lvl>
    <w:lvl w:ilvl="4" w:tplc="BE763FB2">
      <w:start w:val="1"/>
      <w:numFmt w:val="lowerLetter"/>
      <w:lvlText w:val="%5."/>
      <w:lvlJc w:val="left"/>
      <w:pPr>
        <w:ind w:left="3600" w:hanging="360"/>
      </w:pPr>
      <w:rPr>
        <w:rFonts w:ascii="Times New Roman" w:eastAsia="Times New Roman" w:hAnsi="Times New Roman" w:cs="Times New Roman"/>
      </w:rPr>
    </w:lvl>
    <w:lvl w:ilvl="5" w:tplc="19C604C0">
      <w:start w:val="1"/>
      <w:numFmt w:val="lowerRoman"/>
      <w:lvlText w:val="%6."/>
      <w:lvlJc w:val="right"/>
      <w:pPr>
        <w:ind w:left="4320" w:hanging="180"/>
      </w:pPr>
      <w:rPr>
        <w:rFonts w:ascii="Times New Roman" w:eastAsia="Times New Roman" w:hAnsi="Times New Roman" w:cs="Times New Roman"/>
      </w:rPr>
    </w:lvl>
    <w:lvl w:ilvl="6" w:tplc="A3C090A2">
      <w:start w:val="1"/>
      <w:numFmt w:val="decimal"/>
      <w:lvlText w:val="%7."/>
      <w:lvlJc w:val="left"/>
      <w:pPr>
        <w:ind w:left="5040" w:hanging="360"/>
      </w:pPr>
      <w:rPr>
        <w:rFonts w:ascii="Times New Roman" w:eastAsia="Times New Roman" w:hAnsi="Times New Roman" w:cs="Times New Roman"/>
      </w:rPr>
    </w:lvl>
    <w:lvl w:ilvl="7" w:tplc="3D705D74">
      <w:start w:val="1"/>
      <w:numFmt w:val="lowerLetter"/>
      <w:lvlText w:val="%8."/>
      <w:lvlJc w:val="left"/>
      <w:pPr>
        <w:ind w:left="5760" w:hanging="360"/>
      </w:pPr>
      <w:rPr>
        <w:rFonts w:ascii="Times New Roman" w:eastAsia="Times New Roman" w:hAnsi="Times New Roman" w:cs="Times New Roman"/>
      </w:rPr>
    </w:lvl>
    <w:lvl w:ilvl="8" w:tplc="931C12B8">
      <w:start w:val="1"/>
      <w:numFmt w:val="lowerRoman"/>
      <w:lvlText w:val="%9."/>
      <w:lvlJc w:val="right"/>
      <w:pPr>
        <w:ind w:left="6480" w:hanging="180"/>
      </w:pPr>
      <w:rPr>
        <w:rFonts w:ascii="Times New Roman" w:eastAsia="Times New Roman" w:hAnsi="Times New Roman" w:cs="Times New Roman"/>
      </w:rPr>
    </w:lvl>
  </w:abstractNum>
  <w:abstractNum w:abstractNumId="21" w15:restartNumberingAfterBreak="0">
    <w:nsid w:val="11701780"/>
    <w:multiLevelType w:val="hybridMultilevel"/>
    <w:tmpl w:val="963E591E"/>
    <w:lvl w:ilvl="0" w:tplc="4192F9DE">
      <w:start w:val="1"/>
      <w:numFmt w:val="decimal"/>
      <w:lvlText w:val="%1."/>
      <w:lvlJc w:val="left"/>
      <w:pPr>
        <w:ind w:left="0"/>
      </w:pPr>
      <w:rPr>
        <w:rFonts w:ascii="Times New Roman" w:eastAsia="Times New Roman" w:hAnsi="Times New Roman" w:cs="Times New Roman"/>
      </w:rPr>
    </w:lvl>
    <w:lvl w:ilvl="1" w:tplc="5C442C10">
      <w:start w:val="1"/>
      <w:numFmt w:val="lowerLetter"/>
      <w:lvlText w:val="%2)"/>
      <w:lvlJc w:val="left"/>
      <w:pPr>
        <w:ind w:left="1440" w:hanging="360"/>
      </w:pPr>
      <w:rPr>
        <w:rFonts w:ascii="Times New Roman" w:eastAsia="Times New Roman" w:hAnsi="Times New Roman" w:cs="Times New Roman"/>
      </w:rPr>
    </w:lvl>
    <w:lvl w:ilvl="2" w:tplc="CA34AE8E">
      <w:start w:val="1"/>
      <w:numFmt w:val="lowerRoman"/>
      <w:lvlText w:val="%3."/>
      <w:lvlJc w:val="right"/>
      <w:pPr>
        <w:ind w:left="2160" w:hanging="180"/>
      </w:pPr>
      <w:rPr>
        <w:rFonts w:ascii="Times New Roman" w:eastAsia="Times New Roman" w:hAnsi="Times New Roman" w:cs="Times New Roman"/>
      </w:rPr>
    </w:lvl>
    <w:lvl w:ilvl="3" w:tplc="17E4D190">
      <w:start w:val="1"/>
      <w:numFmt w:val="decimal"/>
      <w:lvlText w:val="%4."/>
      <w:lvlJc w:val="left"/>
      <w:pPr>
        <w:ind w:left="2880" w:hanging="360"/>
      </w:pPr>
      <w:rPr>
        <w:rFonts w:ascii="Times New Roman" w:eastAsia="Times New Roman" w:hAnsi="Times New Roman" w:cs="Times New Roman"/>
      </w:rPr>
    </w:lvl>
    <w:lvl w:ilvl="4" w:tplc="FB5212F2">
      <w:start w:val="1"/>
      <w:numFmt w:val="lowerLetter"/>
      <w:lvlText w:val="%5."/>
      <w:lvlJc w:val="left"/>
      <w:pPr>
        <w:ind w:left="3600" w:hanging="360"/>
      </w:pPr>
      <w:rPr>
        <w:rFonts w:ascii="Times New Roman" w:eastAsia="Times New Roman" w:hAnsi="Times New Roman" w:cs="Times New Roman"/>
      </w:rPr>
    </w:lvl>
    <w:lvl w:ilvl="5" w:tplc="0E6E05F6">
      <w:start w:val="1"/>
      <w:numFmt w:val="lowerRoman"/>
      <w:lvlText w:val="%6."/>
      <w:lvlJc w:val="right"/>
      <w:pPr>
        <w:ind w:left="4320" w:hanging="180"/>
      </w:pPr>
      <w:rPr>
        <w:rFonts w:ascii="Times New Roman" w:eastAsia="Times New Roman" w:hAnsi="Times New Roman" w:cs="Times New Roman"/>
      </w:rPr>
    </w:lvl>
    <w:lvl w:ilvl="6" w:tplc="F53CABC8">
      <w:start w:val="1"/>
      <w:numFmt w:val="decimal"/>
      <w:lvlText w:val="%7."/>
      <w:lvlJc w:val="left"/>
      <w:pPr>
        <w:ind w:left="5040" w:hanging="360"/>
      </w:pPr>
      <w:rPr>
        <w:rFonts w:ascii="Times New Roman" w:eastAsia="Times New Roman" w:hAnsi="Times New Roman" w:cs="Times New Roman"/>
      </w:rPr>
    </w:lvl>
    <w:lvl w:ilvl="7" w:tplc="BD3051CA">
      <w:start w:val="1"/>
      <w:numFmt w:val="lowerLetter"/>
      <w:lvlText w:val="%8."/>
      <w:lvlJc w:val="left"/>
      <w:pPr>
        <w:ind w:left="5760" w:hanging="360"/>
      </w:pPr>
      <w:rPr>
        <w:rFonts w:ascii="Times New Roman" w:eastAsia="Times New Roman" w:hAnsi="Times New Roman" w:cs="Times New Roman"/>
      </w:rPr>
    </w:lvl>
    <w:lvl w:ilvl="8" w:tplc="37064D9C">
      <w:start w:val="1"/>
      <w:numFmt w:val="lowerRoman"/>
      <w:lvlText w:val="%9."/>
      <w:lvlJc w:val="right"/>
      <w:pPr>
        <w:ind w:left="6480" w:hanging="180"/>
      </w:pPr>
      <w:rPr>
        <w:rFonts w:ascii="Times New Roman" w:eastAsia="Times New Roman" w:hAnsi="Times New Roman" w:cs="Times New Roman"/>
      </w:rPr>
    </w:lvl>
  </w:abstractNum>
  <w:abstractNum w:abstractNumId="22" w15:restartNumberingAfterBreak="0">
    <w:nsid w:val="12E040BD"/>
    <w:multiLevelType w:val="hybridMultilevel"/>
    <w:tmpl w:val="9D58A8C6"/>
    <w:lvl w:ilvl="0" w:tplc="4940B3BA">
      <w:start w:val="1"/>
      <w:numFmt w:val="lowerRoman"/>
      <w:lvlText w:val="%1"/>
      <w:lvlJc w:val="left"/>
      <w:pPr>
        <w:ind w:left="567" w:hanging="510"/>
      </w:pPr>
      <w:rPr>
        <w:rFonts w:ascii="Times New Roman" w:eastAsia="Times New Roman" w:hAnsi="Times New Roman" w:cs="Times New Roman"/>
      </w:rPr>
    </w:lvl>
    <w:lvl w:ilvl="1" w:tplc="98AC6F7C">
      <w:start w:val="1"/>
      <w:numFmt w:val="lowerLetter"/>
      <w:lvlText w:val="%2."/>
      <w:lvlJc w:val="left"/>
      <w:pPr>
        <w:ind w:left="1440" w:hanging="360"/>
      </w:pPr>
      <w:rPr>
        <w:rFonts w:ascii="Times New Roman" w:eastAsia="Times New Roman" w:hAnsi="Times New Roman" w:cs="Times New Roman"/>
      </w:rPr>
    </w:lvl>
    <w:lvl w:ilvl="2" w:tplc="512EBC72">
      <w:start w:val="1"/>
      <w:numFmt w:val="lowerRoman"/>
      <w:lvlText w:val="%3."/>
      <w:lvlJc w:val="right"/>
      <w:pPr>
        <w:ind w:left="2160" w:hanging="180"/>
      </w:pPr>
      <w:rPr>
        <w:rFonts w:ascii="Times New Roman" w:eastAsia="Times New Roman" w:hAnsi="Times New Roman" w:cs="Times New Roman"/>
      </w:rPr>
    </w:lvl>
    <w:lvl w:ilvl="3" w:tplc="FF42300C">
      <w:start w:val="1"/>
      <w:numFmt w:val="decimal"/>
      <w:lvlText w:val="%4."/>
      <w:lvlJc w:val="left"/>
      <w:pPr>
        <w:ind w:left="2880" w:hanging="360"/>
      </w:pPr>
      <w:rPr>
        <w:rFonts w:ascii="Times New Roman" w:eastAsia="Times New Roman" w:hAnsi="Times New Roman" w:cs="Times New Roman"/>
      </w:rPr>
    </w:lvl>
    <w:lvl w:ilvl="4" w:tplc="91E466D8">
      <w:start w:val="1"/>
      <w:numFmt w:val="lowerLetter"/>
      <w:lvlText w:val="%5."/>
      <w:lvlJc w:val="left"/>
      <w:pPr>
        <w:ind w:left="3600" w:hanging="360"/>
      </w:pPr>
      <w:rPr>
        <w:rFonts w:ascii="Times New Roman" w:eastAsia="Times New Roman" w:hAnsi="Times New Roman" w:cs="Times New Roman"/>
      </w:rPr>
    </w:lvl>
    <w:lvl w:ilvl="5" w:tplc="C3D2F3A2">
      <w:start w:val="1"/>
      <w:numFmt w:val="lowerRoman"/>
      <w:lvlText w:val="%6."/>
      <w:lvlJc w:val="right"/>
      <w:pPr>
        <w:ind w:left="4320" w:hanging="180"/>
      </w:pPr>
      <w:rPr>
        <w:rFonts w:ascii="Times New Roman" w:eastAsia="Times New Roman" w:hAnsi="Times New Roman" w:cs="Times New Roman"/>
      </w:rPr>
    </w:lvl>
    <w:lvl w:ilvl="6" w:tplc="3A9E0C66">
      <w:start w:val="1"/>
      <w:numFmt w:val="decimal"/>
      <w:lvlText w:val="%7."/>
      <w:lvlJc w:val="left"/>
      <w:pPr>
        <w:ind w:left="5040" w:hanging="360"/>
      </w:pPr>
      <w:rPr>
        <w:rFonts w:ascii="Times New Roman" w:eastAsia="Times New Roman" w:hAnsi="Times New Roman" w:cs="Times New Roman"/>
      </w:rPr>
    </w:lvl>
    <w:lvl w:ilvl="7" w:tplc="246EF1F4">
      <w:start w:val="1"/>
      <w:numFmt w:val="lowerLetter"/>
      <w:lvlText w:val="%8."/>
      <w:lvlJc w:val="left"/>
      <w:pPr>
        <w:ind w:left="5760" w:hanging="360"/>
      </w:pPr>
      <w:rPr>
        <w:rFonts w:ascii="Times New Roman" w:eastAsia="Times New Roman" w:hAnsi="Times New Roman" w:cs="Times New Roman"/>
      </w:rPr>
    </w:lvl>
    <w:lvl w:ilvl="8" w:tplc="D194BB86">
      <w:start w:val="1"/>
      <w:numFmt w:val="lowerRoman"/>
      <w:lvlText w:val="%9."/>
      <w:lvlJc w:val="right"/>
      <w:pPr>
        <w:ind w:left="6480" w:hanging="180"/>
      </w:pPr>
      <w:rPr>
        <w:rFonts w:ascii="Times New Roman" w:eastAsia="Times New Roman" w:hAnsi="Times New Roman" w:cs="Times New Roman"/>
      </w:rPr>
    </w:lvl>
  </w:abstractNum>
  <w:abstractNum w:abstractNumId="23" w15:restartNumberingAfterBreak="0">
    <w:nsid w:val="132A608F"/>
    <w:multiLevelType w:val="hybridMultilevel"/>
    <w:tmpl w:val="28525200"/>
    <w:lvl w:ilvl="0" w:tplc="5088E1F4">
      <w:start w:val="1"/>
      <w:numFmt w:val="lowerLetter"/>
      <w:lvlText w:val="%1)"/>
      <w:lvlJc w:val="left"/>
      <w:pPr>
        <w:ind w:left="227" w:hanging="227"/>
      </w:pPr>
      <w:rPr>
        <w:rFonts w:ascii="Times New Roman" w:eastAsia="Times New Roman" w:hAnsi="Times New Roman" w:cs="Times New Roman"/>
      </w:rPr>
    </w:lvl>
    <w:lvl w:ilvl="1" w:tplc="FABEE228">
      <w:start w:val="1"/>
      <w:numFmt w:val="lowerLetter"/>
      <w:lvlText w:val="%2."/>
      <w:lvlJc w:val="left"/>
      <w:pPr>
        <w:ind w:left="1440" w:hanging="360"/>
      </w:pPr>
      <w:rPr>
        <w:rFonts w:ascii="Times New Roman" w:eastAsia="Times New Roman" w:hAnsi="Times New Roman" w:cs="Times New Roman"/>
      </w:rPr>
    </w:lvl>
    <w:lvl w:ilvl="2" w:tplc="AA4EDD4C">
      <w:start w:val="1"/>
      <w:numFmt w:val="lowerRoman"/>
      <w:lvlText w:val="%3."/>
      <w:lvlJc w:val="right"/>
      <w:pPr>
        <w:ind w:left="2160" w:hanging="180"/>
      </w:pPr>
      <w:rPr>
        <w:rFonts w:ascii="Times New Roman" w:eastAsia="Times New Roman" w:hAnsi="Times New Roman" w:cs="Times New Roman"/>
      </w:rPr>
    </w:lvl>
    <w:lvl w:ilvl="3" w:tplc="36B64B3A">
      <w:start w:val="1"/>
      <w:numFmt w:val="decimal"/>
      <w:lvlText w:val="%4."/>
      <w:lvlJc w:val="left"/>
      <w:pPr>
        <w:ind w:left="2880" w:hanging="360"/>
      </w:pPr>
      <w:rPr>
        <w:rFonts w:ascii="Times New Roman" w:eastAsia="Times New Roman" w:hAnsi="Times New Roman" w:cs="Times New Roman"/>
      </w:rPr>
    </w:lvl>
    <w:lvl w:ilvl="4" w:tplc="84DC607A">
      <w:start w:val="1"/>
      <w:numFmt w:val="lowerLetter"/>
      <w:lvlText w:val="%5."/>
      <w:lvlJc w:val="left"/>
      <w:pPr>
        <w:ind w:left="3600" w:hanging="360"/>
      </w:pPr>
      <w:rPr>
        <w:rFonts w:ascii="Times New Roman" w:eastAsia="Times New Roman" w:hAnsi="Times New Roman" w:cs="Times New Roman"/>
      </w:rPr>
    </w:lvl>
    <w:lvl w:ilvl="5" w:tplc="BFD2631C">
      <w:start w:val="1"/>
      <w:numFmt w:val="lowerRoman"/>
      <w:lvlText w:val="%6."/>
      <w:lvlJc w:val="right"/>
      <w:pPr>
        <w:ind w:left="4320" w:hanging="180"/>
      </w:pPr>
      <w:rPr>
        <w:rFonts w:ascii="Times New Roman" w:eastAsia="Times New Roman" w:hAnsi="Times New Roman" w:cs="Times New Roman"/>
      </w:rPr>
    </w:lvl>
    <w:lvl w:ilvl="6" w:tplc="925A33EA">
      <w:start w:val="1"/>
      <w:numFmt w:val="decimal"/>
      <w:lvlText w:val="%7."/>
      <w:lvlJc w:val="left"/>
      <w:pPr>
        <w:ind w:left="5040" w:hanging="360"/>
      </w:pPr>
      <w:rPr>
        <w:rFonts w:ascii="Times New Roman" w:eastAsia="Times New Roman" w:hAnsi="Times New Roman" w:cs="Times New Roman"/>
      </w:rPr>
    </w:lvl>
    <w:lvl w:ilvl="7" w:tplc="1AE4F076">
      <w:start w:val="1"/>
      <w:numFmt w:val="lowerLetter"/>
      <w:lvlText w:val="%8."/>
      <w:lvlJc w:val="left"/>
      <w:pPr>
        <w:ind w:left="5760" w:hanging="360"/>
      </w:pPr>
      <w:rPr>
        <w:rFonts w:ascii="Times New Roman" w:eastAsia="Times New Roman" w:hAnsi="Times New Roman" w:cs="Times New Roman"/>
      </w:rPr>
    </w:lvl>
    <w:lvl w:ilvl="8" w:tplc="7436A808">
      <w:start w:val="1"/>
      <w:numFmt w:val="lowerRoman"/>
      <w:lvlText w:val="%9."/>
      <w:lvlJc w:val="right"/>
      <w:pPr>
        <w:ind w:left="6480" w:hanging="180"/>
      </w:pPr>
      <w:rPr>
        <w:rFonts w:ascii="Times New Roman" w:eastAsia="Times New Roman" w:hAnsi="Times New Roman" w:cs="Times New Roman"/>
      </w:rPr>
    </w:lvl>
  </w:abstractNum>
  <w:abstractNum w:abstractNumId="24" w15:restartNumberingAfterBreak="0">
    <w:nsid w:val="189E1E83"/>
    <w:multiLevelType w:val="multilevel"/>
    <w:tmpl w:val="4AF87FEC"/>
    <w:lvl w:ilvl="0">
      <w:start w:val="10"/>
      <w:numFmt w:val="decimal"/>
      <w:lvlText w:val="%1."/>
      <w:lvlJc w:val="left"/>
      <w:pPr>
        <w:ind w:left="360" w:hanging="360"/>
      </w:pPr>
      <w:rPr>
        <w:rFonts w:hint="default"/>
      </w:rPr>
    </w:lvl>
    <w:lvl w:ilvl="1">
      <w:start w:val="1"/>
      <w:numFmt w:val="decimal"/>
      <w:lvlText w:val="%1.%2."/>
      <w:lvlJc w:val="left"/>
      <w:pPr>
        <w:ind w:left="709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A316FB4"/>
    <w:multiLevelType w:val="hybridMultilevel"/>
    <w:tmpl w:val="57A47F40"/>
    <w:lvl w:ilvl="0" w:tplc="4DBEDA20">
      <w:start w:val="1"/>
      <w:numFmt w:val="lowerLetter"/>
      <w:lvlText w:val="%1)"/>
      <w:lvlJc w:val="left"/>
      <w:pPr>
        <w:ind w:left="227" w:hanging="227"/>
      </w:pPr>
      <w:rPr>
        <w:rFonts w:ascii="Times New Roman" w:eastAsia="Times New Roman" w:hAnsi="Times New Roman" w:cs="Times New Roman"/>
      </w:rPr>
    </w:lvl>
    <w:lvl w:ilvl="1" w:tplc="BEF66EAC">
      <w:start w:val="1"/>
      <w:numFmt w:val="lowerLetter"/>
      <w:lvlText w:val="%2."/>
      <w:lvlJc w:val="left"/>
      <w:pPr>
        <w:ind w:left="1440" w:hanging="360"/>
      </w:pPr>
      <w:rPr>
        <w:rFonts w:ascii="Times New Roman" w:eastAsia="Times New Roman" w:hAnsi="Times New Roman" w:cs="Times New Roman"/>
      </w:rPr>
    </w:lvl>
    <w:lvl w:ilvl="2" w:tplc="232A5088">
      <w:start w:val="1"/>
      <w:numFmt w:val="lowerRoman"/>
      <w:lvlText w:val="%3."/>
      <w:lvlJc w:val="right"/>
      <w:pPr>
        <w:ind w:left="2160" w:hanging="180"/>
      </w:pPr>
      <w:rPr>
        <w:rFonts w:ascii="Times New Roman" w:eastAsia="Times New Roman" w:hAnsi="Times New Roman" w:cs="Times New Roman"/>
      </w:rPr>
    </w:lvl>
    <w:lvl w:ilvl="3" w:tplc="F0C8AA52">
      <w:start w:val="1"/>
      <w:numFmt w:val="decimal"/>
      <w:lvlText w:val="%4."/>
      <w:lvlJc w:val="left"/>
      <w:pPr>
        <w:ind w:left="2880" w:hanging="360"/>
      </w:pPr>
      <w:rPr>
        <w:rFonts w:ascii="Times New Roman" w:eastAsia="Times New Roman" w:hAnsi="Times New Roman" w:cs="Times New Roman"/>
      </w:rPr>
    </w:lvl>
    <w:lvl w:ilvl="4" w:tplc="75E65DF2">
      <w:start w:val="1"/>
      <w:numFmt w:val="lowerLetter"/>
      <w:lvlText w:val="%5."/>
      <w:lvlJc w:val="left"/>
      <w:pPr>
        <w:ind w:left="3600" w:hanging="360"/>
      </w:pPr>
      <w:rPr>
        <w:rFonts w:ascii="Times New Roman" w:eastAsia="Times New Roman" w:hAnsi="Times New Roman" w:cs="Times New Roman"/>
      </w:rPr>
    </w:lvl>
    <w:lvl w:ilvl="5" w:tplc="97425FF2">
      <w:start w:val="1"/>
      <w:numFmt w:val="lowerRoman"/>
      <w:lvlText w:val="%6."/>
      <w:lvlJc w:val="right"/>
      <w:pPr>
        <w:ind w:left="4320" w:hanging="180"/>
      </w:pPr>
      <w:rPr>
        <w:rFonts w:ascii="Times New Roman" w:eastAsia="Times New Roman" w:hAnsi="Times New Roman" w:cs="Times New Roman"/>
      </w:rPr>
    </w:lvl>
    <w:lvl w:ilvl="6" w:tplc="4DAAE4F8">
      <w:start w:val="1"/>
      <w:numFmt w:val="decimal"/>
      <w:lvlText w:val="%7."/>
      <w:lvlJc w:val="left"/>
      <w:pPr>
        <w:ind w:left="5040" w:hanging="360"/>
      </w:pPr>
      <w:rPr>
        <w:rFonts w:ascii="Times New Roman" w:eastAsia="Times New Roman" w:hAnsi="Times New Roman" w:cs="Times New Roman"/>
      </w:rPr>
    </w:lvl>
    <w:lvl w:ilvl="7" w:tplc="BF1E7C16">
      <w:start w:val="1"/>
      <w:numFmt w:val="lowerLetter"/>
      <w:lvlText w:val="%8."/>
      <w:lvlJc w:val="left"/>
      <w:pPr>
        <w:ind w:left="5760" w:hanging="360"/>
      </w:pPr>
      <w:rPr>
        <w:rFonts w:ascii="Times New Roman" w:eastAsia="Times New Roman" w:hAnsi="Times New Roman" w:cs="Times New Roman"/>
      </w:rPr>
    </w:lvl>
    <w:lvl w:ilvl="8" w:tplc="FE50F4DA">
      <w:start w:val="1"/>
      <w:numFmt w:val="lowerRoman"/>
      <w:lvlText w:val="%9."/>
      <w:lvlJc w:val="right"/>
      <w:pPr>
        <w:ind w:left="6480" w:hanging="180"/>
      </w:pPr>
      <w:rPr>
        <w:rFonts w:ascii="Times New Roman" w:eastAsia="Times New Roman" w:hAnsi="Times New Roman" w:cs="Times New Roman"/>
      </w:rPr>
    </w:lvl>
  </w:abstractNum>
  <w:abstractNum w:abstractNumId="26" w15:restartNumberingAfterBreak="0">
    <w:nsid w:val="1AD80FAC"/>
    <w:multiLevelType w:val="hybridMultilevel"/>
    <w:tmpl w:val="DD9EA6CA"/>
    <w:lvl w:ilvl="0" w:tplc="22A8E044">
      <w:start w:val="6"/>
      <w:numFmt w:val="lowerLetter"/>
      <w:lvlText w:val="%1)"/>
      <w:lvlJc w:val="left"/>
      <w:pPr>
        <w:ind w:left="227" w:hanging="227"/>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B136D92"/>
    <w:multiLevelType w:val="hybridMultilevel"/>
    <w:tmpl w:val="82ECFE5C"/>
    <w:lvl w:ilvl="0" w:tplc="C73A6EA2">
      <w:start w:val="1"/>
      <w:numFmt w:val="decimal"/>
      <w:lvlText w:val="·"/>
      <w:lvlJc w:val="left"/>
      <w:pPr>
        <w:ind w:left="0"/>
      </w:pPr>
      <w:rPr>
        <w:rFonts w:ascii="Times New Roman" w:eastAsia="Times New Roman" w:hAnsi="Times New Roman" w:cs="Times New Roman"/>
      </w:rPr>
    </w:lvl>
    <w:lvl w:ilvl="1" w:tplc="CB701598">
      <w:numFmt w:val="decimal"/>
      <w:lvlText w:val="o"/>
      <w:lvlJc w:val="left"/>
      <w:pPr>
        <w:ind w:left="0"/>
      </w:pPr>
      <w:rPr>
        <w:rFonts w:ascii="Times New Roman" w:eastAsia="Times New Roman" w:hAnsi="Times New Roman" w:cs="Times New Roman"/>
      </w:rPr>
    </w:lvl>
    <w:lvl w:ilvl="2" w:tplc="CF62A29C">
      <w:numFmt w:val="decimal"/>
      <w:lvlText w:val="§"/>
      <w:lvlJc w:val="left"/>
      <w:pPr>
        <w:ind w:left="0"/>
      </w:pPr>
      <w:rPr>
        <w:rFonts w:ascii="Times New Roman" w:eastAsia="Times New Roman" w:hAnsi="Times New Roman" w:cs="Times New Roman"/>
      </w:rPr>
    </w:lvl>
    <w:lvl w:ilvl="3" w:tplc="EE3278AC">
      <w:numFmt w:val="decimal"/>
      <w:lvlText w:val="·"/>
      <w:lvlJc w:val="left"/>
      <w:pPr>
        <w:ind w:left="0"/>
      </w:pPr>
      <w:rPr>
        <w:rFonts w:ascii="Times New Roman" w:eastAsia="Times New Roman" w:hAnsi="Times New Roman" w:cs="Times New Roman"/>
      </w:rPr>
    </w:lvl>
    <w:lvl w:ilvl="4" w:tplc="D56C2B42">
      <w:numFmt w:val="decimal"/>
      <w:lvlText w:val="o"/>
      <w:lvlJc w:val="left"/>
      <w:pPr>
        <w:ind w:left="0"/>
      </w:pPr>
      <w:rPr>
        <w:rFonts w:ascii="Times New Roman" w:eastAsia="Times New Roman" w:hAnsi="Times New Roman" w:cs="Times New Roman"/>
      </w:rPr>
    </w:lvl>
    <w:lvl w:ilvl="5" w:tplc="0A32903A">
      <w:numFmt w:val="decimal"/>
      <w:lvlText w:val="§"/>
      <w:lvlJc w:val="left"/>
      <w:pPr>
        <w:ind w:left="0"/>
      </w:pPr>
      <w:rPr>
        <w:rFonts w:ascii="Times New Roman" w:eastAsia="Times New Roman" w:hAnsi="Times New Roman" w:cs="Times New Roman"/>
      </w:rPr>
    </w:lvl>
    <w:lvl w:ilvl="6" w:tplc="7482314A">
      <w:numFmt w:val="decimal"/>
      <w:lvlText w:val="·"/>
      <w:lvlJc w:val="left"/>
      <w:pPr>
        <w:ind w:left="0"/>
      </w:pPr>
      <w:rPr>
        <w:rFonts w:ascii="Times New Roman" w:eastAsia="Times New Roman" w:hAnsi="Times New Roman" w:cs="Times New Roman"/>
      </w:rPr>
    </w:lvl>
    <w:lvl w:ilvl="7" w:tplc="6712A52C">
      <w:numFmt w:val="decimal"/>
      <w:lvlText w:val="o"/>
      <w:lvlJc w:val="left"/>
      <w:pPr>
        <w:ind w:left="0"/>
      </w:pPr>
      <w:rPr>
        <w:rFonts w:ascii="Times New Roman" w:eastAsia="Times New Roman" w:hAnsi="Times New Roman" w:cs="Times New Roman"/>
      </w:rPr>
    </w:lvl>
    <w:lvl w:ilvl="8" w:tplc="292E1BBE">
      <w:numFmt w:val="decimal"/>
      <w:lvlText w:val="§"/>
      <w:lvlJc w:val="left"/>
      <w:pPr>
        <w:ind w:left="0"/>
      </w:pPr>
      <w:rPr>
        <w:rFonts w:ascii="Times New Roman" w:eastAsia="Times New Roman" w:hAnsi="Times New Roman" w:cs="Times New Roman"/>
      </w:rPr>
    </w:lvl>
  </w:abstractNum>
  <w:abstractNum w:abstractNumId="28" w15:restartNumberingAfterBreak="0">
    <w:nsid w:val="1B2932DB"/>
    <w:multiLevelType w:val="hybridMultilevel"/>
    <w:tmpl w:val="94F4E720"/>
    <w:lvl w:ilvl="0" w:tplc="57A602F4">
      <w:start w:val="1"/>
      <w:numFmt w:val="lowerLetter"/>
      <w:lvlText w:val="%1)"/>
      <w:lvlJc w:val="center"/>
      <w:pPr>
        <w:ind w:left="0"/>
      </w:pPr>
      <w:rPr>
        <w:rFonts w:ascii="Times New Roman" w:eastAsia="Times New Roman" w:hAnsi="Times New Roman" w:cs="Times New Roman"/>
        <w:sz w:val="20"/>
      </w:rPr>
    </w:lvl>
    <w:lvl w:ilvl="1" w:tplc="8EAA87DE">
      <w:start w:val="1"/>
      <w:numFmt w:val="bullet"/>
      <w:lvlText w:val="*"/>
      <w:lvlJc w:val="left"/>
      <w:pPr>
        <w:ind w:left="1440" w:hanging="360"/>
      </w:pPr>
      <w:rPr>
        <w:rFonts w:ascii="c*u*i*r*n*w" w:eastAsia="c*u*i*r*n*w" w:hAnsi="c*u*i*r*n*w" w:cs="c*u*i*r*n*w"/>
        <w:sz w:val="20"/>
      </w:rPr>
    </w:lvl>
    <w:lvl w:ilvl="2" w:tplc="FB103144">
      <w:start w:val="1"/>
      <w:numFmt w:val="bullet"/>
      <w:lvlText w:val="*"/>
      <w:lvlJc w:val="left"/>
      <w:pPr>
        <w:ind w:left="2160" w:hanging="360"/>
      </w:pPr>
      <w:rPr>
        <w:rFonts w:ascii="w*n*d*n*s" w:eastAsia="w*n*d*n*s" w:hAnsi="w*n*d*n*s" w:cs="w*n*d*n*s"/>
        <w:sz w:val="20"/>
      </w:rPr>
    </w:lvl>
    <w:lvl w:ilvl="3" w:tplc="5B4A9C08">
      <w:start w:val="1"/>
      <w:numFmt w:val="bullet"/>
      <w:lvlText w:val="*"/>
      <w:lvlJc w:val="left"/>
      <w:pPr>
        <w:ind w:left="2880" w:hanging="360"/>
      </w:pPr>
      <w:rPr>
        <w:rFonts w:ascii="s*m*o*" w:eastAsia="s*m*o*" w:hAnsi="s*m*o*" w:cs="s*m*o*"/>
        <w:sz w:val="20"/>
      </w:rPr>
    </w:lvl>
    <w:lvl w:ilvl="4" w:tplc="87707956">
      <w:start w:val="1"/>
      <w:numFmt w:val="bullet"/>
      <w:lvlText w:val="*"/>
      <w:lvlJc w:val="left"/>
      <w:pPr>
        <w:ind w:left="3600" w:hanging="360"/>
      </w:pPr>
      <w:rPr>
        <w:rFonts w:ascii="c*u*i*r*n*w" w:eastAsia="c*u*i*r*n*w" w:hAnsi="c*u*i*r*n*w" w:cs="c*u*i*r*n*w"/>
        <w:sz w:val="20"/>
      </w:rPr>
    </w:lvl>
    <w:lvl w:ilvl="5" w:tplc="440E2AF6">
      <w:start w:val="1"/>
      <w:numFmt w:val="bullet"/>
      <w:lvlText w:val="*"/>
      <w:lvlJc w:val="left"/>
      <w:pPr>
        <w:ind w:left="4320" w:hanging="360"/>
      </w:pPr>
      <w:rPr>
        <w:rFonts w:ascii="w*n*d*n*s" w:eastAsia="w*n*d*n*s" w:hAnsi="w*n*d*n*s" w:cs="w*n*d*n*s"/>
        <w:sz w:val="20"/>
      </w:rPr>
    </w:lvl>
    <w:lvl w:ilvl="6" w:tplc="7BD8A9C8">
      <w:start w:val="1"/>
      <w:numFmt w:val="bullet"/>
      <w:lvlText w:val="*"/>
      <w:lvlJc w:val="left"/>
      <w:pPr>
        <w:ind w:left="5040" w:hanging="360"/>
      </w:pPr>
      <w:rPr>
        <w:rFonts w:ascii="s*m*o*" w:eastAsia="s*m*o*" w:hAnsi="s*m*o*" w:cs="s*m*o*"/>
        <w:sz w:val="20"/>
      </w:rPr>
    </w:lvl>
    <w:lvl w:ilvl="7" w:tplc="DE84F928">
      <w:start w:val="1"/>
      <w:numFmt w:val="bullet"/>
      <w:lvlText w:val="*"/>
      <w:lvlJc w:val="left"/>
      <w:pPr>
        <w:ind w:left="5760" w:hanging="360"/>
      </w:pPr>
      <w:rPr>
        <w:rFonts w:ascii="c*u*i*r*n*w" w:eastAsia="c*u*i*r*n*w" w:hAnsi="c*u*i*r*n*w" w:cs="c*u*i*r*n*w"/>
        <w:sz w:val="20"/>
      </w:rPr>
    </w:lvl>
    <w:lvl w:ilvl="8" w:tplc="01CC4AA8">
      <w:start w:val="1"/>
      <w:numFmt w:val="bullet"/>
      <w:lvlText w:val="*"/>
      <w:lvlJc w:val="left"/>
      <w:pPr>
        <w:ind w:left="6480" w:hanging="360"/>
      </w:pPr>
      <w:rPr>
        <w:rFonts w:ascii="w*n*d*n*s" w:eastAsia="w*n*d*n*s" w:hAnsi="w*n*d*n*s" w:cs="w*n*d*n*s"/>
        <w:sz w:val="20"/>
      </w:rPr>
    </w:lvl>
  </w:abstractNum>
  <w:abstractNum w:abstractNumId="29" w15:restartNumberingAfterBreak="0">
    <w:nsid w:val="1BC632AC"/>
    <w:multiLevelType w:val="hybridMultilevel"/>
    <w:tmpl w:val="5A7CA63E"/>
    <w:lvl w:ilvl="0" w:tplc="2114640C">
      <w:start w:val="1"/>
      <w:numFmt w:val="decimal"/>
      <w:lvlText w:val="·"/>
      <w:lvlJc w:val="left"/>
      <w:pPr>
        <w:ind w:left="0"/>
      </w:pPr>
      <w:rPr>
        <w:rFonts w:ascii="Times New Roman" w:eastAsia="Times New Roman" w:hAnsi="Times New Roman" w:cs="Times New Roman"/>
      </w:rPr>
    </w:lvl>
    <w:lvl w:ilvl="1" w:tplc="AA2036EA">
      <w:numFmt w:val="decimal"/>
      <w:lvlText w:val="o"/>
      <w:lvlJc w:val="left"/>
      <w:pPr>
        <w:ind w:left="0"/>
      </w:pPr>
      <w:rPr>
        <w:rFonts w:ascii="Times New Roman" w:eastAsia="Times New Roman" w:hAnsi="Times New Roman" w:cs="Times New Roman"/>
      </w:rPr>
    </w:lvl>
    <w:lvl w:ilvl="2" w:tplc="2562675A">
      <w:numFmt w:val="decimal"/>
      <w:lvlText w:val="§"/>
      <w:lvlJc w:val="left"/>
      <w:pPr>
        <w:ind w:left="0"/>
      </w:pPr>
      <w:rPr>
        <w:rFonts w:ascii="Times New Roman" w:eastAsia="Times New Roman" w:hAnsi="Times New Roman" w:cs="Times New Roman"/>
      </w:rPr>
    </w:lvl>
    <w:lvl w:ilvl="3" w:tplc="5566B7B0">
      <w:numFmt w:val="decimal"/>
      <w:lvlText w:val="·"/>
      <w:lvlJc w:val="left"/>
      <w:pPr>
        <w:ind w:left="0"/>
      </w:pPr>
      <w:rPr>
        <w:rFonts w:ascii="Times New Roman" w:eastAsia="Times New Roman" w:hAnsi="Times New Roman" w:cs="Times New Roman"/>
      </w:rPr>
    </w:lvl>
    <w:lvl w:ilvl="4" w:tplc="496E7D78">
      <w:numFmt w:val="decimal"/>
      <w:lvlText w:val="o"/>
      <w:lvlJc w:val="left"/>
      <w:pPr>
        <w:ind w:left="0"/>
      </w:pPr>
      <w:rPr>
        <w:rFonts w:ascii="Times New Roman" w:eastAsia="Times New Roman" w:hAnsi="Times New Roman" w:cs="Times New Roman"/>
      </w:rPr>
    </w:lvl>
    <w:lvl w:ilvl="5" w:tplc="C47C68DA">
      <w:numFmt w:val="decimal"/>
      <w:lvlText w:val="§"/>
      <w:lvlJc w:val="left"/>
      <w:pPr>
        <w:ind w:left="0"/>
      </w:pPr>
      <w:rPr>
        <w:rFonts w:ascii="Times New Roman" w:eastAsia="Times New Roman" w:hAnsi="Times New Roman" w:cs="Times New Roman"/>
      </w:rPr>
    </w:lvl>
    <w:lvl w:ilvl="6" w:tplc="13A04780">
      <w:numFmt w:val="decimal"/>
      <w:lvlText w:val="·"/>
      <w:lvlJc w:val="left"/>
      <w:pPr>
        <w:ind w:left="0"/>
      </w:pPr>
      <w:rPr>
        <w:rFonts w:ascii="Times New Roman" w:eastAsia="Times New Roman" w:hAnsi="Times New Roman" w:cs="Times New Roman"/>
      </w:rPr>
    </w:lvl>
    <w:lvl w:ilvl="7" w:tplc="7AD48FE4">
      <w:numFmt w:val="decimal"/>
      <w:lvlText w:val="o"/>
      <w:lvlJc w:val="left"/>
      <w:pPr>
        <w:ind w:left="0"/>
      </w:pPr>
      <w:rPr>
        <w:rFonts w:ascii="Times New Roman" w:eastAsia="Times New Roman" w:hAnsi="Times New Roman" w:cs="Times New Roman"/>
      </w:rPr>
    </w:lvl>
    <w:lvl w:ilvl="8" w:tplc="C7221176">
      <w:numFmt w:val="decimal"/>
      <w:lvlText w:val="§"/>
      <w:lvlJc w:val="left"/>
      <w:pPr>
        <w:ind w:left="0"/>
      </w:pPr>
      <w:rPr>
        <w:rFonts w:ascii="Times New Roman" w:eastAsia="Times New Roman" w:hAnsi="Times New Roman" w:cs="Times New Roman"/>
      </w:rPr>
    </w:lvl>
  </w:abstractNum>
  <w:abstractNum w:abstractNumId="30" w15:restartNumberingAfterBreak="0">
    <w:nsid w:val="1D01580E"/>
    <w:multiLevelType w:val="hybridMultilevel"/>
    <w:tmpl w:val="BB461432"/>
    <w:lvl w:ilvl="0" w:tplc="F768EF96">
      <w:start w:val="1"/>
      <w:numFmt w:val="decimal"/>
      <w:lvlText w:val="1.%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E52B192">
      <w:start w:val="1"/>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1DF336E0"/>
    <w:multiLevelType w:val="multilevel"/>
    <w:tmpl w:val="77100451"/>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start w:val="1"/>
      <w:numFmt w:val="upperRoman"/>
      <w:lvlText w:val="%4."/>
      <w:lvlJc w:val="left"/>
      <w:pPr>
        <w:ind w:left="3240" w:hanging="72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1E6E1A47"/>
    <w:multiLevelType w:val="hybridMultilevel"/>
    <w:tmpl w:val="76286896"/>
    <w:lvl w:ilvl="0" w:tplc="B79C91DE">
      <w:start w:val="1"/>
      <w:numFmt w:val="lowerLetter"/>
      <w:lvlText w:val="%1)"/>
      <w:lvlJc w:val="left"/>
      <w:pPr>
        <w:ind w:left="0"/>
      </w:pPr>
      <w:rPr>
        <w:rFonts w:ascii="Times New Roman" w:eastAsia="Times New Roman" w:hAnsi="Times New Roman" w:cs="Times New Roman"/>
      </w:rPr>
    </w:lvl>
    <w:lvl w:ilvl="1" w:tplc="6930F3D6">
      <w:numFmt w:val="decimal"/>
      <w:lvlText w:val="o"/>
      <w:lvlJc w:val="left"/>
      <w:pPr>
        <w:ind w:left="0"/>
      </w:pPr>
      <w:rPr>
        <w:rFonts w:ascii="Times New Roman" w:eastAsia="Times New Roman" w:hAnsi="Times New Roman" w:cs="Times New Roman"/>
      </w:rPr>
    </w:lvl>
    <w:lvl w:ilvl="2" w:tplc="E3688DB6">
      <w:numFmt w:val="decimal"/>
      <w:lvlText w:val="§"/>
      <w:lvlJc w:val="left"/>
      <w:pPr>
        <w:ind w:left="0"/>
      </w:pPr>
      <w:rPr>
        <w:rFonts w:ascii="Times New Roman" w:eastAsia="Times New Roman" w:hAnsi="Times New Roman" w:cs="Times New Roman"/>
      </w:rPr>
    </w:lvl>
    <w:lvl w:ilvl="3" w:tplc="159C79DE">
      <w:numFmt w:val="decimal"/>
      <w:lvlText w:val="·"/>
      <w:lvlJc w:val="left"/>
      <w:pPr>
        <w:ind w:left="0"/>
      </w:pPr>
      <w:rPr>
        <w:rFonts w:ascii="Times New Roman" w:eastAsia="Times New Roman" w:hAnsi="Times New Roman" w:cs="Times New Roman"/>
      </w:rPr>
    </w:lvl>
    <w:lvl w:ilvl="4" w:tplc="D326083A">
      <w:numFmt w:val="decimal"/>
      <w:lvlText w:val="o"/>
      <w:lvlJc w:val="left"/>
      <w:pPr>
        <w:ind w:left="0"/>
      </w:pPr>
      <w:rPr>
        <w:rFonts w:ascii="Times New Roman" w:eastAsia="Times New Roman" w:hAnsi="Times New Roman" w:cs="Times New Roman"/>
      </w:rPr>
    </w:lvl>
    <w:lvl w:ilvl="5" w:tplc="E5D22BE2">
      <w:numFmt w:val="decimal"/>
      <w:lvlText w:val="§"/>
      <w:lvlJc w:val="left"/>
      <w:pPr>
        <w:ind w:left="0"/>
      </w:pPr>
      <w:rPr>
        <w:rFonts w:ascii="Times New Roman" w:eastAsia="Times New Roman" w:hAnsi="Times New Roman" w:cs="Times New Roman"/>
      </w:rPr>
    </w:lvl>
    <w:lvl w:ilvl="6" w:tplc="C4F8105E">
      <w:numFmt w:val="decimal"/>
      <w:lvlText w:val="·"/>
      <w:lvlJc w:val="left"/>
      <w:pPr>
        <w:ind w:left="0"/>
      </w:pPr>
      <w:rPr>
        <w:rFonts w:ascii="Times New Roman" w:eastAsia="Times New Roman" w:hAnsi="Times New Roman" w:cs="Times New Roman"/>
      </w:rPr>
    </w:lvl>
    <w:lvl w:ilvl="7" w:tplc="3B688CC4">
      <w:numFmt w:val="decimal"/>
      <w:lvlText w:val="o"/>
      <w:lvlJc w:val="left"/>
      <w:pPr>
        <w:ind w:left="0"/>
      </w:pPr>
      <w:rPr>
        <w:rFonts w:ascii="Times New Roman" w:eastAsia="Times New Roman" w:hAnsi="Times New Roman" w:cs="Times New Roman"/>
      </w:rPr>
    </w:lvl>
    <w:lvl w:ilvl="8" w:tplc="AAF4D810">
      <w:numFmt w:val="decimal"/>
      <w:lvlText w:val="§"/>
      <w:lvlJc w:val="left"/>
      <w:pPr>
        <w:ind w:left="0"/>
      </w:pPr>
      <w:rPr>
        <w:rFonts w:ascii="Times New Roman" w:eastAsia="Times New Roman" w:hAnsi="Times New Roman" w:cs="Times New Roman"/>
      </w:rPr>
    </w:lvl>
  </w:abstractNum>
  <w:abstractNum w:abstractNumId="33" w15:restartNumberingAfterBreak="0">
    <w:nsid w:val="1F065011"/>
    <w:multiLevelType w:val="hybridMultilevel"/>
    <w:tmpl w:val="B54A5160"/>
    <w:lvl w:ilvl="0" w:tplc="65AA7F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F280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D2DC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FED3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5AEF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385A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0ADA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A70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947B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F2450D2"/>
    <w:multiLevelType w:val="hybridMultilevel"/>
    <w:tmpl w:val="C2AA9048"/>
    <w:lvl w:ilvl="0" w:tplc="9DFAFE18">
      <w:start w:val="1"/>
      <w:numFmt w:val="lowerLetter"/>
      <w:lvlText w:val="%1)"/>
      <w:lvlJc w:val="left"/>
      <w:pPr>
        <w:ind w:left="227" w:hanging="227"/>
      </w:pPr>
      <w:rPr>
        <w:rFonts w:ascii="Times New Roman" w:eastAsia="Times New Roman" w:hAnsi="Times New Roman" w:cs="Times New Roman"/>
      </w:rPr>
    </w:lvl>
    <w:lvl w:ilvl="1" w:tplc="9DF8D532">
      <w:start w:val="1"/>
      <w:numFmt w:val="lowerLetter"/>
      <w:lvlText w:val="%2."/>
      <w:lvlJc w:val="left"/>
      <w:pPr>
        <w:ind w:left="1440" w:hanging="360"/>
      </w:pPr>
      <w:rPr>
        <w:rFonts w:ascii="Times New Roman" w:eastAsia="Times New Roman" w:hAnsi="Times New Roman" w:cs="Times New Roman"/>
      </w:rPr>
    </w:lvl>
    <w:lvl w:ilvl="2" w:tplc="6890D210">
      <w:start w:val="1"/>
      <w:numFmt w:val="lowerRoman"/>
      <w:lvlText w:val="%3."/>
      <w:lvlJc w:val="right"/>
      <w:pPr>
        <w:ind w:left="2160" w:hanging="180"/>
      </w:pPr>
      <w:rPr>
        <w:rFonts w:ascii="Times New Roman" w:eastAsia="Times New Roman" w:hAnsi="Times New Roman" w:cs="Times New Roman"/>
      </w:rPr>
    </w:lvl>
    <w:lvl w:ilvl="3" w:tplc="58865DB0">
      <w:start w:val="1"/>
      <w:numFmt w:val="decimal"/>
      <w:lvlText w:val="%4."/>
      <w:lvlJc w:val="left"/>
      <w:pPr>
        <w:ind w:left="2880" w:hanging="360"/>
      </w:pPr>
      <w:rPr>
        <w:rFonts w:ascii="Times New Roman" w:eastAsia="Times New Roman" w:hAnsi="Times New Roman" w:cs="Times New Roman"/>
      </w:rPr>
    </w:lvl>
    <w:lvl w:ilvl="4" w:tplc="C15428D2">
      <w:start w:val="1"/>
      <w:numFmt w:val="lowerLetter"/>
      <w:lvlText w:val="%5."/>
      <w:lvlJc w:val="left"/>
      <w:pPr>
        <w:ind w:left="3600" w:hanging="360"/>
      </w:pPr>
      <w:rPr>
        <w:rFonts w:ascii="Times New Roman" w:eastAsia="Times New Roman" w:hAnsi="Times New Roman" w:cs="Times New Roman"/>
      </w:rPr>
    </w:lvl>
    <w:lvl w:ilvl="5" w:tplc="753639EE">
      <w:start w:val="1"/>
      <w:numFmt w:val="lowerRoman"/>
      <w:lvlText w:val="%6."/>
      <w:lvlJc w:val="right"/>
      <w:pPr>
        <w:ind w:left="4320" w:hanging="180"/>
      </w:pPr>
      <w:rPr>
        <w:rFonts w:ascii="Times New Roman" w:eastAsia="Times New Roman" w:hAnsi="Times New Roman" w:cs="Times New Roman"/>
      </w:rPr>
    </w:lvl>
    <w:lvl w:ilvl="6" w:tplc="C36A3C24">
      <w:start w:val="1"/>
      <w:numFmt w:val="decimal"/>
      <w:lvlText w:val="%7."/>
      <w:lvlJc w:val="left"/>
      <w:pPr>
        <w:ind w:left="5040" w:hanging="360"/>
      </w:pPr>
      <w:rPr>
        <w:rFonts w:ascii="Times New Roman" w:eastAsia="Times New Roman" w:hAnsi="Times New Roman" w:cs="Times New Roman"/>
      </w:rPr>
    </w:lvl>
    <w:lvl w:ilvl="7" w:tplc="AC328D1A">
      <w:start w:val="1"/>
      <w:numFmt w:val="lowerLetter"/>
      <w:lvlText w:val="%8."/>
      <w:lvlJc w:val="left"/>
      <w:pPr>
        <w:ind w:left="5760" w:hanging="360"/>
      </w:pPr>
      <w:rPr>
        <w:rFonts w:ascii="Times New Roman" w:eastAsia="Times New Roman" w:hAnsi="Times New Roman" w:cs="Times New Roman"/>
      </w:rPr>
    </w:lvl>
    <w:lvl w:ilvl="8" w:tplc="8AC40ED2">
      <w:start w:val="1"/>
      <w:numFmt w:val="lowerRoman"/>
      <w:lvlText w:val="%9."/>
      <w:lvlJc w:val="right"/>
      <w:pPr>
        <w:ind w:left="6480" w:hanging="180"/>
      </w:pPr>
      <w:rPr>
        <w:rFonts w:ascii="Times New Roman" w:eastAsia="Times New Roman" w:hAnsi="Times New Roman" w:cs="Times New Roman"/>
      </w:rPr>
    </w:lvl>
  </w:abstractNum>
  <w:abstractNum w:abstractNumId="35" w15:restartNumberingAfterBreak="0">
    <w:nsid w:val="1F3F5C87"/>
    <w:multiLevelType w:val="hybridMultilevel"/>
    <w:tmpl w:val="B07AA394"/>
    <w:lvl w:ilvl="0" w:tplc="B02ADEFA">
      <w:start w:val="1"/>
      <w:numFmt w:val="lowerLetter"/>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36" w15:restartNumberingAfterBreak="0">
    <w:nsid w:val="1F650C7A"/>
    <w:multiLevelType w:val="hybridMultilevel"/>
    <w:tmpl w:val="94121598"/>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7" w15:restartNumberingAfterBreak="0">
    <w:nsid w:val="1FCD3F2F"/>
    <w:multiLevelType w:val="hybridMultilevel"/>
    <w:tmpl w:val="529E0614"/>
    <w:lvl w:ilvl="0" w:tplc="6E7AA684">
      <w:start w:val="1"/>
      <w:numFmt w:val="lowerLetter"/>
      <w:lvlText w:val="%1)"/>
      <w:lvlJc w:val="left"/>
      <w:pPr>
        <w:ind w:left="227" w:hanging="227"/>
      </w:pPr>
      <w:rPr>
        <w:rFonts w:ascii="Times New Roman" w:eastAsia="Times New Roman" w:hAnsi="Times New Roman" w:cs="Times New Roman"/>
      </w:rPr>
    </w:lvl>
    <w:lvl w:ilvl="1" w:tplc="8ED6506A">
      <w:start w:val="1"/>
      <w:numFmt w:val="lowerLetter"/>
      <w:lvlText w:val="%2."/>
      <w:lvlJc w:val="left"/>
      <w:pPr>
        <w:ind w:left="1440" w:hanging="360"/>
      </w:pPr>
      <w:rPr>
        <w:rFonts w:ascii="Times New Roman" w:eastAsia="Times New Roman" w:hAnsi="Times New Roman" w:cs="Times New Roman"/>
      </w:rPr>
    </w:lvl>
    <w:lvl w:ilvl="2" w:tplc="43A8E306">
      <w:start w:val="1"/>
      <w:numFmt w:val="lowerRoman"/>
      <w:lvlText w:val="%3."/>
      <w:lvlJc w:val="right"/>
      <w:pPr>
        <w:ind w:left="2160" w:hanging="180"/>
      </w:pPr>
      <w:rPr>
        <w:rFonts w:ascii="Times New Roman" w:eastAsia="Times New Roman" w:hAnsi="Times New Roman" w:cs="Times New Roman"/>
      </w:rPr>
    </w:lvl>
    <w:lvl w:ilvl="3" w:tplc="ED325208">
      <w:start w:val="1"/>
      <w:numFmt w:val="decimal"/>
      <w:lvlText w:val="%4."/>
      <w:lvlJc w:val="left"/>
      <w:pPr>
        <w:ind w:left="2880" w:hanging="360"/>
      </w:pPr>
      <w:rPr>
        <w:rFonts w:ascii="Times New Roman" w:eastAsia="Times New Roman" w:hAnsi="Times New Roman" w:cs="Times New Roman"/>
      </w:rPr>
    </w:lvl>
    <w:lvl w:ilvl="4" w:tplc="6E34545C">
      <w:start w:val="1"/>
      <w:numFmt w:val="lowerLetter"/>
      <w:lvlText w:val="%5."/>
      <w:lvlJc w:val="left"/>
      <w:pPr>
        <w:ind w:left="3600" w:hanging="360"/>
      </w:pPr>
      <w:rPr>
        <w:rFonts w:ascii="Times New Roman" w:eastAsia="Times New Roman" w:hAnsi="Times New Roman" w:cs="Times New Roman"/>
      </w:rPr>
    </w:lvl>
    <w:lvl w:ilvl="5" w:tplc="B5143022">
      <w:start w:val="1"/>
      <w:numFmt w:val="lowerRoman"/>
      <w:lvlText w:val="%6."/>
      <w:lvlJc w:val="right"/>
      <w:pPr>
        <w:ind w:left="4320" w:hanging="180"/>
      </w:pPr>
      <w:rPr>
        <w:rFonts w:ascii="Times New Roman" w:eastAsia="Times New Roman" w:hAnsi="Times New Roman" w:cs="Times New Roman"/>
      </w:rPr>
    </w:lvl>
    <w:lvl w:ilvl="6" w:tplc="10EEBA00">
      <w:start w:val="1"/>
      <w:numFmt w:val="decimal"/>
      <w:lvlText w:val="%7."/>
      <w:lvlJc w:val="left"/>
      <w:pPr>
        <w:ind w:left="5040" w:hanging="360"/>
      </w:pPr>
      <w:rPr>
        <w:rFonts w:ascii="Times New Roman" w:eastAsia="Times New Roman" w:hAnsi="Times New Roman" w:cs="Times New Roman"/>
      </w:rPr>
    </w:lvl>
    <w:lvl w:ilvl="7" w:tplc="406274B2">
      <w:start w:val="1"/>
      <w:numFmt w:val="lowerLetter"/>
      <w:lvlText w:val="%8."/>
      <w:lvlJc w:val="left"/>
      <w:pPr>
        <w:ind w:left="5760" w:hanging="360"/>
      </w:pPr>
      <w:rPr>
        <w:rFonts w:ascii="Times New Roman" w:eastAsia="Times New Roman" w:hAnsi="Times New Roman" w:cs="Times New Roman"/>
      </w:rPr>
    </w:lvl>
    <w:lvl w:ilvl="8" w:tplc="398C23DC">
      <w:start w:val="1"/>
      <w:numFmt w:val="lowerRoman"/>
      <w:lvlText w:val="%9."/>
      <w:lvlJc w:val="right"/>
      <w:pPr>
        <w:ind w:left="6480" w:hanging="180"/>
      </w:pPr>
      <w:rPr>
        <w:rFonts w:ascii="Times New Roman" w:eastAsia="Times New Roman" w:hAnsi="Times New Roman" w:cs="Times New Roman"/>
      </w:rPr>
    </w:lvl>
  </w:abstractNum>
  <w:abstractNum w:abstractNumId="38" w15:restartNumberingAfterBreak="0">
    <w:nsid w:val="20D3783C"/>
    <w:multiLevelType w:val="hybridMultilevel"/>
    <w:tmpl w:val="EE68BA2C"/>
    <w:lvl w:ilvl="0" w:tplc="B6D48D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34B25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D23B7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26A2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AEE33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CEFE8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DED5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BC66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8A3BD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2607A88"/>
    <w:multiLevelType w:val="hybridMultilevel"/>
    <w:tmpl w:val="EEF24090"/>
    <w:lvl w:ilvl="0" w:tplc="FF2286A0">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15:restartNumberingAfterBreak="0">
    <w:nsid w:val="24644EED"/>
    <w:multiLevelType w:val="hybridMultilevel"/>
    <w:tmpl w:val="5FDE1D40"/>
    <w:lvl w:ilvl="0" w:tplc="A508C3DA">
      <w:start w:val="1"/>
      <w:numFmt w:val="lowerLetter"/>
      <w:lvlText w:val="%1)"/>
      <w:lvlJc w:val="left"/>
      <w:pPr>
        <w:ind w:left="227" w:hanging="227"/>
      </w:pPr>
      <w:rPr>
        <w:rFonts w:ascii="Times New Roman" w:eastAsia="Times New Roman" w:hAnsi="Times New Roman" w:cs="Times New Roman"/>
      </w:rPr>
    </w:lvl>
    <w:lvl w:ilvl="1" w:tplc="0D4C72A2">
      <w:start w:val="1"/>
      <w:numFmt w:val="lowerLetter"/>
      <w:lvlText w:val="%2."/>
      <w:lvlJc w:val="left"/>
      <w:pPr>
        <w:ind w:left="1440" w:hanging="360"/>
      </w:pPr>
      <w:rPr>
        <w:rFonts w:ascii="Times New Roman" w:eastAsia="Times New Roman" w:hAnsi="Times New Roman" w:cs="Times New Roman"/>
      </w:rPr>
    </w:lvl>
    <w:lvl w:ilvl="2" w:tplc="424CB1B6">
      <w:start w:val="1"/>
      <w:numFmt w:val="lowerRoman"/>
      <w:lvlText w:val="%3."/>
      <w:lvlJc w:val="right"/>
      <w:pPr>
        <w:ind w:left="2160" w:hanging="180"/>
      </w:pPr>
      <w:rPr>
        <w:rFonts w:ascii="Times New Roman" w:eastAsia="Times New Roman" w:hAnsi="Times New Roman" w:cs="Times New Roman"/>
      </w:rPr>
    </w:lvl>
    <w:lvl w:ilvl="3" w:tplc="3A6ED6C8">
      <w:start w:val="1"/>
      <w:numFmt w:val="decimal"/>
      <w:lvlText w:val="%4."/>
      <w:lvlJc w:val="left"/>
      <w:pPr>
        <w:ind w:left="2880" w:hanging="360"/>
      </w:pPr>
      <w:rPr>
        <w:rFonts w:ascii="Times New Roman" w:eastAsia="Times New Roman" w:hAnsi="Times New Roman" w:cs="Times New Roman"/>
      </w:rPr>
    </w:lvl>
    <w:lvl w:ilvl="4" w:tplc="59962692">
      <w:start w:val="1"/>
      <w:numFmt w:val="lowerLetter"/>
      <w:lvlText w:val="%5."/>
      <w:lvlJc w:val="left"/>
      <w:pPr>
        <w:ind w:left="3600" w:hanging="360"/>
      </w:pPr>
      <w:rPr>
        <w:rFonts w:ascii="Times New Roman" w:eastAsia="Times New Roman" w:hAnsi="Times New Roman" w:cs="Times New Roman"/>
      </w:rPr>
    </w:lvl>
    <w:lvl w:ilvl="5" w:tplc="3BEC3B2C">
      <w:start w:val="1"/>
      <w:numFmt w:val="lowerRoman"/>
      <w:lvlText w:val="%6."/>
      <w:lvlJc w:val="right"/>
      <w:pPr>
        <w:ind w:left="4320" w:hanging="180"/>
      </w:pPr>
      <w:rPr>
        <w:rFonts w:ascii="Times New Roman" w:eastAsia="Times New Roman" w:hAnsi="Times New Roman" w:cs="Times New Roman"/>
      </w:rPr>
    </w:lvl>
    <w:lvl w:ilvl="6" w:tplc="9296F6FA">
      <w:start w:val="1"/>
      <w:numFmt w:val="decimal"/>
      <w:lvlText w:val="%7."/>
      <w:lvlJc w:val="left"/>
      <w:pPr>
        <w:ind w:left="5040" w:hanging="360"/>
      </w:pPr>
      <w:rPr>
        <w:rFonts w:ascii="Times New Roman" w:eastAsia="Times New Roman" w:hAnsi="Times New Roman" w:cs="Times New Roman"/>
      </w:rPr>
    </w:lvl>
    <w:lvl w:ilvl="7" w:tplc="97D2E764">
      <w:start w:val="1"/>
      <w:numFmt w:val="lowerLetter"/>
      <w:lvlText w:val="%8."/>
      <w:lvlJc w:val="left"/>
      <w:pPr>
        <w:ind w:left="5760" w:hanging="360"/>
      </w:pPr>
      <w:rPr>
        <w:rFonts w:ascii="Times New Roman" w:eastAsia="Times New Roman" w:hAnsi="Times New Roman" w:cs="Times New Roman"/>
      </w:rPr>
    </w:lvl>
    <w:lvl w:ilvl="8" w:tplc="A762D0AA">
      <w:start w:val="1"/>
      <w:numFmt w:val="lowerRoman"/>
      <w:lvlText w:val="%9."/>
      <w:lvlJc w:val="right"/>
      <w:pPr>
        <w:ind w:left="6480" w:hanging="180"/>
      </w:pPr>
      <w:rPr>
        <w:rFonts w:ascii="Times New Roman" w:eastAsia="Times New Roman" w:hAnsi="Times New Roman" w:cs="Times New Roman"/>
      </w:rPr>
    </w:lvl>
  </w:abstractNum>
  <w:abstractNum w:abstractNumId="41" w15:restartNumberingAfterBreak="0">
    <w:nsid w:val="29776328"/>
    <w:multiLevelType w:val="hybridMultilevel"/>
    <w:tmpl w:val="87C4FBEC"/>
    <w:lvl w:ilvl="0" w:tplc="E662CEAC">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2" w15:restartNumberingAfterBreak="0">
    <w:nsid w:val="2B7D1F1F"/>
    <w:multiLevelType w:val="hybridMultilevel"/>
    <w:tmpl w:val="4FBC321A"/>
    <w:lvl w:ilvl="0" w:tplc="814CAD4E">
      <w:start w:val="1"/>
      <w:numFmt w:val="decimal"/>
      <w:lvlText w:val="13.1.%1"/>
      <w:lvlJc w:val="left"/>
      <w:pPr>
        <w:tabs>
          <w:tab w:val="num" w:pos="851"/>
        </w:tabs>
        <w:ind w:left="851" w:hanging="851"/>
      </w:pPr>
      <w:rPr>
        <w:rFonts w:cs="Times New Roman" w:hint="default"/>
      </w:rPr>
    </w:lvl>
    <w:lvl w:ilvl="1" w:tplc="789C579C">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0A56376"/>
    <w:multiLevelType w:val="hybridMultilevel"/>
    <w:tmpl w:val="CF64CD5A"/>
    <w:lvl w:ilvl="0" w:tplc="876E2588">
      <w:start w:val="1"/>
      <w:numFmt w:val="lowerLetter"/>
      <w:lvlText w:val="%1)"/>
      <w:lvlJc w:val="left"/>
      <w:pPr>
        <w:ind w:left="227" w:hanging="227"/>
      </w:pPr>
      <w:rPr>
        <w:rFonts w:ascii="Times New Roman" w:eastAsia="Times New Roman" w:hAnsi="Times New Roman" w:cs="Times New Roman"/>
      </w:rPr>
    </w:lvl>
    <w:lvl w:ilvl="1" w:tplc="3D569BB8">
      <w:start w:val="1"/>
      <w:numFmt w:val="lowerLetter"/>
      <w:lvlText w:val="%2."/>
      <w:lvlJc w:val="left"/>
      <w:pPr>
        <w:ind w:left="1440" w:hanging="360"/>
      </w:pPr>
      <w:rPr>
        <w:rFonts w:ascii="Times New Roman" w:eastAsia="Times New Roman" w:hAnsi="Times New Roman" w:cs="Times New Roman"/>
      </w:rPr>
    </w:lvl>
    <w:lvl w:ilvl="2" w:tplc="55167E06">
      <w:start w:val="1"/>
      <w:numFmt w:val="lowerRoman"/>
      <w:lvlText w:val="%3."/>
      <w:lvlJc w:val="right"/>
      <w:pPr>
        <w:ind w:left="2160" w:hanging="180"/>
      </w:pPr>
      <w:rPr>
        <w:rFonts w:ascii="Times New Roman" w:eastAsia="Times New Roman" w:hAnsi="Times New Roman" w:cs="Times New Roman"/>
      </w:rPr>
    </w:lvl>
    <w:lvl w:ilvl="3" w:tplc="0814443C">
      <w:start w:val="1"/>
      <w:numFmt w:val="decimal"/>
      <w:lvlText w:val="%4."/>
      <w:lvlJc w:val="left"/>
      <w:pPr>
        <w:ind w:left="2880" w:hanging="360"/>
      </w:pPr>
      <w:rPr>
        <w:rFonts w:ascii="Times New Roman" w:eastAsia="Times New Roman" w:hAnsi="Times New Roman" w:cs="Times New Roman"/>
      </w:rPr>
    </w:lvl>
    <w:lvl w:ilvl="4" w:tplc="47A611E8">
      <w:start w:val="1"/>
      <w:numFmt w:val="lowerLetter"/>
      <w:lvlText w:val="%5."/>
      <w:lvlJc w:val="left"/>
      <w:pPr>
        <w:ind w:left="3600" w:hanging="360"/>
      </w:pPr>
      <w:rPr>
        <w:rFonts w:ascii="Times New Roman" w:eastAsia="Times New Roman" w:hAnsi="Times New Roman" w:cs="Times New Roman"/>
      </w:rPr>
    </w:lvl>
    <w:lvl w:ilvl="5" w:tplc="421804E4">
      <w:start w:val="1"/>
      <w:numFmt w:val="lowerRoman"/>
      <w:lvlText w:val="%6."/>
      <w:lvlJc w:val="right"/>
      <w:pPr>
        <w:ind w:left="4320" w:hanging="180"/>
      </w:pPr>
      <w:rPr>
        <w:rFonts w:ascii="Times New Roman" w:eastAsia="Times New Roman" w:hAnsi="Times New Roman" w:cs="Times New Roman"/>
      </w:rPr>
    </w:lvl>
    <w:lvl w:ilvl="6" w:tplc="F81A8B46">
      <w:start w:val="1"/>
      <w:numFmt w:val="decimal"/>
      <w:lvlText w:val="%7."/>
      <w:lvlJc w:val="left"/>
      <w:pPr>
        <w:ind w:left="5040" w:hanging="360"/>
      </w:pPr>
      <w:rPr>
        <w:rFonts w:ascii="Times New Roman" w:eastAsia="Times New Roman" w:hAnsi="Times New Roman" w:cs="Times New Roman"/>
      </w:rPr>
    </w:lvl>
    <w:lvl w:ilvl="7" w:tplc="98D255A4">
      <w:start w:val="1"/>
      <w:numFmt w:val="lowerLetter"/>
      <w:lvlText w:val="%8."/>
      <w:lvlJc w:val="left"/>
      <w:pPr>
        <w:ind w:left="5760" w:hanging="360"/>
      </w:pPr>
      <w:rPr>
        <w:rFonts w:ascii="Times New Roman" w:eastAsia="Times New Roman" w:hAnsi="Times New Roman" w:cs="Times New Roman"/>
      </w:rPr>
    </w:lvl>
    <w:lvl w:ilvl="8" w:tplc="032C111C">
      <w:start w:val="1"/>
      <w:numFmt w:val="lowerRoman"/>
      <w:lvlText w:val="%9."/>
      <w:lvlJc w:val="right"/>
      <w:pPr>
        <w:ind w:left="6480" w:hanging="180"/>
      </w:pPr>
      <w:rPr>
        <w:rFonts w:ascii="Times New Roman" w:eastAsia="Times New Roman" w:hAnsi="Times New Roman" w:cs="Times New Roman"/>
      </w:rPr>
    </w:lvl>
  </w:abstractNum>
  <w:abstractNum w:abstractNumId="44" w15:restartNumberingAfterBreak="0">
    <w:nsid w:val="33272F11"/>
    <w:multiLevelType w:val="hybridMultilevel"/>
    <w:tmpl w:val="B7CEEE72"/>
    <w:lvl w:ilvl="0" w:tplc="55AACD72">
      <w:start w:val="1"/>
      <w:numFmt w:val="lowerLetter"/>
      <w:lvlText w:val="%1)"/>
      <w:lvlJc w:val="left"/>
      <w:pPr>
        <w:ind w:left="227" w:hanging="227"/>
      </w:pPr>
      <w:rPr>
        <w:rFonts w:ascii="Times New Roman" w:eastAsia="Times New Roman" w:hAnsi="Times New Roman" w:cs="Times New Roman"/>
      </w:rPr>
    </w:lvl>
    <w:lvl w:ilvl="1" w:tplc="20A6FF04">
      <w:start w:val="1"/>
      <w:numFmt w:val="lowerLetter"/>
      <w:lvlText w:val="%2."/>
      <w:lvlJc w:val="left"/>
      <w:pPr>
        <w:ind w:left="1440" w:hanging="360"/>
      </w:pPr>
      <w:rPr>
        <w:rFonts w:ascii="Times New Roman" w:eastAsia="Times New Roman" w:hAnsi="Times New Roman" w:cs="Times New Roman"/>
      </w:rPr>
    </w:lvl>
    <w:lvl w:ilvl="2" w:tplc="E126EFA8">
      <w:start w:val="1"/>
      <w:numFmt w:val="lowerRoman"/>
      <w:lvlText w:val="%3."/>
      <w:lvlJc w:val="right"/>
      <w:pPr>
        <w:ind w:left="2160" w:hanging="180"/>
      </w:pPr>
      <w:rPr>
        <w:rFonts w:ascii="Times New Roman" w:eastAsia="Times New Roman" w:hAnsi="Times New Roman" w:cs="Times New Roman"/>
      </w:rPr>
    </w:lvl>
    <w:lvl w:ilvl="3" w:tplc="B224B846">
      <w:start w:val="1"/>
      <w:numFmt w:val="decimal"/>
      <w:lvlText w:val="%4."/>
      <w:lvlJc w:val="left"/>
      <w:pPr>
        <w:ind w:left="2880" w:hanging="360"/>
      </w:pPr>
      <w:rPr>
        <w:rFonts w:ascii="Times New Roman" w:eastAsia="Times New Roman" w:hAnsi="Times New Roman" w:cs="Times New Roman"/>
      </w:rPr>
    </w:lvl>
    <w:lvl w:ilvl="4" w:tplc="C8EECB32">
      <w:start w:val="1"/>
      <w:numFmt w:val="lowerLetter"/>
      <w:lvlText w:val="%5."/>
      <w:lvlJc w:val="left"/>
      <w:pPr>
        <w:ind w:left="3600" w:hanging="360"/>
      </w:pPr>
      <w:rPr>
        <w:rFonts w:ascii="Times New Roman" w:eastAsia="Times New Roman" w:hAnsi="Times New Roman" w:cs="Times New Roman"/>
      </w:rPr>
    </w:lvl>
    <w:lvl w:ilvl="5" w:tplc="CAD86054">
      <w:start w:val="1"/>
      <w:numFmt w:val="lowerRoman"/>
      <w:lvlText w:val="%6."/>
      <w:lvlJc w:val="right"/>
      <w:pPr>
        <w:ind w:left="4320" w:hanging="180"/>
      </w:pPr>
      <w:rPr>
        <w:rFonts w:ascii="Times New Roman" w:eastAsia="Times New Roman" w:hAnsi="Times New Roman" w:cs="Times New Roman"/>
      </w:rPr>
    </w:lvl>
    <w:lvl w:ilvl="6" w:tplc="08C6DC86">
      <w:start w:val="1"/>
      <w:numFmt w:val="decimal"/>
      <w:lvlText w:val="%7."/>
      <w:lvlJc w:val="left"/>
      <w:pPr>
        <w:ind w:left="5040" w:hanging="360"/>
      </w:pPr>
      <w:rPr>
        <w:rFonts w:ascii="Times New Roman" w:eastAsia="Times New Roman" w:hAnsi="Times New Roman" w:cs="Times New Roman"/>
      </w:rPr>
    </w:lvl>
    <w:lvl w:ilvl="7" w:tplc="A866CA5C">
      <w:start w:val="1"/>
      <w:numFmt w:val="lowerLetter"/>
      <w:lvlText w:val="%8."/>
      <w:lvlJc w:val="left"/>
      <w:pPr>
        <w:ind w:left="5760" w:hanging="360"/>
      </w:pPr>
      <w:rPr>
        <w:rFonts w:ascii="Times New Roman" w:eastAsia="Times New Roman" w:hAnsi="Times New Roman" w:cs="Times New Roman"/>
      </w:rPr>
    </w:lvl>
    <w:lvl w:ilvl="8" w:tplc="A0E627D4">
      <w:start w:val="1"/>
      <w:numFmt w:val="lowerRoman"/>
      <w:lvlText w:val="%9."/>
      <w:lvlJc w:val="right"/>
      <w:pPr>
        <w:ind w:left="6480" w:hanging="180"/>
      </w:pPr>
      <w:rPr>
        <w:rFonts w:ascii="Times New Roman" w:eastAsia="Times New Roman" w:hAnsi="Times New Roman" w:cs="Times New Roman"/>
      </w:rPr>
    </w:lvl>
  </w:abstractNum>
  <w:abstractNum w:abstractNumId="45" w15:restartNumberingAfterBreak="0">
    <w:nsid w:val="33946B08"/>
    <w:multiLevelType w:val="hybridMultilevel"/>
    <w:tmpl w:val="BE3EEDEA"/>
    <w:lvl w:ilvl="0" w:tplc="E13696AE">
      <w:start w:val="1"/>
      <w:numFmt w:val="decimal"/>
      <w:lvlText w:val="·"/>
      <w:lvlJc w:val="left"/>
      <w:pPr>
        <w:ind w:left="0"/>
      </w:pPr>
      <w:rPr>
        <w:rFonts w:ascii="Times New Roman" w:eastAsia="Times New Roman" w:hAnsi="Times New Roman" w:cs="Times New Roman"/>
      </w:rPr>
    </w:lvl>
    <w:lvl w:ilvl="1" w:tplc="3BB627B6">
      <w:numFmt w:val="decimal"/>
      <w:lvlText w:val="o"/>
      <w:lvlJc w:val="left"/>
      <w:pPr>
        <w:ind w:left="0"/>
      </w:pPr>
      <w:rPr>
        <w:rFonts w:ascii="Times New Roman" w:eastAsia="Times New Roman" w:hAnsi="Times New Roman" w:cs="Times New Roman"/>
      </w:rPr>
    </w:lvl>
    <w:lvl w:ilvl="2" w:tplc="FF447352">
      <w:numFmt w:val="decimal"/>
      <w:lvlText w:val="§"/>
      <w:lvlJc w:val="left"/>
      <w:pPr>
        <w:ind w:left="0"/>
      </w:pPr>
      <w:rPr>
        <w:rFonts w:ascii="Times New Roman" w:eastAsia="Times New Roman" w:hAnsi="Times New Roman" w:cs="Times New Roman"/>
      </w:rPr>
    </w:lvl>
    <w:lvl w:ilvl="3" w:tplc="6EEE39DC">
      <w:numFmt w:val="decimal"/>
      <w:lvlText w:val="·"/>
      <w:lvlJc w:val="left"/>
      <w:pPr>
        <w:ind w:left="0"/>
      </w:pPr>
      <w:rPr>
        <w:rFonts w:ascii="Times New Roman" w:eastAsia="Times New Roman" w:hAnsi="Times New Roman" w:cs="Times New Roman"/>
      </w:rPr>
    </w:lvl>
    <w:lvl w:ilvl="4" w:tplc="1520D936">
      <w:numFmt w:val="decimal"/>
      <w:lvlText w:val="o"/>
      <w:lvlJc w:val="left"/>
      <w:pPr>
        <w:ind w:left="0"/>
      </w:pPr>
      <w:rPr>
        <w:rFonts w:ascii="Times New Roman" w:eastAsia="Times New Roman" w:hAnsi="Times New Roman" w:cs="Times New Roman"/>
      </w:rPr>
    </w:lvl>
    <w:lvl w:ilvl="5" w:tplc="88B02C46">
      <w:numFmt w:val="decimal"/>
      <w:lvlText w:val="§"/>
      <w:lvlJc w:val="left"/>
      <w:pPr>
        <w:ind w:left="0"/>
      </w:pPr>
      <w:rPr>
        <w:rFonts w:ascii="Times New Roman" w:eastAsia="Times New Roman" w:hAnsi="Times New Roman" w:cs="Times New Roman"/>
      </w:rPr>
    </w:lvl>
    <w:lvl w:ilvl="6" w:tplc="CCD824A6">
      <w:numFmt w:val="decimal"/>
      <w:lvlText w:val="·"/>
      <w:lvlJc w:val="left"/>
      <w:pPr>
        <w:ind w:left="0"/>
      </w:pPr>
      <w:rPr>
        <w:rFonts w:ascii="Times New Roman" w:eastAsia="Times New Roman" w:hAnsi="Times New Roman" w:cs="Times New Roman"/>
      </w:rPr>
    </w:lvl>
    <w:lvl w:ilvl="7" w:tplc="5F804DA2">
      <w:numFmt w:val="decimal"/>
      <w:lvlText w:val="o"/>
      <w:lvlJc w:val="left"/>
      <w:pPr>
        <w:ind w:left="0"/>
      </w:pPr>
      <w:rPr>
        <w:rFonts w:ascii="Times New Roman" w:eastAsia="Times New Roman" w:hAnsi="Times New Roman" w:cs="Times New Roman"/>
      </w:rPr>
    </w:lvl>
    <w:lvl w:ilvl="8" w:tplc="B5808076">
      <w:numFmt w:val="decimal"/>
      <w:lvlText w:val="§"/>
      <w:lvlJc w:val="left"/>
      <w:pPr>
        <w:ind w:left="0"/>
      </w:pPr>
      <w:rPr>
        <w:rFonts w:ascii="Times New Roman" w:eastAsia="Times New Roman" w:hAnsi="Times New Roman" w:cs="Times New Roman"/>
      </w:rPr>
    </w:lvl>
  </w:abstractNum>
  <w:abstractNum w:abstractNumId="46" w15:restartNumberingAfterBreak="0">
    <w:nsid w:val="34735FA3"/>
    <w:multiLevelType w:val="hybridMultilevel"/>
    <w:tmpl w:val="56AC99CA"/>
    <w:lvl w:ilvl="0" w:tplc="742E9F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D8B66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32DE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8216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AC8D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1005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DEAD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8B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3E23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5AC3918"/>
    <w:multiLevelType w:val="hybridMultilevel"/>
    <w:tmpl w:val="39246964"/>
    <w:lvl w:ilvl="0" w:tplc="FED01104">
      <w:start w:val="1"/>
      <w:numFmt w:val="decimal"/>
      <w:lvlText w:val="(%1)"/>
      <w:lvlJc w:val="left"/>
      <w:pPr>
        <w:ind w:left="1765" w:hanging="630"/>
      </w:pPr>
      <w:rPr>
        <w:rFonts w:hint="default"/>
      </w:rPr>
    </w:lvl>
    <w:lvl w:ilvl="1" w:tplc="041B0019" w:tentative="1">
      <w:start w:val="1"/>
      <w:numFmt w:val="lowerLetter"/>
      <w:lvlText w:val="%2."/>
      <w:lvlJc w:val="left"/>
      <w:pPr>
        <w:ind w:left="1292" w:hanging="360"/>
      </w:pPr>
    </w:lvl>
    <w:lvl w:ilvl="2" w:tplc="041B001B" w:tentative="1">
      <w:start w:val="1"/>
      <w:numFmt w:val="lowerRoman"/>
      <w:lvlText w:val="%3."/>
      <w:lvlJc w:val="right"/>
      <w:pPr>
        <w:ind w:left="2012" w:hanging="180"/>
      </w:pPr>
    </w:lvl>
    <w:lvl w:ilvl="3" w:tplc="041B000F" w:tentative="1">
      <w:start w:val="1"/>
      <w:numFmt w:val="decimal"/>
      <w:lvlText w:val="%4."/>
      <w:lvlJc w:val="left"/>
      <w:pPr>
        <w:ind w:left="2732" w:hanging="360"/>
      </w:pPr>
    </w:lvl>
    <w:lvl w:ilvl="4" w:tplc="041B0019" w:tentative="1">
      <w:start w:val="1"/>
      <w:numFmt w:val="lowerLetter"/>
      <w:lvlText w:val="%5."/>
      <w:lvlJc w:val="left"/>
      <w:pPr>
        <w:ind w:left="3452" w:hanging="360"/>
      </w:pPr>
    </w:lvl>
    <w:lvl w:ilvl="5" w:tplc="041B001B" w:tentative="1">
      <w:start w:val="1"/>
      <w:numFmt w:val="lowerRoman"/>
      <w:lvlText w:val="%6."/>
      <w:lvlJc w:val="right"/>
      <w:pPr>
        <w:ind w:left="4172" w:hanging="180"/>
      </w:pPr>
    </w:lvl>
    <w:lvl w:ilvl="6" w:tplc="041B000F" w:tentative="1">
      <w:start w:val="1"/>
      <w:numFmt w:val="decimal"/>
      <w:lvlText w:val="%7."/>
      <w:lvlJc w:val="left"/>
      <w:pPr>
        <w:ind w:left="4892" w:hanging="360"/>
      </w:pPr>
    </w:lvl>
    <w:lvl w:ilvl="7" w:tplc="041B0019" w:tentative="1">
      <w:start w:val="1"/>
      <w:numFmt w:val="lowerLetter"/>
      <w:lvlText w:val="%8."/>
      <w:lvlJc w:val="left"/>
      <w:pPr>
        <w:ind w:left="5612" w:hanging="360"/>
      </w:pPr>
    </w:lvl>
    <w:lvl w:ilvl="8" w:tplc="041B001B" w:tentative="1">
      <w:start w:val="1"/>
      <w:numFmt w:val="lowerRoman"/>
      <w:lvlText w:val="%9."/>
      <w:lvlJc w:val="right"/>
      <w:pPr>
        <w:ind w:left="6332" w:hanging="180"/>
      </w:pPr>
    </w:lvl>
  </w:abstractNum>
  <w:abstractNum w:abstractNumId="48" w15:restartNumberingAfterBreak="0">
    <w:nsid w:val="35D613D6"/>
    <w:multiLevelType w:val="hybridMultilevel"/>
    <w:tmpl w:val="54665A54"/>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9" w15:restartNumberingAfterBreak="0">
    <w:nsid w:val="364C4529"/>
    <w:multiLevelType w:val="hybridMultilevel"/>
    <w:tmpl w:val="D43CA04A"/>
    <w:lvl w:ilvl="0" w:tplc="E5DAA3A0">
      <w:start w:val="1"/>
      <w:numFmt w:val="lowerLetter"/>
      <w:lvlText w:val="%1)"/>
      <w:lvlJc w:val="left"/>
      <w:pPr>
        <w:ind w:left="227" w:hanging="227"/>
      </w:pPr>
      <w:rPr>
        <w:rFonts w:ascii="Times New Roman" w:eastAsia="Times New Roman" w:hAnsi="Times New Roman" w:cs="Times New Roman"/>
      </w:rPr>
    </w:lvl>
    <w:lvl w:ilvl="1" w:tplc="A80E8C1C">
      <w:start w:val="1"/>
      <w:numFmt w:val="lowerLetter"/>
      <w:lvlText w:val="%2."/>
      <w:lvlJc w:val="left"/>
      <w:pPr>
        <w:ind w:left="1440" w:hanging="360"/>
      </w:pPr>
      <w:rPr>
        <w:rFonts w:ascii="Times New Roman" w:eastAsia="Times New Roman" w:hAnsi="Times New Roman" w:cs="Times New Roman"/>
      </w:rPr>
    </w:lvl>
    <w:lvl w:ilvl="2" w:tplc="99AAB226">
      <w:start w:val="1"/>
      <w:numFmt w:val="lowerRoman"/>
      <w:lvlText w:val="%3."/>
      <w:lvlJc w:val="right"/>
      <w:pPr>
        <w:ind w:left="2160" w:hanging="180"/>
      </w:pPr>
      <w:rPr>
        <w:rFonts w:ascii="Times New Roman" w:eastAsia="Times New Roman" w:hAnsi="Times New Roman" w:cs="Times New Roman"/>
      </w:rPr>
    </w:lvl>
    <w:lvl w:ilvl="3" w:tplc="CD642DF0">
      <w:start w:val="1"/>
      <w:numFmt w:val="decimal"/>
      <w:lvlText w:val="%4."/>
      <w:lvlJc w:val="left"/>
      <w:pPr>
        <w:ind w:left="2880" w:hanging="360"/>
      </w:pPr>
      <w:rPr>
        <w:rFonts w:ascii="Times New Roman" w:eastAsia="Times New Roman" w:hAnsi="Times New Roman" w:cs="Times New Roman"/>
      </w:rPr>
    </w:lvl>
    <w:lvl w:ilvl="4" w:tplc="A8B49476">
      <w:start w:val="1"/>
      <w:numFmt w:val="lowerLetter"/>
      <w:lvlText w:val="%5."/>
      <w:lvlJc w:val="left"/>
      <w:pPr>
        <w:ind w:left="3600" w:hanging="360"/>
      </w:pPr>
      <w:rPr>
        <w:rFonts w:ascii="Times New Roman" w:eastAsia="Times New Roman" w:hAnsi="Times New Roman" w:cs="Times New Roman"/>
      </w:rPr>
    </w:lvl>
    <w:lvl w:ilvl="5" w:tplc="E36C689E">
      <w:start w:val="1"/>
      <w:numFmt w:val="lowerRoman"/>
      <w:lvlText w:val="%6."/>
      <w:lvlJc w:val="right"/>
      <w:pPr>
        <w:ind w:left="4320" w:hanging="180"/>
      </w:pPr>
      <w:rPr>
        <w:rFonts w:ascii="Times New Roman" w:eastAsia="Times New Roman" w:hAnsi="Times New Roman" w:cs="Times New Roman"/>
      </w:rPr>
    </w:lvl>
    <w:lvl w:ilvl="6" w:tplc="D678536A">
      <w:start w:val="1"/>
      <w:numFmt w:val="decimal"/>
      <w:lvlText w:val="%7."/>
      <w:lvlJc w:val="left"/>
      <w:pPr>
        <w:ind w:left="5040" w:hanging="360"/>
      </w:pPr>
      <w:rPr>
        <w:rFonts w:ascii="Times New Roman" w:eastAsia="Times New Roman" w:hAnsi="Times New Roman" w:cs="Times New Roman"/>
      </w:rPr>
    </w:lvl>
    <w:lvl w:ilvl="7" w:tplc="844CBAE4">
      <w:start w:val="1"/>
      <w:numFmt w:val="lowerLetter"/>
      <w:lvlText w:val="%8."/>
      <w:lvlJc w:val="left"/>
      <w:pPr>
        <w:ind w:left="5760" w:hanging="360"/>
      </w:pPr>
      <w:rPr>
        <w:rFonts w:ascii="Times New Roman" w:eastAsia="Times New Roman" w:hAnsi="Times New Roman" w:cs="Times New Roman"/>
      </w:rPr>
    </w:lvl>
    <w:lvl w:ilvl="8" w:tplc="712C2546">
      <w:start w:val="1"/>
      <w:numFmt w:val="lowerRoman"/>
      <w:lvlText w:val="%9."/>
      <w:lvlJc w:val="right"/>
      <w:pPr>
        <w:ind w:left="6480" w:hanging="180"/>
      </w:pPr>
      <w:rPr>
        <w:rFonts w:ascii="Times New Roman" w:eastAsia="Times New Roman" w:hAnsi="Times New Roman" w:cs="Times New Roman"/>
      </w:rPr>
    </w:lvl>
  </w:abstractNum>
  <w:abstractNum w:abstractNumId="50" w15:restartNumberingAfterBreak="0">
    <w:nsid w:val="36B7500F"/>
    <w:multiLevelType w:val="multilevel"/>
    <w:tmpl w:val="02C6B08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6EF3C27"/>
    <w:multiLevelType w:val="hybridMultilevel"/>
    <w:tmpl w:val="D952DDA4"/>
    <w:lvl w:ilvl="0" w:tplc="6B842D0C">
      <w:start w:val="1"/>
      <w:numFmt w:val="lowerLetter"/>
      <w:lvlText w:val="%1)"/>
      <w:lvlJc w:val="left"/>
      <w:pPr>
        <w:ind w:left="227" w:hanging="227"/>
      </w:pPr>
      <w:rPr>
        <w:rFonts w:ascii="Times New Roman" w:eastAsia="Times New Roman" w:hAnsi="Times New Roman" w:cs="Times New Roman"/>
      </w:rPr>
    </w:lvl>
    <w:lvl w:ilvl="1" w:tplc="703E77EA">
      <w:start w:val="1"/>
      <w:numFmt w:val="lowerRoman"/>
      <w:lvlText w:val="%2"/>
      <w:lvlJc w:val="left"/>
      <w:pPr>
        <w:ind w:left="1590" w:hanging="510"/>
      </w:pPr>
      <w:rPr>
        <w:rFonts w:ascii="Times New Roman" w:eastAsia="Times New Roman" w:hAnsi="Times New Roman" w:cs="Times New Roman"/>
      </w:rPr>
    </w:lvl>
    <w:lvl w:ilvl="2" w:tplc="BA9CA62A">
      <w:start w:val="1"/>
      <w:numFmt w:val="lowerRoman"/>
      <w:lvlText w:val="%3."/>
      <w:lvlJc w:val="right"/>
      <w:pPr>
        <w:ind w:left="2160" w:hanging="180"/>
      </w:pPr>
      <w:rPr>
        <w:rFonts w:ascii="Times New Roman" w:eastAsia="Times New Roman" w:hAnsi="Times New Roman" w:cs="Times New Roman"/>
      </w:rPr>
    </w:lvl>
    <w:lvl w:ilvl="3" w:tplc="1D883D9E">
      <w:start w:val="1"/>
      <w:numFmt w:val="decimal"/>
      <w:lvlText w:val="%4."/>
      <w:lvlJc w:val="left"/>
      <w:pPr>
        <w:ind w:left="2880" w:hanging="360"/>
      </w:pPr>
      <w:rPr>
        <w:rFonts w:ascii="Times New Roman" w:eastAsia="Times New Roman" w:hAnsi="Times New Roman" w:cs="Times New Roman"/>
      </w:rPr>
    </w:lvl>
    <w:lvl w:ilvl="4" w:tplc="5B0A2780">
      <w:start w:val="1"/>
      <w:numFmt w:val="lowerLetter"/>
      <w:lvlText w:val="%5."/>
      <w:lvlJc w:val="left"/>
      <w:pPr>
        <w:ind w:left="3600" w:hanging="360"/>
      </w:pPr>
      <w:rPr>
        <w:rFonts w:ascii="Times New Roman" w:eastAsia="Times New Roman" w:hAnsi="Times New Roman" w:cs="Times New Roman"/>
      </w:rPr>
    </w:lvl>
    <w:lvl w:ilvl="5" w:tplc="E2D8F804">
      <w:start w:val="1"/>
      <w:numFmt w:val="lowerRoman"/>
      <w:lvlText w:val="%6."/>
      <w:lvlJc w:val="right"/>
      <w:pPr>
        <w:ind w:left="4320" w:hanging="180"/>
      </w:pPr>
      <w:rPr>
        <w:rFonts w:ascii="Times New Roman" w:eastAsia="Times New Roman" w:hAnsi="Times New Roman" w:cs="Times New Roman"/>
      </w:rPr>
    </w:lvl>
    <w:lvl w:ilvl="6" w:tplc="4F8AF2AC">
      <w:start w:val="1"/>
      <w:numFmt w:val="decimal"/>
      <w:lvlText w:val="%7."/>
      <w:lvlJc w:val="left"/>
      <w:pPr>
        <w:ind w:left="5040" w:hanging="360"/>
      </w:pPr>
      <w:rPr>
        <w:rFonts w:ascii="Times New Roman" w:eastAsia="Times New Roman" w:hAnsi="Times New Roman" w:cs="Times New Roman"/>
      </w:rPr>
    </w:lvl>
    <w:lvl w:ilvl="7" w:tplc="37CAAF04">
      <w:start w:val="1"/>
      <w:numFmt w:val="lowerLetter"/>
      <w:lvlText w:val="%8."/>
      <w:lvlJc w:val="left"/>
      <w:pPr>
        <w:ind w:left="5760" w:hanging="360"/>
      </w:pPr>
      <w:rPr>
        <w:rFonts w:ascii="Times New Roman" w:eastAsia="Times New Roman" w:hAnsi="Times New Roman" w:cs="Times New Roman"/>
      </w:rPr>
    </w:lvl>
    <w:lvl w:ilvl="8" w:tplc="AD1218AC">
      <w:start w:val="1"/>
      <w:numFmt w:val="lowerRoman"/>
      <w:lvlText w:val="%9."/>
      <w:lvlJc w:val="right"/>
      <w:pPr>
        <w:ind w:left="6480" w:hanging="180"/>
      </w:pPr>
      <w:rPr>
        <w:rFonts w:ascii="Times New Roman" w:eastAsia="Times New Roman" w:hAnsi="Times New Roman" w:cs="Times New Roman"/>
      </w:rPr>
    </w:lvl>
  </w:abstractNum>
  <w:abstractNum w:abstractNumId="52" w15:restartNumberingAfterBreak="0">
    <w:nsid w:val="37AC7DB1"/>
    <w:multiLevelType w:val="hybridMultilevel"/>
    <w:tmpl w:val="AB94F3AC"/>
    <w:lvl w:ilvl="0" w:tplc="CC14961A">
      <w:start w:val="1"/>
      <w:numFmt w:val="lowerLetter"/>
      <w:lvlText w:val="%1)"/>
      <w:lvlJc w:val="left"/>
      <w:pPr>
        <w:ind w:left="227" w:hanging="227"/>
      </w:pPr>
      <w:rPr>
        <w:rFonts w:ascii="Times New Roman" w:eastAsia="Times New Roman" w:hAnsi="Times New Roman" w:cs="Times New Roman"/>
      </w:rPr>
    </w:lvl>
    <w:lvl w:ilvl="1" w:tplc="D910DA90">
      <w:start w:val="1"/>
      <w:numFmt w:val="lowerLetter"/>
      <w:lvlText w:val="%2."/>
      <w:lvlJc w:val="left"/>
      <w:pPr>
        <w:ind w:left="1440" w:hanging="360"/>
      </w:pPr>
      <w:rPr>
        <w:rFonts w:ascii="Times New Roman" w:eastAsia="Times New Roman" w:hAnsi="Times New Roman" w:cs="Times New Roman"/>
      </w:rPr>
    </w:lvl>
    <w:lvl w:ilvl="2" w:tplc="4A9C9CC8">
      <w:start w:val="1"/>
      <w:numFmt w:val="lowerRoman"/>
      <w:lvlText w:val="%3."/>
      <w:lvlJc w:val="right"/>
      <w:pPr>
        <w:ind w:left="2160" w:hanging="180"/>
      </w:pPr>
      <w:rPr>
        <w:rFonts w:ascii="Times New Roman" w:eastAsia="Times New Roman" w:hAnsi="Times New Roman" w:cs="Times New Roman"/>
      </w:rPr>
    </w:lvl>
    <w:lvl w:ilvl="3" w:tplc="2C88D962">
      <w:start w:val="1"/>
      <w:numFmt w:val="decimal"/>
      <w:lvlText w:val="%4."/>
      <w:lvlJc w:val="left"/>
      <w:pPr>
        <w:ind w:left="2880" w:hanging="360"/>
      </w:pPr>
      <w:rPr>
        <w:rFonts w:ascii="Times New Roman" w:eastAsia="Times New Roman" w:hAnsi="Times New Roman" w:cs="Times New Roman"/>
      </w:rPr>
    </w:lvl>
    <w:lvl w:ilvl="4" w:tplc="01824568">
      <w:start w:val="1"/>
      <w:numFmt w:val="lowerLetter"/>
      <w:lvlText w:val="%5."/>
      <w:lvlJc w:val="left"/>
      <w:pPr>
        <w:ind w:left="3600" w:hanging="360"/>
      </w:pPr>
      <w:rPr>
        <w:rFonts w:ascii="Times New Roman" w:eastAsia="Times New Roman" w:hAnsi="Times New Roman" w:cs="Times New Roman"/>
      </w:rPr>
    </w:lvl>
    <w:lvl w:ilvl="5" w:tplc="F43070EC">
      <w:start w:val="1"/>
      <w:numFmt w:val="lowerRoman"/>
      <w:lvlText w:val="%6."/>
      <w:lvlJc w:val="right"/>
      <w:pPr>
        <w:ind w:left="4320" w:hanging="180"/>
      </w:pPr>
      <w:rPr>
        <w:rFonts w:ascii="Times New Roman" w:eastAsia="Times New Roman" w:hAnsi="Times New Roman" w:cs="Times New Roman"/>
      </w:rPr>
    </w:lvl>
    <w:lvl w:ilvl="6" w:tplc="85A823AA">
      <w:start w:val="1"/>
      <w:numFmt w:val="decimal"/>
      <w:lvlText w:val="%7."/>
      <w:lvlJc w:val="left"/>
      <w:pPr>
        <w:ind w:left="5040" w:hanging="360"/>
      </w:pPr>
      <w:rPr>
        <w:rFonts w:ascii="Times New Roman" w:eastAsia="Times New Roman" w:hAnsi="Times New Roman" w:cs="Times New Roman"/>
      </w:rPr>
    </w:lvl>
    <w:lvl w:ilvl="7" w:tplc="A78E602E">
      <w:start w:val="1"/>
      <w:numFmt w:val="lowerLetter"/>
      <w:lvlText w:val="%8."/>
      <w:lvlJc w:val="left"/>
      <w:pPr>
        <w:ind w:left="5760" w:hanging="360"/>
      </w:pPr>
      <w:rPr>
        <w:rFonts w:ascii="Times New Roman" w:eastAsia="Times New Roman" w:hAnsi="Times New Roman" w:cs="Times New Roman"/>
      </w:rPr>
    </w:lvl>
    <w:lvl w:ilvl="8" w:tplc="194A9FEE">
      <w:start w:val="1"/>
      <w:numFmt w:val="lowerRoman"/>
      <w:lvlText w:val="%9."/>
      <w:lvlJc w:val="right"/>
      <w:pPr>
        <w:ind w:left="6480" w:hanging="180"/>
      </w:pPr>
      <w:rPr>
        <w:rFonts w:ascii="Times New Roman" w:eastAsia="Times New Roman" w:hAnsi="Times New Roman" w:cs="Times New Roman"/>
      </w:rPr>
    </w:lvl>
  </w:abstractNum>
  <w:abstractNum w:abstractNumId="53" w15:restartNumberingAfterBreak="0">
    <w:nsid w:val="3C460E70"/>
    <w:multiLevelType w:val="hybridMultilevel"/>
    <w:tmpl w:val="FF32C53C"/>
    <w:lvl w:ilvl="0" w:tplc="000C493A">
      <w:start w:val="1"/>
      <w:numFmt w:val="lowerLetter"/>
      <w:lvlText w:val="%1)"/>
      <w:lvlJc w:val="left"/>
      <w:pPr>
        <w:ind w:left="227" w:hanging="227"/>
      </w:pPr>
      <w:rPr>
        <w:rFonts w:ascii="Times New Roman" w:eastAsia="Times New Roman" w:hAnsi="Times New Roman" w:cs="Times New Roman"/>
      </w:rPr>
    </w:lvl>
    <w:lvl w:ilvl="1" w:tplc="A68007C4">
      <w:start w:val="1"/>
      <w:numFmt w:val="lowerLetter"/>
      <w:lvlText w:val="%2."/>
      <w:lvlJc w:val="left"/>
      <w:pPr>
        <w:ind w:left="1440" w:hanging="360"/>
      </w:pPr>
      <w:rPr>
        <w:rFonts w:ascii="Times New Roman" w:eastAsia="Times New Roman" w:hAnsi="Times New Roman" w:cs="Times New Roman"/>
      </w:rPr>
    </w:lvl>
    <w:lvl w:ilvl="2" w:tplc="444EC8B2">
      <w:start w:val="1"/>
      <w:numFmt w:val="lowerRoman"/>
      <w:lvlText w:val="%3."/>
      <w:lvlJc w:val="right"/>
      <w:pPr>
        <w:ind w:left="2160" w:hanging="180"/>
      </w:pPr>
      <w:rPr>
        <w:rFonts w:ascii="Times New Roman" w:eastAsia="Times New Roman" w:hAnsi="Times New Roman" w:cs="Times New Roman"/>
      </w:rPr>
    </w:lvl>
    <w:lvl w:ilvl="3" w:tplc="E5BABF5E">
      <w:start w:val="1"/>
      <w:numFmt w:val="decimal"/>
      <w:lvlText w:val="%4."/>
      <w:lvlJc w:val="left"/>
      <w:pPr>
        <w:ind w:left="2880" w:hanging="360"/>
      </w:pPr>
      <w:rPr>
        <w:rFonts w:ascii="Times New Roman" w:eastAsia="Times New Roman" w:hAnsi="Times New Roman" w:cs="Times New Roman"/>
      </w:rPr>
    </w:lvl>
    <w:lvl w:ilvl="4" w:tplc="F314F410">
      <w:start w:val="1"/>
      <w:numFmt w:val="lowerLetter"/>
      <w:lvlText w:val="%5."/>
      <w:lvlJc w:val="left"/>
      <w:pPr>
        <w:ind w:left="3600" w:hanging="360"/>
      </w:pPr>
      <w:rPr>
        <w:rFonts w:ascii="Times New Roman" w:eastAsia="Times New Roman" w:hAnsi="Times New Roman" w:cs="Times New Roman"/>
      </w:rPr>
    </w:lvl>
    <w:lvl w:ilvl="5" w:tplc="A5DA4326">
      <w:start w:val="1"/>
      <w:numFmt w:val="lowerRoman"/>
      <w:lvlText w:val="%6."/>
      <w:lvlJc w:val="right"/>
      <w:pPr>
        <w:ind w:left="4320" w:hanging="180"/>
      </w:pPr>
      <w:rPr>
        <w:rFonts w:ascii="Times New Roman" w:eastAsia="Times New Roman" w:hAnsi="Times New Roman" w:cs="Times New Roman"/>
      </w:rPr>
    </w:lvl>
    <w:lvl w:ilvl="6" w:tplc="54F81350">
      <w:start w:val="1"/>
      <w:numFmt w:val="decimal"/>
      <w:lvlText w:val="%7."/>
      <w:lvlJc w:val="left"/>
      <w:pPr>
        <w:ind w:left="5040" w:hanging="360"/>
      </w:pPr>
      <w:rPr>
        <w:rFonts w:ascii="Times New Roman" w:eastAsia="Times New Roman" w:hAnsi="Times New Roman" w:cs="Times New Roman"/>
      </w:rPr>
    </w:lvl>
    <w:lvl w:ilvl="7" w:tplc="3E00E882">
      <w:start w:val="1"/>
      <w:numFmt w:val="lowerLetter"/>
      <w:lvlText w:val="%8."/>
      <w:lvlJc w:val="left"/>
      <w:pPr>
        <w:ind w:left="5760" w:hanging="360"/>
      </w:pPr>
      <w:rPr>
        <w:rFonts w:ascii="Times New Roman" w:eastAsia="Times New Roman" w:hAnsi="Times New Roman" w:cs="Times New Roman"/>
      </w:rPr>
    </w:lvl>
    <w:lvl w:ilvl="8" w:tplc="60C4AD32">
      <w:start w:val="1"/>
      <w:numFmt w:val="lowerRoman"/>
      <w:lvlText w:val="%9."/>
      <w:lvlJc w:val="right"/>
      <w:pPr>
        <w:ind w:left="6480" w:hanging="180"/>
      </w:pPr>
      <w:rPr>
        <w:rFonts w:ascii="Times New Roman" w:eastAsia="Times New Roman" w:hAnsi="Times New Roman" w:cs="Times New Roman"/>
      </w:rPr>
    </w:lvl>
  </w:abstractNum>
  <w:abstractNum w:abstractNumId="54" w15:restartNumberingAfterBreak="0">
    <w:nsid w:val="3E493CED"/>
    <w:multiLevelType w:val="hybridMultilevel"/>
    <w:tmpl w:val="23943210"/>
    <w:lvl w:ilvl="0" w:tplc="E6282E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188D9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967F9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FAF7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CAAA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7268F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3C7C7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B4E2E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E2C64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113477B"/>
    <w:multiLevelType w:val="hybridMultilevel"/>
    <w:tmpl w:val="16D69152"/>
    <w:lvl w:ilvl="0" w:tplc="E87C77A0">
      <w:start w:val="1"/>
      <w:numFmt w:val="decimal"/>
      <w:lvlText w:val="%1."/>
      <w:lvlJc w:val="left"/>
      <w:pPr>
        <w:ind w:left="50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B212BB"/>
    <w:multiLevelType w:val="hybridMultilevel"/>
    <w:tmpl w:val="912CB8EE"/>
    <w:lvl w:ilvl="0" w:tplc="0598ED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3C57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AA0A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D827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C045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56C1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2CC5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0E8C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D852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2922E4A"/>
    <w:multiLevelType w:val="hybridMultilevel"/>
    <w:tmpl w:val="EEF24090"/>
    <w:lvl w:ilvl="0" w:tplc="FF2286A0">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8" w15:restartNumberingAfterBreak="0">
    <w:nsid w:val="45744001"/>
    <w:multiLevelType w:val="hybridMultilevel"/>
    <w:tmpl w:val="33D87154"/>
    <w:lvl w:ilvl="0" w:tplc="1FBCF4C8">
      <w:start w:val="1"/>
      <w:numFmt w:val="decimal"/>
      <w:lvlText w:val="·"/>
      <w:lvlJc w:val="left"/>
      <w:pPr>
        <w:ind w:left="0"/>
      </w:pPr>
      <w:rPr>
        <w:rFonts w:ascii="Times New Roman" w:eastAsia="Times New Roman" w:hAnsi="Times New Roman" w:cs="Times New Roman"/>
      </w:rPr>
    </w:lvl>
    <w:lvl w:ilvl="1" w:tplc="641016B6">
      <w:numFmt w:val="decimal"/>
      <w:lvlText w:val="o"/>
      <w:lvlJc w:val="left"/>
      <w:pPr>
        <w:ind w:left="0"/>
      </w:pPr>
      <w:rPr>
        <w:rFonts w:ascii="Times New Roman" w:eastAsia="Times New Roman" w:hAnsi="Times New Roman" w:cs="Times New Roman"/>
      </w:rPr>
    </w:lvl>
    <w:lvl w:ilvl="2" w:tplc="A69E7082">
      <w:numFmt w:val="decimal"/>
      <w:lvlText w:val="§"/>
      <w:lvlJc w:val="left"/>
      <w:pPr>
        <w:ind w:left="0"/>
      </w:pPr>
      <w:rPr>
        <w:rFonts w:ascii="Times New Roman" w:eastAsia="Times New Roman" w:hAnsi="Times New Roman" w:cs="Times New Roman"/>
      </w:rPr>
    </w:lvl>
    <w:lvl w:ilvl="3" w:tplc="86D8850E">
      <w:numFmt w:val="decimal"/>
      <w:lvlText w:val="·"/>
      <w:lvlJc w:val="left"/>
      <w:pPr>
        <w:ind w:left="0"/>
      </w:pPr>
      <w:rPr>
        <w:rFonts w:ascii="Times New Roman" w:eastAsia="Times New Roman" w:hAnsi="Times New Roman" w:cs="Times New Roman"/>
      </w:rPr>
    </w:lvl>
    <w:lvl w:ilvl="4" w:tplc="DAB26758">
      <w:numFmt w:val="decimal"/>
      <w:lvlText w:val="o"/>
      <w:lvlJc w:val="left"/>
      <w:pPr>
        <w:ind w:left="0"/>
      </w:pPr>
      <w:rPr>
        <w:rFonts w:ascii="Times New Roman" w:eastAsia="Times New Roman" w:hAnsi="Times New Roman" w:cs="Times New Roman"/>
      </w:rPr>
    </w:lvl>
    <w:lvl w:ilvl="5" w:tplc="3C90F082">
      <w:numFmt w:val="decimal"/>
      <w:lvlText w:val="§"/>
      <w:lvlJc w:val="left"/>
      <w:pPr>
        <w:ind w:left="0"/>
      </w:pPr>
      <w:rPr>
        <w:rFonts w:ascii="Times New Roman" w:eastAsia="Times New Roman" w:hAnsi="Times New Roman" w:cs="Times New Roman"/>
      </w:rPr>
    </w:lvl>
    <w:lvl w:ilvl="6" w:tplc="70840194">
      <w:numFmt w:val="decimal"/>
      <w:lvlText w:val="·"/>
      <w:lvlJc w:val="left"/>
      <w:pPr>
        <w:ind w:left="0"/>
      </w:pPr>
      <w:rPr>
        <w:rFonts w:ascii="Times New Roman" w:eastAsia="Times New Roman" w:hAnsi="Times New Roman" w:cs="Times New Roman"/>
      </w:rPr>
    </w:lvl>
    <w:lvl w:ilvl="7" w:tplc="F5F42BAE">
      <w:numFmt w:val="decimal"/>
      <w:lvlText w:val="o"/>
      <w:lvlJc w:val="left"/>
      <w:pPr>
        <w:ind w:left="0"/>
      </w:pPr>
      <w:rPr>
        <w:rFonts w:ascii="Times New Roman" w:eastAsia="Times New Roman" w:hAnsi="Times New Roman" w:cs="Times New Roman"/>
      </w:rPr>
    </w:lvl>
    <w:lvl w:ilvl="8" w:tplc="0348339A">
      <w:numFmt w:val="decimal"/>
      <w:lvlText w:val="§"/>
      <w:lvlJc w:val="left"/>
      <w:pPr>
        <w:ind w:left="0"/>
      </w:pPr>
      <w:rPr>
        <w:rFonts w:ascii="Times New Roman" w:eastAsia="Times New Roman" w:hAnsi="Times New Roman" w:cs="Times New Roman"/>
      </w:rPr>
    </w:lvl>
  </w:abstractNum>
  <w:abstractNum w:abstractNumId="59" w15:restartNumberingAfterBreak="0">
    <w:nsid w:val="45C264A2"/>
    <w:multiLevelType w:val="hybridMultilevel"/>
    <w:tmpl w:val="64CC52A6"/>
    <w:lvl w:ilvl="0" w:tplc="0A4A1630">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AEB49FD4">
      <w:start w:val="3"/>
      <w:numFmt w:val="upperRoman"/>
      <w:lvlText w:val="%3."/>
      <w:lvlJc w:val="left"/>
      <w:pPr>
        <w:ind w:left="2700" w:hanging="720"/>
      </w:pPr>
      <w:rPr>
        <w:rFonts w:cs="Times New Roman" w:hint="default"/>
      </w:rPr>
    </w:lvl>
    <w:lvl w:ilvl="3" w:tplc="ED240878">
      <w:start w:val="1"/>
      <w:numFmt w:val="upperLetter"/>
      <w:lvlText w:val="%4-"/>
      <w:lvlJc w:val="left"/>
      <w:pPr>
        <w:ind w:left="2880" w:hanging="360"/>
      </w:pPr>
      <w:rPr>
        <w:rFonts w:cs="Times New Roman" w:hint="default"/>
      </w:rPr>
    </w:lvl>
    <w:lvl w:ilvl="4" w:tplc="62D631F4">
      <w:start w:val="1"/>
      <w:numFmt w:val="upperLetter"/>
      <w:lvlText w:val="%5."/>
      <w:lvlJc w:val="left"/>
      <w:pPr>
        <w:ind w:left="3600" w:hanging="360"/>
      </w:pPr>
      <w:rPr>
        <w:rFonts w:cs="Times New Roman" w:hint="default"/>
      </w:rPr>
    </w:lvl>
    <w:lvl w:ilvl="5" w:tplc="187CC906">
      <w:start w:val="1"/>
      <w:numFmt w:val="decimal"/>
      <w:lvlText w:val="%6)"/>
      <w:lvlJc w:val="left"/>
      <w:pPr>
        <w:ind w:left="4500" w:hanging="360"/>
      </w:pPr>
      <w:rPr>
        <w:rFonts w:ascii="Times New Roman" w:eastAsia="Times New Roman" w:hAnsi="Times New Roman" w:cs="Times New Roman"/>
        <w:sz w:val="22"/>
        <w:vertAlign w:val="superscript"/>
      </w:rPr>
    </w:lvl>
    <w:lvl w:ilvl="6" w:tplc="E87C77A0">
      <w:start w:val="1"/>
      <w:numFmt w:val="decimal"/>
      <w:lvlText w:val="%7."/>
      <w:lvlJc w:val="left"/>
      <w:pPr>
        <w:ind w:left="5040" w:hanging="360"/>
      </w:pPr>
      <w:rPr>
        <w:rFonts w:cs="Times New Roman" w:hint="default"/>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49504D58"/>
    <w:multiLevelType w:val="hybridMultilevel"/>
    <w:tmpl w:val="E37A6406"/>
    <w:lvl w:ilvl="0" w:tplc="041B0017">
      <w:start w:val="1"/>
      <w:numFmt w:val="lowerLetter"/>
      <w:lvlText w:val="%1)"/>
      <w:lvlJc w:val="left"/>
      <w:pPr>
        <w:ind w:left="654" w:hanging="360"/>
      </w:pPr>
      <w:rPr>
        <w:rFonts w:cs="Times New Roman"/>
      </w:rPr>
    </w:lvl>
    <w:lvl w:ilvl="1" w:tplc="04090019" w:tentative="1">
      <w:start w:val="1"/>
      <w:numFmt w:val="lowerLetter"/>
      <w:lvlText w:val="%2."/>
      <w:lvlJc w:val="left"/>
      <w:pPr>
        <w:ind w:left="1374" w:hanging="360"/>
      </w:pPr>
      <w:rPr>
        <w:rFonts w:cs="Times New Roman"/>
      </w:rPr>
    </w:lvl>
    <w:lvl w:ilvl="2" w:tplc="0409001B" w:tentative="1">
      <w:start w:val="1"/>
      <w:numFmt w:val="lowerRoman"/>
      <w:lvlText w:val="%3."/>
      <w:lvlJc w:val="right"/>
      <w:pPr>
        <w:ind w:left="2094" w:hanging="180"/>
      </w:pPr>
      <w:rPr>
        <w:rFonts w:cs="Times New Roman"/>
      </w:rPr>
    </w:lvl>
    <w:lvl w:ilvl="3" w:tplc="0409000F" w:tentative="1">
      <w:start w:val="1"/>
      <w:numFmt w:val="decimal"/>
      <w:lvlText w:val="%4."/>
      <w:lvlJc w:val="left"/>
      <w:pPr>
        <w:ind w:left="2814" w:hanging="360"/>
      </w:pPr>
      <w:rPr>
        <w:rFonts w:cs="Times New Roman"/>
      </w:rPr>
    </w:lvl>
    <w:lvl w:ilvl="4" w:tplc="04090019" w:tentative="1">
      <w:start w:val="1"/>
      <w:numFmt w:val="lowerLetter"/>
      <w:lvlText w:val="%5."/>
      <w:lvlJc w:val="left"/>
      <w:pPr>
        <w:ind w:left="3534" w:hanging="360"/>
      </w:pPr>
      <w:rPr>
        <w:rFonts w:cs="Times New Roman"/>
      </w:rPr>
    </w:lvl>
    <w:lvl w:ilvl="5" w:tplc="0409001B" w:tentative="1">
      <w:start w:val="1"/>
      <w:numFmt w:val="lowerRoman"/>
      <w:lvlText w:val="%6."/>
      <w:lvlJc w:val="right"/>
      <w:pPr>
        <w:ind w:left="4254" w:hanging="180"/>
      </w:pPr>
      <w:rPr>
        <w:rFonts w:cs="Times New Roman"/>
      </w:rPr>
    </w:lvl>
    <w:lvl w:ilvl="6" w:tplc="0409000F" w:tentative="1">
      <w:start w:val="1"/>
      <w:numFmt w:val="decimal"/>
      <w:lvlText w:val="%7."/>
      <w:lvlJc w:val="left"/>
      <w:pPr>
        <w:ind w:left="4974" w:hanging="360"/>
      </w:pPr>
      <w:rPr>
        <w:rFonts w:cs="Times New Roman"/>
      </w:rPr>
    </w:lvl>
    <w:lvl w:ilvl="7" w:tplc="04090019" w:tentative="1">
      <w:start w:val="1"/>
      <w:numFmt w:val="lowerLetter"/>
      <w:lvlText w:val="%8."/>
      <w:lvlJc w:val="left"/>
      <w:pPr>
        <w:ind w:left="5694" w:hanging="360"/>
      </w:pPr>
      <w:rPr>
        <w:rFonts w:cs="Times New Roman"/>
      </w:rPr>
    </w:lvl>
    <w:lvl w:ilvl="8" w:tplc="0409001B" w:tentative="1">
      <w:start w:val="1"/>
      <w:numFmt w:val="lowerRoman"/>
      <w:lvlText w:val="%9."/>
      <w:lvlJc w:val="right"/>
      <w:pPr>
        <w:ind w:left="6414" w:hanging="180"/>
      </w:pPr>
      <w:rPr>
        <w:rFonts w:cs="Times New Roman"/>
      </w:rPr>
    </w:lvl>
  </w:abstractNum>
  <w:abstractNum w:abstractNumId="61" w15:restartNumberingAfterBreak="0">
    <w:nsid w:val="4DA859F1"/>
    <w:multiLevelType w:val="hybridMultilevel"/>
    <w:tmpl w:val="88B2A42E"/>
    <w:lvl w:ilvl="0" w:tplc="E0D4CB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E89474">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9C34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648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8C40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F2AB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1477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9C55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49F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E926F73"/>
    <w:multiLevelType w:val="hybridMultilevel"/>
    <w:tmpl w:val="C1BE1D1A"/>
    <w:lvl w:ilvl="0" w:tplc="EAE01D0A">
      <w:start w:val="1"/>
      <w:numFmt w:val="bullet"/>
      <w:pStyle w:val="Txmn"/>
      <w:lvlText w:val=" "/>
      <w:lvlJc w:val="left"/>
      <w:pPr>
        <w:ind w:left="360" w:hanging="360"/>
      </w:pPr>
      <w:rPr>
        <w:rFonts w:ascii="Symbol" w:eastAsia="Symbol" w:hAnsi="Symbol" w:cs="Symbol"/>
      </w:rPr>
    </w:lvl>
    <w:lvl w:ilvl="1" w:tplc="8778AE4E">
      <w:start w:val="1"/>
      <w:numFmt w:val="bullet"/>
      <w:lvlText w:val="o"/>
      <w:lvlJc w:val="left"/>
      <w:pPr>
        <w:ind w:left="1440" w:hanging="360"/>
      </w:pPr>
      <w:rPr>
        <w:rFonts w:ascii="Courier New" w:eastAsia="Courier New" w:hAnsi="Courier New" w:cs="Courier New" w:hint="default"/>
      </w:rPr>
    </w:lvl>
    <w:lvl w:ilvl="2" w:tplc="7F74FB68">
      <w:start w:val="1"/>
      <w:numFmt w:val="bullet"/>
      <w:lvlText w:val="§"/>
      <w:lvlJc w:val="left"/>
      <w:pPr>
        <w:ind w:left="2160" w:hanging="360"/>
      </w:pPr>
      <w:rPr>
        <w:rFonts w:ascii="Wingdings" w:eastAsia="Wingdings" w:hAnsi="Wingdings" w:cs="Wingdings" w:hint="default"/>
      </w:rPr>
    </w:lvl>
    <w:lvl w:ilvl="3" w:tplc="8D00D6C2">
      <w:start w:val="1"/>
      <w:numFmt w:val="bullet"/>
      <w:lvlText w:val="·"/>
      <w:lvlJc w:val="left"/>
      <w:pPr>
        <w:ind w:left="2880" w:hanging="360"/>
      </w:pPr>
      <w:rPr>
        <w:rFonts w:ascii="Symbol" w:eastAsia="Symbol" w:hAnsi="Symbol" w:cs="Symbol" w:hint="default"/>
      </w:rPr>
    </w:lvl>
    <w:lvl w:ilvl="4" w:tplc="8C204580">
      <w:start w:val="1"/>
      <w:numFmt w:val="bullet"/>
      <w:lvlText w:val="o"/>
      <w:lvlJc w:val="left"/>
      <w:pPr>
        <w:ind w:left="3600" w:hanging="360"/>
      </w:pPr>
      <w:rPr>
        <w:rFonts w:ascii="Courier New" w:eastAsia="Courier New" w:hAnsi="Courier New" w:cs="Courier New" w:hint="default"/>
      </w:rPr>
    </w:lvl>
    <w:lvl w:ilvl="5" w:tplc="C180F568">
      <w:start w:val="1"/>
      <w:numFmt w:val="bullet"/>
      <w:lvlText w:val="§"/>
      <w:lvlJc w:val="left"/>
      <w:pPr>
        <w:ind w:left="4320" w:hanging="360"/>
      </w:pPr>
      <w:rPr>
        <w:rFonts w:ascii="Wingdings" w:eastAsia="Wingdings" w:hAnsi="Wingdings" w:cs="Wingdings" w:hint="default"/>
      </w:rPr>
    </w:lvl>
    <w:lvl w:ilvl="6" w:tplc="46B89280">
      <w:start w:val="1"/>
      <w:numFmt w:val="bullet"/>
      <w:lvlText w:val="·"/>
      <w:lvlJc w:val="left"/>
      <w:pPr>
        <w:ind w:left="5040" w:hanging="360"/>
      </w:pPr>
      <w:rPr>
        <w:rFonts w:ascii="Symbol" w:eastAsia="Symbol" w:hAnsi="Symbol" w:cs="Symbol" w:hint="default"/>
      </w:rPr>
    </w:lvl>
    <w:lvl w:ilvl="7" w:tplc="BDB6902A">
      <w:start w:val="1"/>
      <w:numFmt w:val="bullet"/>
      <w:lvlText w:val="o"/>
      <w:lvlJc w:val="left"/>
      <w:pPr>
        <w:ind w:left="5760" w:hanging="360"/>
      </w:pPr>
      <w:rPr>
        <w:rFonts w:ascii="Courier New" w:eastAsia="Courier New" w:hAnsi="Courier New" w:cs="Courier New" w:hint="default"/>
      </w:rPr>
    </w:lvl>
    <w:lvl w:ilvl="8" w:tplc="16AC0662">
      <w:start w:val="1"/>
      <w:numFmt w:val="bullet"/>
      <w:lvlText w:val="§"/>
      <w:lvlJc w:val="left"/>
      <w:pPr>
        <w:ind w:left="6480" w:hanging="360"/>
      </w:pPr>
      <w:rPr>
        <w:rFonts w:ascii="Wingdings" w:eastAsia="Wingdings" w:hAnsi="Wingdings" w:cs="Wingdings" w:hint="default"/>
      </w:rPr>
    </w:lvl>
  </w:abstractNum>
  <w:abstractNum w:abstractNumId="63" w15:restartNumberingAfterBreak="0">
    <w:nsid w:val="50657A26"/>
    <w:multiLevelType w:val="hybridMultilevel"/>
    <w:tmpl w:val="A40A88BA"/>
    <w:lvl w:ilvl="0" w:tplc="BF98E12A">
      <w:start w:val="1"/>
      <w:numFmt w:val="lowerLetter"/>
      <w:lvlText w:val="%1)"/>
      <w:lvlJc w:val="left"/>
      <w:pPr>
        <w:ind w:left="227" w:hanging="227"/>
      </w:pPr>
      <w:rPr>
        <w:rFonts w:ascii="Times New Roman" w:eastAsia="Times New Roman" w:hAnsi="Times New Roman" w:cs="Times New Roman"/>
      </w:rPr>
    </w:lvl>
    <w:lvl w:ilvl="1" w:tplc="BC3CFFBC">
      <w:start w:val="1"/>
      <w:numFmt w:val="lowerLetter"/>
      <w:lvlText w:val="%2."/>
      <w:lvlJc w:val="left"/>
      <w:pPr>
        <w:ind w:left="1440" w:hanging="360"/>
      </w:pPr>
      <w:rPr>
        <w:rFonts w:ascii="Times New Roman" w:eastAsia="Times New Roman" w:hAnsi="Times New Roman" w:cs="Times New Roman"/>
      </w:rPr>
    </w:lvl>
    <w:lvl w:ilvl="2" w:tplc="5BCAC0CC">
      <w:start w:val="1"/>
      <w:numFmt w:val="lowerRoman"/>
      <w:lvlText w:val="%3."/>
      <w:lvlJc w:val="right"/>
      <w:pPr>
        <w:ind w:left="2160" w:hanging="180"/>
      </w:pPr>
      <w:rPr>
        <w:rFonts w:ascii="Times New Roman" w:eastAsia="Times New Roman" w:hAnsi="Times New Roman" w:cs="Times New Roman"/>
      </w:rPr>
    </w:lvl>
    <w:lvl w:ilvl="3" w:tplc="F83EE346">
      <w:start w:val="1"/>
      <w:numFmt w:val="decimal"/>
      <w:lvlText w:val="%4."/>
      <w:lvlJc w:val="left"/>
      <w:pPr>
        <w:ind w:left="2880" w:hanging="360"/>
      </w:pPr>
      <w:rPr>
        <w:rFonts w:ascii="Times New Roman" w:eastAsia="Times New Roman" w:hAnsi="Times New Roman" w:cs="Times New Roman"/>
      </w:rPr>
    </w:lvl>
    <w:lvl w:ilvl="4" w:tplc="B384702C">
      <w:start w:val="1"/>
      <w:numFmt w:val="lowerLetter"/>
      <w:lvlText w:val="%5."/>
      <w:lvlJc w:val="left"/>
      <w:pPr>
        <w:ind w:left="3600" w:hanging="360"/>
      </w:pPr>
      <w:rPr>
        <w:rFonts w:ascii="Times New Roman" w:eastAsia="Times New Roman" w:hAnsi="Times New Roman" w:cs="Times New Roman"/>
      </w:rPr>
    </w:lvl>
    <w:lvl w:ilvl="5" w:tplc="BF6AB6CA">
      <w:start w:val="1"/>
      <w:numFmt w:val="lowerRoman"/>
      <w:lvlText w:val="%6."/>
      <w:lvlJc w:val="right"/>
      <w:pPr>
        <w:ind w:left="4320" w:hanging="180"/>
      </w:pPr>
      <w:rPr>
        <w:rFonts w:ascii="Times New Roman" w:eastAsia="Times New Roman" w:hAnsi="Times New Roman" w:cs="Times New Roman"/>
      </w:rPr>
    </w:lvl>
    <w:lvl w:ilvl="6" w:tplc="DD46568A">
      <w:start w:val="1"/>
      <w:numFmt w:val="decimal"/>
      <w:lvlText w:val="%7."/>
      <w:lvlJc w:val="left"/>
      <w:pPr>
        <w:ind w:left="5040" w:hanging="360"/>
      </w:pPr>
      <w:rPr>
        <w:rFonts w:ascii="Times New Roman" w:eastAsia="Times New Roman" w:hAnsi="Times New Roman" w:cs="Times New Roman"/>
      </w:rPr>
    </w:lvl>
    <w:lvl w:ilvl="7" w:tplc="82427B46">
      <w:start w:val="1"/>
      <w:numFmt w:val="lowerLetter"/>
      <w:lvlText w:val="%8."/>
      <w:lvlJc w:val="left"/>
      <w:pPr>
        <w:ind w:left="5760" w:hanging="360"/>
      </w:pPr>
      <w:rPr>
        <w:rFonts w:ascii="Times New Roman" w:eastAsia="Times New Roman" w:hAnsi="Times New Roman" w:cs="Times New Roman"/>
      </w:rPr>
    </w:lvl>
    <w:lvl w:ilvl="8" w:tplc="C428D9A4">
      <w:start w:val="1"/>
      <w:numFmt w:val="lowerRoman"/>
      <w:lvlText w:val="%9."/>
      <w:lvlJc w:val="right"/>
      <w:pPr>
        <w:ind w:left="6480" w:hanging="180"/>
      </w:pPr>
      <w:rPr>
        <w:rFonts w:ascii="Times New Roman" w:eastAsia="Times New Roman" w:hAnsi="Times New Roman" w:cs="Times New Roman"/>
      </w:rPr>
    </w:lvl>
  </w:abstractNum>
  <w:abstractNum w:abstractNumId="64" w15:restartNumberingAfterBreak="0">
    <w:nsid w:val="50F51690"/>
    <w:multiLevelType w:val="hybridMultilevel"/>
    <w:tmpl w:val="6E74E1DC"/>
    <w:lvl w:ilvl="0" w:tplc="35546308">
      <w:start w:val="1"/>
      <w:numFmt w:val="lowerLetter"/>
      <w:lvlText w:val="%1)"/>
      <w:lvlJc w:val="left"/>
      <w:pPr>
        <w:ind w:left="227" w:hanging="227"/>
      </w:pPr>
      <w:rPr>
        <w:rFonts w:ascii="Times New Roman" w:eastAsia="Times New Roman" w:hAnsi="Times New Roman" w:cs="Times New Roman"/>
      </w:rPr>
    </w:lvl>
    <w:lvl w:ilvl="1" w:tplc="A32C4216">
      <w:start w:val="1"/>
      <w:numFmt w:val="lowerLetter"/>
      <w:lvlText w:val="%2."/>
      <w:lvlJc w:val="left"/>
      <w:pPr>
        <w:ind w:left="1440" w:hanging="360"/>
      </w:pPr>
      <w:rPr>
        <w:rFonts w:ascii="Times New Roman" w:eastAsia="Times New Roman" w:hAnsi="Times New Roman" w:cs="Times New Roman"/>
      </w:rPr>
    </w:lvl>
    <w:lvl w:ilvl="2" w:tplc="A1361418">
      <w:start w:val="1"/>
      <w:numFmt w:val="lowerRoman"/>
      <w:lvlText w:val="%3."/>
      <w:lvlJc w:val="right"/>
      <w:pPr>
        <w:ind w:left="2160" w:hanging="180"/>
      </w:pPr>
      <w:rPr>
        <w:rFonts w:ascii="Times New Roman" w:eastAsia="Times New Roman" w:hAnsi="Times New Roman" w:cs="Times New Roman"/>
      </w:rPr>
    </w:lvl>
    <w:lvl w:ilvl="3" w:tplc="1D103E92">
      <w:start w:val="1"/>
      <w:numFmt w:val="decimal"/>
      <w:lvlText w:val="%4."/>
      <w:lvlJc w:val="left"/>
      <w:pPr>
        <w:ind w:left="2880" w:hanging="360"/>
      </w:pPr>
      <w:rPr>
        <w:rFonts w:ascii="Times New Roman" w:eastAsia="Times New Roman" w:hAnsi="Times New Roman" w:cs="Times New Roman"/>
      </w:rPr>
    </w:lvl>
    <w:lvl w:ilvl="4" w:tplc="BA5A945A">
      <w:start w:val="1"/>
      <w:numFmt w:val="lowerLetter"/>
      <w:lvlText w:val="%5."/>
      <w:lvlJc w:val="left"/>
      <w:pPr>
        <w:ind w:left="3600" w:hanging="360"/>
      </w:pPr>
      <w:rPr>
        <w:rFonts w:ascii="Times New Roman" w:eastAsia="Times New Roman" w:hAnsi="Times New Roman" w:cs="Times New Roman"/>
      </w:rPr>
    </w:lvl>
    <w:lvl w:ilvl="5" w:tplc="D2FA7B8C">
      <w:start w:val="1"/>
      <w:numFmt w:val="lowerRoman"/>
      <w:lvlText w:val="%6."/>
      <w:lvlJc w:val="right"/>
      <w:pPr>
        <w:ind w:left="4320" w:hanging="180"/>
      </w:pPr>
      <w:rPr>
        <w:rFonts w:ascii="Times New Roman" w:eastAsia="Times New Roman" w:hAnsi="Times New Roman" w:cs="Times New Roman"/>
      </w:rPr>
    </w:lvl>
    <w:lvl w:ilvl="6" w:tplc="3EC0BA28">
      <w:start w:val="1"/>
      <w:numFmt w:val="decimal"/>
      <w:lvlText w:val="%7."/>
      <w:lvlJc w:val="left"/>
      <w:pPr>
        <w:ind w:left="5040" w:hanging="360"/>
      </w:pPr>
      <w:rPr>
        <w:rFonts w:ascii="Times New Roman" w:eastAsia="Times New Roman" w:hAnsi="Times New Roman" w:cs="Times New Roman"/>
      </w:rPr>
    </w:lvl>
    <w:lvl w:ilvl="7" w:tplc="243A3568">
      <w:start w:val="1"/>
      <w:numFmt w:val="lowerLetter"/>
      <w:lvlText w:val="%8."/>
      <w:lvlJc w:val="left"/>
      <w:pPr>
        <w:ind w:left="5760" w:hanging="360"/>
      </w:pPr>
      <w:rPr>
        <w:rFonts w:ascii="Times New Roman" w:eastAsia="Times New Roman" w:hAnsi="Times New Roman" w:cs="Times New Roman"/>
      </w:rPr>
    </w:lvl>
    <w:lvl w:ilvl="8" w:tplc="59E62DB6">
      <w:start w:val="1"/>
      <w:numFmt w:val="lowerRoman"/>
      <w:lvlText w:val="%9."/>
      <w:lvlJc w:val="right"/>
      <w:pPr>
        <w:ind w:left="6480" w:hanging="180"/>
      </w:pPr>
      <w:rPr>
        <w:rFonts w:ascii="Times New Roman" w:eastAsia="Times New Roman" w:hAnsi="Times New Roman" w:cs="Times New Roman"/>
      </w:rPr>
    </w:lvl>
  </w:abstractNum>
  <w:abstractNum w:abstractNumId="65" w15:restartNumberingAfterBreak="0">
    <w:nsid w:val="510571E7"/>
    <w:multiLevelType w:val="hybridMultilevel"/>
    <w:tmpl w:val="F776ED5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6" w15:restartNumberingAfterBreak="0">
    <w:nsid w:val="52803891"/>
    <w:multiLevelType w:val="hybridMultilevel"/>
    <w:tmpl w:val="98FEE3C6"/>
    <w:lvl w:ilvl="0" w:tplc="5C442C10">
      <w:start w:val="1"/>
      <w:numFmt w:val="lowerLetter"/>
      <w:lvlText w:val="%1)"/>
      <w:lvlJc w:val="left"/>
      <w:pPr>
        <w:ind w:left="928" w:hanging="360"/>
      </w:pPr>
      <w:rPr>
        <w:rFonts w:ascii="Times New Roman" w:eastAsia="Times New Roman" w:hAnsi="Times New Roman" w:cs="Times New Roman"/>
      </w:rPr>
    </w:lvl>
    <w:lvl w:ilvl="1" w:tplc="041B0019" w:tentative="1">
      <w:start w:val="1"/>
      <w:numFmt w:val="lowerLetter"/>
      <w:lvlText w:val="%2."/>
      <w:lvlJc w:val="left"/>
      <w:pPr>
        <w:ind w:left="928" w:hanging="360"/>
      </w:pPr>
    </w:lvl>
    <w:lvl w:ilvl="2" w:tplc="041B001B" w:tentative="1">
      <w:start w:val="1"/>
      <w:numFmt w:val="lowerRoman"/>
      <w:lvlText w:val="%3."/>
      <w:lvlJc w:val="right"/>
      <w:pPr>
        <w:ind w:left="1648" w:hanging="180"/>
      </w:pPr>
    </w:lvl>
    <w:lvl w:ilvl="3" w:tplc="041B000F" w:tentative="1">
      <w:start w:val="1"/>
      <w:numFmt w:val="decimal"/>
      <w:lvlText w:val="%4."/>
      <w:lvlJc w:val="left"/>
      <w:pPr>
        <w:ind w:left="2368" w:hanging="360"/>
      </w:pPr>
    </w:lvl>
    <w:lvl w:ilvl="4" w:tplc="041B0019" w:tentative="1">
      <w:start w:val="1"/>
      <w:numFmt w:val="lowerLetter"/>
      <w:lvlText w:val="%5."/>
      <w:lvlJc w:val="left"/>
      <w:pPr>
        <w:ind w:left="3088" w:hanging="360"/>
      </w:pPr>
    </w:lvl>
    <w:lvl w:ilvl="5" w:tplc="041B001B" w:tentative="1">
      <w:start w:val="1"/>
      <w:numFmt w:val="lowerRoman"/>
      <w:lvlText w:val="%6."/>
      <w:lvlJc w:val="right"/>
      <w:pPr>
        <w:ind w:left="3808" w:hanging="180"/>
      </w:pPr>
    </w:lvl>
    <w:lvl w:ilvl="6" w:tplc="041B000F" w:tentative="1">
      <w:start w:val="1"/>
      <w:numFmt w:val="decimal"/>
      <w:lvlText w:val="%7."/>
      <w:lvlJc w:val="left"/>
      <w:pPr>
        <w:ind w:left="4528" w:hanging="360"/>
      </w:pPr>
    </w:lvl>
    <w:lvl w:ilvl="7" w:tplc="041B0019" w:tentative="1">
      <w:start w:val="1"/>
      <w:numFmt w:val="lowerLetter"/>
      <w:lvlText w:val="%8."/>
      <w:lvlJc w:val="left"/>
      <w:pPr>
        <w:ind w:left="5248" w:hanging="360"/>
      </w:pPr>
    </w:lvl>
    <w:lvl w:ilvl="8" w:tplc="041B001B" w:tentative="1">
      <w:start w:val="1"/>
      <w:numFmt w:val="lowerRoman"/>
      <w:lvlText w:val="%9."/>
      <w:lvlJc w:val="right"/>
      <w:pPr>
        <w:ind w:left="5968" w:hanging="180"/>
      </w:pPr>
    </w:lvl>
  </w:abstractNum>
  <w:abstractNum w:abstractNumId="67" w15:restartNumberingAfterBreak="0">
    <w:nsid w:val="52AF5D28"/>
    <w:multiLevelType w:val="hybridMultilevel"/>
    <w:tmpl w:val="24B81E8E"/>
    <w:lvl w:ilvl="0" w:tplc="9C50434E">
      <w:start w:val="1"/>
      <w:numFmt w:val="lowerLetter"/>
      <w:lvlText w:val="%1)"/>
      <w:lvlJc w:val="left"/>
      <w:pPr>
        <w:ind w:left="0"/>
      </w:pPr>
      <w:rPr>
        <w:rFonts w:ascii="Times New Roman" w:eastAsia="Times New Roman" w:hAnsi="Times New Roman" w:cs="Times New Roman"/>
      </w:rPr>
    </w:lvl>
    <w:lvl w:ilvl="1" w:tplc="57FCD486">
      <w:numFmt w:val="decimal"/>
      <w:lvlText w:val="o"/>
      <w:lvlJc w:val="left"/>
      <w:pPr>
        <w:ind w:left="0"/>
      </w:pPr>
      <w:rPr>
        <w:rFonts w:ascii="Times New Roman" w:eastAsia="Times New Roman" w:hAnsi="Times New Roman" w:cs="Times New Roman"/>
      </w:rPr>
    </w:lvl>
    <w:lvl w:ilvl="2" w:tplc="9B049452">
      <w:numFmt w:val="decimal"/>
      <w:lvlText w:val="§"/>
      <w:lvlJc w:val="left"/>
      <w:pPr>
        <w:ind w:left="0"/>
      </w:pPr>
      <w:rPr>
        <w:rFonts w:ascii="Times New Roman" w:eastAsia="Times New Roman" w:hAnsi="Times New Roman" w:cs="Times New Roman"/>
      </w:rPr>
    </w:lvl>
    <w:lvl w:ilvl="3" w:tplc="A00C700A">
      <w:numFmt w:val="decimal"/>
      <w:lvlText w:val="·"/>
      <w:lvlJc w:val="left"/>
      <w:pPr>
        <w:ind w:left="0"/>
      </w:pPr>
      <w:rPr>
        <w:rFonts w:ascii="Times New Roman" w:eastAsia="Times New Roman" w:hAnsi="Times New Roman" w:cs="Times New Roman"/>
      </w:rPr>
    </w:lvl>
    <w:lvl w:ilvl="4" w:tplc="C7B03952">
      <w:numFmt w:val="decimal"/>
      <w:lvlText w:val="o"/>
      <w:lvlJc w:val="left"/>
      <w:pPr>
        <w:ind w:left="0"/>
      </w:pPr>
      <w:rPr>
        <w:rFonts w:ascii="Times New Roman" w:eastAsia="Times New Roman" w:hAnsi="Times New Roman" w:cs="Times New Roman"/>
      </w:rPr>
    </w:lvl>
    <w:lvl w:ilvl="5" w:tplc="8918C194">
      <w:numFmt w:val="decimal"/>
      <w:lvlText w:val="§"/>
      <w:lvlJc w:val="left"/>
      <w:pPr>
        <w:ind w:left="0"/>
      </w:pPr>
      <w:rPr>
        <w:rFonts w:ascii="Times New Roman" w:eastAsia="Times New Roman" w:hAnsi="Times New Roman" w:cs="Times New Roman"/>
      </w:rPr>
    </w:lvl>
    <w:lvl w:ilvl="6" w:tplc="F83A5742">
      <w:numFmt w:val="decimal"/>
      <w:lvlText w:val="·"/>
      <w:lvlJc w:val="left"/>
      <w:pPr>
        <w:ind w:left="0"/>
      </w:pPr>
      <w:rPr>
        <w:rFonts w:ascii="Times New Roman" w:eastAsia="Times New Roman" w:hAnsi="Times New Roman" w:cs="Times New Roman"/>
      </w:rPr>
    </w:lvl>
    <w:lvl w:ilvl="7" w:tplc="D1D45AC4">
      <w:numFmt w:val="decimal"/>
      <w:lvlText w:val="o"/>
      <w:lvlJc w:val="left"/>
      <w:pPr>
        <w:ind w:left="0"/>
      </w:pPr>
      <w:rPr>
        <w:rFonts w:ascii="Times New Roman" w:eastAsia="Times New Roman" w:hAnsi="Times New Roman" w:cs="Times New Roman"/>
      </w:rPr>
    </w:lvl>
    <w:lvl w:ilvl="8" w:tplc="63C4BB94">
      <w:numFmt w:val="decimal"/>
      <w:lvlText w:val="§"/>
      <w:lvlJc w:val="left"/>
      <w:pPr>
        <w:ind w:left="0"/>
      </w:pPr>
      <w:rPr>
        <w:rFonts w:ascii="Times New Roman" w:eastAsia="Times New Roman" w:hAnsi="Times New Roman" w:cs="Times New Roman"/>
      </w:rPr>
    </w:lvl>
  </w:abstractNum>
  <w:abstractNum w:abstractNumId="68" w15:restartNumberingAfterBreak="0">
    <w:nsid w:val="547D0493"/>
    <w:multiLevelType w:val="hybridMultilevel"/>
    <w:tmpl w:val="5CCEDD5C"/>
    <w:lvl w:ilvl="0" w:tplc="A512439C">
      <w:start w:val="1"/>
      <w:numFmt w:val="lowerLetter"/>
      <w:lvlText w:val="%1)"/>
      <w:lvlJc w:val="left"/>
      <w:pPr>
        <w:ind w:left="227" w:hanging="227"/>
      </w:pPr>
      <w:rPr>
        <w:rFonts w:ascii="Times New Roman" w:eastAsia="Times New Roman" w:hAnsi="Times New Roman" w:cs="Times New Roman"/>
      </w:rPr>
    </w:lvl>
    <w:lvl w:ilvl="1" w:tplc="1AF2FB10">
      <w:start w:val="1"/>
      <w:numFmt w:val="lowerLetter"/>
      <w:lvlText w:val="%2."/>
      <w:lvlJc w:val="left"/>
      <w:pPr>
        <w:ind w:left="1440" w:hanging="360"/>
      </w:pPr>
      <w:rPr>
        <w:rFonts w:ascii="Times New Roman" w:eastAsia="Times New Roman" w:hAnsi="Times New Roman" w:cs="Times New Roman"/>
      </w:rPr>
    </w:lvl>
    <w:lvl w:ilvl="2" w:tplc="268A019C">
      <w:start w:val="1"/>
      <w:numFmt w:val="lowerRoman"/>
      <w:lvlText w:val="%3."/>
      <w:lvlJc w:val="right"/>
      <w:pPr>
        <w:ind w:left="2160" w:hanging="180"/>
      </w:pPr>
      <w:rPr>
        <w:rFonts w:ascii="Times New Roman" w:eastAsia="Times New Roman" w:hAnsi="Times New Roman" w:cs="Times New Roman"/>
      </w:rPr>
    </w:lvl>
    <w:lvl w:ilvl="3" w:tplc="2BB65426">
      <w:start w:val="1"/>
      <w:numFmt w:val="decimal"/>
      <w:lvlText w:val="%4."/>
      <w:lvlJc w:val="left"/>
      <w:pPr>
        <w:ind w:left="2880" w:hanging="360"/>
      </w:pPr>
      <w:rPr>
        <w:rFonts w:ascii="Times New Roman" w:eastAsia="Times New Roman" w:hAnsi="Times New Roman" w:cs="Times New Roman"/>
      </w:rPr>
    </w:lvl>
    <w:lvl w:ilvl="4" w:tplc="854651F4">
      <w:start w:val="1"/>
      <w:numFmt w:val="lowerLetter"/>
      <w:lvlText w:val="%5."/>
      <w:lvlJc w:val="left"/>
      <w:pPr>
        <w:ind w:left="3600" w:hanging="360"/>
      </w:pPr>
      <w:rPr>
        <w:rFonts w:ascii="Times New Roman" w:eastAsia="Times New Roman" w:hAnsi="Times New Roman" w:cs="Times New Roman"/>
      </w:rPr>
    </w:lvl>
    <w:lvl w:ilvl="5" w:tplc="6D6C38F8">
      <w:start w:val="1"/>
      <w:numFmt w:val="lowerRoman"/>
      <w:lvlText w:val="%6."/>
      <w:lvlJc w:val="right"/>
      <w:pPr>
        <w:ind w:left="4320" w:hanging="180"/>
      </w:pPr>
      <w:rPr>
        <w:rFonts w:ascii="Times New Roman" w:eastAsia="Times New Roman" w:hAnsi="Times New Roman" w:cs="Times New Roman"/>
      </w:rPr>
    </w:lvl>
    <w:lvl w:ilvl="6" w:tplc="1010BBCC">
      <w:start w:val="1"/>
      <w:numFmt w:val="decimal"/>
      <w:lvlText w:val="%7."/>
      <w:lvlJc w:val="left"/>
      <w:pPr>
        <w:ind w:left="5040" w:hanging="360"/>
      </w:pPr>
      <w:rPr>
        <w:rFonts w:ascii="Times New Roman" w:eastAsia="Times New Roman" w:hAnsi="Times New Roman" w:cs="Times New Roman"/>
      </w:rPr>
    </w:lvl>
    <w:lvl w:ilvl="7" w:tplc="1114B214">
      <w:start w:val="1"/>
      <w:numFmt w:val="lowerLetter"/>
      <w:lvlText w:val="%8."/>
      <w:lvlJc w:val="left"/>
      <w:pPr>
        <w:ind w:left="5760" w:hanging="360"/>
      </w:pPr>
      <w:rPr>
        <w:rFonts w:ascii="Times New Roman" w:eastAsia="Times New Roman" w:hAnsi="Times New Roman" w:cs="Times New Roman"/>
      </w:rPr>
    </w:lvl>
    <w:lvl w:ilvl="8" w:tplc="317E2C9E">
      <w:start w:val="1"/>
      <w:numFmt w:val="lowerRoman"/>
      <w:lvlText w:val="%9."/>
      <w:lvlJc w:val="right"/>
      <w:pPr>
        <w:ind w:left="6480" w:hanging="180"/>
      </w:pPr>
      <w:rPr>
        <w:rFonts w:ascii="Times New Roman" w:eastAsia="Times New Roman" w:hAnsi="Times New Roman" w:cs="Times New Roman"/>
      </w:rPr>
    </w:lvl>
  </w:abstractNum>
  <w:abstractNum w:abstractNumId="69" w15:restartNumberingAfterBreak="0">
    <w:nsid w:val="55BC45C7"/>
    <w:multiLevelType w:val="hybridMultilevel"/>
    <w:tmpl w:val="5B0AF21E"/>
    <w:lvl w:ilvl="0" w:tplc="F506ACCC">
      <w:start w:val="1"/>
      <w:numFmt w:val="lowerLetter"/>
      <w:lvlText w:val="%1)"/>
      <w:lvlJc w:val="left"/>
      <w:pPr>
        <w:ind w:left="227" w:hanging="227"/>
      </w:pPr>
      <w:rPr>
        <w:rFonts w:ascii="Times New Roman" w:eastAsia="Times New Roman" w:hAnsi="Times New Roman" w:cs="Times New Roman"/>
      </w:rPr>
    </w:lvl>
    <w:lvl w:ilvl="1" w:tplc="BD12F9FE">
      <w:start w:val="1"/>
      <w:numFmt w:val="lowerLetter"/>
      <w:lvlText w:val="%2."/>
      <w:lvlJc w:val="left"/>
      <w:pPr>
        <w:ind w:left="1440" w:hanging="360"/>
      </w:pPr>
      <w:rPr>
        <w:rFonts w:ascii="Times New Roman" w:eastAsia="Times New Roman" w:hAnsi="Times New Roman" w:cs="Times New Roman"/>
      </w:rPr>
    </w:lvl>
    <w:lvl w:ilvl="2" w:tplc="377C058E">
      <w:start w:val="1"/>
      <w:numFmt w:val="lowerRoman"/>
      <w:lvlText w:val="%3."/>
      <w:lvlJc w:val="right"/>
      <w:pPr>
        <w:ind w:left="2160" w:hanging="180"/>
      </w:pPr>
      <w:rPr>
        <w:rFonts w:ascii="Times New Roman" w:eastAsia="Times New Roman" w:hAnsi="Times New Roman" w:cs="Times New Roman"/>
      </w:rPr>
    </w:lvl>
    <w:lvl w:ilvl="3" w:tplc="63CCF5AC">
      <w:start w:val="1"/>
      <w:numFmt w:val="decimal"/>
      <w:lvlText w:val="%4."/>
      <w:lvlJc w:val="left"/>
      <w:pPr>
        <w:ind w:left="2880" w:hanging="360"/>
      </w:pPr>
      <w:rPr>
        <w:rFonts w:ascii="Times New Roman" w:eastAsia="Times New Roman" w:hAnsi="Times New Roman" w:cs="Times New Roman"/>
      </w:rPr>
    </w:lvl>
    <w:lvl w:ilvl="4" w:tplc="53C4D734">
      <w:start w:val="1"/>
      <w:numFmt w:val="lowerLetter"/>
      <w:lvlText w:val="%5."/>
      <w:lvlJc w:val="left"/>
      <w:pPr>
        <w:ind w:left="3600" w:hanging="360"/>
      </w:pPr>
      <w:rPr>
        <w:rFonts w:ascii="Times New Roman" w:eastAsia="Times New Roman" w:hAnsi="Times New Roman" w:cs="Times New Roman"/>
      </w:rPr>
    </w:lvl>
    <w:lvl w:ilvl="5" w:tplc="800003AE">
      <w:start w:val="1"/>
      <w:numFmt w:val="lowerRoman"/>
      <w:lvlText w:val="%6."/>
      <w:lvlJc w:val="right"/>
      <w:pPr>
        <w:ind w:left="4320" w:hanging="180"/>
      </w:pPr>
      <w:rPr>
        <w:rFonts w:ascii="Times New Roman" w:eastAsia="Times New Roman" w:hAnsi="Times New Roman" w:cs="Times New Roman"/>
      </w:rPr>
    </w:lvl>
    <w:lvl w:ilvl="6" w:tplc="75886560">
      <w:start w:val="1"/>
      <w:numFmt w:val="decimal"/>
      <w:lvlText w:val="%7."/>
      <w:lvlJc w:val="left"/>
      <w:pPr>
        <w:ind w:left="5040" w:hanging="360"/>
      </w:pPr>
      <w:rPr>
        <w:rFonts w:ascii="Times New Roman" w:eastAsia="Times New Roman" w:hAnsi="Times New Roman" w:cs="Times New Roman"/>
      </w:rPr>
    </w:lvl>
    <w:lvl w:ilvl="7" w:tplc="80165BA8">
      <w:start w:val="1"/>
      <w:numFmt w:val="lowerLetter"/>
      <w:lvlText w:val="%8."/>
      <w:lvlJc w:val="left"/>
      <w:pPr>
        <w:ind w:left="5760" w:hanging="360"/>
      </w:pPr>
      <w:rPr>
        <w:rFonts w:ascii="Times New Roman" w:eastAsia="Times New Roman" w:hAnsi="Times New Roman" w:cs="Times New Roman"/>
      </w:rPr>
    </w:lvl>
    <w:lvl w:ilvl="8" w:tplc="DA0A3B5C">
      <w:start w:val="1"/>
      <w:numFmt w:val="lowerRoman"/>
      <w:lvlText w:val="%9."/>
      <w:lvlJc w:val="right"/>
      <w:pPr>
        <w:ind w:left="6480" w:hanging="180"/>
      </w:pPr>
      <w:rPr>
        <w:rFonts w:ascii="Times New Roman" w:eastAsia="Times New Roman" w:hAnsi="Times New Roman" w:cs="Times New Roman"/>
      </w:rPr>
    </w:lvl>
  </w:abstractNum>
  <w:abstractNum w:abstractNumId="70" w15:restartNumberingAfterBreak="0">
    <w:nsid w:val="56164720"/>
    <w:multiLevelType w:val="hybridMultilevel"/>
    <w:tmpl w:val="D5362134"/>
    <w:lvl w:ilvl="0" w:tplc="380A5F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084E7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26384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EE9D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30823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4270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EB10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A760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34CA3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6816670"/>
    <w:multiLevelType w:val="hybridMultilevel"/>
    <w:tmpl w:val="4D9E120A"/>
    <w:lvl w:ilvl="0" w:tplc="7C08DF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4A4B68">
      <w:start w:val="5"/>
      <w:numFmt w:val="decimal"/>
      <w:lvlText w:val="(%2)"/>
      <w:lvlJc w:val="left"/>
      <w:pPr>
        <w:ind w:left="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D6E9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5CB5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6A00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BCEF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8C0A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24A6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0039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6DA23C7"/>
    <w:multiLevelType w:val="hybridMultilevel"/>
    <w:tmpl w:val="93DCD35C"/>
    <w:lvl w:ilvl="0" w:tplc="EE246A2C">
      <w:start w:val="1"/>
      <w:numFmt w:val="decimal"/>
      <w:pStyle w:val="slovanzoznam2"/>
      <w:lvlText w:val="%1."/>
      <w:lvlJc w:val="left"/>
      <w:pPr>
        <w:ind w:left="643" w:hanging="360"/>
      </w:pPr>
      <w:rPr>
        <w:rFonts w:ascii="Times New Roman" w:eastAsia="Times New Roman" w:hAnsi="Times New Roman" w:cs="Times New Roman"/>
      </w:rPr>
    </w:lvl>
    <w:lvl w:ilvl="1" w:tplc="BC64CA54">
      <w:start w:val="1"/>
      <w:numFmt w:val="bullet"/>
      <w:lvlText w:val="o"/>
      <w:lvlJc w:val="left"/>
      <w:pPr>
        <w:ind w:left="1440" w:hanging="360"/>
      </w:pPr>
      <w:rPr>
        <w:rFonts w:ascii="Courier New" w:eastAsia="Courier New" w:hAnsi="Courier New" w:cs="Courier New" w:hint="default"/>
      </w:rPr>
    </w:lvl>
    <w:lvl w:ilvl="2" w:tplc="7624CC5C">
      <w:start w:val="1"/>
      <w:numFmt w:val="bullet"/>
      <w:lvlText w:val="§"/>
      <w:lvlJc w:val="left"/>
      <w:pPr>
        <w:ind w:left="2160" w:hanging="360"/>
      </w:pPr>
      <w:rPr>
        <w:rFonts w:ascii="Wingdings" w:eastAsia="Wingdings" w:hAnsi="Wingdings" w:cs="Wingdings" w:hint="default"/>
      </w:rPr>
    </w:lvl>
    <w:lvl w:ilvl="3" w:tplc="8EF020D6">
      <w:start w:val="1"/>
      <w:numFmt w:val="bullet"/>
      <w:lvlText w:val="·"/>
      <w:lvlJc w:val="left"/>
      <w:pPr>
        <w:ind w:left="2880" w:hanging="360"/>
      </w:pPr>
      <w:rPr>
        <w:rFonts w:ascii="Symbol" w:eastAsia="Symbol" w:hAnsi="Symbol" w:cs="Symbol" w:hint="default"/>
      </w:rPr>
    </w:lvl>
    <w:lvl w:ilvl="4" w:tplc="04F8FBAC">
      <w:start w:val="1"/>
      <w:numFmt w:val="bullet"/>
      <w:lvlText w:val="o"/>
      <w:lvlJc w:val="left"/>
      <w:pPr>
        <w:ind w:left="3600" w:hanging="360"/>
      </w:pPr>
      <w:rPr>
        <w:rFonts w:ascii="Courier New" w:eastAsia="Courier New" w:hAnsi="Courier New" w:cs="Courier New" w:hint="default"/>
      </w:rPr>
    </w:lvl>
    <w:lvl w:ilvl="5" w:tplc="C244388E">
      <w:start w:val="1"/>
      <w:numFmt w:val="bullet"/>
      <w:lvlText w:val="§"/>
      <w:lvlJc w:val="left"/>
      <w:pPr>
        <w:ind w:left="4320" w:hanging="360"/>
      </w:pPr>
      <w:rPr>
        <w:rFonts w:ascii="Wingdings" w:eastAsia="Wingdings" w:hAnsi="Wingdings" w:cs="Wingdings" w:hint="default"/>
      </w:rPr>
    </w:lvl>
    <w:lvl w:ilvl="6" w:tplc="1F1CC4B8">
      <w:start w:val="1"/>
      <w:numFmt w:val="bullet"/>
      <w:lvlText w:val="·"/>
      <w:lvlJc w:val="left"/>
      <w:pPr>
        <w:ind w:left="5040" w:hanging="360"/>
      </w:pPr>
      <w:rPr>
        <w:rFonts w:ascii="Symbol" w:eastAsia="Symbol" w:hAnsi="Symbol" w:cs="Symbol" w:hint="default"/>
      </w:rPr>
    </w:lvl>
    <w:lvl w:ilvl="7" w:tplc="70E458E0">
      <w:start w:val="1"/>
      <w:numFmt w:val="bullet"/>
      <w:lvlText w:val="o"/>
      <w:lvlJc w:val="left"/>
      <w:pPr>
        <w:ind w:left="5760" w:hanging="360"/>
      </w:pPr>
      <w:rPr>
        <w:rFonts w:ascii="Courier New" w:eastAsia="Courier New" w:hAnsi="Courier New" w:cs="Courier New" w:hint="default"/>
      </w:rPr>
    </w:lvl>
    <w:lvl w:ilvl="8" w:tplc="EF42413E">
      <w:start w:val="1"/>
      <w:numFmt w:val="bullet"/>
      <w:lvlText w:val="§"/>
      <w:lvlJc w:val="left"/>
      <w:pPr>
        <w:ind w:left="6480" w:hanging="360"/>
      </w:pPr>
      <w:rPr>
        <w:rFonts w:ascii="Wingdings" w:eastAsia="Wingdings" w:hAnsi="Wingdings" w:cs="Wingdings" w:hint="default"/>
      </w:rPr>
    </w:lvl>
  </w:abstractNum>
  <w:abstractNum w:abstractNumId="73" w15:restartNumberingAfterBreak="0">
    <w:nsid w:val="59851309"/>
    <w:multiLevelType w:val="multilevel"/>
    <w:tmpl w:val="4838F0B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74" w15:restartNumberingAfterBreak="0">
    <w:nsid w:val="5A1235E3"/>
    <w:multiLevelType w:val="hybridMultilevel"/>
    <w:tmpl w:val="EF92522A"/>
    <w:lvl w:ilvl="0" w:tplc="8654A38E">
      <w:start w:val="1"/>
      <w:numFmt w:val="lowerLetter"/>
      <w:lvlText w:val="%1)"/>
      <w:lvlJc w:val="left"/>
      <w:pPr>
        <w:ind w:left="227" w:hanging="227"/>
      </w:pPr>
      <w:rPr>
        <w:rFonts w:ascii="Times New Roman" w:eastAsia="Times New Roman" w:hAnsi="Times New Roman" w:cs="Times New Roman"/>
      </w:rPr>
    </w:lvl>
    <w:lvl w:ilvl="1" w:tplc="F822D9EA">
      <w:start w:val="1"/>
      <w:numFmt w:val="lowerLetter"/>
      <w:lvlText w:val="%2."/>
      <w:lvlJc w:val="left"/>
      <w:pPr>
        <w:ind w:left="1440" w:hanging="360"/>
      </w:pPr>
      <w:rPr>
        <w:rFonts w:ascii="Times New Roman" w:eastAsia="Times New Roman" w:hAnsi="Times New Roman" w:cs="Times New Roman"/>
      </w:rPr>
    </w:lvl>
    <w:lvl w:ilvl="2" w:tplc="7BD65E60">
      <w:start w:val="1"/>
      <w:numFmt w:val="lowerRoman"/>
      <w:lvlText w:val="%3."/>
      <w:lvlJc w:val="right"/>
      <w:pPr>
        <w:ind w:left="2160" w:hanging="180"/>
      </w:pPr>
      <w:rPr>
        <w:rFonts w:ascii="Times New Roman" w:eastAsia="Times New Roman" w:hAnsi="Times New Roman" w:cs="Times New Roman"/>
      </w:rPr>
    </w:lvl>
    <w:lvl w:ilvl="3" w:tplc="183C22C0">
      <w:start w:val="1"/>
      <w:numFmt w:val="decimal"/>
      <w:lvlText w:val="%4."/>
      <w:lvlJc w:val="left"/>
      <w:pPr>
        <w:ind w:left="2880" w:hanging="360"/>
      </w:pPr>
      <w:rPr>
        <w:rFonts w:ascii="Times New Roman" w:eastAsia="Times New Roman" w:hAnsi="Times New Roman" w:cs="Times New Roman"/>
      </w:rPr>
    </w:lvl>
    <w:lvl w:ilvl="4" w:tplc="7CC64FC6">
      <w:start w:val="1"/>
      <w:numFmt w:val="lowerLetter"/>
      <w:lvlText w:val="%5."/>
      <w:lvlJc w:val="left"/>
      <w:pPr>
        <w:ind w:left="3600" w:hanging="360"/>
      </w:pPr>
      <w:rPr>
        <w:rFonts w:ascii="Times New Roman" w:eastAsia="Times New Roman" w:hAnsi="Times New Roman" w:cs="Times New Roman"/>
      </w:rPr>
    </w:lvl>
    <w:lvl w:ilvl="5" w:tplc="D890C23C">
      <w:start w:val="1"/>
      <w:numFmt w:val="lowerRoman"/>
      <w:lvlText w:val="%6."/>
      <w:lvlJc w:val="right"/>
      <w:pPr>
        <w:ind w:left="4320" w:hanging="180"/>
      </w:pPr>
      <w:rPr>
        <w:rFonts w:ascii="Times New Roman" w:eastAsia="Times New Roman" w:hAnsi="Times New Roman" w:cs="Times New Roman"/>
      </w:rPr>
    </w:lvl>
    <w:lvl w:ilvl="6" w:tplc="16260CEC">
      <w:start w:val="1"/>
      <w:numFmt w:val="decimal"/>
      <w:lvlText w:val="%7."/>
      <w:lvlJc w:val="left"/>
      <w:pPr>
        <w:ind w:left="5040" w:hanging="360"/>
      </w:pPr>
      <w:rPr>
        <w:rFonts w:ascii="Times New Roman" w:eastAsia="Times New Roman" w:hAnsi="Times New Roman" w:cs="Times New Roman"/>
      </w:rPr>
    </w:lvl>
    <w:lvl w:ilvl="7" w:tplc="2D7C6F5C">
      <w:start w:val="1"/>
      <w:numFmt w:val="lowerLetter"/>
      <w:lvlText w:val="%8."/>
      <w:lvlJc w:val="left"/>
      <w:pPr>
        <w:ind w:left="5760" w:hanging="360"/>
      </w:pPr>
      <w:rPr>
        <w:rFonts w:ascii="Times New Roman" w:eastAsia="Times New Roman" w:hAnsi="Times New Roman" w:cs="Times New Roman"/>
      </w:rPr>
    </w:lvl>
    <w:lvl w:ilvl="8" w:tplc="7FEE2E7C">
      <w:start w:val="1"/>
      <w:numFmt w:val="lowerRoman"/>
      <w:lvlText w:val="%9."/>
      <w:lvlJc w:val="right"/>
      <w:pPr>
        <w:ind w:left="6480" w:hanging="180"/>
      </w:pPr>
      <w:rPr>
        <w:rFonts w:ascii="Times New Roman" w:eastAsia="Times New Roman" w:hAnsi="Times New Roman" w:cs="Times New Roman"/>
      </w:rPr>
    </w:lvl>
  </w:abstractNum>
  <w:abstractNum w:abstractNumId="75" w15:restartNumberingAfterBreak="0">
    <w:nsid w:val="5A331083"/>
    <w:multiLevelType w:val="hybridMultilevel"/>
    <w:tmpl w:val="42621BA4"/>
    <w:lvl w:ilvl="0" w:tplc="CCB27A04">
      <w:start w:val="1"/>
      <w:numFmt w:val="lowerLetter"/>
      <w:lvlText w:val="%1)"/>
      <w:lvlJc w:val="left"/>
      <w:pPr>
        <w:ind w:left="227" w:hanging="227"/>
      </w:pPr>
      <w:rPr>
        <w:rFonts w:ascii="Times New Roman" w:eastAsia="Times New Roman" w:hAnsi="Times New Roman" w:cs="Times New Roman"/>
      </w:rPr>
    </w:lvl>
    <w:lvl w:ilvl="1" w:tplc="5E0A1172">
      <w:start w:val="1"/>
      <w:numFmt w:val="lowerLetter"/>
      <w:lvlText w:val="%2."/>
      <w:lvlJc w:val="left"/>
      <w:pPr>
        <w:ind w:left="1440" w:hanging="360"/>
      </w:pPr>
      <w:rPr>
        <w:rFonts w:ascii="Times New Roman" w:eastAsia="Times New Roman" w:hAnsi="Times New Roman" w:cs="Times New Roman"/>
      </w:rPr>
    </w:lvl>
    <w:lvl w:ilvl="2" w:tplc="82043DD2">
      <w:start w:val="1"/>
      <w:numFmt w:val="lowerRoman"/>
      <w:lvlText w:val="%3."/>
      <w:lvlJc w:val="right"/>
      <w:pPr>
        <w:ind w:left="2160" w:hanging="180"/>
      </w:pPr>
      <w:rPr>
        <w:rFonts w:ascii="Times New Roman" w:eastAsia="Times New Roman" w:hAnsi="Times New Roman" w:cs="Times New Roman"/>
      </w:rPr>
    </w:lvl>
    <w:lvl w:ilvl="3" w:tplc="1110FB4C">
      <w:start w:val="1"/>
      <w:numFmt w:val="decimal"/>
      <w:lvlText w:val="%4."/>
      <w:lvlJc w:val="left"/>
      <w:pPr>
        <w:ind w:left="2880" w:hanging="360"/>
      </w:pPr>
      <w:rPr>
        <w:rFonts w:ascii="Times New Roman" w:eastAsia="Times New Roman" w:hAnsi="Times New Roman" w:cs="Times New Roman"/>
      </w:rPr>
    </w:lvl>
    <w:lvl w:ilvl="4" w:tplc="19CC1E08">
      <w:start w:val="1"/>
      <w:numFmt w:val="lowerLetter"/>
      <w:lvlText w:val="%5."/>
      <w:lvlJc w:val="left"/>
      <w:pPr>
        <w:ind w:left="3600" w:hanging="360"/>
      </w:pPr>
      <w:rPr>
        <w:rFonts w:ascii="Times New Roman" w:eastAsia="Times New Roman" w:hAnsi="Times New Roman" w:cs="Times New Roman"/>
      </w:rPr>
    </w:lvl>
    <w:lvl w:ilvl="5" w:tplc="82C684C2">
      <w:start w:val="1"/>
      <w:numFmt w:val="lowerRoman"/>
      <w:lvlText w:val="%6."/>
      <w:lvlJc w:val="right"/>
      <w:pPr>
        <w:ind w:left="4320" w:hanging="180"/>
      </w:pPr>
      <w:rPr>
        <w:rFonts w:ascii="Times New Roman" w:eastAsia="Times New Roman" w:hAnsi="Times New Roman" w:cs="Times New Roman"/>
      </w:rPr>
    </w:lvl>
    <w:lvl w:ilvl="6" w:tplc="8474EE56">
      <w:start w:val="1"/>
      <w:numFmt w:val="decimal"/>
      <w:lvlText w:val="%7."/>
      <w:lvlJc w:val="left"/>
      <w:pPr>
        <w:ind w:left="5040" w:hanging="360"/>
      </w:pPr>
      <w:rPr>
        <w:rFonts w:ascii="Times New Roman" w:eastAsia="Times New Roman" w:hAnsi="Times New Roman" w:cs="Times New Roman"/>
      </w:rPr>
    </w:lvl>
    <w:lvl w:ilvl="7" w:tplc="E596341A">
      <w:start w:val="1"/>
      <w:numFmt w:val="lowerLetter"/>
      <w:lvlText w:val="%8."/>
      <w:lvlJc w:val="left"/>
      <w:pPr>
        <w:ind w:left="5760" w:hanging="360"/>
      </w:pPr>
      <w:rPr>
        <w:rFonts w:ascii="Times New Roman" w:eastAsia="Times New Roman" w:hAnsi="Times New Roman" w:cs="Times New Roman"/>
      </w:rPr>
    </w:lvl>
    <w:lvl w:ilvl="8" w:tplc="55785B18">
      <w:start w:val="1"/>
      <w:numFmt w:val="lowerRoman"/>
      <w:lvlText w:val="%9."/>
      <w:lvlJc w:val="right"/>
      <w:pPr>
        <w:ind w:left="6480" w:hanging="180"/>
      </w:pPr>
      <w:rPr>
        <w:rFonts w:ascii="Times New Roman" w:eastAsia="Times New Roman" w:hAnsi="Times New Roman" w:cs="Times New Roman"/>
      </w:rPr>
    </w:lvl>
  </w:abstractNum>
  <w:abstractNum w:abstractNumId="76" w15:restartNumberingAfterBreak="0">
    <w:nsid w:val="5A357CEE"/>
    <w:multiLevelType w:val="hybridMultilevel"/>
    <w:tmpl w:val="38DE2F94"/>
    <w:lvl w:ilvl="0" w:tplc="D1C038CA">
      <w:start w:val="1"/>
      <w:numFmt w:val="lowerLetter"/>
      <w:lvlText w:val="%1)"/>
      <w:lvlJc w:val="left"/>
      <w:pPr>
        <w:ind w:left="227" w:hanging="227"/>
      </w:pPr>
      <w:rPr>
        <w:rFonts w:ascii="Times New Roman" w:eastAsia="Times New Roman" w:hAnsi="Times New Roman" w:cs="Times New Roman"/>
      </w:rPr>
    </w:lvl>
    <w:lvl w:ilvl="1" w:tplc="081EC6C8">
      <w:start w:val="1"/>
      <w:numFmt w:val="lowerLetter"/>
      <w:lvlText w:val="%2."/>
      <w:lvlJc w:val="left"/>
      <w:pPr>
        <w:ind w:left="1440" w:hanging="360"/>
      </w:pPr>
      <w:rPr>
        <w:rFonts w:ascii="Times New Roman" w:eastAsia="Times New Roman" w:hAnsi="Times New Roman" w:cs="Times New Roman"/>
      </w:rPr>
    </w:lvl>
    <w:lvl w:ilvl="2" w:tplc="A4585558">
      <w:start w:val="1"/>
      <w:numFmt w:val="lowerRoman"/>
      <w:lvlText w:val="%3."/>
      <w:lvlJc w:val="right"/>
      <w:pPr>
        <w:ind w:left="2160" w:hanging="180"/>
      </w:pPr>
      <w:rPr>
        <w:rFonts w:ascii="Times New Roman" w:eastAsia="Times New Roman" w:hAnsi="Times New Roman" w:cs="Times New Roman"/>
      </w:rPr>
    </w:lvl>
    <w:lvl w:ilvl="3" w:tplc="835AB94C">
      <w:start w:val="1"/>
      <w:numFmt w:val="decimal"/>
      <w:lvlText w:val="%4."/>
      <w:lvlJc w:val="left"/>
      <w:pPr>
        <w:ind w:left="2880" w:hanging="360"/>
      </w:pPr>
      <w:rPr>
        <w:rFonts w:ascii="Times New Roman" w:eastAsia="Times New Roman" w:hAnsi="Times New Roman" w:cs="Times New Roman"/>
      </w:rPr>
    </w:lvl>
    <w:lvl w:ilvl="4" w:tplc="17928A96">
      <w:start w:val="1"/>
      <w:numFmt w:val="lowerLetter"/>
      <w:lvlText w:val="%5."/>
      <w:lvlJc w:val="left"/>
      <w:pPr>
        <w:ind w:left="3600" w:hanging="360"/>
      </w:pPr>
      <w:rPr>
        <w:rFonts w:ascii="Times New Roman" w:eastAsia="Times New Roman" w:hAnsi="Times New Roman" w:cs="Times New Roman"/>
      </w:rPr>
    </w:lvl>
    <w:lvl w:ilvl="5" w:tplc="10665588">
      <w:start w:val="1"/>
      <w:numFmt w:val="lowerRoman"/>
      <w:lvlText w:val="%6."/>
      <w:lvlJc w:val="right"/>
      <w:pPr>
        <w:ind w:left="4320" w:hanging="180"/>
      </w:pPr>
      <w:rPr>
        <w:rFonts w:ascii="Times New Roman" w:eastAsia="Times New Roman" w:hAnsi="Times New Roman" w:cs="Times New Roman"/>
      </w:rPr>
    </w:lvl>
    <w:lvl w:ilvl="6" w:tplc="D80CDE4C">
      <w:start w:val="1"/>
      <w:numFmt w:val="decimal"/>
      <w:lvlText w:val="%7."/>
      <w:lvlJc w:val="left"/>
      <w:pPr>
        <w:ind w:left="5040" w:hanging="360"/>
      </w:pPr>
      <w:rPr>
        <w:rFonts w:ascii="Times New Roman" w:eastAsia="Times New Roman" w:hAnsi="Times New Roman" w:cs="Times New Roman"/>
      </w:rPr>
    </w:lvl>
    <w:lvl w:ilvl="7" w:tplc="8FE4B8D4">
      <w:start w:val="1"/>
      <w:numFmt w:val="lowerLetter"/>
      <w:lvlText w:val="%8."/>
      <w:lvlJc w:val="left"/>
      <w:pPr>
        <w:ind w:left="5760" w:hanging="360"/>
      </w:pPr>
      <w:rPr>
        <w:rFonts w:ascii="Times New Roman" w:eastAsia="Times New Roman" w:hAnsi="Times New Roman" w:cs="Times New Roman"/>
      </w:rPr>
    </w:lvl>
    <w:lvl w:ilvl="8" w:tplc="1C427EB0">
      <w:start w:val="1"/>
      <w:numFmt w:val="lowerRoman"/>
      <w:lvlText w:val="%9."/>
      <w:lvlJc w:val="right"/>
      <w:pPr>
        <w:ind w:left="6480" w:hanging="180"/>
      </w:pPr>
      <w:rPr>
        <w:rFonts w:ascii="Times New Roman" w:eastAsia="Times New Roman" w:hAnsi="Times New Roman" w:cs="Times New Roman"/>
      </w:rPr>
    </w:lvl>
  </w:abstractNum>
  <w:abstractNum w:abstractNumId="77" w15:restartNumberingAfterBreak="0">
    <w:nsid w:val="5B521765"/>
    <w:multiLevelType w:val="hybridMultilevel"/>
    <w:tmpl w:val="721297BA"/>
    <w:lvl w:ilvl="0" w:tplc="2108B66E">
      <w:start w:val="1"/>
      <w:numFmt w:val="lowerLetter"/>
      <w:lvlText w:val="%1)"/>
      <w:lvlJc w:val="left"/>
      <w:pPr>
        <w:ind w:left="227" w:hanging="227"/>
      </w:pPr>
      <w:rPr>
        <w:rFonts w:ascii="Times New Roman" w:eastAsia="Times New Roman" w:hAnsi="Times New Roman" w:cs="Times New Roman"/>
      </w:rPr>
    </w:lvl>
    <w:lvl w:ilvl="1" w:tplc="1E226AFA">
      <w:start w:val="1"/>
      <w:numFmt w:val="lowerLetter"/>
      <w:lvlText w:val="%2."/>
      <w:lvlJc w:val="left"/>
      <w:pPr>
        <w:ind w:left="1440" w:hanging="360"/>
      </w:pPr>
      <w:rPr>
        <w:rFonts w:ascii="Times New Roman" w:eastAsia="Times New Roman" w:hAnsi="Times New Roman" w:cs="Times New Roman"/>
      </w:rPr>
    </w:lvl>
    <w:lvl w:ilvl="2" w:tplc="998E8534">
      <w:start w:val="1"/>
      <w:numFmt w:val="lowerRoman"/>
      <w:lvlText w:val="%3."/>
      <w:lvlJc w:val="right"/>
      <w:pPr>
        <w:ind w:left="2160" w:hanging="180"/>
      </w:pPr>
      <w:rPr>
        <w:rFonts w:ascii="Times New Roman" w:eastAsia="Times New Roman" w:hAnsi="Times New Roman" w:cs="Times New Roman"/>
      </w:rPr>
    </w:lvl>
    <w:lvl w:ilvl="3" w:tplc="7C507A58">
      <w:start w:val="1"/>
      <w:numFmt w:val="decimal"/>
      <w:lvlText w:val="%4."/>
      <w:lvlJc w:val="left"/>
      <w:pPr>
        <w:ind w:left="2880" w:hanging="360"/>
      </w:pPr>
      <w:rPr>
        <w:rFonts w:ascii="Times New Roman" w:eastAsia="Times New Roman" w:hAnsi="Times New Roman" w:cs="Times New Roman"/>
      </w:rPr>
    </w:lvl>
    <w:lvl w:ilvl="4" w:tplc="002E20A8">
      <w:start w:val="1"/>
      <w:numFmt w:val="lowerLetter"/>
      <w:lvlText w:val="%5."/>
      <w:lvlJc w:val="left"/>
      <w:pPr>
        <w:ind w:left="3600" w:hanging="360"/>
      </w:pPr>
      <w:rPr>
        <w:rFonts w:ascii="Times New Roman" w:eastAsia="Times New Roman" w:hAnsi="Times New Roman" w:cs="Times New Roman"/>
      </w:rPr>
    </w:lvl>
    <w:lvl w:ilvl="5" w:tplc="36803572">
      <w:start w:val="1"/>
      <w:numFmt w:val="lowerRoman"/>
      <w:lvlText w:val="%6."/>
      <w:lvlJc w:val="right"/>
      <w:pPr>
        <w:ind w:left="4320" w:hanging="180"/>
      </w:pPr>
      <w:rPr>
        <w:rFonts w:ascii="Times New Roman" w:eastAsia="Times New Roman" w:hAnsi="Times New Roman" w:cs="Times New Roman"/>
      </w:rPr>
    </w:lvl>
    <w:lvl w:ilvl="6" w:tplc="D78EEE4A">
      <w:start w:val="1"/>
      <w:numFmt w:val="decimal"/>
      <w:lvlText w:val="%7."/>
      <w:lvlJc w:val="left"/>
      <w:pPr>
        <w:ind w:left="5040" w:hanging="360"/>
      </w:pPr>
      <w:rPr>
        <w:rFonts w:ascii="Times New Roman" w:eastAsia="Times New Roman" w:hAnsi="Times New Roman" w:cs="Times New Roman"/>
      </w:rPr>
    </w:lvl>
    <w:lvl w:ilvl="7" w:tplc="36387EAC">
      <w:start w:val="1"/>
      <w:numFmt w:val="lowerLetter"/>
      <w:lvlText w:val="%8."/>
      <w:lvlJc w:val="left"/>
      <w:pPr>
        <w:ind w:left="5760" w:hanging="360"/>
      </w:pPr>
      <w:rPr>
        <w:rFonts w:ascii="Times New Roman" w:eastAsia="Times New Roman" w:hAnsi="Times New Roman" w:cs="Times New Roman"/>
      </w:rPr>
    </w:lvl>
    <w:lvl w:ilvl="8" w:tplc="1728C848">
      <w:start w:val="1"/>
      <w:numFmt w:val="lowerRoman"/>
      <w:lvlText w:val="%9."/>
      <w:lvlJc w:val="right"/>
      <w:pPr>
        <w:ind w:left="6480" w:hanging="180"/>
      </w:pPr>
      <w:rPr>
        <w:rFonts w:ascii="Times New Roman" w:eastAsia="Times New Roman" w:hAnsi="Times New Roman" w:cs="Times New Roman"/>
      </w:rPr>
    </w:lvl>
  </w:abstractNum>
  <w:abstractNum w:abstractNumId="78" w15:restartNumberingAfterBreak="0">
    <w:nsid w:val="5B58097B"/>
    <w:multiLevelType w:val="hybridMultilevel"/>
    <w:tmpl w:val="D0C2548A"/>
    <w:lvl w:ilvl="0" w:tplc="CB30AE40">
      <w:start w:val="1"/>
      <w:numFmt w:val="lowerLetter"/>
      <w:lvlText w:val="%1)"/>
      <w:lvlJc w:val="left"/>
      <w:pPr>
        <w:ind w:left="227" w:hanging="227"/>
      </w:pPr>
      <w:rPr>
        <w:rFonts w:ascii="Times New Roman" w:eastAsia="Times New Roman" w:hAnsi="Times New Roman" w:cs="Times New Roman"/>
      </w:rPr>
    </w:lvl>
    <w:lvl w:ilvl="1" w:tplc="74C0835E">
      <w:start w:val="1"/>
      <w:numFmt w:val="lowerLetter"/>
      <w:lvlText w:val="%2."/>
      <w:lvlJc w:val="left"/>
      <w:pPr>
        <w:ind w:left="1440" w:hanging="360"/>
      </w:pPr>
      <w:rPr>
        <w:rFonts w:ascii="Times New Roman" w:eastAsia="Times New Roman" w:hAnsi="Times New Roman" w:cs="Times New Roman"/>
      </w:rPr>
    </w:lvl>
    <w:lvl w:ilvl="2" w:tplc="1732595E">
      <w:start w:val="1"/>
      <w:numFmt w:val="lowerRoman"/>
      <w:lvlText w:val="%3."/>
      <w:lvlJc w:val="right"/>
      <w:pPr>
        <w:ind w:left="2160" w:hanging="180"/>
      </w:pPr>
      <w:rPr>
        <w:rFonts w:ascii="Times New Roman" w:eastAsia="Times New Roman" w:hAnsi="Times New Roman" w:cs="Times New Roman"/>
      </w:rPr>
    </w:lvl>
    <w:lvl w:ilvl="3" w:tplc="D542E4BC">
      <w:start w:val="1"/>
      <w:numFmt w:val="decimal"/>
      <w:lvlText w:val="%4."/>
      <w:lvlJc w:val="left"/>
      <w:pPr>
        <w:ind w:left="2880" w:hanging="360"/>
      </w:pPr>
      <w:rPr>
        <w:rFonts w:ascii="Times New Roman" w:eastAsia="Times New Roman" w:hAnsi="Times New Roman" w:cs="Times New Roman"/>
      </w:rPr>
    </w:lvl>
    <w:lvl w:ilvl="4" w:tplc="7C381444">
      <w:start w:val="1"/>
      <w:numFmt w:val="lowerLetter"/>
      <w:lvlText w:val="%5."/>
      <w:lvlJc w:val="left"/>
      <w:pPr>
        <w:ind w:left="3600" w:hanging="360"/>
      </w:pPr>
      <w:rPr>
        <w:rFonts w:ascii="Times New Roman" w:eastAsia="Times New Roman" w:hAnsi="Times New Roman" w:cs="Times New Roman"/>
      </w:rPr>
    </w:lvl>
    <w:lvl w:ilvl="5" w:tplc="C19AC988">
      <w:start w:val="1"/>
      <w:numFmt w:val="lowerRoman"/>
      <w:lvlText w:val="%6."/>
      <w:lvlJc w:val="right"/>
      <w:pPr>
        <w:ind w:left="4320" w:hanging="180"/>
      </w:pPr>
      <w:rPr>
        <w:rFonts w:ascii="Times New Roman" w:eastAsia="Times New Roman" w:hAnsi="Times New Roman" w:cs="Times New Roman"/>
      </w:rPr>
    </w:lvl>
    <w:lvl w:ilvl="6" w:tplc="EE70CAEC">
      <w:start w:val="1"/>
      <w:numFmt w:val="decimal"/>
      <w:lvlText w:val="%7."/>
      <w:lvlJc w:val="left"/>
      <w:pPr>
        <w:ind w:left="5040" w:hanging="360"/>
      </w:pPr>
      <w:rPr>
        <w:rFonts w:ascii="Times New Roman" w:eastAsia="Times New Roman" w:hAnsi="Times New Roman" w:cs="Times New Roman"/>
      </w:rPr>
    </w:lvl>
    <w:lvl w:ilvl="7" w:tplc="456A6132">
      <w:start w:val="1"/>
      <w:numFmt w:val="lowerLetter"/>
      <w:lvlText w:val="%8."/>
      <w:lvlJc w:val="left"/>
      <w:pPr>
        <w:ind w:left="5760" w:hanging="360"/>
      </w:pPr>
      <w:rPr>
        <w:rFonts w:ascii="Times New Roman" w:eastAsia="Times New Roman" w:hAnsi="Times New Roman" w:cs="Times New Roman"/>
      </w:rPr>
    </w:lvl>
    <w:lvl w:ilvl="8" w:tplc="34529F2A">
      <w:start w:val="1"/>
      <w:numFmt w:val="lowerRoman"/>
      <w:lvlText w:val="%9."/>
      <w:lvlJc w:val="right"/>
      <w:pPr>
        <w:ind w:left="6480" w:hanging="180"/>
      </w:pPr>
      <w:rPr>
        <w:rFonts w:ascii="Times New Roman" w:eastAsia="Times New Roman" w:hAnsi="Times New Roman" w:cs="Times New Roman"/>
      </w:rPr>
    </w:lvl>
  </w:abstractNum>
  <w:abstractNum w:abstractNumId="79" w15:restartNumberingAfterBreak="0">
    <w:nsid w:val="5BAD47C2"/>
    <w:multiLevelType w:val="multilevel"/>
    <w:tmpl w:val="5BAD47C2"/>
    <w:lvl w:ilvl="0">
      <w:start w:val="1"/>
      <w:numFmt w:val="decimal"/>
      <w:lvlText w:val="(%1)"/>
      <w:lvlJc w:val="left"/>
      <w:pPr>
        <w:tabs>
          <w:tab w:val="left" w:pos="720"/>
        </w:tabs>
        <w:ind w:left="-207" w:firstLine="567"/>
      </w:pPr>
      <w:rPr>
        <w:rFonts w:cs="Times New Roman" w:hint="default"/>
      </w:rPr>
    </w:lvl>
    <w:lvl w:ilvl="1">
      <w:start w:val="1"/>
      <w:numFmt w:val="lowerLetter"/>
      <w:lvlText w:val="%2)"/>
      <w:lvlJc w:val="left"/>
      <w:pPr>
        <w:tabs>
          <w:tab w:val="left" w:pos="360"/>
        </w:tabs>
        <w:ind w:left="35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80" w15:restartNumberingAfterBreak="0">
    <w:nsid w:val="5BE76437"/>
    <w:multiLevelType w:val="hybridMultilevel"/>
    <w:tmpl w:val="B44683CC"/>
    <w:lvl w:ilvl="0" w:tplc="BDE8E79E">
      <w:start w:val="5"/>
      <w:numFmt w:val="lowerLetter"/>
      <w:lvlText w:val="%1)"/>
      <w:lvlJc w:val="left"/>
      <w:pPr>
        <w:ind w:left="785" w:hanging="360"/>
      </w:pPr>
      <w:rPr>
        <w:rFonts w:ascii="Times New Roman" w:eastAsia="Times New Roman" w:hAnsi="Times New Roman" w:cs="Times New Roman"/>
      </w:rPr>
    </w:lvl>
    <w:lvl w:ilvl="1" w:tplc="27C4FABA">
      <w:start w:val="1"/>
      <w:numFmt w:val="lowerLetter"/>
      <w:lvlText w:val="%2."/>
      <w:lvlJc w:val="left"/>
      <w:pPr>
        <w:ind w:left="1505" w:hanging="360"/>
      </w:pPr>
      <w:rPr>
        <w:rFonts w:ascii="Times New Roman" w:eastAsia="Times New Roman" w:hAnsi="Times New Roman" w:cs="Times New Roman"/>
      </w:rPr>
    </w:lvl>
    <w:lvl w:ilvl="2" w:tplc="6A362A7E">
      <w:start w:val="1"/>
      <w:numFmt w:val="lowerRoman"/>
      <w:lvlText w:val="%3."/>
      <w:lvlJc w:val="right"/>
      <w:pPr>
        <w:ind w:left="2225" w:hanging="180"/>
      </w:pPr>
      <w:rPr>
        <w:rFonts w:ascii="Times New Roman" w:eastAsia="Times New Roman" w:hAnsi="Times New Roman" w:cs="Times New Roman"/>
      </w:rPr>
    </w:lvl>
    <w:lvl w:ilvl="3" w:tplc="A9B405D6">
      <w:start w:val="1"/>
      <w:numFmt w:val="decimal"/>
      <w:lvlText w:val="%4."/>
      <w:lvlJc w:val="left"/>
      <w:pPr>
        <w:ind w:left="2945" w:hanging="360"/>
      </w:pPr>
      <w:rPr>
        <w:rFonts w:ascii="Times New Roman" w:eastAsia="Times New Roman" w:hAnsi="Times New Roman" w:cs="Times New Roman"/>
      </w:rPr>
    </w:lvl>
    <w:lvl w:ilvl="4" w:tplc="3CBEB9A8">
      <w:start w:val="1"/>
      <w:numFmt w:val="lowerLetter"/>
      <w:lvlText w:val="%5."/>
      <w:lvlJc w:val="left"/>
      <w:pPr>
        <w:ind w:left="3665" w:hanging="360"/>
      </w:pPr>
      <w:rPr>
        <w:rFonts w:ascii="Times New Roman" w:eastAsia="Times New Roman" w:hAnsi="Times New Roman" w:cs="Times New Roman"/>
      </w:rPr>
    </w:lvl>
    <w:lvl w:ilvl="5" w:tplc="1562AE7C">
      <w:start w:val="1"/>
      <w:numFmt w:val="lowerRoman"/>
      <w:lvlText w:val="%6."/>
      <w:lvlJc w:val="right"/>
      <w:pPr>
        <w:ind w:left="4385" w:hanging="180"/>
      </w:pPr>
      <w:rPr>
        <w:rFonts w:ascii="Times New Roman" w:eastAsia="Times New Roman" w:hAnsi="Times New Roman" w:cs="Times New Roman"/>
      </w:rPr>
    </w:lvl>
    <w:lvl w:ilvl="6" w:tplc="65B8C360">
      <w:start w:val="1"/>
      <w:numFmt w:val="decimal"/>
      <w:lvlText w:val="%7."/>
      <w:lvlJc w:val="left"/>
      <w:pPr>
        <w:ind w:left="5105" w:hanging="360"/>
      </w:pPr>
      <w:rPr>
        <w:rFonts w:ascii="Times New Roman" w:eastAsia="Times New Roman" w:hAnsi="Times New Roman" w:cs="Times New Roman"/>
      </w:rPr>
    </w:lvl>
    <w:lvl w:ilvl="7" w:tplc="F42CC914">
      <w:start w:val="1"/>
      <w:numFmt w:val="lowerLetter"/>
      <w:lvlText w:val="%8."/>
      <w:lvlJc w:val="left"/>
      <w:pPr>
        <w:ind w:left="5825" w:hanging="360"/>
      </w:pPr>
      <w:rPr>
        <w:rFonts w:ascii="Times New Roman" w:eastAsia="Times New Roman" w:hAnsi="Times New Roman" w:cs="Times New Roman"/>
      </w:rPr>
    </w:lvl>
    <w:lvl w:ilvl="8" w:tplc="A118A956">
      <w:start w:val="1"/>
      <w:numFmt w:val="lowerRoman"/>
      <w:lvlText w:val="%9."/>
      <w:lvlJc w:val="right"/>
      <w:pPr>
        <w:ind w:left="6545" w:hanging="180"/>
      </w:pPr>
      <w:rPr>
        <w:rFonts w:ascii="Times New Roman" w:eastAsia="Times New Roman" w:hAnsi="Times New Roman" w:cs="Times New Roman"/>
      </w:rPr>
    </w:lvl>
  </w:abstractNum>
  <w:abstractNum w:abstractNumId="81" w15:restartNumberingAfterBreak="0">
    <w:nsid w:val="5EB76AEF"/>
    <w:multiLevelType w:val="hybridMultilevel"/>
    <w:tmpl w:val="3DE4AA4E"/>
    <w:lvl w:ilvl="0" w:tplc="0CA8D8BC">
      <w:start w:val="1"/>
      <w:numFmt w:val="lowerLetter"/>
      <w:lvlText w:val="%1)"/>
      <w:lvlJc w:val="left"/>
      <w:pPr>
        <w:ind w:left="227" w:hanging="227"/>
      </w:pPr>
      <w:rPr>
        <w:rFonts w:ascii="Times New Roman" w:eastAsia="Times New Roman" w:hAnsi="Times New Roman" w:cs="Times New Roman"/>
      </w:rPr>
    </w:lvl>
    <w:lvl w:ilvl="1" w:tplc="2E527A08">
      <w:start w:val="1"/>
      <w:numFmt w:val="lowerLetter"/>
      <w:lvlText w:val="%2."/>
      <w:lvlJc w:val="left"/>
      <w:pPr>
        <w:ind w:left="1440" w:hanging="360"/>
      </w:pPr>
      <w:rPr>
        <w:rFonts w:ascii="Times New Roman" w:eastAsia="Times New Roman" w:hAnsi="Times New Roman" w:cs="Times New Roman"/>
      </w:rPr>
    </w:lvl>
    <w:lvl w:ilvl="2" w:tplc="1FC29C16">
      <w:start w:val="1"/>
      <w:numFmt w:val="lowerRoman"/>
      <w:lvlText w:val="%3."/>
      <w:lvlJc w:val="right"/>
      <w:pPr>
        <w:ind w:left="2160" w:hanging="180"/>
      </w:pPr>
      <w:rPr>
        <w:rFonts w:ascii="Times New Roman" w:eastAsia="Times New Roman" w:hAnsi="Times New Roman" w:cs="Times New Roman"/>
      </w:rPr>
    </w:lvl>
    <w:lvl w:ilvl="3" w:tplc="9BDCBF6A">
      <w:start w:val="1"/>
      <w:numFmt w:val="decimal"/>
      <w:lvlText w:val="%4."/>
      <w:lvlJc w:val="left"/>
      <w:pPr>
        <w:ind w:left="2880" w:hanging="360"/>
      </w:pPr>
      <w:rPr>
        <w:rFonts w:ascii="Times New Roman" w:eastAsia="Times New Roman" w:hAnsi="Times New Roman" w:cs="Times New Roman"/>
      </w:rPr>
    </w:lvl>
    <w:lvl w:ilvl="4" w:tplc="DC460D3E">
      <w:start w:val="1"/>
      <w:numFmt w:val="lowerLetter"/>
      <w:lvlText w:val="%5."/>
      <w:lvlJc w:val="left"/>
      <w:pPr>
        <w:ind w:left="3600" w:hanging="360"/>
      </w:pPr>
      <w:rPr>
        <w:rFonts w:ascii="Times New Roman" w:eastAsia="Times New Roman" w:hAnsi="Times New Roman" w:cs="Times New Roman"/>
      </w:rPr>
    </w:lvl>
    <w:lvl w:ilvl="5" w:tplc="62443DEC">
      <w:start w:val="1"/>
      <w:numFmt w:val="lowerRoman"/>
      <w:lvlText w:val="%6."/>
      <w:lvlJc w:val="right"/>
      <w:pPr>
        <w:ind w:left="4320" w:hanging="180"/>
      </w:pPr>
      <w:rPr>
        <w:rFonts w:ascii="Times New Roman" w:eastAsia="Times New Roman" w:hAnsi="Times New Roman" w:cs="Times New Roman"/>
      </w:rPr>
    </w:lvl>
    <w:lvl w:ilvl="6" w:tplc="D87A3BD2">
      <w:start w:val="1"/>
      <w:numFmt w:val="decimal"/>
      <w:lvlText w:val="%7."/>
      <w:lvlJc w:val="left"/>
      <w:pPr>
        <w:ind w:left="5040" w:hanging="360"/>
      </w:pPr>
      <w:rPr>
        <w:rFonts w:ascii="Times New Roman" w:eastAsia="Times New Roman" w:hAnsi="Times New Roman" w:cs="Times New Roman"/>
      </w:rPr>
    </w:lvl>
    <w:lvl w:ilvl="7" w:tplc="6896C7A4">
      <w:start w:val="1"/>
      <w:numFmt w:val="lowerLetter"/>
      <w:lvlText w:val="%8."/>
      <w:lvlJc w:val="left"/>
      <w:pPr>
        <w:ind w:left="5760" w:hanging="360"/>
      </w:pPr>
      <w:rPr>
        <w:rFonts w:ascii="Times New Roman" w:eastAsia="Times New Roman" w:hAnsi="Times New Roman" w:cs="Times New Roman"/>
      </w:rPr>
    </w:lvl>
    <w:lvl w:ilvl="8" w:tplc="6B58784A">
      <w:start w:val="1"/>
      <w:numFmt w:val="lowerRoman"/>
      <w:lvlText w:val="%9."/>
      <w:lvlJc w:val="right"/>
      <w:pPr>
        <w:ind w:left="6480" w:hanging="180"/>
      </w:pPr>
      <w:rPr>
        <w:rFonts w:ascii="Times New Roman" w:eastAsia="Times New Roman" w:hAnsi="Times New Roman" w:cs="Times New Roman"/>
      </w:rPr>
    </w:lvl>
  </w:abstractNum>
  <w:abstractNum w:abstractNumId="82" w15:restartNumberingAfterBreak="0">
    <w:nsid w:val="5F533A90"/>
    <w:multiLevelType w:val="multilevel"/>
    <w:tmpl w:val="E05473E8"/>
    <w:lvl w:ilvl="0">
      <w:start w:val="5"/>
      <w:numFmt w:val="decimal"/>
      <w:lvlText w:val="%1."/>
      <w:lvlJc w:val="left"/>
      <w:pPr>
        <w:tabs>
          <w:tab w:val="num" w:pos="1532"/>
        </w:tabs>
        <w:ind w:left="1532" w:hanging="397"/>
      </w:pPr>
      <w:rPr>
        <w:rFonts w:cs="Times New Roman" w:hint="default"/>
      </w:rPr>
    </w:lvl>
    <w:lvl w:ilvl="1">
      <w:start w:val="1"/>
      <w:numFmt w:val="decimal"/>
      <w:lvlText w:val="%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83" w15:restartNumberingAfterBreak="0">
    <w:nsid w:val="60265335"/>
    <w:multiLevelType w:val="hybridMultilevel"/>
    <w:tmpl w:val="BEC65F84"/>
    <w:lvl w:ilvl="0" w:tplc="A3069E2C">
      <w:start w:val="1"/>
      <w:numFmt w:val="lowerLetter"/>
      <w:lvlText w:val="%1)"/>
      <w:lvlJc w:val="left"/>
      <w:pPr>
        <w:ind w:left="227" w:hanging="227"/>
      </w:pPr>
      <w:rPr>
        <w:rFonts w:ascii="Times New Roman" w:eastAsia="Times New Roman" w:hAnsi="Times New Roman" w:cs="Times New Roman"/>
      </w:rPr>
    </w:lvl>
    <w:lvl w:ilvl="1" w:tplc="A170C968">
      <w:start w:val="1"/>
      <w:numFmt w:val="lowerLetter"/>
      <w:lvlText w:val="%2."/>
      <w:lvlJc w:val="left"/>
      <w:pPr>
        <w:ind w:left="1440" w:hanging="360"/>
      </w:pPr>
      <w:rPr>
        <w:rFonts w:ascii="Times New Roman" w:eastAsia="Times New Roman" w:hAnsi="Times New Roman" w:cs="Times New Roman"/>
      </w:rPr>
    </w:lvl>
    <w:lvl w:ilvl="2" w:tplc="1C7AB5D6">
      <w:start w:val="1"/>
      <w:numFmt w:val="lowerRoman"/>
      <w:lvlText w:val="%3."/>
      <w:lvlJc w:val="right"/>
      <w:pPr>
        <w:ind w:left="2160" w:hanging="180"/>
      </w:pPr>
      <w:rPr>
        <w:rFonts w:ascii="Times New Roman" w:eastAsia="Times New Roman" w:hAnsi="Times New Roman" w:cs="Times New Roman"/>
      </w:rPr>
    </w:lvl>
    <w:lvl w:ilvl="3" w:tplc="68C485A4">
      <w:start w:val="1"/>
      <w:numFmt w:val="decimal"/>
      <w:lvlText w:val="%4."/>
      <w:lvlJc w:val="left"/>
      <w:pPr>
        <w:ind w:left="2880" w:hanging="360"/>
      </w:pPr>
      <w:rPr>
        <w:rFonts w:ascii="Times New Roman" w:eastAsia="Times New Roman" w:hAnsi="Times New Roman" w:cs="Times New Roman"/>
      </w:rPr>
    </w:lvl>
    <w:lvl w:ilvl="4" w:tplc="7F2C1A64">
      <w:start w:val="1"/>
      <w:numFmt w:val="lowerLetter"/>
      <w:lvlText w:val="%5."/>
      <w:lvlJc w:val="left"/>
      <w:pPr>
        <w:ind w:left="3600" w:hanging="360"/>
      </w:pPr>
      <w:rPr>
        <w:rFonts w:ascii="Times New Roman" w:eastAsia="Times New Roman" w:hAnsi="Times New Roman" w:cs="Times New Roman"/>
      </w:rPr>
    </w:lvl>
    <w:lvl w:ilvl="5" w:tplc="BDD053E4">
      <w:start w:val="1"/>
      <w:numFmt w:val="lowerRoman"/>
      <w:lvlText w:val="%6."/>
      <w:lvlJc w:val="right"/>
      <w:pPr>
        <w:ind w:left="4320" w:hanging="180"/>
      </w:pPr>
      <w:rPr>
        <w:rFonts w:ascii="Times New Roman" w:eastAsia="Times New Roman" w:hAnsi="Times New Roman" w:cs="Times New Roman"/>
      </w:rPr>
    </w:lvl>
    <w:lvl w:ilvl="6" w:tplc="DAEAC534">
      <w:start w:val="1"/>
      <w:numFmt w:val="decimal"/>
      <w:lvlText w:val="%7."/>
      <w:lvlJc w:val="left"/>
      <w:pPr>
        <w:ind w:left="5040" w:hanging="360"/>
      </w:pPr>
      <w:rPr>
        <w:rFonts w:ascii="Times New Roman" w:eastAsia="Times New Roman" w:hAnsi="Times New Roman" w:cs="Times New Roman"/>
      </w:rPr>
    </w:lvl>
    <w:lvl w:ilvl="7" w:tplc="DEFE5A94">
      <w:start w:val="1"/>
      <w:numFmt w:val="lowerLetter"/>
      <w:lvlText w:val="%8."/>
      <w:lvlJc w:val="left"/>
      <w:pPr>
        <w:ind w:left="5760" w:hanging="360"/>
      </w:pPr>
      <w:rPr>
        <w:rFonts w:ascii="Times New Roman" w:eastAsia="Times New Roman" w:hAnsi="Times New Roman" w:cs="Times New Roman"/>
      </w:rPr>
    </w:lvl>
    <w:lvl w:ilvl="8" w:tplc="60948A3A">
      <w:start w:val="1"/>
      <w:numFmt w:val="lowerRoman"/>
      <w:lvlText w:val="%9."/>
      <w:lvlJc w:val="right"/>
      <w:pPr>
        <w:ind w:left="6480" w:hanging="180"/>
      </w:pPr>
      <w:rPr>
        <w:rFonts w:ascii="Times New Roman" w:eastAsia="Times New Roman" w:hAnsi="Times New Roman" w:cs="Times New Roman"/>
      </w:rPr>
    </w:lvl>
  </w:abstractNum>
  <w:abstractNum w:abstractNumId="84" w15:restartNumberingAfterBreak="0">
    <w:nsid w:val="610F50E1"/>
    <w:multiLevelType w:val="hybridMultilevel"/>
    <w:tmpl w:val="FD4E661A"/>
    <w:lvl w:ilvl="0" w:tplc="7BEEFE0A">
      <w:start w:val="1"/>
      <w:numFmt w:val="decimal"/>
      <w:lvlText w:val="(%1)"/>
      <w:lvlJc w:val="left"/>
      <w:pPr>
        <w:ind w:left="0"/>
      </w:pPr>
      <w:rPr>
        <w:rFonts w:ascii="Times New Roman" w:eastAsia="Times New Roman" w:hAnsi="Times New Roman" w:cs="Times New Roman"/>
      </w:rPr>
    </w:lvl>
    <w:lvl w:ilvl="1" w:tplc="6F56D2F2">
      <w:start w:val="1"/>
      <w:numFmt w:val="bullet"/>
      <w:lvlText w:val="o"/>
      <w:lvlJc w:val="left"/>
      <w:pPr>
        <w:ind w:left="1440" w:hanging="360"/>
      </w:pPr>
      <w:rPr>
        <w:rFonts w:ascii="Courier New" w:eastAsia="Courier New" w:hAnsi="Courier New" w:cs="Courier New" w:hint="default"/>
      </w:rPr>
    </w:lvl>
    <w:lvl w:ilvl="2" w:tplc="37449D28">
      <w:start w:val="1"/>
      <w:numFmt w:val="bullet"/>
      <w:lvlText w:val="§"/>
      <w:lvlJc w:val="left"/>
      <w:pPr>
        <w:ind w:left="2160" w:hanging="360"/>
      </w:pPr>
      <w:rPr>
        <w:rFonts w:ascii="Wingdings" w:eastAsia="Wingdings" w:hAnsi="Wingdings" w:cs="Wingdings" w:hint="default"/>
      </w:rPr>
    </w:lvl>
    <w:lvl w:ilvl="3" w:tplc="9F0AC824">
      <w:start w:val="1"/>
      <w:numFmt w:val="bullet"/>
      <w:lvlText w:val="·"/>
      <w:lvlJc w:val="left"/>
      <w:pPr>
        <w:ind w:left="2880" w:hanging="360"/>
      </w:pPr>
      <w:rPr>
        <w:rFonts w:ascii="Symbol" w:eastAsia="Symbol" w:hAnsi="Symbol" w:cs="Symbol" w:hint="default"/>
      </w:rPr>
    </w:lvl>
    <w:lvl w:ilvl="4" w:tplc="C8CE23C6">
      <w:start w:val="1"/>
      <w:numFmt w:val="bullet"/>
      <w:lvlText w:val="o"/>
      <w:lvlJc w:val="left"/>
      <w:pPr>
        <w:ind w:left="3600" w:hanging="360"/>
      </w:pPr>
      <w:rPr>
        <w:rFonts w:ascii="Courier New" w:eastAsia="Courier New" w:hAnsi="Courier New" w:cs="Courier New" w:hint="default"/>
      </w:rPr>
    </w:lvl>
    <w:lvl w:ilvl="5" w:tplc="AC40B510">
      <w:start w:val="1"/>
      <w:numFmt w:val="bullet"/>
      <w:lvlText w:val="§"/>
      <w:lvlJc w:val="left"/>
      <w:pPr>
        <w:ind w:left="4320" w:hanging="360"/>
      </w:pPr>
      <w:rPr>
        <w:rFonts w:ascii="Wingdings" w:eastAsia="Wingdings" w:hAnsi="Wingdings" w:cs="Wingdings" w:hint="default"/>
      </w:rPr>
    </w:lvl>
    <w:lvl w:ilvl="6" w:tplc="C5BA0350">
      <w:start w:val="1"/>
      <w:numFmt w:val="bullet"/>
      <w:lvlText w:val="·"/>
      <w:lvlJc w:val="left"/>
      <w:pPr>
        <w:ind w:left="5040" w:hanging="360"/>
      </w:pPr>
      <w:rPr>
        <w:rFonts w:ascii="Symbol" w:eastAsia="Symbol" w:hAnsi="Symbol" w:cs="Symbol" w:hint="default"/>
      </w:rPr>
    </w:lvl>
    <w:lvl w:ilvl="7" w:tplc="6CBCE9C8">
      <w:start w:val="1"/>
      <w:numFmt w:val="bullet"/>
      <w:lvlText w:val="o"/>
      <w:lvlJc w:val="left"/>
      <w:pPr>
        <w:ind w:left="5760" w:hanging="360"/>
      </w:pPr>
      <w:rPr>
        <w:rFonts w:ascii="Courier New" w:eastAsia="Courier New" w:hAnsi="Courier New" w:cs="Courier New" w:hint="default"/>
      </w:rPr>
    </w:lvl>
    <w:lvl w:ilvl="8" w:tplc="2174BDFA">
      <w:start w:val="1"/>
      <w:numFmt w:val="bullet"/>
      <w:lvlText w:val="§"/>
      <w:lvlJc w:val="left"/>
      <w:pPr>
        <w:ind w:left="6480" w:hanging="360"/>
      </w:pPr>
      <w:rPr>
        <w:rFonts w:ascii="Wingdings" w:eastAsia="Wingdings" w:hAnsi="Wingdings" w:cs="Wingdings" w:hint="default"/>
      </w:rPr>
    </w:lvl>
  </w:abstractNum>
  <w:abstractNum w:abstractNumId="85" w15:restartNumberingAfterBreak="0">
    <w:nsid w:val="62E82F33"/>
    <w:multiLevelType w:val="hybridMultilevel"/>
    <w:tmpl w:val="FB161714"/>
    <w:lvl w:ilvl="0" w:tplc="AAEC8F30">
      <w:start w:val="1"/>
      <w:numFmt w:val="lowerLetter"/>
      <w:lvlText w:val="%1)"/>
      <w:lvlJc w:val="left"/>
      <w:pPr>
        <w:ind w:left="720" w:hanging="360"/>
      </w:pPr>
      <w:rPr>
        <w:rFonts w:ascii="Times New Roman" w:eastAsia="Times New Roman" w:hAnsi="Times New Roman" w:cs="Times New Roman"/>
      </w:rPr>
    </w:lvl>
    <w:lvl w:ilvl="1" w:tplc="8D86AEAE">
      <w:start w:val="1"/>
      <w:numFmt w:val="lowerLetter"/>
      <w:lvlText w:val="%2."/>
      <w:lvlJc w:val="left"/>
      <w:pPr>
        <w:ind w:left="1440" w:hanging="360"/>
      </w:pPr>
      <w:rPr>
        <w:rFonts w:ascii="Times New Roman" w:eastAsia="Times New Roman" w:hAnsi="Times New Roman" w:cs="Times New Roman"/>
      </w:rPr>
    </w:lvl>
    <w:lvl w:ilvl="2" w:tplc="F6641FCC">
      <w:start w:val="1"/>
      <w:numFmt w:val="lowerRoman"/>
      <w:lvlText w:val="%3."/>
      <w:lvlJc w:val="right"/>
      <w:pPr>
        <w:ind w:left="2160" w:hanging="180"/>
      </w:pPr>
      <w:rPr>
        <w:rFonts w:ascii="Times New Roman" w:eastAsia="Times New Roman" w:hAnsi="Times New Roman" w:cs="Times New Roman"/>
      </w:rPr>
    </w:lvl>
    <w:lvl w:ilvl="3" w:tplc="1FB49BB6">
      <w:start w:val="1"/>
      <w:numFmt w:val="decimal"/>
      <w:lvlText w:val="%4."/>
      <w:lvlJc w:val="left"/>
      <w:pPr>
        <w:ind w:left="2880" w:hanging="360"/>
      </w:pPr>
      <w:rPr>
        <w:rFonts w:ascii="Times New Roman" w:eastAsia="Times New Roman" w:hAnsi="Times New Roman" w:cs="Times New Roman"/>
      </w:rPr>
    </w:lvl>
    <w:lvl w:ilvl="4" w:tplc="369C58E2">
      <w:start w:val="1"/>
      <w:numFmt w:val="lowerLetter"/>
      <w:lvlText w:val="%5."/>
      <w:lvlJc w:val="left"/>
      <w:pPr>
        <w:ind w:left="3600" w:hanging="360"/>
      </w:pPr>
      <w:rPr>
        <w:rFonts w:ascii="Times New Roman" w:eastAsia="Times New Roman" w:hAnsi="Times New Roman" w:cs="Times New Roman"/>
      </w:rPr>
    </w:lvl>
    <w:lvl w:ilvl="5" w:tplc="5A5E325A">
      <w:start w:val="1"/>
      <w:numFmt w:val="lowerRoman"/>
      <w:lvlText w:val="%6."/>
      <w:lvlJc w:val="right"/>
      <w:pPr>
        <w:ind w:left="4320" w:hanging="180"/>
      </w:pPr>
      <w:rPr>
        <w:rFonts w:ascii="Times New Roman" w:eastAsia="Times New Roman" w:hAnsi="Times New Roman" w:cs="Times New Roman"/>
      </w:rPr>
    </w:lvl>
    <w:lvl w:ilvl="6" w:tplc="F83A6F04">
      <w:start w:val="1"/>
      <w:numFmt w:val="decimal"/>
      <w:lvlText w:val="%7."/>
      <w:lvlJc w:val="left"/>
      <w:pPr>
        <w:ind w:left="5040" w:hanging="360"/>
      </w:pPr>
      <w:rPr>
        <w:rFonts w:ascii="Times New Roman" w:eastAsia="Times New Roman" w:hAnsi="Times New Roman" w:cs="Times New Roman"/>
      </w:rPr>
    </w:lvl>
    <w:lvl w:ilvl="7" w:tplc="8C36642E">
      <w:start w:val="1"/>
      <w:numFmt w:val="lowerLetter"/>
      <w:lvlText w:val="%8."/>
      <w:lvlJc w:val="left"/>
      <w:pPr>
        <w:ind w:left="5760" w:hanging="360"/>
      </w:pPr>
      <w:rPr>
        <w:rFonts w:ascii="Times New Roman" w:eastAsia="Times New Roman" w:hAnsi="Times New Roman" w:cs="Times New Roman"/>
      </w:rPr>
    </w:lvl>
    <w:lvl w:ilvl="8" w:tplc="B6B24D50">
      <w:start w:val="1"/>
      <w:numFmt w:val="lowerRoman"/>
      <w:lvlText w:val="%9."/>
      <w:lvlJc w:val="right"/>
      <w:pPr>
        <w:ind w:left="6480" w:hanging="180"/>
      </w:pPr>
      <w:rPr>
        <w:rFonts w:ascii="Times New Roman" w:eastAsia="Times New Roman" w:hAnsi="Times New Roman" w:cs="Times New Roman"/>
      </w:rPr>
    </w:lvl>
  </w:abstractNum>
  <w:abstractNum w:abstractNumId="86" w15:restartNumberingAfterBreak="0">
    <w:nsid w:val="635F6FCC"/>
    <w:multiLevelType w:val="hybridMultilevel"/>
    <w:tmpl w:val="88D49E7A"/>
    <w:lvl w:ilvl="0" w:tplc="5E28BB70">
      <w:start w:val="1"/>
      <w:numFmt w:val="lowerLetter"/>
      <w:lvlText w:val="%1)"/>
      <w:lvlJc w:val="left"/>
      <w:pPr>
        <w:ind w:left="227" w:hanging="227"/>
      </w:pPr>
      <w:rPr>
        <w:rFonts w:ascii="Times New Roman" w:eastAsia="Times New Roman" w:hAnsi="Times New Roman" w:cs="Times New Roman"/>
      </w:rPr>
    </w:lvl>
    <w:lvl w:ilvl="1" w:tplc="42426CA8">
      <w:start w:val="1"/>
      <w:numFmt w:val="lowerLetter"/>
      <w:lvlText w:val="%2."/>
      <w:lvlJc w:val="left"/>
      <w:pPr>
        <w:ind w:left="1440" w:hanging="360"/>
      </w:pPr>
      <w:rPr>
        <w:rFonts w:ascii="Times New Roman" w:eastAsia="Times New Roman" w:hAnsi="Times New Roman" w:cs="Times New Roman"/>
      </w:rPr>
    </w:lvl>
    <w:lvl w:ilvl="2" w:tplc="EE70E764">
      <w:start w:val="1"/>
      <w:numFmt w:val="lowerRoman"/>
      <w:lvlText w:val="%3."/>
      <w:lvlJc w:val="right"/>
      <w:pPr>
        <w:ind w:left="2160" w:hanging="180"/>
      </w:pPr>
      <w:rPr>
        <w:rFonts w:ascii="Times New Roman" w:eastAsia="Times New Roman" w:hAnsi="Times New Roman" w:cs="Times New Roman"/>
      </w:rPr>
    </w:lvl>
    <w:lvl w:ilvl="3" w:tplc="7062D892">
      <w:start w:val="1"/>
      <w:numFmt w:val="decimal"/>
      <w:lvlText w:val="%4."/>
      <w:lvlJc w:val="left"/>
      <w:pPr>
        <w:ind w:left="2880" w:hanging="360"/>
      </w:pPr>
      <w:rPr>
        <w:rFonts w:ascii="Times New Roman" w:eastAsia="Times New Roman" w:hAnsi="Times New Roman" w:cs="Times New Roman"/>
      </w:rPr>
    </w:lvl>
    <w:lvl w:ilvl="4" w:tplc="14AC6BEE">
      <w:start w:val="1"/>
      <w:numFmt w:val="lowerLetter"/>
      <w:lvlText w:val="%5."/>
      <w:lvlJc w:val="left"/>
      <w:pPr>
        <w:ind w:left="3600" w:hanging="360"/>
      </w:pPr>
      <w:rPr>
        <w:rFonts w:ascii="Times New Roman" w:eastAsia="Times New Roman" w:hAnsi="Times New Roman" w:cs="Times New Roman"/>
      </w:rPr>
    </w:lvl>
    <w:lvl w:ilvl="5" w:tplc="235ABA0A">
      <w:start w:val="1"/>
      <w:numFmt w:val="lowerRoman"/>
      <w:lvlText w:val="%6."/>
      <w:lvlJc w:val="right"/>
      <w:pPr>
        <w:ind w:left="4320" w:hanging="180"/>
      </w:pPr>
      <w:rPr>
        <w:rFonts w:ascii="Times New Roman" w:eastAsia="Times New Roman" w:hAnsi="Times New Roman" w:cs="Times New Roman"/>
      </w:rPr>
    </w:lvl>
    <w:lvl w:ilvl="6" w:tplc="84B0C6EE">
      <w:start w:val="1"/>
      <w:numFmt w:val="decimal"/>
      <w:lvlText w:val="%7."/>
      <w:lvlJc w:val="left"/>
      <w:pPr>
        <w:ind w:left="5040" w:hanging="360"/>
      </w:pPr>
      <w:rPr>
        <w:rFonts w:ascii="Times New Roman" w:eastAsia="Times New Roman" w:hAnsi="Times New Roman" w:cs="Times New Roman"/>
      </w:rPr>
    </w:lvl>
    <w:lvl w:ilvl="7" w:tplc="13CE2DA0">
      <w:start w:val="1"/>
      <w:numFmt w:val="lowerLetter"/>
      <w:lvlText w:val="%8."/>
      <w:lvlJc w:val="left"/>
      <w:pPr>
        <w:ind w:left="5760" w:hanging="360"/>
      </w:pPr>
      <w:rPr>
        <w:rFonts w:ascii="Times New Roman" w:eastAsia="Times New Roman" w:hAnsi="Times New Roman" w:cs="Times New Roman"/>
      </w:rPr>
    </w:lvl>
    <w:lvl w:ilvl="8" w:tplc="B9101A4A">
      <w:start w:val="1"/>
      <w:numFmt w:val="lowerRoman"/>
      <w:lvlText w:val="%9."/>
      <w:lvlJc w:val="right"/>
      <w:pPr>
        <w:ind w:left="6480" w:hanging="180"/>
      </w:pPr>
      <w:rPr>
        <w:rFonts w:ascii="Times New Roman" w:eastAsia="Times New Roman" w:hAnsi="Times New Roman" w:cs="Times New Roman"/>
      </w:rPr>
    </w:lvl>
  </w:abstractNum>
  <w:abstractNum w:abstractNumId="87" w15:restartNumberingAfterBreak="0">
    <w:nsid w:val="6570396C"/>
    <w:multiLevelType w:val="hybridMultilevel"/>
    <w:tmpl w:val="42B8E9E4"/>
    <w:lvl w:ilvl="0" w:tplc="8C8699BA">
      <w:start w:val="1"/>
      <w:numFmt w:val="decimal"/>
      <w:lvlText w:val="·"/>
      <w:lvlJc w:val="left"/>
      <w:pPr>
        <w:ind w:left="0"/>
      </w:pPr>
      <w:rPr>
        <w:rFonts w:ascii="Times New Roman" w:eastAsia="Times New Roman" w:hAnsi="Times New Roman" w:cs="Times New Roman"/>
      </w:rPr>
    </w:lvl>
    <w:lvl w:ilvl="1" w:tplc="072449BE">
      <w:numFmt w:val="decimal"/>
      <w:lvlText w:val="o"/>
      <w:lvlJc w:val="left"/>
      <w:pPr>
        <w:ind w:left="0"/>
      </w:pPr>
      <w:rPr>
        <w:rFonts w:ascii="Times New Roman" w:eastAsia="Times New Roman" w:hAnsi="Times New Roman" w:cs="Times New Roman"/>
      </w:rPr>
    </w:lvl>
    <w:lvl w:ilvl="2" w:tplc="853A9C7E">
      <w:numFmt w:val="decimal"/>
      <w:lvlText w:val="§"/>
      <w:lvlJc w:val="left"/>
      <w:pPr>
        <w:ind w:left="0"/>
      </w:pPr>
      <w:rPr>
        <w:rFonts w:ascii="Times New Roman" w:eastAsia="Times New Roman" w:hAnsi="Times New Roman" w:cs="Times New Roman"/>
      </w:rPr>
    </w:lvl>
    <w:lvl w:ilvl="3" w:tplc="F78C8122">
      <w:numFmt w:val="decimal"/>
      <w:lvlText w:val="·"/>
      <w:lvlJc w:val="left"/>
      <w:pPr>
        <w:ind w:left="0"/>
      </w:pPr>
      <w:rPr>
        <w:rFonts w:ascii="Times New Roman" w:eastAsia="Times New Roman" w:hAnsi="Times New Roman" w:cs="Times New Roman"/>
      </w:rPr>
    </w:lvl>
    <w:lvl w:ilvl="4" w:tplc="839A3F12">
      <w:numFmt w:val="decimal"/>
      <w:lvlText w:val="o"/>
      <w:lvlJc w:val="left"/>
      <w:pPr>
        <w:ind w:left="0"/>
      </w:pPr>
      <w:rPr>
        <w:rFonts w:ascii="Times New Roman" w:eastAsia="Times New Roman" w:hAnsi="Times New Roman" w:cs="Times New Roman"/>
      </w:rPr>
    </w:lvl>
    <w:lvl w:ilvl="5" w:tplc="E5EAEE7C">
      <w:numFmt w:val="decimal"/>
      <w:lvlText w:val="§"/>
      <w:lvlJc w:val="left"/>
      <w:pPr>
        <w:ind w:left="0"/>
      </w:pPr>
      <w:rPr>
        <w:rFonts w:ascii="Times New Roman" w:eastAsia="Times New Roman" w:hAnsi="Times New Roman" w:cs="Times New Roman"/>
      </w:rPr>
    </w:lvl>
    <w:lvl w:ilvl="6" w:tplc="AEAA5874">
      <w:numFmt w:val="decimal"/>
      <w:lvlText w:val="·"/>
      <w:lvlJc w:val="left"/>
      <w:pPr>
        <w:ind w:left="0"/>
      </w:pPr>
      <w:rPr>
        <w:rFonts w:ascii="Times New Roman" w:eastAsia="Times New Roman" w:hAnsi="Times New Roman" w:cs="Times New Roman"/>
      </w:rPr>
    </w:lvl>
    <w:lvl w:ilvl="7" w:tplc="B92073A0">
      <w:numFmt w:val="decimal"/>
      <w:lvlText w:val="o"/>
      <w:lvlJc w:val="left"/>
      <w:pPr>
        <w:ind w:left="0"/>
      </w:pPr>
      <w:rPr>
        <w:rFonts w:ascii="Times New Roman" w:eastAsia="Times New Roman" w:hAnsi="Times New Roman" w:cs="Times New Roman"/>
      </w:rPr>
    </w:lvl>
    <w:lvl w:ilvl="8" w:tplc="2F902738">
      <w:numFmt w:val="decimal"/>
      <w:lvlText w:val="§"/>
      <w:lvlJc w:val="left"/>
      <w:pPr>
        <w:ind w:left="0"/>
      </w:pPr>
      <w:rPr>
        <w:rFonts w:ascii="Times New Roman" w:eastAsia="Times New Roman" w:hAnsi="Times New Roman" w:cs="Times New Roman"/>
      </w:rPr>
    </w:lvl>
  </w:abstractNum>
  <w:abstractNum w:abstractNumId="88" w15:restartNumberingAfterBreak="0">
    <w:nsid w:val="665101CC"/>
    <w:multiLevelType w:val="hybridMultilevel"/>
    <w:tmpl w:val="01A0CC96"/>
    <w:lvl w:ilvl="0" w:tplc="35B4AF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B8E8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96E0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54E8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CA7D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622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FC59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6E3EA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96ED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67A21C7"/>
    <w:multiLevelType w:val="multilevel"/>
    <w:tmpl w:val="7436CD5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644"/>
        </w:tabs>
        <w:ind w:left="64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0" w15:restartNumberingAfterBreak="0">
    <w:nsid w:val="69720894"/>
    <w:multiLevelType w:val="hybridMultilevel"/>
    <w:tmpl w:val="AE5CA7AE"/>
    <w:lvl w:ilvl="0" w:tplc="3AE01576">
      <w:start w:val="1"/>
      <w:numFmt w:val="lowerLetter"/>
      <w:lvlText w:val="%1)"/>
      <w:lvlJc w:val="left"/>
      <w:pPr>
        <w:ind w:left="227" w:hanging="227"/>
      </w:pPr>
      <w:rPr>
        <w:rFonts w:ascii="Times New Roman" w:eastAsia="Times New Roman" w:hAnsi="Times New Roman" w:cs="Times New Roman"/>
      </w:rPr>
    </w:lvl>
    <w:lvl w:ilvl="1" w:tplc="BB92502A">
      <w:start w:val="1"/>
      <w:numFmt w:val="lowerLetter"/>
      <w:lvlText w:val="%2."/>
      <w:lvlJc w:val="left"/>
      <w:pPr>
        <w:ind w:left="1440" w:hanging="360"/>
      </w:pPr>
      <w:rPr>
        <w:rFonts w:ascii="Times New Roman" w:eastAsia="Times New Roman" w:hAnsi="Times New Roman" w:cs="Times New Roman"/>
      </w:rPr>
    </w:lvl>
    <w:lvl w:ilvl="2" w:tplc="F2B0D5C8">
      <w:start w:val="1"/>
      <w:numFmt w:val="lowerRoman"/>
      <w:lvlText w:val="%3."/>
      <w:lvlJc w:val="right"/>
      <w:pPr>
        <w:ind w:left="2160" w:hanging="180"/>
      </w:pPr>
      <w:rPr>
        <w:rFonts w:ascii="Times New Roman" w:eastAsia="Times New Roman" w:hAnsi="Times New Roman" w:cs="Times New Roman"/>
      </w:rPr>
    </w:lvl>
    <w:lvl w:ilvl="3" w:tplc="F80804DE">
      <w:start w:val="1"/>
      <w:numFmt w:val="decimal"/>
      <w:lvlText w:val="%4."/>
      <w:lvlJc w:val="left"/>
      <w:pPr>
        <w:ind w:left="2880" w:hanging="360"/>
      </w:pPr>
      <w:rPr>
        <w:rFonts w:ascii="Times New Roman" w:eastAsia="Times New Roman" w:hAnsi="Times New Roman" w:cs="Times New Roman"/>
      </w:rPr>
    </w:lvl>
    <w:lvl w:ilvl="4" w:tplc="17FA34F0">
      <w:start w:val="1"/>
      <w:numFmt w:val="lowerLetter"/>
      <w:lvlText w:val="%5."/>
      <w:lvlJc w:val="left"/>
      <w:pPr>
        <w:ind w:left="3600" w:hanging="360"/>
      </w:pPr>
      <w:rPr>
        <w:rFonts w:ascii="Times New Roman" w:eastAsia="Times New Roman" w:hAnsi="Times New Roman" w:cs="Times New Roman"/>
      </w:rPr>
    </w:lvl>
    <w:lvl w:ilvl="5" w:tplc="263AD584">
      <w:start w:val="1"/>
      <w:numFmt w:val="lowerRoman"/>
      <w:lvlText w:val="%6."/>
      <w:lvlJc w:val="right"/>
      <w:pPr>
        <w:ind w:left="4320" w:hanging="180"/>
      </w:pPr>
      <w:rPr>
        <w:rFonts w:ascii="Times New Roman" w:eastAsia="Times New Roman" w:hAnsi="Times New Roman" w:cs="Times New Roman"/>
      </w:rPr>
    </w:lvl>
    <w:lvl w:ilvl="6" w:tplc="AA7E4B9E">
      <w:start w:val="1"/>
      <w:numFmt w:val="decimal"/>
      <w:lvlText w:val="%7."/>
      <w:lvlJc w:val="left"/>
      <w:pPr>
        <w:ind w:left="5040" w:hanging="360"/>
      </w:pPr>
      <w:rPr>
        <w:rFonts w:ascii="Times New Roman" w:eastAsia="Times New Roman" w:hAnsi="Times New Roman" w:cs="Times New Roman"/>
      </w:rPr>
    </w:lvl>
    <w:lvl w:ilvl="7" w:tplc="680056FA">
      <w:start w:val="1"/>
      <w:numFmt w:val="lowerLetter"/>
      <w:lvlText w:val="%8."/>
      <w:lvlJc w:val="left"/>
      <w:pPr>
        <w:ind w:left="5760" w:hanging="360"/>
      </w:pPr>
      <w:rPr>
        <w:rFonts w:ascii="Times New Roman" w:eastAsia="Times New Roman" w:hAnsi="Times New Roman" w:cs="Times New Roman"/>
      </w:rPr>
    </w:lvl>
    <w:lvl w:ilvl="8" w:tplc="43DA506E">
      <w:start w:val="1"/>
      <w:numFmt w:val="lowerRoman"/>
      <w:lvlText w:val="%9."/>
      <w:lvlJc w:val="right"/>
      <w:pPr>
        <w:ind w:left="6480" w:hanging="180"/>
      </w:pPr>
      <w:rPr>
        <w:rFonts w:ascii="Times New Roman" w:eastAsia="Times New Roman" w:hAnsi="Times New Roman" w:cs="Times New Roman"/>
      </w:rPr>
    </w:lvl>
  </w:abstractNum>
  <w:abstractNum w:abstractNumId="91" w15:restartNumberingAfterBreak="0">
    <w:nsid w:val="6A062B11"/>
    <w:multiLevelType w:val="hybridMultilevel"/>
    <w:tmpl w:val="B25CFAD2"/>
    <w:lvl w:ilvl="0" w:tplc="1098ECE4">
      <w:start w:val="1"/>
      <w:numFmt w:val="decimal"/>
      <w:lvlText w:val="·"/>
      <w:lvlJc w:val="left"/>
      <w:pPr>
        <w:ind w:left="0"/>
      </w:pPr>
      <w:rPr>
        <w:rFonts w:ascii="Times New Roman" w:eastAsia="Times New Roman" w:hAnsi="Times New Roman" w:cs="Times New Roman"/>
      </w:rPr>
    </w:lvl>
    <w:lvl w:ilvl="1" w:tplc="AB50AB5C">
      <w:numFmt w:val="decimal"/>
      <w:lvlText w:val="o"/>
      <w:lvlJc w:val="left"/>
      <w:pPr>
        <w:ind w:left="0"/>
      </w:pPr>
      <w:rPr>
        <w:rFonts w:ascii="Times New Roman" w:eastAsia="Times New Roman" w:hAnsi="Times New Roman" w:cs="Times New Roman"/>
      </w:rPr>
    </w:lvl>
    <w:lvl w:ilvl="2" w:tplc="8F14932C">
      <w:numFmt w:val="decimal"/>
      <w:lvlText w:val="§"/>
      <w:lvlJc w:val="left"/>
      <w:pPr>
        <w:ind w:left="0"/>
      </w:pPr>
      <w:rPr>
        <w:rFonts w:ascii="Times New Roman" w:eastAsia="Times New Roman" w:hAnsi="Times New Roman" w:cs="Times New Roman"/>
      </w:rPr>
    </w:lvl>
    <w:lvl w:ilvl="3" w:tplc="A2120240">
      <w:numFmt w:val="decimal"/>
      <w:lvlText w:val="·"/>
      <w:lvlJc w:val="left"/>
      <w:pPr>
        <w:ind w:left="0"/>
      </w:pPr>
      <w:rPr>
        <w:rFonts w:ascii="Times New Roman" w:eastAsia="Times New Roman" w:hAnsi="Times New Roman" w:cs="Times New Roman"/>
      </w:rPr>
    </w:lvl>
    <w:lvl w:ilvl="4" w:tplc="CE181568">
      <w:numFmt w:val="decimal"/>
      <w:lvlText w:val="o"/>
      <w:lvlJc w:val="left"/>
      <w:pPr>
        <w:ind w:left="0"/>
      </w:pPr>
      <w:rPr>
        <w:rFonts w:ascii="Times New Roman" w:eastAsia="Times New Roman" w:hAnsi="Times New Roman" w:cs="Times New Roman"/>
      </w:rPr>
    </w:lvl>
    <w:lvl w:ilvl="5" w:tplc="853E217E">
      <w:numFmt w:val="decimal"/>
      <w:lvlText w:val="§"/>
      <w:lvlJc w:val="left"/>
      <w:pPr>
        <w:ind w:left="0"/>
      </w:pPr>
      <w:rPr>
        <w:rFonts w:ascii="Times New Roman" w:eastAsia="Times New Roman" w:hAnsi="Times New Roman" w:cs="Times New Roman"/>
      </w:rPr>
    </w:lvl>
    <w:lvl w:ilvl="6" w:tplc="5AE68ACE">
      <w:numFmt w:val="decimal"/>
      <w:lvlText w:val="·"/>
      <w:lvlJc w:val="left"/>
      <w:pPr>
        <w:ind w:left="0"/>
      </w:pPr>
      <w:rPr>
        <w:rFonts w:ascii="Times New Roman" w:eastAsia="Times New Roman" w:hAnsi="Times New Roman" w:cs="Times New Roman"/>
      </w:rPr>
    </w:lvl>
    <w:lvl w:ilvl="7" w:tplc="8730D33A">
      <w:numFmt w:val="decimal"/>
      <w:lvlText w:val="o"/>
      <w:lvlJc w:val="left"/>
      <w:pPr>
        <w:ind w:left="0"/>
      </w:pPr>
      <w:rPr>
        <w:rFonts w:ascii="Times New Roman" w:eastAsia="Times New Roman" w:hAnsi="Times New Roman" w:cs="Times New Roman"/>
      </w:rPr>
    </w:lvl>
    <w:lvl w:ilvl="8" w:tplc="EF203F44">
      <w:numFmt w:val="decimal"/>
      <w:lvlText w:val="§"/>
      <w:lvlJc w:val="left"/>
      <w:pPr>
        <w:ind w:left="0"/>
      </w:pPr>
      <w:rPr>
        <w:rFonts w:ascii="Times New Roman" w:eastAsia="Times New Roman" w:hAnsi="Times New Roman" w:cs="Times New Roman"/>
      </w:rPr>
    </w:lvl>
  </w:abstractNum>
  <w:abstractNum w:abstractNumId="92" w15:restartNumberingAfterBreak="0">
    <w:nsid w:val="6BBE31B0"/>
    <w:multiLevelType w:val="hybridMultilevel"/>
    <w:tmpl w:val="D19A997C"/>
    <w:lvl w:ilvl="0" w:tplc="AFC22114">
      <w:start w:val="1"/>
      <w:numFmt w:val="decimal"/>
      <w:lvlText w:val="·"/>
      <w:lvlJc w:val="left"/>
      <w:pPr>
        <w:ind w:left="0"/>
      </w:pPr>
      <w:rPr>
        <w:rFonts w:ascii="Times New Roman" w:eastAsia="Times New Roman" w:hAnsi="Times New Roman" w:cs="Times New Roman"/>
      </w:rPr>
    </w:lvl>
    <w:lvl w:ilvl="1" w:tplc="77F44C02">
      <w:numFmt w:val="decimal"/>
      <w:lvlText w:val="o"/>
      <w:lvlJc w:val="left"/>
      <w:pPr>
        <w:ind w:left="0"/>
      </w:pPr>
      <w:rPr>
        <w:rFonts w:ascii="Times New Roman" w:eastAsia="Times New Roman" w:hAnsi="Times New Roman" w:cs="Times New Roman"/>
      </w:rPr>
    </w:lvl>
    <w:lvl w:ilvl="2" w:tplc="6BB0AA88">
      <w:numFmt w:val="decimal"/>
      <w:lvlText w:val="§"/>
      <w:lvlJc w:val="left"/>
      <w:pPr>
        <w:ind w:left="0"/>
      </w:pPr>
      <w:rPr>
        <w:rFonts w:ascii="Times New Roman" w:eastAsia="Times New Roman" w:hAnsi="Times New Roman" w:cs="Times New Roman"/>
      </w:rPr>
    </w:lvl>
    <w:lvl w:ilvl="3" w:tplc="BE94CF74">
      <w:numFmt w:val="decimal"/>
      <w:lvlText w:val="·"/>
      <w:lvlJc w:val="left"/>
      <w:pPr>
        <w:ind w:left="0"/>
      </w:pPr>
      <w:rPr>
        <w:rFonts w:ascii="Times New Roman" w:eastAsia="Times New Roman" w:hAnsi="Times New Roman" w:cs="Times New Roman"/>
      </w:rPr>
    </w:lvl>
    <w:lvl w:ilvl="4" w:tplc="21A4D444">
      <w:numFmt w:val="decimal"/>
      <w:lvlText w:val="o"/>
      <w:lvlJc w:val="left"/>
      <w:pPr>
        <w:ind w:left="0"/>
      </w:pPr>
      <w:rPr>
        <w:rFonts w:ascii="Times New Roman" w:eastAsia="Times New Roman" w:hAnsi="Times New Roman" w:cs="Times New Roman"/>
      </w:rPr>
    </w:lvl>
    <w:lvl w:ilvl="5" w:tplc="CC9C151C">
      <w:numFmt w:val="decimal"/>
      <w:lvlText w:val="§"/>
      <w:lvlJc w:val="left"/>
      <w:pPr>
        <w:ind w:left="0"/>
      </w:pPr>
      <w:rPr>
        <w:rFonts w:ascii="Times New Roman" w:eastAsia="Times New Roman" w:hAnsi="Times New Roman" w:cs="Times New Roman"/>
      </w:rPr>
    </w:lvl>
    <w:lvl w:ilvl="6" w:tplc="15F6CF44">
      <w:numFmt w:val="decimal"/>
      <w:lvlText w:val="·"/>
      <w:lvlJc w:val="left"/>
      <w:pPr>
        <w:ind w:left="0"/>
      </w:pPr>
      <w:rPr>
        <w:rFonts w:ascii="Times New Roman" w:eastAsia="Times New Roman" w:hAnsi="Times New Roman" w:cs="Times New Roman"/>
      </w:rPr>
    </w:lvl>
    <w:lvl w:ilvl="7" w:tplc="F934D058">
      <w:numFmt w:val="decimal"/>
      <w:lvlText w:val="o"/>
      <w:lvlJc w:val="left"/>
      <w:pPr>
        <w:ind w:left="0"/>
      </w:pPr>
      <w:rPr>
        <w:rFonts w:ascii="Times New Roman" w:eastAsia="Times New Roman" w:hAnsi="Times New Roman" w:cs="Times New Roman"/>
      </w:rPr>
    </w:lvl>
    <w:lvl w:ilvl="8" w:tplc="656C4430">
      <w:numFmt w:val="decimal"/>
      <w:lvlText w:val="§"/>
      <w:lvlJc w:val="left"/>
      <w:pPr>
        <w:ind w:left="0"/>
      </w:pPr>
      <w:rPr>
        <w:rFonts w:ascii="Times New Roman" w:eastAsia="Times New Roman" w:hAnsi="Times New Roman" w:cs="Times New Roman"/>
      </w:rPr>
    </w:lvl>
  </w:abstractNum>
  <w:abstractNum w:abstractNumId="93" w15:restartNumberingAfterBreak="0">
    <w:nsid w:val="6CCE5F4B"/>
    <w:multiLevelType w:val="hybridMultilevel"/>
    <w:tmpl w:val="2228C992"/>
    <w:lvl w:ilvl="0" w:tplc="A4F4BABE">
      <w:start w:val="1"/>
      <w:numFmt w:val="lowerLetter"/>
      <w:lvlText w:val="%1)"/>
      <w:lvlJc w:val="left"/>
      <w:pPr>
        <w:ind w:left="227" w:hanging="227"/>
      </w:pPr>
      <w:rPr>
        <w:rFonts w:ascii="Times New Roman" w:eastAsia="Times New Roman" w:hAnsi="Times New Roman" w:cs="Times New Roman"/>
      </w:rPr>
    </w:lvl>
    <w:lvl w:ilvl="1" w:tplc="B9D0F5F8">
      <w:start w:val="1"/>
      <w:numFmt w:val="lowerLetter"/>
      <w:lvlText w:val="%2."/>
      <w:lvlJc w:val="left"/>
      <w:pPr>
        <w:ind w:left="1440" w:hanging="360"/>
      </w:pPr>
      <w:rPr>
        <w:rFonts w:ascii="Times New Roman" w:eastAsia="Times New Roman" w:hAnsi="Times New Roman" w:cs="Times New Roman"/>
      </w:rPr>
    </w:lvl>
    <w:lvl w:ilvl="2" w:tplc="EAC2A8A8">
      <w:start w:val="1"/>
      <w:numFmt w:val="lowerRoman"/>
      <w:lvlText w:val="%3."/>
      <w:lvlJc w:val="right"/>
      <w:pPr>
        <w:ind w:left="2160" w:hanging="180"/>
      </w:pPr>
      <w:rPr>
        <w:rFonts w:ascii="Times New Roman" w:eastAsia="Times New Roman" w:hAnsi="Times New Roman" w:cs="Times New Roman"/>
      </w:rPr>
    </w:lvl>
    <w:lvl w:ilvl="3" w:tplc="D8281DC8">
      <w:start w:val="1"/>
      <w:numFmt w:val="decimal"/>
      <w:lvlText w:val="%4."/>
      <w:lvlJc w:val="left"/>
      <w:pPr>
        <w:ind w:left="2880" w:hanging="360"/>
      </w:pPr>
      <w:rPr>
        <w:rFonts w:ascii="Times New Roman" w:eastAsia="Times New Roman" w:hAnsi="Times New Roman" w:cs="Times New Roman"/>
      </w:rPr>
    </w:lvl>
    <w:lvl w:ilvl="4" w:tplc="088885B0">
      <w:start w:val="1"/>
      <w:numFmt w:val="lowerLetter"/>
      <w:lvlText w:val="%5."/>
      <w:lvlJc w:val="left"/>
      <w:pPr>
        <w:ind w:left="3600" w:hanging="360"/>
      </w:pPr>
      <w:rPr>
        <w:rFonts w:ascii="Times New Roman" w:eastAsia="Times New Roman" w:hAnsi="Times New Roman" w:cs="Times New Roman"/>
      </w:rPr>
    </w:lvl>
    <w:lvl w:ilvl="5" w:tplc="5312397A">
      <w:start w:val="1"/>
      <w:numFmt w:val="lowerRoman"/>
      <w:lvlText w:val="%6."/>
      <w:lvlJc w:val="right"/>
      <w:pPr>
        <w:ind w:left="4320" w:hanging="180"/>
      </w:pPr>
      <w:rPr>
        <w:rFonts w:ascii="Times New Roman" w:eastAsia="Times New Roman" w:hAnsi="Times New Roman" w:cs="Times New Roman"/>
      </w:rPr>
    </w:lvl>
    <w:lvl w:ilvl="6" w:tplc="4EEC1CCC">
      <w:start w:val="1"/>
      <w:numFmt w:val="decimal"/>
      <w:lvlText w:val="%7."/>
      <w:lvlJc w:val="left"/>
      <w:pPr>
        <w:ind w:left="5040" w:hanging="360"/>
      </w:pPr>
      <w:rPr>
        <w:rFonts w:ascii="Times New Roman" w:eastAsia="Times New Roman" w:hAnsi="Times New Roman" w:cs="Times New Roman"/>
      </w:rPr>
    </w:lvl>
    <w:lvl w:ilvl="7" w:tplc="17BA857E">
      <w:start w:val="1"/>
      <w:numFmt w:val="lowerLetter"/>
      <w:lvlText w:val="%8."/>
      <w:lvlJc w:val="left"/>
      <w:pPr>
        <w:ind w:left="5760" w:hanging="360"/>
      </w:pPr>
      <w:rPr>
        <w:rFonts w:ascii="Times New Roman" w:eastAsia="Times New Roman" w:hAnsi="Times New Roman" w:cs="Times New Roman"/>
      </w:rPr>
    </w:lvl>
    <w:lvl w:ilvl="8" w:tplc="B71ADF76">
      <w:start w:val="1"/>
      <w:numFmt w:val="lowerRoman"/>
      <w:lvlText w:val="%9."/>
      <w:lvlJc w:val="right"/>
      <w:pPr>
        <w:ind w:left="6480" w:hanging="180"/>
      </w:pPr>
      <w:rPr>
        <w:rFonts w:ascii="Times New Roman" w:eastAsia="Times New Roman" w:hAnsi="Times New Roman" w:cs="Times New Roman"/>
      </w:rPr>
    </w:lvl>
  </w:abstractNum>
  <w:abstractNum w:abstractNumId="94" w15:restartNumberingAfterBreak="0">
    <w:nsid w:val="6D0B070E"/>
    <w:multiLevelType w:val="hybridMultilevel"/>
    <w:tmpl w:val="AFE8D682"/>
    <w:lvl w:ilvl="0" w:tplc="CCE2953E">
      <w:start w:val="1"/>
      <w:numFmt w:val="lowerLetter"/>
      <w:lvlText w:val="%1)"/>
      <w:lvlJc w:val="left"/>
      <w:pPr>
        <w:ind w:left="227" w:hanging="227"/>
      </w:pPr>
      <w:rPr>
        <w:rFonts w:ascii="Times New Roman" w:eastAsia="Times New Roman" w:hAnsi="Times New Roman" w:cs="Times New Roman"/>
      </w:rPr>
    </w:lvl>
    <w:lvl w:ilvl="1" w:tplc="DEB4573E">
      <w:start w:val="1"/>
      <w:numFmt w:val="lowerLetter"/>
      <w:lvlText w:val="%2."/>
      <w:lvlJc w:val="left"/>
      <w:pPr>
        <w:ind w:left="1440" w:hanging="360"/>
      </w:pPr>
      <w:rPr>
        <w:rFonts w:ascii="Times New Roman" w:eastAsia="Times New Roman" w:hAnsi="Times New Roman" w:cs="Times New Roman"/>
      </w:rPr>
    </w:lvl>
    <w:lvl w:ilvl="2" w:tplc="7A929AC6">
      <w:start w:val="1"/>
      <w:numFmt w:val="lowerRoman"/>
      <w:lvlText w:val="%3."/>
      <w:lvlJc w:val="right"/>
      <w:pPr>
        <w:ind w:left="2160" w:hanging="180"/>
      </w:pPr>
      <w:rPr>
        <w:rFonts w:ascii="Times New Roman" w:eastAsia="Times New Roman" w:hAnsi="Times New Roman" w:cs="Times New Roman"/>
      </w:rPr>
    </w:lvl>
    <w:lvl w:ilvl="3" w:tplc="45343408">
      <w:start w:val="1"/>
      <w:numFmt w:val="decimal"/>
      <w:lvlText w:val="%4."/>
      <w:lvlJc w:val="left"/>
      <w:pPr>
        <w:ind w:left="2880" w:hanging="360"/>
      </w:pPr>
      <w:rPr>
        <w:rFonts w:ascii="Times New Roman" w:eastAsia="Times New Roman" w:hAnsi="Times New Roman" w:cs="Times New Roman"/>
      </w:rPr>
    </w:lvl>
    <w:lvl w:ilvl="4" w:tplc="8C984466">
      <w:start w:val="1"/>
      <w:numFmt w:val="lowerLetter"/>
      <w:lvlText w:val="%5."/>
      <w:lvlJc w:val="left"/>
      <w:pPr>
        <w:ind w:left="3600" w:hanging="360"/>
      </w:pPr>
      <w:rPr>
        <w:rFonts w:ascii="Times New Roman" w:eastAsia="Times New Roman" w:hAnsi="Times New Roman" w:cs="Times New Roman"/>
      </w:rPr>
    </w:lvl>
    <w:lvl w:ilvl="5" w:tplc="72B03EB4">
      <w:start w:val="1"/>
      <w:numFmt w:val="lowerRoman"/>
      <w:lvlText w:val="%6."/>
      <w:lvlJc w:val="right"/>
      <w:pPr>
        <w:ind w:left="4320" w:hanging="180"/>
      </w:pPr>
      <w:rPr>
        <w:rFonts w:ascii="Times New Roman" w:eastAsia="Times New Roman" w:hAnsi="Times New Roman" w:cs="Times New Roman"/>
      </w:rPr>
    </w:lvl>
    <w:lvl w:ilvl="6" w:tplc="E8103B82">
      <w:start w:val="1"/>
      <w:numFmt w:val="decimal"/>
      <w:lvlText w:val="%7."/>
      <w:lvlJc w:val="left"/>
      <w:pPr>
        <w:ind w:left="5040" w:hanging="360"/>
      </w:pPr>
      <w:rPr>
        <w:rFonts w:ascii="Times New Roman" w:eastAsia="Times New Roman" w:hAnsi="Times New Roman" w:cs="Times New Roman"/>
      </w:rPr>
    </w:lvl>
    <w:lvl w:ilvl="7" w:tplc="35660594">
      <w:start w:val="1"/>
      <w:numFmt w:val="lowerLetter"/>
      <w:lvlText w:val="%8."/>
      <w:lvlJc w:val="left"/>
      <w:pPr>
        <w:ind w:left="5760" w:hanging="360"/>
      </w:pPr>
      <w:rPr>
        <w:rFonts w:ascii="Times New Roman" w:eastAsia="Times New Roman" w:hAnsi="Times New Roman" w:cs="Times New Roman"/>
      </w:rPr>
    </w:lvl>
    <w:lvl w:ilvl="8" w:tplc="5E6E06BE">
      <w:start w:val="1"/>
      <w:numFmt w:val="lowerRoman"/>
      <w:lvlText w:val="%9."/>
      <w:lvlJc w:val="right"/>
      <w:pPr>
        <w:ind w:left="6480" w:hanging="180"/>
      </w:pPr>
      <w:rPr>
        <w:rFonts w:ascii="Times New Roman" w:eastAsia="Times New Roman" w:hAnsi="Times New Roman" w:cs="Times New Roman"/>
      </w:rPr>
    </w:lvl>
  </w:abstractNum>
  <w:abstractNum w:abstractNumId="95" w15:restartNumberingAfterBreak="0">
    <w:nsid w:val="6F0908AF"/>
    <w:multiLevelType w:val="hybridMultilevel"/>
    <w:tmpl w:val="86060386"/>
    <w:lvl w:ilvl="0" w:tplc="7A8A9AF8">
      <w:start w:val="1"/>
      <w:numFmt w:val="decimal"/>
      <w:lvlText w:val="·"/>
      <w:lvlJc w:val="left"/>
      <w:pPr>
        <w:ind w:left="0"/>
      </w:pPr>
      <w:rPr>
        <w:rFonts w:ascii="Times New Roman" w:eastAsia="Times New Roman" w:hAnsi="Times New Roman" w:cs="Times New Roman"/>
      </w:rPr>
    </w:lvl>
    <w:lvl w:ilvl="1" w:tplc="BEF0B1B4">
      <w:numFmt w:val="decimal"/>
      <w:lvlText w:val="o"/>
      <w:lvlJc w:val="left"/>
      <w:pPr>
        <w:ind w:left="0"/>
      </w:pPr>
      <w:rPr>
        <w:rFonts w:ascii="Times New Roman" w:eastAsia="Times New Roman" w:hAnsi="Times New Roman" w:cs="Times New Roman"/>
      </w:rPr>
    </w:lvl>
    <w:lvl w:ilvl="2" w:tplc="B7328C3E">
      <w:numFmt w:val="decimal"/>
      <w:lvlText w:val="§"/>
      <w:lvlJc w:val="left"/>
      <w:pPr>
        <w:ind w:left="0"/>
      </w:pPr>
      <w:rPr>
        <w:rFonts w:ascii="Times New Roman" w:eastAsia="Times New Roman" w:hAnsi="Times New Roman" w:cs="Times New Roman"/>
      </w:rPr>
    </w:lvl>
    <w:lvl w:ilvl="3" w:tplc="BDDAF244">
      <w:numFmt w:val="decimal"/>
      <w:lvlText w:val="·"/>
      <w:lvlJc w:val="left"/>
      <w:pPr>
        <w:ind w:left="0"/>
      </w:pPr>
      <w:rPr>
        <w:rFonts w:ascii="Times New Roman" w:eastAsia="Times New Roman" w:hAnsi="Times New Roman" w:cs="Times New Roman"/>
      </w:rPr>
    </w:lvl>
    <w:lvl w:ilvl="4" w:tplc="E1949892">
      <w:numFmt w:val="decimal"/>
      <w:lvlText w:val="o"/>
      <w:lvlJc w:val="left"/>
      <w:pPr>
        <w:ind w:left="0"/>
      </w:pPr>
      <w:rPr>
        <w:rFonts w:ascii="Times New Roman" w:eastAsia="Times New Roman" w:hAnsi="Times New Roman" w:cs="Times New Roman"/>
      </w:rPr>
    </w:lvl>
    <w:lvl w:ilvl="5" w:tplc="92541BC6">
      <w:numFmt w:val="decimal"/>
      <w:lvlText w:val="§"/>
      <w:lvlJc w:val="left"/>
      <w:pPr>
        <w:ind w:left="0"/>
      </w:pPr>
      <w:rPr>
        <w:rFonts w:ascii="Times New Roman" w:eastAsia="Times New Roman" w:hAnsi="Times New Roman" w:cs="Times New Roman"/>
      </w:rPr>
    </w:lvl>
    <w:lvl w:ilvl="6" w:tplc="D730C532">
      <w:numFmt w:val="decimal"/>
      <w:lvlText w:val="·"/>
      <w:lvlJc w:val="left"/>
      <w:pPr>
        <w:ind w:left="0"/>
      </w:pPr>
      <w:rPr>
        <w:rFonts w:ascii="Times New Roman" w:eastAsia="Times New Roman" w:hAnsi="Times New Roman" w:cs="Times New Roman"/>
      </w:rPr>
    </w:lvl>
    <w:lvl w:ilvl="7" w:tplc="99D287F2">
      <w:numFmt w:val="decimal"/>
      <w:lvlText w:val="o"/>
      <w:lvlJc w:val="left"/>
      <w:pPr>
        <w:ind w:left="0"/>
      </w:pPr>
      <w:rPr>
        <w:rFonts w:ascii="Times New Roman" w:eastAsia="Times New Roman" w:hAnsi="Times New Roman" w:cs="Times New Roman"/>
      </w:rPr>
    </w:lvl>
    <w:lvl w:ilvl="8" w:tplc="DB3051DC">
      <w:numFmt w:val="decimal"/>
      <w:lvlText w:val="§"/>
      <w:lvlJc w:val="left"/>
      <w:pPr>
        <w:ind w:left="0"/>
      </w:pPr>
      <w:rPr>
        <w:rFonts w:ascii="Times New Roman" w:eastAsia="Times New Roman" w:hAnsi="Times New Roman" w:cs="Times New Roman"/>
      </w:rPr>
    </w:lvl>
  </w:abstractNum>
  <w:abstractNum w:abstractNumId="96" w15:restartNumberingAfterBreak="0">
    <w:nsid w:val="6F782490"/>
    <w:multiLevelType w:val="hybridMultilevel"/>
    <w:tmpl w:val="BB4E219E"/>
    <w:lvl w:ilvl="0" w:tplc="EFE47DAC">
      <w:start w:val="1"/>
      <w:numFmt w:val="lowerLetter"/>
      <w:lvlText w:val="%1)"/>
      <w:lvlJc w:val="left"/>
      <w:pPr>
        <w:ind w:left="227" w:hanging="227"/>
      </w:pPr>
      <w:rPr>
        <w:rFonts w:ascii="Times New Roman" w:eastAsia="Times New Roman" w:hAnsi="Times New Roman" w:cs="Times New Roman"/>
      </w:rPr>
    </w:lvl>
    <w:lvl w:ilvl="1" w:tplc="9E98C5FC">
      <w:start w:val="1"/>
      <w:numFmt w:val="lowerLetter"/>
      <w:lvlText w:val="%2."/>
      <w:lvlJc w:val="left"/>
      <w:pPr>
        <w:ind w:left="1440" w:hanging="360"/>
      </w:pPr>
      <w:rPr>
        <w:rFonts w:ascii="Times New Roman" w:eastAsia="Times New Roman" w:hAnsi="Times New Roman" w:cs="Times New Roman"/>
      </w:rPr>
    </w:lvl>
    <w:lvl w:ilvl="2" w:tplc="EECA827E">
      <w:start w:val="1"/>
      <w:numFmt w:val="lowerRoman"/>
      <w:lvlText w:val="%3."/>
      <w:lvlJc w:val="right"/>
      <w:pPr>
        <w:ind w:left="2160" w:hanging="180"/>
      </w:pPr>
      <w:rPr>
        <w:rFonts w:ascii="Times New Roman" w:eastAsia="Times New Roman" w:hAnsi="Times New Roman" w:cs="Times New Roman"/>
      </w:rPr>
    </w:lvl>
    <w:lvl w:ilvl="3" w:tplc="8EB2BF62">
      <w:start w:val="1"/>
      <w:numFmt w:val="decimal"/>
      <w:lvlText w:val="%4."/>
      <w:lvlJc w:val="left"/>
      <w:pPr>
        <w:ind w:left="2880" w:hanging="360"/>
      </w:pPr>
      <w:rPr>
        <w:rFonts w:ascii="Times New Roman" w:eastAsia="Times New Roman" w:hAnsi="Times New Roman" w:cs="Times New Roman"/>
      </w:rPr>
    </w:lvl>
    <w:lvl w:ilvl="4" w:tplc="A0FA1822">
      <w:start w:val="1"/>
      <w:numFmt w:val="lowerLetter"/>
      <w:lvlText w:val="%5."/>
      <w:lvlJc w:val="left"/>
      <w:pPr>
        <w:ind w:left="3600" w:hanging="360"/>
      </w:pPr>
      <w:rPr>
        <w:rFonts w:ascii="Times New Roman" w:eastAsia="Times New Roman" w:hAnsi="Times New Roman" w:cs="Times New Roman"/>
      </w:rPr>
    </w:lvl>
    <w:lvl w:ilvl="5" w:tplc="384E74DC">
      <w:start w:val="1"/>
      <w:numFmt w:val="lowerRoman"/>
      <w:lvlText w:val="%6."/>
      <w:lvlJc w:val="right"/>
      <w:pPr>
        <w:ind w:left="4320" w:hanging="180"/>
      </w:pPr>
      <w:rPr>
        <w:rFonts w:ascii="Times New Roman" w:eastAsia="Times New Roman" w:hAnsi="Times New Roman" w:cs="Times New Roman"/>
      </w:rPr>
    </w:lvl>
    <w:lvl w:ilvl="6" w:tplc="B6B4A8C0">
      <w:start w:val="1"/>
      <w:numFmt w:val="decimal"/>
      <w:lvlText w:val="%7."/>
      <w:lvlJc w:val="left"/>
      <w:pPr>
        <w:ind w:left="5040" w:hanging="360"/>
      </w:pPr>
      <w:rPr>
        <w:rFonts w:ascii="Times New Roman" w:eastAsia="Times New Roman" w:hAnsi="Times New Roman" w:cs="Times New Roman"/>
      </w:rPr>
    </w:lvl>
    <w:lvl w:ilvl="7" w:tplc="4988482A">
      <w:start w:val="1"/>
      <w:numFmt w:val="lowerLetter"/>
      <w:lvlText w:val="%8."/>
      <w:lvlJc w:val="left"/>
      <w:pPr>
        <w:ind w:left="5760" w:hanging="360"/>
      </w:pPr>
      <w:rPr>
        <w:rFonts w:ascii="Times New Roman" w:eastAsia="Times New Roman" w:hAnsi="Times New Roman" w:cs="Times New Roman"/>
      </w:rPr>
    </w:lvl>
    <w:lvl w:ilvl="8" w:tplc="CE10E8D8">
      <w:start w:val="1"/>
      <w:numFmt w:val="lowerRoman"/>
      <w:lvlText w:val="%9."/>
      <w:lvlJc w:val="right"/>
      <w:pPr>
        <w:ind w:left="6480" w:hanging="180"/>
      </w:pPr>
      <w:rPr>
        <w:rFonts w:ascii="Times New Roman" w:eastAsia="Times New Roman" w:hAnsi="Times New Roman" w:cs="Times New Roman"/>
      </w:rPr>
    </w:lvl>
  </w:abstractNum>
  <w:abstractNum w:abstractNumId="97" w15:restartNumberingAfterBreak="0">
    <w:nsid w:val="72D63D5A"/>
    <w:multiLevelType w:val="multilevel"/>
    <w:tmpl w:val="C2DCEF7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644"/>
        </w:tabs>
        <w:ind w:left="64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8" w15:restartNumberingAfterBreak="0">
    <w:nsid w:val="73DE63CA"/>
    <w:multiLevelType w:val="hybridMultilevel"/>
    <w:tmpl w:val="F1DE55A0"/>
    <w:lvl w:ilvl="0" w:tplc="9976B244">
      <w:start w:val="1"/>
      <w:numFmt w:val="bullet"/>
      <w:lvlText w:val="-"/>
      <w:lvlJc w:val="left"/>
      <w:pPr>
        <w:ind w:left="360" w:hanging="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9" w15:restartNumberingAfterBreak="0">
    <w:nsid w:val="755E6B83"/>
    <w:multiLevelType w:val="hybridMultilevel"/>
    <w:tmpl w:val="8CA06F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758A79CA"/>
    <w:multiLevelType w:val="hybridMultilevel"/>
    <w:tmpl w:val="311454F2"/>
    <w:lvl w:ilvl="0" w:tplc="1B525CF0">
      <w:start w:val="1"/>
      <w:numFmt w:val="lowerLetter"/>
      <w:lvlText w:val="%1)"/>
      <w:lvlJc w:val="left"/>
      <w:pPr>
        <w:ind w:left="227" w:hanging="227"/>
      </w:pPr>
      <w:rPr>
        <w:rFonts w:ascii="Times New Roman" w:eastAsia="Times New Roman" w:hAnsi="Times New Roman" w:cs="Times New Roman"/>
      </w:rPr>
    </w:lvl>
    <w:lvl w:ilvl="1" w:tplc="D0029C52">
      <w:start w:val="1"/>
      <w:numFmt w:val="lowerLetter"/>
      <w:lvlText w:val="%2."/>
      <w:lvlJc w:val="left"/>
      <w:pPr>
        <w:ind w:left="1440" w:hanging="360"/>
      </w:pPr>
      <w:rPr>
        <w:rFonts w:ascii="Times New Roman" w:eastAsia="Times New Roman" w:hAnsi="Times New Roman" w:cs="Times New Roman"/>
      </w:rPr>
    </w:lvl>
    <w:lvl w:ilvl="2" w:tplc="7A6CE1E2">
      <w:start w:val="1"/>
      <w:numFmt w:val="lowerRoman"/>
      <w:lvlText w:val="%3."/>
      <w:lvlJc w:val="right"/>
      <w:pPr>
        <w:ind w:left="2160" w:hanging="180"/>
      </w:pPr>
      <w:rPr>
        <w:rFonts w:ascii="Times New Roman" w:eastAsia="Times New Roman" w:hAnsi="Times New Roman" w:cs="Times New Roman"/>
      </w:rPr>
    </w:lvl>
    <w:lvl w:ilvl="3" w:tplc="23BC2B7C">
      <w:start w:val="1"/>
      <w:numFmt w:val="decimal"/>
      <w:lvlText w:val="%4."/>
      <w:lvlJc w:val="left"/>
      <w:pPr>
        <w:ind w:left="2880" w:hanging="360"/>
      </w:pPr>
      <w:rPr>
        <w:rFonts w:ascii="Times New Roman" w:eastAsia="Times New Roman" w:hAnsi="Times New Roman" w:cs="Times New Roman"/>
      </w:rPr>
    </w:lvl>
    <w:lvl w:ilvl="4" w:tplc="9D46F8A4">
      <w:start w:val="1"/>
      <w:numFmt w:val="lowerLetter"/>
      <w:lvlText w:val="%5."/>
      <w:lvlJc w:val="left"/>
      <w:pPr>
        <w:ind w:left="3600" w:hanging="360"/>
      </w:pPr>
      <w:rPr>
        <w:rFonts w:ascii="Times New Roman" w:eastAsia="Times New Roman" w:hAnsi="Times New Roman" w:cs="Times New Roman"/>
      </w:rPr>
    </w:lvl>
    <w:lvl w:ilvl="5" w:tplc="2C44A614">
      <w:start w:val="1"/>
      <w:numFmt w:val="lowerRoman"/>
      <w:lvlText w:val="%6."/>
      <w:lvlJc w:val="right"/>
      <w:pPr>
        <w:ind w:left="4320" w:hanging="180"/>
      </w:pPr>
      <w:rPr>
        <w:rFonts w:ascii="Times New Roman" w:eastAsia="Times New Roman" w:hAnsi="Times New Roman" w:cs="Times New Roman"/>
      </w:rPr>
    </w:lvl>
    <w:lvl w:ilvl="6" w:tplc="EE8CFFA4">
      <w:start w:val="1"/>
      <w:numFmt w:val="decimal"/>
      <w:lvlText w:val="%7."/>
      <w:lvlJc w:val="left"/>
      <w:pPr>
        <w:ind w:left="5040" w:hanging="360"/>
      </w:pPr>
      <w:rPr>
        <w:rFonts w:ascii="Times New Roman" w:eastAsia="Times New Roman" w:hAnsi="Times New Roman" w:cs="Times New Roman"/>
      </w:rPr>
    </w:lvl>
    <w:lvl w:ilvl="7" w:tplc="F7C4E6C6">
      <w:start w:val="1"/>
      <w:numFmt w:val="lowerLetter"/>
      <w:lvlText w:val="%8."/>
      <w:lvlJc w:val="left"/>
      <w:pPr>
        <w:ind w:left="5760" w:hanging="360"/>
      </w:pPr>
      <w:rPr>
        <w:rFonts w:ascii="Times New Roman" w:eastAsia="Times New Roman" w:hAnsi="Times New Roman" w:cs="Times New Roman"/>
      </w:rPr>
    </w:lvl>
    <w:lvl w:ilvl="8" w:tplc="C3287128">
      <w:start w:val="1"/>
      <w:numFmt w:val="lowerRoman"/>
      <w:lvlText w:val="%9."/>
      <w:lvlJc w:val="right"/>
      <w:pPr>
        <w:ind w:left="6480" w:hanging="180"/>
      </w:pPr>
      <w:rPr>
        <w:rFonts w:ascii="Times New Roman" w:eastAsia="Times New Roman" w:hAnsi="Times New Roman" w:cs="Times New Roman"/>
      </w:rPr>
    </w:lvl>
  </w:abstractNum>
  <w:abstractNum w:abstractNumId="101" w15:restartNumberingAfterBreak="0">
    <w:nsid w:val="75DE0AB4"/>
    <w:multiLevelType w:val="hybridMultilevel"/>
    <w:tmpl w:val="736A1FF0"/>
    <w:lvl w:ilvl="0" w:tplc="A8904F30">
      <w:start w:val="1"/>
      <w:numFmt w:val="lowerLetter"/>
      <w:lvlText w:val="%1)"/>
      <w:lvlJc w:val="left"/>
      <w:pPr>
        <w:ind w:left="227" w:hanging="227"/>
      </w:pPr>
      <w:rPr>
        <w:rFonts w:ascii="Times New Roman" w:eastAsia="Times New Roman" w:hAnsi="Times New Roman" w:cs="Times New Roman"/>
      </w:rPr>
    </w:lvl>
    <w:lvl w:ilvl="1" w:tplc="512425F8">
      <w:start w:val="1"/>
      <w:numFmt w:val="lowerLetter"/>
      <w:lvlText w:val="%2."/>
      <w:lvlJc w:val="left"/>
      <w:pPr>
        <w:ind w:left="1440" w:hanging="360"/>
      </w:pPr>
      <w:rPr>
        <w:rFonts w:ascii="Times New Roman" w:eastAsia="Times New Roman" w:hAnsi="Times New Roman" w:cs="Times New Roman"/>
      </w:rPr>
    </w:lvl>
    <w:lvl w:ilvl="2" w:tplc="1AF4543E">
      <w:start w:val="1"/>
      <w:numFmt w:val="lowerRoman"/>
      <w:lvlText w:val="%3."/>
      <w:lvlJc w:val="right"/>
      <w:pPr>
        <w:ind w:left="2160" w:hanging="180"/>
      </w:pPr>
      <w:rPr>
        <w:rFonts w:ascii="Times New Roman" w:eastAsia="Times New Roman" w:hAnsi="Times New Roman" w:cs="Times New Roman"/>
      </w:rPr>
    </w:lvl>
    <w:lvl w:ilvl="3" w:tplc="34609C70">
      <w:start w:val="1"/>
      <w:numFmt w:val="decimal"/>
      <w:lvlText w:val="%4."/>
      <w:lvlJc w:val="left"/>
      <w:pPr>
        <w:ind w:left="2880" w:hanging="360"/>
      </w:pPr>
      <w:rPr>
        <w:rFonts w:ascii="Times New Roman" w:eastAsia="Times New Roman" w:hAnsi="Times New Roman" w:cs="Times New Roman"/>
      </w:rPr>
    </w:lvl>
    <w:lvl w:ilvl="4" w:tplc="00D8A55C">
      <w:start w:val="1"/>
      <w:numFmt w:val="lowerLetter"/>
      <w:lvlText w:val="%5."/>
      <w:lvlJc w:val="left"/>
      <w:pPr>
        <w:ind w:left="3600" w:hanging="360"/>
      </w:pPr>
      <w:rPr>
        <w:rFonts w:ascii="Times New Roman" w:eastAsia="Times New Roman" w:hAnsi="Times New Roman" w:cs="Times New Roman"/>
      </w:rPr>
    </w:lvl>
    <w:lvl w:ilvl="5" w:tplc="2224051E">
      <w:start w:val="1"/>
      <w:numFmt w:val="lowerRoman"/>
      <w:lvlText w:val="%6."/>
      <w:lvlJc w:val="right"/>
      <w:pPr>
        <w:ind w:left="4320" w:hanging="180"/>
      </w:pPr>
      <w:rPr>
        <w:rFonts w:ascii="Times New Roman" w:eastAsia="Times New Roman" w:hAnsi="Times New Roman" w:cs="Times New Roman"/>
      </w:rPr>
    </w:lvl>
    <w:lvl w:ilvl="6" w:tplc="AC92F052">
      <w:start w:val="1"/>
      <w:numFmt w:val="decimal"/>
      <w:lvlText w:val="%7."/>
      <w:lvlJc w:val="left"/>
      <w:pPr>
        <w:ind w:left="5040" w:hanging="360"/>
      </w:pPr>
      <w:rPr>
        <w:rFonts w:ascii="Times New Roman" w:eastAsia="Times New Roman" w:hAnsi="Times New Roman" w:cs="Times New Roman"/>
      </w:rPr>
    </w:lvl>
    <w:lvl w:ilvl="7" w:tplc="1B82AD40">
      <w:start w:val="1"/>
      <w:numFmt w:val="lowerLetter"/>
      <w:lvlText w:val="%8."/>
      <w:lvlJc w:val="left"/>
      <w:pPr>
        <w:ind w:left="5760" w:hanging="360"/>
      </w:pPr>
      <w:rPr>
        <w:rFonts w:ascii="Times New Roman" w:eastAsia="Times New Roman" w:hAnsi="Times New Roman" w:cs="Times New Roman"/>
      </w:rPr>
    </w:lvl>
    <w:lvl w:ilvl="8" w:tplc="1ABCFC6A">
      <w:start w:val="1"/>
      <w:numFmt w:val="lowerRoman"/>
      <w:lvlText w:val="%9."/>
      <w:lvlJc w:val="right"/>
      <w:pPr>
        <w:ind w:left="6480" w:hanging="180"/>
      </w:pPr>
      <w:rPr>
        <w:rFonts w:ascii="Times New Roman" w:eastAsia="Times New Roman" w:hAnsi="Times New Roman" w:cs="Times New Roman"/>
      </w:rPr>
    </w:lvl>
  </w:abstractNum>
  <w:abstractNum w:abstractNumId="102" w15:restartNumberingAfterBreak="0">
    <w:nsid w:val="75DF3840"/>
    <w:multiLevelType w:val="hybridMultilevel"/>
    <w:tmpl w:val="395CF222"/>
    <w:lvl w:ilvl="0" w:tplc="B87AC27E">
      <w:start w:val="1"/>
      <w:numFmt w:val="decimal"/>
      <w:lvlText w:val="·"/>
      <w:lvlJc w:val="left"/>
      <w:pPr>
        <w:ind w:left="0"/>
      </w:pPr>
      <w:rPr>
        <w:rFonts w:ascii="Times New Roman" w:eastAsia="Times New Roman" w:hAnsi="Times New Roman" w:cs="Times New Roman"/>
      </w:rPr>
    </w:lvl>
    <w:lvl w:ilvl="1" w:tplc="F55A0E76">
      <w:numFmt w:val="decimal"/>
      <w:lvlText w:val="o"/>
      <w:lvlJc w:val="left"/>
      <w:pPr>
        <w:ind w:left="0"/>
      </w:pPr>
      <w:rPr>
        <w:rFonts w:ascii="Times New Roman" w:eastAsia="Times New Roman" w:hAnsi="Times New Roman" w:cs="Times New Roman"/>
      </w:rPr>
    </w:lvl>
    <w:lvl w:ilvl="2" w:tplc="28FE0068">
      <w:numFmt w:val="decimal"/>
      <w:lvlText w:val="§"/>
      <w:lvlJc w:val="left"/>
      <w:pPr>
        <w:ind w:left="0"/>
      </w:pPr>
      <w:rPr>
        <w:rFonts w:ascii="Times New Roman" w:eastAsia="Times New Roman" w:hAnsi="Times New Roman" w:cs="Times New Roman"/>
      </w:rPr>
    </w:lvl>
    <w:lvl w:ilvl="3" w:tplc="EA7C1BD0">
      <w:numFmt w:val="decimal"/>
      <w:lvlText w:val="·"/>
      <w:lvlJc w:val="left"/>
      <w:pPr>
        <w:ind w:left="0"/>
      </w:pPr>
      <w:rPr>
        <w:rFonts w:ascii="Times New Roman" w:eastAsia="Times New Roman" w:hAnsi="Times New Roman" w:cs="Times New Roman"/>
      </w:rPr>
    </w:lvl>
    <w:lvl w:ilvl="4" w:tplc="6032C844">
      <w:numFmt w:val="decimal"/>
      <w:lvlText w:val="o"/>
      <w:lvlJc w:val="left"/>
      <w:pPr>
        <w:ind w:left="0"/>
      </w:pPr>
      <w:rPr>
        <w:rFonts w:ascii="Times New Roman" w:eastAsia="Times New Roman" w:hAnsi="Times New Roman" w:cs="Times New Roman"/>
      </w:rPr>
    </w:lvl>
    <w:lvl w:ilvl="5" w:tplc="9418F3D4">
      <w:numFmt w:val="decimal"/>
      <w:lvlText w:val="§"/>
      <w:lvlJc w:val="left"/>
      <w:pPr>
        <w:ind w:left="0"/>
      </w:pPr>
      <w:rPr>
        <w:rFonts w:ascii="Times New Roman" w:eastAsia="Times New Roman" w:hAnsi="Times New Roman" w:cs="Times New Roman"/>
      </w:rPr>
    </w:lvl>
    <w:lvl w:ilvl="6" w:tplc="A00C9100">
      <w:numFmt w:val="decimal"/>
      <w:lvlText w:val="·"/>
      <w:lvlJc w:val="left"/>
      <w:pPr>
        <w:ind w:left="0"/>
      </w:pPr>
      <w:rPr>
        <w:rFonts w:ascii="Times New Roman" w:eastAsia="Times New Roman" w:hAnsi="Times New Roman" w:cs="Times New Roman"/>
      </w:rPr>
    </w:lvl>
    <w:lvl w:ilvl="7" w:tplc="41D4C7FE">
      <w:numFmt w:val="decimal"/>
      <w:lvlText w:val="o"/>
      <w:lvlJc w:val="left"/>
      <w:pPr>
        <w:ind w:left="0"/>
      </w:pPr>
      <w:rPr>
        <w:rFonts w:ascii="Times New Roman" w:eastAsia="Times New Roman" w:hAnsi="Times New Roman" w:cs="Times New Roman"/>
      </w:rPr>
    </w:lvl>
    <w:lvl w:ilvl="8" w:tplc="152475AA">
      <w:numFmt w:val="decimal"/>
      <w:lvlText w:val="§"/>
      <w:lvlJc w:val="left"/>
      <w:pPr>
        <w:ind w:left="0"/>
      </w:pPr>
      <w:rPr>
        <w:rFonts w:ascii="Times New Roman" w:eastAsia="Times New Roman" w:hAnsi="Times New Roman" w:cs="Times New Roman"/>
      </w:rPr>
    </w:lvl>
  </w:abstractNum>
  <w:abstractNum w:abstractNumId="103" w15:restartNumberingAfterBreak="0">
    <w:nsid w:val="77100451"/>
    <w:multiLevelType w:val="multilevel"/>
    <w:tmpl w:val="77100451"/>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start w:val="1"/>
      <w:numFmt w:val="upperRoman"/>
      <w:lvlText w:val="%4."/>
      <w:lvlJc w:val="left"/>
      <w:pPr>
        <w:ind w:left="3240" w:hanging="72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15:restartNumberingAfterBreak="0">
    <w:nsid w:val="7843783E"/>
    <w:multiLevelType w:val="hybridMultilevel"/>
    <w:tmpl w:val="75E408CA"/>
    <w:lvl w:ilvl="0" w:tplc="938CDF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F88D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6CA3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BCFF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B261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F0D8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0638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9230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61F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79A74EA4"/>
    <w:multiLevelType w:val="hybridMultilevel"/>
    <w:tmpl w:val="38D22878"/>
    <w:lvl w:ilvl="0" w:tplc="F2347EAC">
      <w:start w:val="1"/>
      <w:numFmt w:val="lowerLetter"/>
      <w:lvlText w:val="%1)"/>
      <w:lvlJc w:val="left"/>
      <w:pPr>
        <w:ind w:left="441" w:hanging="227"/>
      </w:pPr>
      <w:rPr>
        <w:rFonts w:ascii="Times New Roman" w:eastAsia="Times New Roman" w:hAnsi="Times New Roman" w:cs="Times New Roman"/>
      </w:rPr>
    </w:lvl>
    <w:lvl w:ilvl="1" w:tplc="F5B81E3A">
      <w:numFmt w:val="decimal"/>
      <w:lvlText w:val="o"/>
      <w:lvlJc w:val="left"/>
      <w:pPr>
        <w:ind w:left="0"/>
      </w:pPr>
      <w:rPr>
        <w:rFonts w:ascii="Times New Roman" w:eastAsia="Times New Roman" w:hAnsi="Times New Roman" w:cs="Times New Roman"/>
      </w:rPr>
    </w:lvl>
    <w:lvl w:ilvl="2" w:tplc="1FD6A508">
      <w:numFmt w:val="decimal"/>
      <w:lvlText w:val="§"/>
      <w:lvlJc w:val="left"/>
      <w:pPr>
        <w:ind w:left="0"/>
      </w:pPr>
      <w:rPr>
        <w:rFonts w:ascii="Times New Roman" w:eastAsia="Times New Roman" w:hAnsi="Times New Roman" w:cs="Times New Roman"/>
      </w:rPr>
    </w:lvl>
    <w:lvl w:ilvl="3" w:tplc="94DE8210">
      <w:numFmt w:val="decimal"/>
      <w:lvlText w:val="·"/>
      <w:lvlJc w:val="left"/>
      <w:pPr>
        <w:ind w:left="0"/>
      </w:pPr>
      <w:rPr>
        <w:rFonts w:ascii="Times New Roman" w:eastAsia="Times New Roman" w:hAnsi="Times New Roman" w:cs="Times New Roman"/>
      </w:rPr>
    </w:lvl>
    <w:lvl w:ilvl="4" w:tplc="0B9C9DC6">
      <w:numFmt w:val="decimal"/>
      <w:lvlText w:val="o"/>
      <w:lvlJc w:val="left"/>
      <w:pPr>
        <w:ind w:left="0"/>
      </w:pPr>
      <w:rPr>
        <w:rFonts w:ascii="Times New Roman" w:eastAsia="Times New Roman" w:hAnsi="Times New Roman" w:cs="Times New Roman"/>
      </w:rPr>
    </w:lvl>
    <w:lvl w:ilvl="5" w:tplc="1E341A32">
      <w:numFmt w:val="decimal"/>
      <w:lvlText w:val="§"/>
      <w:lvlJc w:val="left"/>
      <w:pPr>
        <w:ind w:left="0"/>
      </w:pPr>
      <w:rPr>
        <w:rFonts w:ascii="Times New Roman" w:eastAsia="Times New Roman" w:hAnsi="Times New Roman" w:cs="Times New Roman"/>
      </w:rPr>
    </w:lvl>
    <w:lvl w:ilvl="6" w:tplc="6E80B5DA">
      <w:numFmt w:val="decimal"/>
      <w:lvlText w:val="·"/>
      <w:lvlJc w:val="left"/>
      <w:pPr>
        <w:ind w:left="0"/>
      </w:pPr>
      <w:rPr>
        <w:rFonts w:ascii="Times New Roman" w:eastAsia="Times New Roman" w:hAnsi="Times New Roman" w:cs="Times New Roman"/>
      </w:rPr>
    </w:lvl>
    <w:lvl w:ilvl="7" w:tplc="15F0F57E">
      <w:numFmt w:val="decimal"/>
      <w:lvlText w:val="o"/>
      <w:lvlJc w:val="left"/>
      <w:pPr>
        <w:ind w:left="0"/>
      </w:pPr>
      <w:rPr>
        <w:rFonts w:ascii="Times New Roman" w:eastAsia="Times New Roman" w:hAnsi="Times New Roman" w:cs="Times New Roman"/>
      </w:rPr>
    </w:lvl>
    <w:lvl w:ilvl="8" w:tplc="A2D2EF32">
      <w:numFmt w:val="decimal"/>
      <w:lvlText w:val="§"/>
      <w:lvlJc w:val="left"/>
      <w:pPr>
        <w:ind w:left="0"/>
      </w:pPr>
      <w:rPr>
        <w:rFonts w:ascii="Times New Roman" w:eastAsia="Times New Roman" w:hAnsi="Times New Roman" w:cs="Times New Roman"/>
      </w:rPr>
    </w:lvl>
  </w:abstractNum>
  <w:abstractNum w:abstractNumId="106" w15:restartNumberingAfterBreak="0">
    <w:nsid w:val="7B007CB1"/>
    <w:multiLevelType w:val="multilevel"/>
    <w:tmpl w:val="7B007CB1"/>
    <w:lvl w:ilvl="0">
      <w:start w:val="1"/>
      <w:numFmt w:val="lowerLetter"/>
      <w:suff w:val="space"/>
      <w:lvlText w:val="%1)"/>
      <w:lvlJc w:val="left"/>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7" w15:restartNumberingAfterBreak="0">
    <w:nsid w:val="7C841759"/>
    <w:multiLevelType w:val="hybridMultilevel"/>
    <w:tmpl w:val="B7B63774"/>
    <w:lvl w:ilvl="0" w:tplc="DFFC4000">
      <w:start w:val="1"/>
      <w:numFmt w:val="decimal"/>
      <w:lvlText w:val="·"/>
      <w:lvlJc w:val="left"/>
      <w:pPr>
        <w:ind w:left="0"/>
      </w:pPr>
      <w:rPr>
        <w:rFonts w:ascii="Times New Roman" w:eastAsia="Times New Roman" w:hAnsi="Times New Roman" w:cs="Times New Roman"/>
      </w:rPr>
    </w:lvl>
    <w:lvl w:ilvl="1" w:tplc="BAD04ADA">
      <w:numFmt w:val="decimal"/>
      <w:lvlText w:val="o"/>
      <w:lvlJc w:val="left"/>
      <w:pPr>
        <w:ind w:left="0"/>
      </w:pPr>
      <w:rPr>
        <w:rFonts w:ascii="Times New Roman" w:eastAsia="Times New Roman" w:hAnsi="Times New Roman" w:cs="Times New Roman"/>
      </w:rPr>
    </w:lvl>
    <w:lvl w:ilvl="2" w:tplc="EB64EFA4">
      <w:numFmt w:val="decimal"/>
      <w:lvlText w:val="§"/>
      <w:lvlJc w:val="left"/>
      <w:pPr>
        <w:ind w:left="0"/>
      </w:pPr>
      <w:rPr>
        <w:rFonts w:ascii="Times New Roman" w:eastAsia="Times New Roman" w:hAnsi="Times New Roman" w:cs="Times New Roman"/>
      </w:rPr>
    </w:lvl>
    <w:lvl w:ilvl="3" w:tplc="0ACEEF2A">
      <w:numFmt w:val="decimal"/>
      <w:lvlText w:val="·"/>
      <w:lvlJc w:val="left"/>
      <w:pPr>
        <w:ind w:left="0"/>
      </w:pPr>
      <w:rPr>
        <w:rFonts w:ascii="Times New Roman" w:eastAsia="Times New Roman" w:hAnsi="Times New Roman" w:cs="Times New Roman"/>
      </w:rPr>
    </w:lvl>
    <w:lvl w:ilvl="4" w:tplc="B1D02372">
      <w:numFmt w:val="decimal"/>
      <w:lvlText w:val="o"/>
      <w:lvlJc w:val="left"/>
      <w:pPr>
        <w:ind w:left="0"/>
      </w:pPr>
      <w:rPr>
        <w:rFonts w:ascii="Times New Roman" w:eastAsia="Times New Roman" w:hAnsi="Times New Roman" w:cs="Times New Roman"/>
      </w:rPr>
    </w:lvl>
    <w:lvl w:ilvl="5" w:tplc="161C8C2C">
      <w:numFmt w:val="decimal"/>
      <w:lvlText w:val="§"/>
      <w:lvlJc w:val="left"/>
      <w:pPr>
        <w:ind w:left="0"/>
      </w:pPr>
      <w:rPr>
        <w:rFonts w:ascii="Times New Roman" w:eastAsia="Times New Roman" w:hAnsi="Times New Roman" w:cs="Times New Roman"/>
      </w:rPr>
    </w:lvl>
    <w:lvl w:ilvl="6" w:tplc="FDA073C4">
      <w:numFmt w:val="decimal"/>
      <w:lvlText w:val="·"/>
      <w:lvlJc w:val="left"/>
      <w:pPr>
        <w:ind w:left="0"/>
      </w:pPr>
      <w:rPr>
        <w:rFonts w:ascii="Times New Roman" w:eastAsia="Times New Roman" w:hAnsi="Times New Roman" w:cs="Times New Roman"/>
      </w:rPr>
    </w:lvl>
    <w:lvl w:ilvl="7" w:tplc="C66839BC">
      <w:numFmt w:val="decimal"/>
      <w:lvlText w:val="o"/>
      <w:lvlJc w:val="left"/>
      <w:pPr>
        <w:ind w:left="0"/>
      </w:pPr>
      <w:rPr>
        <w:rFonts w:ascii="Times New Roman" w:eastAsia="Times New Roman" w:hAnsi="Times New Roman" w:cs="Times New Roman"/>
      </w:rPr>
    </w:lvl>
    <w:lvl w:ilvl="8" w:tplc="3D52F368">
      <w:numFmt w:val="decimal"/>
      <w:lvlText w:val="§"/>
      <w:lvlJc w:val="left"/>
      <w:pPr>
        <w:ind w:left="0"/>
      </w:pPr>
      <w:rPr>
        <w:rFonts w:ascii="Times New Roman" w:eastAsia="Times New Roman" w:hAnsi="Times New Roman" w:cs="Times New Roman"/>
      </w:rPr>
    </w:lvl>
  </w:abstractNum>
  <w:abstractNum w:abstractNumId="108" w15:restartNumberingAfterBreak="0">
    <w:nsid w:val="7CF21E26"/>
    <w:multiLevelType w:val="hybridMultilevel"/>
    <w:tmpl w:val="A002F610"/>
    <w:lvl w:ilvl="0" w:tplc="6280555E">
      <w:start w:val="1"/>
      <w:numFmt w:val="lowerLetter"/>
      <w:lvlText w:val="%1)"/>
      <w:lvlJc w:val="left"/>
      <w:pPr>
        <w:ind w:left="227" w:hanging="227"/>
      </w:pPr>
      <w:rPr>
        <w:rFonts w:ascii="Times New Roman" w:eastAsia="Times New Roman" w:hAnsi="Times New Roman" w:cs="Times New Roman"/>
      </w:rPr>
    </w:lvl>
    <w:lvl w:ilvl="1" w:tplc="54862146">
      <w:start w:val="1"/>
      <w:numFmt w:val="lowerLetter"/>
      <w:lvlText w:val="%2."/>
      <w:lvlJc w:val="left"/>
      <w:pPr>
        <w:ind w:left="1440" w:hanging="360"/>
      </w:pPr>
      <w:rPr>
        <w:rFonts w:ascii="Times New Roman" w:eastAsia="Times New Roman" w:hAnsi="Times New Roman" w:cs="Times New Roman"/>
      </w:rPr>
    </w:lvl>
    <w:lvl w:ilvl="2" w:tplc="015EAA00">
      <w:start w:val="1"/>
      <w:numFmt w:val="lowerRoman"/>
      <w:lvlText w:val="%3."/>
      <w:lvlJc w:val="right"/>
      <w:pPr>
        <w:ind w:left="2160" w:hanging="180"/>
      </w:pPr>
      <w:rPr>
        <w:rFonts w:ascii="Times New Roman" w:eastAsia="Times New Roman" w:hAnsi="Times New Roman" w:cs="Times New Roman"/>
      </w:rPr>
    </w:lvl>
    <w:lvl w:ilvl="3" w:tplc="5F76CEEC">
      <w:start w:val="1"/>
      <w:numFmt w:val="decimal"/>
      <w:lvlText w:val="%4."/>
      <w:lvlJc w:val="left"/>
      <w:pPr>
        <w:ind w:left="2880" w:hanging="360"/>
      </w:pPr>
      <w:rPr>
        <w:rFonts w:ascii="Times New Roman" w:eastAsia="Times New Roman" w:hAnsi="Times New Roman" w:cs="Times New Roman"/>
      </w:rPr>
    </w:lvl>
    <w:lvl w:ilvl="4" w:tplc="F3CEDFB8">
      <w:start w:val="1"/>
      <w:numFmt w:val="lowerLetter"/>
      <w:lvlText w:val="%5."/>
      <w:lvlJc w:val="left"/>
      <w:pPr>
        <w:ind w:left="3600" w:hanging="360"/>
      </w:pPr>
      <w:rPr>
        <w:rFonts w:ascii="Times New Roman" w:eastAsia="Times New Roman" w:hAnsi="Times New Roman" w:cs="Times New Roman"/>
      </w:rPr>
    </w:lvl>
    <w:lvl w:ilvl="5" w:tplc="1E1C8BBA">
      <w:start w:val="1"/>
      <w:numFmt w:val="lowerRoman"/>
      <w:lvlText w:val="%6."/>
      <w:lvlJc w:val="right"/>
      <w:pPr>
        <w:ind w:left="4320" w:hanging="180"/>
      </w:pPr>
      <w:rPr>
        <w:rFonts w:ascii="Times New Roman" w:eastAsia="Times New Roman" w:hAnsi="Times New Roman" w:cs="Times New Roman"/>
      </w:rPr>
    </w:lvl>
    <w:lvl w:ilvl="6" w:tplc="DC9E5AC0">
      <w:start w:val="1"/>
      <w:numFmt w:val="decimal"/>
      <w:lvlText w:val="%7."/>
      <w:lvlJc w:val="left"/>
      <w:pPr>
        <w:ind w:left="5040" w:hanging="360"/>
      </w:pPr>
      <w:rPr>
        <w:rFonts w:ascii="Times New Roman" w:eastAsia="Times New Roman" w:hAnsi="Times New Roman" w:cs="Times New Roman"/>
      </w:rPr>
    </w:lvl>
    <w:lvl w:ilvl="7" w:tplc="F40031E8">
      <w:start w:val="1"/>
      <w:numFmt w:val="lowerLetter"/>
      <w:lvlText w:val="%8."/>
      <w:lvlJc w:val="left"/>
      <w:pPr>
        <w:ind w:left="5760" w:hanging="360"/>
      </w:pPr>
      <w:rPr>
        <w:rFonts w:ascii="Times New Roman" w:eastAsia="Times New Roman" w:hAnsi="Times New Roman" w:cs="Times New Roman"/>
      </w:rPr>
    </w:lvl>
    <w:lvl w:ilvl="8" w:tplc="FB36E516">
      <w:start w:val="1"/>
      <w:numFmt w:val="lowerRoman"/>
      <w:lvlText w:val="%9."/>
      <w:lvlJc w:val="right"/>
      <w:pPr>
        <w:ind w:left="6480" w:hanging="180"/>
      </w:pPr>
      <w:rPr>
        <w:rFonts w:ascii="Times New Roman" w:eastAsia="Times New Roman" w:hAnsi="Times New Roman" w:cs="Times New Roman"/>
      </w:rPr>
    </w:lvl>
  </w:abstractNum>
  <w:abstractNum w:abstractNumId="109" w15:restartNumberingAfterBreak="0">
    <w:nsid w:val="7FC5077C"/>
    <w:multiLevelType w:val="hybridMultilevel"/>
    <w:tmpl w:val="7BF25288"/>
    <w:lvl w:ilvl="0" w:tplc="7C147724">
      <w:start w:val="1"/>
      <w:numFmt w:val="lowerLetter"/>
      <w:lvlText w:val="%1)"/>
      <w:lvlJc w:val="left"/>
      <w:pPr>
        <w:ind w:left="227" w:hanging="227"/>
      </w:pPr>
      <w:rPr>
        <w:rFonts w:ascii="Times New Roman" w:eastAsia="Times New Roman" w:hAnsi="Times New Roman" w:cs="Times New Roman"/>
      </w:rPr>
    </w:lvl>
    <w:lvl w:ilvl="1" w:tplc="2634DB68">
      <w:start w:val="1"/>
      <w:numFmt w:val="lowerLetter"/>
      <w:lvlText w:val="%2."/>
      <w:lvlJc w:val="left"/>
      <w:pPr>
        <w:ind w:left="1440" w:hanging="360"/>
      </w:pPr>
      <w:rPr>
        <w:rFonts w:ascii="Times New Roman" w:eastAsia="Times New Roman" w:hAnsi="Times New Roman" w:cs="Times New Roman"/>
      </w:rPr>
    </w:lvl>
    <w:lvl w:ilvl="2" w:tplc="CB262218">
      <w:start w:val="1"/>
      <w:numFmt w:val="lowerRoman"/>
      <w:lvlText w:val="%3."/>
      <w:lvlJc w:val="right"/>
      <w:pPr>
        <w:ind w:left="2160" w:hanging="180"/>
      </w:pPr>
      <w:rPr>
        <w:rFonts w:ascii="Times New Roman" w:eastAsia="Times New Roman" w:hAnsi="Times New Roman" w:cs="Times New Roman"/>
      </w:rPr>
    </w:lvl>
    <w:lvl w:ilvl="3" w:tplc="52307980">
      <w:start w:val="1"/>
      <w:numFmt w:val="decimal"/>
      <w:lvlText w:val="%4."/>
      <w:lvlJc w:val="left"/>
      <w:pPr>
        <w:ind w:left="2880" w:hanging="360"/>
      </w:pPr>
      <w:rPr>
        <w:rFonts w:ascii="Times New Roman" w:eastAsia="Times New Roman" w:hAnsi="Times New Roman" w:cs="Times New Roman"/>
      </w:rPr>
    </w:lvl>
    <w:lvl w:ilvl="4" w:tplc="B77C87F8">
      <w:start w:val="1"/>
      <w:numFmt w:val="lowerLetter"/>
      <w:lvlText w:val="%5."/>
      <w:lvlJc w:val="left"/>
      <w:pPr>
        <w:ind w:left="3600" w:hanging="360"/>
      </w:pPr>
      <w:rPr>
        <w:rFonts w:ascii="Times New Roman" w:eastAsia="Times New Roman" w:hAnsi="Times New Roman" w:cs="Times New Roman"/>
      </w:rPr>
    </w:lvl>
    <w:lvl w:ilvl="5" w:tplc="B5B6BDCA">
      <w:start w:val="1"/>
      <w:numFmt w:val="lowerRoman"/>
      <w:lvlText w:val="%6."/>
      <w:lvlJc w:val="right"/>
      <w:pPr>
        <w:ind w:left="4320" w:hanging="180"/>
      </w:pPr>
      <w:rPr>
        <w:rFonts w:ascii="Times New Roman" w:eastAsia="Times New Roman" w:hAnsi="Times New Roman" w:cs="Times New Roman"/>
      </w:rPr>
    </w:lvl>
    <w:lvl w:ilvl="6" w:tplc="7534D5C4">
      <w:start w:val="1"/>
      <w:numFmt w:val="decimal"/>
      <w:lvlText w:val="%7."/>
      <w:lvlJc w:val="left"/>
      <w:pPr>
        <w:ind w:left="5040" w:hanging="360"/>
      </w:pPr>
      <w:rPr>
        <w:rFonts w:ascii="Times New Roman" w:eastAsia="Times New Roman" w:hAnsi="Times New Roman" w:cs="Times New Roman"/>
      </w:rPr>
    </w:lvl>
    <w:lvl w:ilvl="7" w:tplc="5F60744E">
      <w:start w:val="1"/>
      <w:numFmt w:val="lowerLetter"/>
      <w:lvlText w:val="%8."/>
      <w:lvlJc w:val="left"/>
      <w:pPr>
        <w:ind w:left="5760" w:hanging="360"/>
      </w:pPr>
      <w:rPr>
        <w:rFonts w:ascii="Times New Roman" w:eastAsia="Times New Roman" w:hAnsi="Times New Roman" w:cs="Times New Roman"/>
      </w:rPr>
    </w:lvl>
    <w:lvl w:ilvl="8" w:tplc="5E0A325A">
      <w:start w:val="1"/>
      <w:numFmt w:val="lowerRoman"/>
      <w:lvlText w:val="%9."/>
      <w:lvlJc w:val="right"/>
      <w:pPr>
        <w:ind w:left="6480" w:hanging="180"/>
      </w:pPr>
      <w:rPr>
        <w:rFonts w:ascii="Times New Roman" w:eastAsia="Times New Roman" w:hAnsi="Times New Roman" w:cs="Times New Roman"/>
      </w:rPr>
    </w:lvl>
  </w:abstractNum>
  <w:num w:numId="1">
    <w:abstractNumId w:val="62"/>
  </w:num>
  <w:num w:numId="2">
    <w:abstractNumId w:val="13"/>
  </w:num>
  <w:num w:numId="3">
    <w:abstractNumId w:val="72"/>
  </w:num>
  <w:num w:numId="4">
    <w:abstractNumId w:val="21"/>
  </w:num>
  <w:num w:numId="5">
    <w:abstractNumId w:val="80"/>
  </w:num>
  <w:num w:numId="6">
    <w:abstractNumId w:val="105"/>
  </w:num>
  <w:num w:numId="7">
    <w:abstractNumId w:val="90"/>
  </w:num>
  <w:num w:numId="8">
    <w:abstractNumId w:val="4"/>
  </w:num>
  <w:num w:numId="9">
    <w:abstractNumId w:val="29"/>
  </w:num>
  <w:num w:numId="10">
    <w:abstractNumId w:val="5"/>
  </w:num>
  <w:num w:numId="11">
    <w:abstractNumId w:val="91"/>
  </w:num>
  <w:num w:numId="12">
    <w:abstractNumId w:val="69"/>
  </w:num>
  <w:num w:numId="13">
    <w:abstractNumId w:val="45"/>
  </w:num>
  <w:num w:numId="14">
    <w:abstractNumId w:val="52"/>
  </w:num>
  <w:num w:numId="15">
    <w:abstractNumId w:val="93"/>
  </w:num>
  <w:num w:numId="16">
    <w:abstractNumId w:val="83"/>
  </w:num>
  <w:num w:numId="17">
    <w:abstractNumId w:val="25"/>
  </w:num>
  <w:num w:numId="18">
    <w:abstractNumId w:val="18"/>
  </w:num>
  <w:num w:numId="19">
    <w:abstractNumId w:val="100"/>
  </w:num>
  <w:num w:numId="20">
    <w:abstractNumId w:val="77"/>
  </w:num>
  <w:num w:numId="21">
    <w:abstractNumId w:val="96"/>
  </w:num>
  <w:num w:numId="22">
    <w:abstractNumId w:val="7"/>
  </w:num>
  <w:num w:numId="23">
    <w:abstractNumId w:val="44"/>
  </w:num>
  <w:num w:numId="24">
    <w:abstractNumId w:val="34"/>
  </w:num>
  <w:num w:numId="25">
    <w:abstractNumId w:val="109"/>
  </w:num>
  <w:num w:numId="26">
    <w:abstractNumId w:val="23"/>
  </w:num>
  <w:num w:numId="27">
    <w:abstractNumId w:val="101"/>
  </w:num>
  <w:num w:numId="28">
    <w:abstractNumId w:val="28"/>
  </w:num>
  <w:num w:numId="29">
    <w:abstractNumId w:val="94"/>
  </w:num>
  <w:num w:numId="30">
    <w:abstractNumId w:val="74"/>
  </w:num>
  <w:num w:numId="31">
    <w:abstractNumId w:val="22"/>
  </w:num>
  <w:num w:numId="32">
    <w:abstractNumId w:val="64"/>
  </w:num>
  <w:num w:numId="33">
    <w:abstractNumId w:val="63"/>
  </w:num>
  <w:num w:numId="34">
    <w:abstractNumId w:val="78"/>
  </w:num>
  <w:num w:numId="35">
    <w:abstractNumId w:val="68"/>
  </w:num>
  <w:num w:numId="36">
    <w:abstractNumId w:val="86"/>
  </w:num>
  <w:num w:numId="37">
    <w:abstractNumId w:val="81"/>
  </w:num>
  <w:num w:numId="38">
    <w:abstractNumId w:val="12"/>
  </w:num>
  <w:num w:numId="39">
    <w:abstractNumId w:val="16"/>
  </w:num>
  <w:num w:numId="40">
    <w:abstractNumId w:val="51"/>
  </w:num>
  <w:num w:numId="41">
    <w:abstractNumId w:val="2"/>
  </w:num>
  <w:num w:numId="42">
    <w:abstractNumId w:val="108"/>
  </w:num>
  <w:num w:numId="43">
    <w:abstractNumId w:val="75"/>
  </w:num>
  <w:num w:numId="44">
    <w:abstractNumId w:val="85"/>
  </w:num>
  <w:num w:numId="45">
    <w:abstractNumId w:val="53"/>
  </w:num>
  <w:num w:numId="46">
    <w:abstractNumId w:val="20"/>
  </w:num>
  <w:num w:numId="47">
    <w:abstractNumId w:val="40"/>
  </w:num>
  <w:num w:numId="48">
    <w:abstractNumId w:val="76"/>
  </w:num>
  <w:num w:numId="49">
    <w:abstractNumId w:val="43"/>
  </w:num>
  <w:num w:numId="50">
    <w:abstractNumId w:val="37"/>
  </w:num>
  <w:num w:numId="51">
    <w:abstractNumId w:val="11"/>
  </w:num>
  <w:num w:numId="52">
    <w:abstractNumId w:val="49"/>
  </w:num>
  <w:num w:numId="53">
    <w:abstractNumId w:val="32"/>
  </w:num>
  <w:num w:numId="54">
    <w:abstractNumId w:val="95"/>
  </w:num>
  <w:num w:numId="55">
    <w:abstractNumId w:val="102"/>
  </w:num>
  <w:num w:numId="56">
    <w:abstractNumId w:val="27"/>
  </w:num>
  <w:num w:numId="57">
    <w:abstractNumId w:val="107"/>
  </w:num>
  <w:num w:numId="58">
    <w:abstractNumId w:val="58"/>
  </w:num>
  <w:num w:numId="59">
    <w:abstractNumId w:val="87"/>
  </w:num>
  <w:num w:numId="60">
    <w:abstractNumId w:val="92"/>
  </w:num>
  <w:num w:numId="61">
    <w:abstractNumId w:val="67"/>
  </w:num>
  <w:num w:numId="62">
    <w:abstractNumId w:val="84"/>
  </w:num>
  <w:num w:numId="63">
    <w:abstractNumId w:val="73"/>
  </w:num>
  <w:num w:numId="64">
    <w:abstractNumId w:val="1"/>
  </w:num>
  <w:num w:numId="65">
    <w:abstractNumId w:val="26"/>
  </w:num>
  <w:num w:numId="66">
    <w:abstractNumId w:val="79"/>
  </w:num>
  <w:num w:numId="67">
    <w:abstractNumId w:val="106"/>
  </w:num>
  <w:num w:numId="68">
    <w:abstractNumId w:val="35"/>
  </w:num>
  <w:num w:numId="69">
    <w:abstractNumId w:val="3"/>
  </w:num>
  <w:num w:numId="70">
    <w:abstractNumId w:val="103"/>
  </w:num>
  <w:num w:numId="71">
    <w:abstractNumId w:val="31"/>
  </w:num>
  <w:num w:numId="72">
    <w:abstractNumId w:val="14"/>
  </w:num>
  <w:num w:numId="73">
    <w:abstractNumId w:val="50"/>
  </w:num>
  <w:num w:numId="74">
    <w:abstractNumId w:val="89"/>
  </w:num>
  <w:num w:numId="75">
    <w:abstractNumId w:val="47"/>
  </w:num>
  <w:num w:numId="76">
    <w:abstractNumId w:val="70"/>
  </w:num>
  <w:num w:numId="77">
    <w:abstractNumId w:val="88"/>
  </w:num>
  <w:num w:numId="78">
    <w:abstractNumId w:val="104"/>
  </w:num>
  <w:num w:numId="79">
    <w:abstractNumId w:val="65"/>
  </w:num>
  <w:num w:numId="80">
    <w:abstractNumId w:val="41"/>
  </w:num>
  <w:num w:numId="81">
    <w:abstractNumId w:val="82"/>
  </w:num>
  <w:num w:numId="82">
    <w:abstractNumId w:val="48"/>
  </w:num>
  <w:num w:numId="83">
    <w:abstractNumId w:val="39"/>
  </w:num>
  <w:num w:numId="84">
    <w:abstractNumId w:val="57"/>
  </w:num>
  <w:num w:numId="85">
    <w:abstractNumId w:val="24"/>
  </w:num>
  <w:num w:numId="86">
    <w:abstractNumId w:val="33"/>
  </w:num>
  <w:num w:numId="87">
    <w:abstractNumId w:val="42"/>
  </w:num>
  <w:num w:numId="88">
    <w:abstractNumId w:val="66"/>
  </w:num>
  <w:num w:numId="89">
    <w:abstractNumId w:val="60"/>
  </w:num>
  <w:num w:numId="90">
    <w:abstractNumId w:val="10"/>
  </w:num>
  <w:num w:numId="91">
    <w:abstractNumId w:val="38"/>
  </w:num>
  <w:num w:numId="92">
    <w:abstractNumId w:val="54"/>
  </w:num>
  <w:num w:numId="93">
    <w:abstractNumId w:val="19"/>
  </w:num>
  <w:num w:numId="94">
    <w:abstractNumId w:val="15"/>
  </w:num>
  <w:num w:numId="95">
    <w:abstractNumId w:val="98"/>
  </w:num>
  <w:num w:numId="96">
    <w:abstractNumId w:val="8"/>
  </w:num>
  <w:num w:numId="97">
    <w:abstractNumId w:val="30"/>
  </w:num>
  <w:num w:numId="98">
    <w:abstractNumId w:val="6"/>
  </w:num>
  <w:num w:numId="99">
    <w:abstractNumId w:val="61"/>
  </w:num>
  <w:num w:numId="100">
    <w:abstractNumId w:val="9"/>
  </w:num>
  <w:num w:numId="101">
    <w:abstractNumId w:val="59"/>
  </w:num>
  <w:num w:numId="102">
    <w:abstractNumId w:val="97"/>
    <w:lvlOverride w:ilvl="0">
      <w:startOverride w:val="1"/>
    </w:lvlOverride>
  </w:num>
  <w:num w:numId="103">
    <w:abstractNumId w:val="99"/>
  </w:num>
  <w:num w:numId="104">
    <w:abstractNumId w:val="17"/>
  </w:num>
  <w:num w:numId="105">
    <w:abstractNumId w:val="36"/>
  </w:num>
  <w:num w:numId="106">
    <w:abstractNumId w:val="56"/>
  </w:num>
  <w:num w:numId="107">
    <w:abstractNumId w:val="46"/>
  </w:num>
  <w:num w:numId="108">
    <w:abstractNumId w:val="71"/>
  </w:num>
  <w:num w:numId="109">
    <w:abstractNumId w:val="55"/>
  </w:num>
  <w:num w:numId="110">
    <w:abstractNumId w:val="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hideGrammaticalError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C3"/>
    <w:rsid w:val="00000D3C"/>
    <w:rsid w:val="00003C5B"/>
    <w:rsid w:val="00003DE9"/>
    <w:rsid w:val="00004CE2"/>
    <w:rsid w:val="0000600D"/>
    <w:rsid w:val="00016D01"/>
    <w:rsid w:val="0002292A"/>
    <w:rsid w:val="0003036F"/>
    <w:rsid w:val="0003543A"/>
    <w:rsid w:val="000446E8"/>
    <w:rsid w:val="00045690"/>
    <w:rsid w:val="0004699C"/>
    <w:rsid w:val="00090DE8"/>
    <w:rsid w:val="000953AD"/>
    <w:rsid w:val="00097278"/>
    <w:rsid w:val="000A5677"/>
    <w:rsid w:val="000B26D5"/>
    <w:rsid w:val="000B58E3"/>
    <w:rsid w:val="000C6209"/>
    <w:rsid w:val="000F3643"/>
    <w:rsid w:val="00102892"/>
    <w:rsid w:val="00103385"/>
    <w:rsid w:val="00111E05"/>
    <w:rsid w:val="0011561C"/>
    <w:rsid w:val="0012484B"/>
    <w:rsid w:val="0012497B"/>
    <w:rsid w:val="00125F4D"/>
    <w:rsid w:val="0013138B"/>
    <w:rsid w:val="00132937"/>
    <w:rsid w:val="00141ACF"/>
    <w:rsid w:val="00150B18"/>
    <w:rsid w:val="00166B76"/>
    <w:rsid w:val="00167219"/>
    <w:rsid w:val="00174C9F"/>
    <w:rsid w:val="00184C53"/>
    <w:rsid w:val="00191755"/>
    <w:rsid w:val="001A1B83"/>
    <w:rsid w:val="001B1728"/>
    <w:rsid w:val="001D3675"/>
    <w:rsid w:val="001D733A"/>
    <w:rsid w:val="001E37DC"/>
    <w:rsid w:val="001E7872"/>
    <w:rsid w:val="001F57EE"/>
    <w:rsid w:val="002019F6"/>
    <w:rsid w:val="00203347"/>
    <w:rsid w:val="0020645B"/>
    <w:rsid w:val="0021052F"/>
    <w:rsid w:val="0021319C"/>
    <w:rsid w:val="00235790"/>
    <w:rsid w:val="00236AB5"/>
    <w:rsid w:val="00254001"/>
    <w:rsid w:val="00257599"/>
    <w:rsid w:val="002628BF"/>
    <w:rsid w:val="00271375"/>
    <w:rsid w:val="00271892"/>
    <w:rsid w:val="002A5B3D"/>
    <w:rsid w:val="002A6C36"/>
    <w:rsid w:val="002A6DD8"/>
    <w:rsid w:val="002B2BB1"/>
    <w:rsid w:val="002E3B57"/>
    <w:rsid w:val="00300A4B"/>
    <w:rsid w:val="00301FF8"/>
    <w:rsid w:val="00305952"/>
    <w:rsid w:val="0031718E"/>
    <w:rsid w:val="00346040"/>
    <w:rsid w:val="00346675"/>
    <w:rsid w:val="00353DF4"/>
    <w:rsid w:val="00371243"/>
    <w:rsid w:val="00371FB9"/>
    <w:rsid w:val="0037402B"/>
    <w:rsid w:val="003906A8"/>
    <w:rsid w:val="00391354"/>
    <w:rsid w:val="003A20D5"/>
    <w:rsid w:val="003B0E5F"/>
    <w:rsid w:val="003C1F67"/>
    <w:rsid w:val="003C529C"/>
    <w:rsid w:val="003C7E78"/>
    <w:rsid w:val="003D2707"/>
    <w:rsid w:val="003E351D"/>
    <w:rsid w:val="003E76C8"/>
    <w:rsid w:val="003F1AE2"/>
    <w:rsid w:val="003F3B17"/>
    <w:rsid w:val="00401AC0"/>
    <w:rsid w:val="00401C14"/>
    <w:rsid w:val="00401C9B"/>
    <w:rsid w:val="00401E90"/>
    <w:rsid w:val="00411D0A"/>
    <w:rsid w:val="00422C74"/>
    <w:rsid w:val="00426DF4"/>
    <w:rsid w:val="0043262D"/>
    <w:rsid w:val="00445A6C"/>
    <w:rsid w:val="00450D69"/>
    <w:rsid w:val="0047589E"/>
    <w:rsid w:val="0047703F"/>
    <w:rsid w:val="004A0AED"/>
    <w:rsid w:val="004A0BA7"/>
    <w:rsid w:val="004A3270"/>
    <w:rsid w:val="004A4207"/>
    <w:rsid w:val="004B1B37"/>
    <w:rsid w:val="004C0B8B"/>
    <w:rsid w:val="004C1764"/>
    <w:rsid w:val="004C1DAF"/>
    <w:rsid w:val="004C3317"/>
    <w:rsid w:val="004D5176"/>
    <w:rsid w:val="004E2BCF"/>
    <w:rsid w:val="004E322D"/>
    <w:rsid w:val="004F7A5C"/>
    <w:rsid w:val="0050573B"/>
    <w:rsid w:val="00507D9E"/>
    <w:rsid w:val="00510918"/>
    <w:rsid w:val="00523D28"/>
    <w:rsid w:val="00543690"/>
    <w:rsid w:val="00555F31"/>
    <w:rsid w:val="00556631"/>
    <w:rsid w:val="005608F0"/>
    <w:rsid w:val="00563A35"/>
    <w:rsid w:val="00567765"/>
    <w:rsid w:val="00584CC6"/>
    <w:rsid w:val="00587212"/>
    <w:rsid w:val="005950BD"/>
    <w:rsid w:val="005B37AC"/>
    <w:rsid w:val="005B5D9E"/>
    <w:rsid w:val="005C3D0B"/>
    <w:rsid w:val="005E1FE1"/>
    <w:rsid w:val="005F0D53"/>
    <w:rsid w:val="006055B1"/>
    <w:rsid w:val="006060FC"/>
    <w:rsid w:val="006130EB"/>
    <w:rsid w:val="00614A68"/>
    <w:rsid w:val="0061675F"/>
    <w:rsid w:val="00620437"/>
    <w:rsid w:val="00626826"/>
    <w:rsid w:val="006270E7"/>
    <w:rsid w:val="00673CFD"/>
    <w:rsid w:val="0068185F"/>
    <w:rsid w:val="00685E6D"/>
    <w:rsid w:val="006A5948"/>
    <w:rsid w:val="006C7655"/>
    <w:rsid w:val="006D578B"/>
    <w:rsid w:val="006E01F4"/>
    <w:rsid w:val="006F0418"/>
    <w:rsid w:val="006F08ED"/>
    <w:rsid w:val="006F79BD"/>
    <w:rsid w:val="0070689F"/>
    <w:rsid w:val="00706A81"/>
    <w:rsid w:val="0070733E"/>
    <w:rsid w:val="007170C3"/>
    <w:rsid w:val="00717248"/>
    <w:rsid w:val="00717FA6"/>
    <w:rsid w:val="007245BB"/>
    <w:rsid w:val="00731F8B"/>
    <w:rsid w:val="007361B2"/>
    <w:rsid w:val="00742400"/>
    <w:rsid w:val="007424E5"/>
    <w:rsid w:val="00742E16"/>
    <w:rsid w:val="0074657B"/>
    <w:rsid w:val="00755230"/>
    <w:rsid w:val="00757CF3"/>
    <w:rsid w:val="00760F8D"/>
    <w:rsid w:val="00765AE1"/>
    <w:rsid w:val="007809D0"/>
    <w:rsid w:val="00785695"/>
    <w:rsid w:val="007868CA"/>
    <w:rsid w:val="007909E4"/>
    <w:rsid w:val="00795B63"/>
    <w:rsid w:val="007A3E2D"/>
    <w:rsid w:val="007B7E03"/>
    <w:rsid w:val="007D2993"/>
    <w:rsid w:val="00803D61"/>
    <w:rsid w:val="008070B3"/>
    <w:rsid w:val="00812F92"/>
    <w:rsid w:val="00820F0D"/>
    <w:rsid w:val="008220C5"/>
    <w:rsid w:val="00826DC4"/>
    <w:rsid w:val="008310AE"/>
    <w:rsid w:val="0083332E"/>
    <w:rsid w:val="008336CD"/>
    <w:rsid w:val="008378EE"/>
    <w:rsid w:val="00841AF5"/>
    <w:rsid w:val="00864079"/>
    <w:rsid w:val="008739EB"/>
    <w:rsid w:val="00877613"/>
    <w:rsid w:val="008819AF"/>
    <w:rsid w:val="008862B6"/>
    <w:rsid w:val="00887A90"/>
    <w:rsid w:val="00891D84"/>
    <w:rsid w:val="00895D99"/>
    <w:rsid w:val="008A7B1E"/>
    <w:rsid w:val="008B099A"/>
    <w:rsid w:val="008B0D28"/>
    <w:rsid w:val="008B369F"/>
    <w:rsid w:val="008C05DE"/>
    <w:rsid w:val="008C2883"/>
    <w:rsid w:val="008C7044"/>
    <w:rsid w:val="008D1FBC"/>
    <w:rsid w:val="008D4C58"/>
    <w:rsid w:val="008D7960"/>
    <w:rsid w:val="008E5CE5"/>
    <w:rsid w:val="008E6B2E"/>
    <w:rsid w:val="008F048E"/>
    <w:rsid w:val="009000C5"/>
    <w:rsid w:val="00927858"/>
    <w:rsid w:val="0093078B"/>
    <w:rsid w:val="009317FF"/>
    <w:rsid w:val="009346B5"/>
    <w:rsid w:val="009522A6"/>
    <w:rsid w:val="00953EC7"/>
    <w:rsid w:val="00957E49"/>
    <w:rsid w:val="009609A4"/>
    <w:rsid w:val="009636BB"/>
    <w:rsid w:val="00990E33"/>
    <w:rsid w:val="009916A2"/>
    <w:rsid w:val="009A031E"/>
    <w:rsid w:val="009A52C1"/>
    <w:rsid w:val="009A62D8"/>
    <w:rsid w:val="009B4597"/>
    <w:rsid w:val="009B4C09"/>
    <w:rsid w:val="009B58B4"/>
    <w:rsid w:val="009C019C"/>
    <w:rsid w:val="009C28D8"/>
    <w:rsid w:val="009C3D02"/>
    <w:rsid w:val="009C63CF"/>
    <w:rsid w:val="009C7CD3"/>
    <w:rsid w:val="009E10F3"/>
    <w:rsid w:val="009F5072"/>
    <w:rsid w:val="00A00E34"/>
    <w:rsid w:val="00A20BEE"/>
    <w:rsid w:val="00A2427B"/>
    <w:rsid w:val="00A279CC"/>
    <w:rsid w:val="00A32C9B"/>
    <w:rsid w:val="00A363DD"/>
    <w:rsid w:val="00A50B3A"/>
    <w:rsid w:val="00A50BDB"/>
    <w:rsid w:val="00A56986"/>
    <w:rsid w:val="00A6127B"/>
    <w:rsid w:val="00A71CE3"/>
    <w:rsid w:val="00A77B9D"/>
    <w:rsid w:val="00A82CA5"/>
    <w:rsid w:val="00A840D1"/>
    <w:rsid w:val="00A92E52"/>
    <w:rsid w:val="00A94ADD"/>
    <w:rsid w:val="00AA25D6"/>
    <w:rsid w:val="00AB15B2"/>
    <w:rsid w:val="00AC7D24"/>
    <w:rsid w:val="00AD4347"/>
    <w:rsid w:val="00AE35FA"/>
    <w:rsid w:val="00AE4896"/>
    <w:rsid w:val="00B16CFC"/>
    <w:rsid w:val="00B2138E"/>
    <w:rsid w:val="00B23623"/>
    <w:rsid w:val="00B263BA"/>
    <w:rsid w:val="00B37304"/>
    <w:rsid w:val="00B444DF"/>
    <w:rsid w:val="00B44DE0"/>
    <w:rsid w:val="00B4650F"/>
    <w:rsid w:val="00B53793"/>
    <w:rsid w:val="00B60DFF"/>
    <w:rsid w:val="00B65BAF"/>
    <w:rsid w:val="00B72698"/>
    <w:rsid w:val="00B731E7"/>
    <w:rsid w:val="00B83CD4"/>
    <w:rsid w:val="00B91E91"/>
    <w:rsid w:val="00BA0501"/>
    <w:rsid w:val="00BA78D6"/>
    <w:rsid w:val="00BB00A6"/>
    <w:rsid w:val="00BB4CD9"/>
    <w:rsid w:val="00BD1060"/>
    <w:rsid w:val="00BD4C79"/>
    <w:rsid w:val="00BF29FF"/>
    <w:rsid w:val="00C04DF6"/>
    <w:rsid w:val="00C16C5A"/>
    <w:rsid w:val="00C241D2"/>
    <w:rsid w:val="00C26E1C"/>
    <w:rsid w:val="00C4623B"/>
    <w:rsid w:val="00C56F32"/>
    <w:rsid w:val="00C572C2"/>
    <w:rsid w:val="00C57CF5"/>
    <w:rsid w:val="00C57FCC"/>
    <w:rsid w:val="00C60C8C"/>
    <w:rsid w:val="00C657B6"/>
    <w:rsid w:val="00C778D7"/>
    <w:rsid w:val="00C800E4"/>
    <w:rsid w:val="00C860FF"/>
    <w:rsid w:val="00C870C1"/>
    <w:rsid w:val="00C9617B"/>
    <w:rsid w:val="00CA1DFF"/>
    <w:rsid w:val="00CB38B4"/>
    <w:rsid w:val="00CB6CE7"/>
    <w:rsid w:val="00CB7C08"/>
    <w:rsid w:val="00CE05AC"/>
    <w:rsid w:val="00CE0E5E"/>
    <w:rsid w:val="00CE6EC1"/>
    <w:rsid w:val="00CF2D33"/>
    <w:rsid w:val="00D01D5E"/>
    <w:rsid w:val="00D11BE4"/>
    <w:rsid w:val="00D20832"/>
    <w:rsid w:val="00D22497"/>
    <w:rsid w:val="00D23AE0"/>
    <w:rsid w:val="00D23E60"/>
    <w:rsid w:val="00D24AF9"/>
    <w:rsid w:val="00D45E24"/>
    <w:rsid w:val="00D46F74"/>
    <w:rsid w:val="00D47CCA"/>
    <w:rsid w:val="00D72005"/>
    <w:rsid w:val="00D77EEF"/>
    <w:rsid w:val="00D823B3"/>
    <w:rsid w:val="00DB2CAB"/>
    <w:rsid w:val="00DB57E0"/>
    <w:rsid w:val="00DB6D01"/>
    <w:rsid w:val="00DC4FF3"/>
    <w:rsid w:val="00DC6538"/>
    <w:rsid w:val="00DD0CFD"/>
    <w:rsid w:val="00DD3F15"/>
    <w:rsid w:val="00DD5B5A"/>
    <w:rsid w:val="00DE017F"/>
    <w:rsid w:val="00DE2962"/>
    <w:rsid w:val="00DE317D"/>
    <w:rsid w:val="00DE3834"/>
    <w:rsid w:val="00DE703C"/>
    <w:rsid w:val="00E02160"/>
    <w:rsid w:val="00E024AA"/>
    <w:rsid w:val="00E21FC0"/>
    <w:rsid w:val="00E26019"/>
    <w:rsid w:val="00E32B03"/>
    <w:rsid w:val="00E4021D"/>
    <w:rsid w:val="00E47162"/>
    <w:rsid w:val="00E5212C"/>
    <w:rsid w:val="00E533A3"/>
    <w:rsid w:val="00E64E9B"/>
    <w:rsid w:val="00E67271"/>
    <w:rsid w:val="00E701B3"/>
    <w:rsid w:val="00E71DB5"/>
    <w:rsid w:val="00E72189"/>
    <w:rsid w:val="00E7430A"/>
    <w:rsid w:val="00E82620"/>
    <w:rsid w:val="00E87844"/>
    <w:rsid w:val="00E906EB"/>
    <w:rsid w:val="00E90C08"/>
    <w:rsid w:val="00E92900"/>
    <w:rsid w:val="00E92E77"/>
    <w:rsid w:val="00E95DC7"/>
    <w:rsid w:val="00EA29A9"/>
    <w:rsid w:val="00EA4F94"/>
    <w:rsid w:val="00EB6011"/>
    <w:rsid w:val="00EB6299"/>
    <w:rsid w:val="00EB6E9B"/>
    <w:rsid w:val="00EB7511"/>
    <w:rsid w:val="00EC3B03"/>
    <w:rsid w:val="00EC5B90"/>
    <w:rsid w:val="00ED0E6F"/>
    <w:rsid w:val="00ED17A9"/>
    <w:rsid w:val="00ED67FF"/>
    <w:rsid w:val="00EE36F4"/>
    <w:rsid w:val="00EF26C9"/>
    <w:rsid w:val="00EF49D4"/>
    <w:rsid w:val="00EF4DC4"/>
    <w:rsid w:val="00F00758"/>
    <w:rsid w:val="00F02B7C"/>
    <w:rsid w:val="00F03490"/>
    <w:rsid w:val="00F07564"/>
    <w:rsid w:val="00F12642"/>
    <w:rsid w:val="00F64BBF"/>
    <w:rsid w:val="00F71FCE"/>
    <w:rsid w:val="00F73D7C"/>
    <w:rsid w:val="00F80158"/>
    <w:rsid w:val="00F929C5"/>
    <w:rsid w:val="00F95525"/>
    <w:rsid w:val="00F9799C"/>
    <w:rsid w:val="00FA202D"/>
    <w:rsid w:val="00FA313C"/>
    <w:rsid w:val="00FA34E3"/>
    <w:rsid w:val="00FA4AE4"/>
    <w:rsid w:val="00FA7467"/>
    <w:rsid w:val="00FB2CDF"/>
    <w:rsid w:val="00FC47C1"/>
    <w:rsid w:val="00FD20C0"/>
    <w:rsid w:val="00FF3979"/>
  </w:rsids>
  <m:mathPr>
    <m:mathFont m:val="Cambria Math"/>
    <m:brkBin m:val="before"/>
    <m:brkBinSub m:val="--"/>
    <m:smallFrac m:val="0"/>
    <m:dispDef/>
    <m:lMargin m:val="0"/>
    <m:rMargin m:val="0"/>
    <m:defJc m:val="center"/>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15131603"/>
  <w15:docId w15:val="{15528864-F5FB-4DFE-BE5D-A9D33F38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0B8B"/>
    <w:rPr>
      <w:rFonts w:ascii="Times New Roman" w:eastAsia="Times New Roman" w:hAnsi="Times New Roman"/>
      <w:lang w:bidi="sk-SK"/>
    </w:rPr>
  </w:style>
  <w:style w:type="paragraph" w:styleId="Nadpis1">
    <w:name w:val="heading 1"/>
    <w:basedOn w:val="Normlny"/>
    <w:next w:val="Normlny"/>
    <w:qFormat/>
    <w:rsid w:val="004C0B8B"/>
    <w:pPr>
      <w:keepNext/>
      <w:spacing w:before="240"/>
      <w:ind w:left="215" w:hanging="215"/>
      <w:jc w:val="center"/>
      <w:outlineLvl w:val="0"/>
    </w:pPr>
    <w:rPr>
      <w:rFonts w:ascii="Arial" w:eastAsia="Arial" w:hAnsi="Arial" w:cs="Arial"/>
      <w:b/>
      <w:bCs/>
      <w:sz w:val="17"/>
      <w:szCs w:val="17"/>
      <w:lang w:bidi="cs-CZ"/>
    </w:rPr>
  </w:style>
  <w:style w:type="paragraph" w:styleId="Nadpis2">
    <w:name w:val="heading 2"/>
    <w:basedOn w:val="Normlny"/>
    <w:next w:val="Normlny"/>
    <w:qFormat/>
    <w:rsid w:val="004C0B8B"/>
    <w:pPr>
      <w:keepNext/>
      <w:ind w:left="705" w:hanging="705"/>
      <w:jc w:val="center"/>
      <w:outlineLvl w:val="1"/>
    </w:pPr>
    <w:rPr>
      <w:rFonts w:ascii="Bookman Old Style" w:eastAsia="Bookman Old Style" w:hAnsi="Bookman Old Style" w:cs="Bookman Old Style"/>
      <w:b/>
      <w:bCs/>
      <w:spacing w:val="-5"/>
      <w:sz w:val="17"/>
      <w:szCs w:val="17"/>
      <w:lang w:bidi="cs-CZ"/>
    </w:rPr>
  </w:style>
  <w:style w:type="paragraph" w:styleId="Nadpis3">
    <w:name w:val="heading 3"/>
    <w:basedOn w:val="Normlny"/>
    <w:next w:val="Normlny"/>
    <w:qFormat/>
    <w:rsid w:val="004C0B8B"/>
    <w:pPr>
      <w:keepNext/>
      <w:ind w:left="215" w:hanging="215"/>
      <w:outlineLvl w:val="2"/>
    </w:pPr>
    <w:rPr>
      <w:rFonts w:ascii="Arial" w:eastAsia="Arial" w:hAnsi="Arial" w:cs="Arial"/>
      <w:b/>
      <w:bCs/>
      <w:lang w:bidi="cs-CZ"/>
    </w:rPr>
  </w:style>
  <w:style w:type="paragraph" w:styleId="Nadpis4">
    <w:name w:val="heading 4"/>
    <w:basedOn w:val="Normlny"/>
    <w:next w:val="Normlny"/>
    <w:qFormat/>
    <w:rsid w:val="004C0B8B"/>
    <w:pPr>
      <w:keepNext/>
      <w:ind w:left="215" w:hanging="215"/>
      <w:jc w:val="both"/>
      <w:outlineLvl w:val="3"/>
    </w:pPr>
    <w:rPr>
      <w:rFonts w:ascii="Arial" w:eastAsia="Arial" w:hAnsi="Arial" w:cs="Arial"/>
      <w:b/>
      <w:bCs/>
      <w:lang w:bidi="cs-CZ"/>
    </w:rPr>
  </w:style>
  <w:style w:type="paragraph" w:styleId="Nadpis5">
    <w:name w:val="heading 5"/>
    <w:basedOn w:val="Normlny"/>
    <w:next w:val="Normlny"/>
    <w:qFormat/>
    <w:rsid w:val="004C0B8B"/>
    <w:pPr>
      <w:keepNext/>
      <w:ind w:left="215" w:hanging="215"/>
      <w:outlineLvl w:val="4"/>
    </w:pPr>
    <w:rPr>
      <w:rFonts w:ascii="Arial" w:eastAsia="Arial" w:hAnsi="Arial" w:cs="Arial"/>
      <w:b/>
      <w:bCs/>
      <w:lang w:bidi="cs-CZ"/>
    </w:rPr>
  </w:style>
  <w:style w:type="paragraph" w:styleId="Nadpis6">
    <w:name w:val="heading 6"/>
    <w:basedOn w:val="Normlny"/>
    <w:next w:val="Normlny"/>
    <w:qFormat/>
    <w:rsid w:val="004C0B8B"/>
    <w:pPr>
      <w:keepNext/>
      <w:ind w:left="215" w:hanging="215"/>
      <w:jc w:val="both"/>
      <w:outlineLvl w:val="5"/>
    </w:pPr>
    <w:rPr>
      <w:rFonts w:ascii="Arial" w:eastAsia="Arial" w:hAnsi="Arial" w:cs="Arial"/>
      <w:b/>
      <w:bCs/>
      <w:sz w:val="16"/>
      <w:szCs w:val="16"/>
      <w:lang w:bidi="cs-CZ"/>
    </w:rPr>
  </w:style>
  <w:style w:type="paragraph" w:styleId="Nadpis7">
    <w:name w:val="heading 7"/>
    <w:basedOn w:val="Normlny"/>
    <w:next w:val="Normlny"/>
    <w:qFormat/>
    <w:rsid w:val="004C0B8B"/>
    <w:pPr>
      <w:keepNext/>
      <w:ind w:left="567" w:hanging="215"/>
      <w:jc w:val="both"/>
      <w:outlineLvl w:val="6"/>
    </w:pPr>
    <w:rPr>
      <w:rFonts w:ascii="Arial" w:eastAsia="Arial" w:hAnsi="Arial" w:cs="Arial"/>
      <w:b/>
      <w:bCs/>
      <w:i/>
      <w:iCs/>
      <w:sz w:val="17"/>
      <w:szCs w:val="17"/>
      <w:lang w:bidi="cs-CZ"/>
    </w:rPr>
  </w:style>
  <w:style w:type="paragraph" w:styleId="Nadpis8">
    <w:name w:val="heading 8"/>
    <w:basedOn w:val="Normlny"/>
    <w:next w:val="Normlny"/>
    <w:qFormat/>
    <w:rsid w:val="004C0B8B"/>
    <w:pPr>
      <w:keepNext/>
      <w:ind w:left="215" w:hanging="215"/>
      <w:jc w:val="center"/>
      <w:outlineLvl w:val="7"/>
    </w:pPr>
    <w:rPr>
      <w:rFonts w:ascii="Arial" w:eastAsia="Arial" w:hAnsi="Arial" w:cs="Arial"/>
      <w:i/>
      <w:iCs/>
      <w:lang w:bidi="cs-CZ"/>
    </w:rPr>
  </w:style>
  <w:style w:type="paragraph" w:styleId="Nadpis9">
    <w:name w:val="heading 9"/>
    <w:basedOn w:val="Normlny"/>
    <w:next w:val="Normlny"/>
    <w:qFormat/>
    <w:rsid w:val="004C0B8B"/>
    <w:pPr>
      <w:keepNext/>
      <w:ind w:left="567" w:hanging="215"/>
      <w:jc w:val="both"/>
      <w:outlineLvl w:val="8"/>
    </w:pPr>
    <w:rPr>
      <w:rFonts w:ascii="Arial" w:eastAsia="Arial" w:hAnsi="Arial" w:cs="Arial"/>
      <w:b/>
      <w:bCs/>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qFormat/>
    <w:rsid w:val="004C0B8B"/>
    <w:pPr>
      <w:ind w:left="215" w:hanging="215"/>
    </w:pPr>
    <w:rPr>
      <w:rFonts w:ascii="Tahoma" w:eastAsia="Tahoma" w:hAnsi="Tahoma" w:cs="Tahoma"/>
      <w:sz w:val="16"/>
      <w:szCs w:val="16"/>
      <w:lang w:bidi="cs-CZ"/>
    </w:rPr>
  </w:style>
  <w:style w:type="paragraph" w:styleId="Zkladntext">
    <w:name w:val="Body Text"/>
    <w:basedOn w:val="Normlny"/>
    <w:qFormat/>
    <w:rsid w:val="004C0B8B"/>
    <w:pPr>
      <w:ind w:left="215" w:hanging="215"/>
      <w:jc w:val="both"/>
    </w:pPr>
    <w:rPr>
      <w:rFonts w:ascii="Arial" w:eastAsia="Arial" w:hAnsi="Arial" w:cs="Arial"/>
      <w:sz w:val="17"/>
      <w:szCs w:val="17"/>
      <w:lang w:bidi="cs-CZ"/>
    </w:rPr>
  </w:style>
  <w:style w:type="paragraph" w:styleId="Zkladntext2">
    <w:name w:val="Body Text 2"/>
    <w:basedOn w:val="Normlny"/>
    <w:uiPriority w:val="99"/>
    <w:qFormat/>
    <w:rsid w:val="004C0B8B"/>
    <w:pPr>
      <w:ind w:left="426" w:hanging="426"/>
      <w:jc w:val="both"/>
    </w:pPr>
    <w:rPr>
      <w:rFonts w:ascii="Arial" w:eastAsia="Arial" w:hAnsi="Arial" w:cs="Arial"/>
      <w:sz w:val="17"/>
      <w:szCs w:val="17"/>
      <w:lang w:bidi="cs-CZ"/>
    </w:rPr>
  </w:style>
  <w:style w:type="paragraph" w:styleId="Zkladntext3">
    <w:name w:val="Body Text 3"/>
    <w:basedOn w:val="Normlny"/>
    <w:qFormat/>
    <w:rsid w:val="004C0B8B"/>
    <w:pPr>
      <w:ind w:left="215" w:hanging="215"/>
      <w:jc w:val="both"/>
    </w:pPr>
    <w:rPr>
      <w:rFonts w:ascii="Arial" w:eastAsia="Arial" w:hAnsi="Arial" w:cs="Arial"/>
      <w:color w:val="339966"/>
      <w:sz w:val="17"/>
      <w:szCs w:val="17"/>
      <w:lang w:bidi="cs-CZ"/>
    </w:rPr>
  </w:style>
  <w:style w:type="paragraph" w:styleId="Prvzarkazkladnhotextu">
    <w:name w:val="Body Text First Indent"/>
    <w:basedOn w:val="Zkladntext"/>
    <w:uiPriority w:val="99"/>
    <w:qFormat/>
    <w:rsid w:val="004C0B8B"/>
    <w:pPr>
      <w:spacing w:after="120"/>
      <w:ind w:firstLine="210"/>
      <w:jc w:val="left"/>
    </w:pPr>
    <w:rPr>
      <w:lang w:bidi="sk-SK"/>
    </w:rPr>
  </w:style>
  <w:style w:type="paragraph" w:styleId="Zarkazkladnhotextu">
    <w:name w:val="Body Text Indent"/>
    <w:basedOn w:val="Normlny"/>
    <w:qFormat/>
    <w:rsid w:val="004C0B8B"/>
    <w:pPr>
      <w:ind w:left="215" w:hanging="215"/>
      <w:jc w:val="both"/>
    </w:pPr>
    <w:rPr>
      <w:rFonts w:ascii="Arial" w:eastAsia="Arial" w:hAnsi="Arial" w:cs="Arial"/>
      <w:color w:val="FF0000"/>
      <w:lang w:bidi="cs-CZ"/>
    </w:rPr>
  </w:style>
  <w:style w:type="paragraph" w:styleId="Zarkazkladnhotextu2">
    <w:name w:val="Body Text Indent 2"/>
    <w:basedOn w:val="Normlny"/>
    <w:qFormat/>
    <w:rsid w:val="004C0B8B"/>
    <w:pPr>
      <w:ind w:left="-44" w:hanging="215"/>
    </w:pPr>
    <w:rPr>
      <w:rFonts w:ascii="Arial" w:eastAsia="Arial" w:hAnsi="Arial" w:cs="Arial"/>
      <w:lang w:bidi="cs-CZ"/>
    </w:rPr>
  </w:style>
  <w:style w:type="paragraph" w:styleId="Zarkazkladnhotextu3">
    <w:name w:val="Body Text Indent 3"/>
    <w:basedOn w:val="Normlny"/>
    <w:qFormat/>
    <w:rsid w:val="004C0B8B"/>
    <w:pPr>
      <w:ind w:left="426" w:hanging="426"/>
      <w:jc w:val="both"/>
    </w:pPr>
    <w:rPr>
      <w:rFonts w:ascii="Arial" w:eastAsia="Arial" w:hAnsi="Arial" w:cs="Arial"/>
      <w:sz w:val="17"/>
      <w:szCs w:val="17"/>
      <w:lang w:bidi="cs-CZ"/>
    </w:rPr>
  </w:style>
  <w:style w:type="paragraph" w:styleId="Popis">
    <w:name w:val="caption"/>
    <w:basedOn w:val="Normlny"/>
    <w:next w:val="Normlny"/>
    <w:uiPriority w:val="35"/>
    <w:semiHidden/>
    <w:unhideWhenUsed/>
    <w:qFormat/>
    <w:rsid w:val="004C0B8B"/>
    <w:pPr>
      <w:spacing w:line="276" w:lineRule="auto"/>
    </w:pPr>
    <w:rPr>
      <w:b/>
      <w:bCs/>
      <w:color w:val="5B9BD5"/>
      <w:sz w:val="18"/>
      <w:szCs w:val="18"/>
    </w:rPr>
  </w:style>
  <w:style w:type="character" w:styleId="Odkaznakomentr">
    <w:name w:val="annotation reference"/>
    <w:uiPriority w:val="99"/>
    <w:semiHidden/>
    <w:qFormat/>
    <w:rsid w:val="004C0B8B"/>
    <w:rPr>
      <w:rFonts w:ascii="Times New Roman" w:eastAsia="Times New Roman" w:hAnsi="Times New Roman" w:cs="Times New Roman"/>
      <w:sz w:val="16"/>
    </w:rPr>
  </w:style>
  <w:style w:type="paragraph" w:styleId="Textkomentra">
    <w:name w:val="annotation text"/>
    <w:basedOn w:val="Normlny"/>
    <w:uiPriority w:val="99"/>
    <w:qFormat/>
    <w:rsid w:val="004C0B8B"/>
    <w:pPr>
      <w:ind w:left="215" w:hanging="215"/>
    </w:pPr>
    <w:rPr>
      <w:rFonts w:ascii="Arial" w:eastAsia="Arial" w:hAnsi="Arial" w:cs="Arial"/>
      <w:sz w:val="17"/>
      <w:szCs w:val="17"/>
      <w:lang w:bidi="cs-CZ"/>
    </w:rPr>
  </w:style>
  <w:style w:type="paragraph" w:styleId="Predmetkomentra">
    <w:name w:val="annotation subject"/>
    <w:basedOn w:val="Textkomentra"/>
    <w:next w:val="Textkomentra"/>
    <w:qFormat/>
    <w:rsid w:val="004C0B8B"/>
    <w:pPr>
      <w:keepNext/>
      <w:spacing w:before="60" w:after="60"/>
      <w:ind w:left="0"/>
      <w:jc w:val="both"/>
    </w:pPr>
    <w:rPr>
      <w:b/>
      <w:bCs/>
    </w:rPr>
  </w:style>
  <w:style w:type="paragraph" w:styleId="truktradokumentu">
    <w:name w:val="Document Map"/>
    <w:basedOn w:val="Normlny"/>
    <w:semiHidden/>
    <w:qFormat/>
    <w:rsid w:val="004C0B8B"/>
    <w:pPr>
      <w:shd w:val="clear" w:color="auto" w:fill="000080"/>
      <w:ind w:left="215" w:hanging="215"/>
    </w:pPr>
    <w:rPr>
      <w:rFonts w:ascii="Tahoma" w:eastAsia="Tahoma" w:hAnsi="Tahoma" w:cs="Tahoma"/>
      <w:sz w:val="17"/>
      <w:szCs w:val="17"/>
      <w:lang w:bidi="cs-CZ"/>
    </w:rPr>
  </w:style>
  <w:style w:type="character" w:styleId="Odkaznavysvetlivku">
    <w:name w:val="endnote reference"/>
    <w:uiPriority w:val="99"/>
    <w:semiHidden/>
    <w:unhideWhenUsed/>
    <w:qFormat/>
    <w:rsid w:val="004C0B8B"/>
    <w:rPr>
      <w:vertAlign w:val="superscript"/>
    </w:rPr>
  </w:style>
  <w:style w:type="paragraph" w:styleId="Textvysvetlivky">
    <w:name w:val="endnote text"/>
    <w:basedOn w:val="Normlny"/>
    <w:link w:val="TextvysvetlivkyChar"/>
    <w:uiPriority w:val="99"/>
    <w:semiHidden/>
    <w:unhideWhenUsed/>
    <w:qFormat/>
    <w:rsid w:val="004C0B8B"/>
  </w:style>
  <w:style w:type="paragraph" w:styleId="Pta">
    <w:name w:val="footer"/>
    <w:basedOn w:val="Normlny"/>
    <w:qFormat/>
    <w:rsid w:val="004C0B8B"/>
    <w:pPr>
      <w:tabs>
        <w:tab w:val="center" w:pos="4536"/>
        <w:tab w:val="right" w:pos="9072"/>
      </w:tabs>
      <w:ind w:left="215" w:hanging="215"/>
    </w:pPr>
    <w:rPr>
      <w:rFonts w:ascii="Arial" w:eastAsia="Arial" w:hAnsi="Arial" w:cs="Arial"/>
      <w:sz w:val="17"/>
      <w:szCs w:val="17"/>
      <w:lang w:bidi="cs-CZ"/>
    </w:rPr>
  </w:style>
  <w:style w:type="character" w:styleId="Odkaznapoznmkupodiarou">
    <w:name w:val="footnote reference"/>
    <w:uiPriority w:val="99"/>
    <w:qFormat/>
    <w:rsid w:val="004C0B8B"/>
    <w:rPr>
      <w:rFonts w:ascii="Times New Roman" w:eastAsia="Times New Roman" w:hAnsi="Times New Roman" w:cs="Times New Roman"/>
      <w:sz w:val="24"/>
      <w:vertAlign w:val="superscript"/>
    </w:rPr>
  </w:style>
  <w:style w:type="paragraph" w:styleId="Textpoznmkypodiarou">
    <w:name w:val="footnote text"/>
    <w:basedOn w:val="Normlny"/>
    <w:uiPriority w:val="99"/>
    <w:qFormat/>
    <w:rsid w:val="004C0B8B"/>
    <w:pPr>
      <w:ind w:left="215" w:hanging="215"/>
    </w:pPr>
    <w:rPr>
      <w:rFonts w:ascii="Arial" w:eastAsia="Arial" w:hAnsi="Arial" w:cs="Arial"/>
      <w:sz w:val="17"/>
      <w:szCs w:val="17"/>
      <w:lang w:bidi="cs-CZ"/>
    </w:rPr>
  </w:style>
  <w:style w:type="paragraph" w:styleId="Hlavika">
    <w:name w:val="header"/>
    <w:basedOn w:val="Normlny"/>
    <w:qFormat/>
    <w:rsid w:val="004C0B8B"/>
    <w:pPr>
      <w:tabs>
        <w:tab w:val="center" w:pos="4536"/>
        <w:tab w:val="right" w:pos="9072"/>
      </w:tabs>
      <w:ind w:left="215" w:hanging="215"/>
    </w:pPr>
    <w:rPr>
      <w:rFonts w:ascii="Arial" w:eastAsia="Arial" w:hAnsi="Arial" w:cs="Arial"/>
    </w:rPr>
  </w:style>
  <w:style w:type="character" w:styleId="Hypertextovprepojenie">
    <w:name w:val="Hyperlink"/>
    <w:uiPriority w:val="99"/>
    <w:unhideWhenUsed/>
    <w:qFormat/>
    <w:rsid w:val="004C0B8B"/>
    <w:rPr>
      <w:color w:val="0563C1"/>
      <w:u w:val="single"/>
    </w:rPr>
  </w:style>
  <w:style w:type="paragraph" w:styleId="Zoznam">
    <w:name w:val="List"/>
    <w:basedOn w:val="Normlny"/>
    <w:qFormat/>
    <w:rsid w:val="004C0B8B"/>
    <w:pPr>
      <w:ind w:left="283" w:hanging="283"/>
    </w:pPr>
    <w:rPr>
      <w:rFonts w:ascii="Arial" w:eastAsia="Arial" w:hAnsi="Arial" w:cs="Arial"/>
      <w:sz w:val="17"/>
      <w:szCs w:val="17"/>
      <w:lang w:bidi="cs-CZ"/>
    </w:rPr>
  </w:style>
  <w:style w:type="paragraph" w:styleId="Zoznam2">
    <w:name w:val="List 2"/>
    <w:basedOn w:val="Normlny"/>
    <w:qFormat/>
    <w:rsid w:val="004C0B8B"/>
    <w:pPr>
      <w:ind w:left="566" w:hanging="283"/>
    </w:pPr>
    <w:rPr>
      <w:rFonts w:ascii="Arial" w:eastAsia="Arial" w:hAnsi="Arial" w:cs="Arial"/>
      <w:sz w:val="17"/>
      <w:szCs w:val="17"/>
      <w:lang w:bidi="cs-CZ"/>
    </w:rPr>
  </w:style>
  <w:style w:type="paragraph" w:styleId="Zoznamsodrkami">
    <w:name w:val="List Bullet"/>
    <w:basedOn w:val="Normlny"/>
    <w:qFormat/>
    <w:rsid w:val="004C0B8B"/>
    <w:pPr>
      <w:tabs>
        <w:tab w:val="left" w:pos="585"/>
      </w:tabs>
      <w:ind w:left="565" w:hanging="340"/>
    </w:pPr>
    <w:rPr>
      <w:rFonts w:ascii="Arial" w:eastAsia="Arial" w:hAnsi="Arial" w:cs="Arial"/>
      <w:sz w:val="17"/>
      <w:szCs w:val="17"/>
      <w:lang w:bidi="cs-CZ"/>
    </w:rPr>
  </w:style>
  <w:style w:type="paragraph" w:styleId="Zoznamsodrkami2">
    <w:name w:val="List Bullet 2"/>
    <w:basedOn w:val="Normlny"/>
    <w:qFormat/>
    <w:rsid w:val="004C0B8B"/>
    <w:pPr>
      <w:tabs>
        <w:tab w:val="left" w:pos="227"/>
        <w:tab w:val="left" w:pos="643"/>
      </w:tabs>
      <w:ind w:left="643" w:hanging="360"/>
      <w:contextualSpacing/>
    </w:pPr>
    <w:rPr>
      <w:rFonts w:ascii="Arial" w:eastAsia="Arial" w:hAnsi="Arial" w:cs="Arial"/>
      <w:sz w:val="17"/>
      <w:szCs w:val="17"/>
      <w:lang w:bidi="cs-CZ"/>
    </w:rPr>
  </w:style>
  <w:style w:type="paragraph" w:styleId="slovanzoznam2">
    <w:name w:val="List Number 2"/>
    <w:basedOn w:val="Normlny"/>
    <w:qFormat/>
    <w:rsid w:val="004C0B8B"/>
    <w:pPr>
      <w:numPr>
        <w:numId w:val="3"/>
      </w:numPr>
      <w:tabs>
        <w:tab w:val="left" w:pos="227"/>
        <w:tab w:val="left" w:pos="643"/>
      </w:tabs>
    </w:pPr>
    <w:rPr>
      <w:sz w:val="24"/>
      <w:szCs w:val="24"/>
    </w:rPr>
  </w:style>
  <w:style w:type="paragraph" w:styleId="Normlnywebov">
    <w:name w:val="Normal (Web)"/>
    <w:basedOn w:val="Normlny"/>
    <w:qFormat/>
    <w:rsid w:val="004C0B8B"/>
    <w:pPr>
      <w:ind w:left="215" w:hanging="215"/>
    </w:pPr>
    <w:rPr>
      <w:sz w:val="24"/>
      <w:szCs w:val="24"/>
      <w:lang w:bidi="cs-CZ"/>
    </w:rPr>
  </w:style>
  <w:style w:type="character" w:styleId="slostrany">
    <w:name w:val="page number"/>
    <w:qFormat/>
    <w:rsid w:val="004C0B8B"/>
    <w:rPr>
      <w:rFonts w:ascii="Times New Roman" w:eastAsia="Times New Roman" w:hAnsi="Times New Roman" w:cs="Times New Roman"/>
      <w:sz w:val="24"/>
    </w:rPr>
  </w:style>
  <w:style w:type="paragraph" w:styleId="Obyajntext">
    <w:name w:val="Plain Text"/>
    <w:basedOn w:val="Normlny"/>
    <w:qFormat/>
    <w:rsid w:val="004C0B8B"/>
    <w:pPr>
      <w:ind w:left="215" w:hanging="215"/>
    </w:pPr>
    <w:rPr>
      <w:rFonts w:ascii="Courier New" w:eastAsia="Courier New" w:hAnsi="Courier New" w:cs="Courier New"/>
      <w:lang w:bidi="cs-CZ"/>
    </w:rPr>
  </w:style>
  <w:style w:type="paragraph" w:styleId="Oslovenie">
    <w:name w:val="Salutation"/>
    <w:basedOn w:val="Normlny"/>
    <w:next w:val="Normlny"/>
    <w:qFormat/>
    <w:rsid w:val="004C0B8B"/>
    <w:pPr>
      <w:ind w:left="215" w:hanging="215"/>
    </w:pPr>
    <w:rPr>
      <w:rFonts w:ascii="Arial" w:eastAsia="Arial" w:hAnsi="Arial" w:cs="Arial"/>
      <w:sz w:val="17"/>
      <w:szCs w:val="17"/>
      <w:lang w:bidi="cs-CZ"/>
    </w:rPr>
  </w:style>
  <w:style w:type="character" w:styleId="Siln">
    <w:name w:val="Strong"/>
    <w:uiPriority w:val="22"/>
    <w:qFormat/>
    <w:rsid w:val="004C0B8B"/>
    <w:rPr>
      <w:rFonts w:ascii="Times New Roman" w:eastAsia="Times New Roman" w:hAnsi="Times New Roman" w:cs="Times New Roman"/>
      <w:b/>
      <w:sz w:val="24"/>
    </w:rPr>
  </w:style>
  <w:style w:type="paragraph" w:styleId="Podtitul">
    <w:name w:val="Subtitle"/>
    <w:basedOn w:val="Normlny"/>
    <w:next w:val="Normlny"/>
    <w:link w:val="PodtitulChar"/>
    <w:uiPriority w:val="11"/>
    <w:qFormat/>
    <w:rsid w:val="004C0B8B"/>
    <w:pPr>
      <w:spacing w:before="200" w:after="200"/>
    </w:pPr>
    <w:rPr>
      <w:sz w:val="24"/>
      <w:szCs w:val="24"/>
    </w:rPr>
  </w:style>
  <w:style w:type="table" w:styleId="Mriekatabuky">
    <w:name w:val="Table Grid"/>
    <w:uiPriority w:val="99"/>
    <w:qFormat/>
    <w:rsid w:val="004C0B8B"/>
    <w:rPr>
      <w:rFonts w:eastAsia="Calibri" w:cs="Calibri"/>
      <w:sz w:val="22"/>
      <w:szCs w:val="22"/>
      <w:lang w:bidi="sk-SK"/>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paragraph" w:styleId="Zoznamobrzkov">
    <w:name w:val="table of figures"/>
    <w:basedOn w:val="Normlny"/>
    <w:next w:val="Normlny"/>
    <w:uiPriority w:val="99"/>
    <w:unhideWhenUsed/>
    <w:qFormat/>
    <w:rsid w:val="004C0B8B"/>
  </w:style>
  <w:style w:type="paragraph" w:styleId="Nzov">
    <w:name w:val="Title"/>
    <w:basedOn w:val="Normlny"/>
    <w:next w:val="Normlny"/>
    <w:link w:val="NzovChar"/>
    <w:uiPriority w:val="10"/>
    <w:qFormat/>
    <w:rsid w:val="004C0B8B"/>
    <w:pPr>
      <w:spacing w:before="300" w:after="200"/>
      <w:contextualSpacing/>
    </w:pPr>
    <w:rPr>
      <w:sz w:val="48"/>
      <w:szCs w:val="48"/>
    </w:rPr>
  </w:style>
  <w:style w:type="paragraph" w:styleId="Obsah1">
    <w:name w:val="toc 1"/>
    <w:basedOn w:val="Normlny"/>
    <w:next w:val="Normlny"/>
    <w:uiPriority w:val="39"/>
    <w:unhideWhenUsed/>
    <w:qFormat/>
    <w:rsid w:val="004C0B8B"/>
    <w:pPr>
      <w:spacing w:after="57"/>
    </w:pPr>
  </w:style>
  <w:style w:type="paragraph" w:styleId="Obsah2">
    <w:name w:val="toc 2"/>
    <w:basedOn w:val="Normlny"/>
    <w:next w:val="Normlny"/>
    <w:uiPriority w:val="39"/>
    <w:unhideWhenUsed/>
    <w:qFormat/>
    <w:rsid w:val="004C0B8B"/>
    <w:pPr>
      <w:spacing w:after="57"/>
      <w:ind w:left="283"/>
    </w:pPr>
  </w:style>
  <w:style w:type="paragraph" w:styleId="Obsah3">
    <w:name w:val="toc 3"/>
    <w:basedOn w:val="Normlny"/>
    <w:next w:val="Normlny"/>
    <w:uiPriority w:val="39"/>
    <w:unhideWhenUsed/>
    <w:qFormat/>
    <w:rsid w:val="004C0B8B"/>
    <w:pPr>
      <w:spacing w:after="57"/>
      <w:ind w:left="567"/>
    </w:pPr>
  </w:style>
  <w:style w:type="paragraph" w:styleId="Obsah4">
    <w:name w:val="toc 4"/>
    <w:basedOn w:val="Normlny"/>
    <w:next w:val="Normlny"/>
    <w:uiPriority w:val="39"/>
    <w:semiHidden/>
    <w:unhideWhenUsed/>
    <w:qFormat/>
    <w:rsid w:val="004C0B8B"/>
    <w:pPr>
      <w:ind w:left="600"/>
    </w:pPr>
  </w:style>
  <w:style w:type="paragraph" w:styleId="Obsah5">
    <w:name w:val="toc 5"/>
    <w:basedOn w:val="Normlny"/>
    <w:next w:val="Normlny"/>
    <w:uiPriority w:val="39"/>
    <w:unhideWhenUsed/>
    <w:qFormat/>
    <w:rsid w:val="004C0B8B"/>
    <w:pPr>
      <w:spacing w:after="57"/>
      <w:ind w:left="1134"/>
    </w:pPr>
  </w:style>
  <w:style w:type="paragraph" w:styleId="Obsah6">
    <w:name w:val="toc 6"/>
    <w:basedOn w:val="Normlny"/>
    <w:next w:val="Normlny"/>
    <w:uiPriority w:val="39"/>
    <w:unhideWhenUsed/>
    <w:qFormat/>
    <w:rsid w:val="004C0B8B"/>
    <w:pPr>
      <w:spacing w:after="57"/>
      <w:ind w:left="1417"/>
    </w:pPr>
  </w:style>
  <w:style w:type="paragraph" w:styleId="Obsah7">
    <w:name w:val="toc 7"/>
    <w:basedOn w:val="Normlny"/>
    <w:next w:val="Normlny"/>
    <w:uiPriority w:val="39"/>
    <w:unhideWhenUsed/>
    <w:qFormat/>
    <w:rsid w:val="004C0B8B"/>
    <w:pPr>
      <w:spacing w:after="57"/>
      <w:ind w:left="1701"/>
    </w:pPr>
  </w:style>
  <w:style w:type="paragraph" w:styleId="Obsah8">
    <w:name w:val="toc 8"/>
    <w:basedOn w:val="Normlny"/>
    <w:next w:val="Normlny"/>
    <w:uiPriority w:val="39"/>
    <w:unhideWhenUsed/>
    <w:qFormat/>
    <w:rsid w:val="004C0B8B"/>
    <w:pPr>
      <w:spacing w:after="57"/>
      <w:ind w:left="1984"/>
    </w:pPr>
  </w:style>
  <w:style w:type="paragraph" w:styleId="Obsah9">
    <w:name w:val="toc 9"/>
    <w:basedOn w:val="Normlny"/>
    <w:next w:val="Normlny"/>
    <w:uiPriority w:val="39"/>
    <w:unhideWhenUsed/>
    <w:qFormat/>
    <w:rsid w:val="004C0B8B"/>
    <w:pPr>
      <w:spacing w:after="57"/>
      <w:ind w:left="2268"/>
    </w:pPr>
  </w:style>
  <w:style w:type="character" w:customStyle="1" w:styleId="Heading1Char">
    <w:name w:val="Heading 1 Char"/>
    <w:uiPriority w:val="9"/>
    <w:qFormat/>
    <w:rsid w:val="004C0B8B"/>
    <w:rPr>
      <w:rFonts w:ascii="Arial" w:eastAsia="Arial" w:hAnsi="Arial" w:cs="Arial"/>
      <w:sz w:val="40"/>
      <w:szCs w:val="40"/>
    </w:rPr>
  </w:style>
  <w:style w:type="character" w:customStyle="1" w:styleId="Heading2Char">
    <w:name w:val="Heading 2 Char"/>
    <w:uiPriority w:val="9"/>
    <w:qFormat/>
    <w:rsid w:val="004C0B8B"/>
    <w:rPr>
      <w:rFonts w:ascii="Arial" w:eastAsia="Arial" w:hAnsi="Arial" w:cs="Arial"/>
      <w:sz w:val="34"/>
    </w:rPr>
  </w:style>
  <w:style w:type="character" w:customStyle="1" w:styleId="Heading3Char">
    <w:name w:val="Heading 3 Char"/>
    <w:uiPriority w:val="9"/>
    <w:qFormat/>
    <w:rsid w:val="004C0B8B"/>
    <w:rPr>
      <w:rFonts w:ascii="Arial" w:eastAsia="Arial" w:hAnsi="Arial" w:cs="Arial"/>
      <w:sz w:val="30"/>
      <w:szCs w:val="30"/>
    </w:rPr>
  </w:style>
  <w:style w:type="character" w:customStyle="1" w:styleId="Heading4Char">
    <w:name w:val="Heading 4 Char"/>
    <w:uiPriority w:val="9"/>
    <w:qFormat/>
    <w:rsid w:val="004C0B8B"/>
    <w:rPr>
      <w:rFonts w:ascii="Arial" w:eastAsia="Arial" w:hAnsi="Arial" w:cs="Arial"/>
      <w:b/>
      <w:bCs/>
      <w:sz w:val="26"/>
      <w:szCs w:val="26"/>
    </w:rPr>
  </w:style>
  <w:style w:type="character" w:customStyle="1" w:styleId="Heading5Char">
    <w:name w:val="Heading 5 Char"/>
    <w:uiPriority w:val="9"/>
    <w:qFormat/>
    <w:rsid w:val="004C0B8B"/>
    <w:rPr>
      <w:rFonts w:ascii="Arial" w:eastAsia="Arial" w:hAnsi="Arial" w:cs="Arial"/>
      <w:b/>
      <w:bCs/>
      <w:sz w:val="24"/>
      <w:szCs w:val="24"/>
    </w:rPr>
  </w:style>
  <w:style w:type="character" w:customStyle="1" w:styleId="Heading6Char">
    <w:name w:val="Heading 6 Char"/>
    <w:uiPriority w:val="9"/>
    <w:qFormat/>
    <w:rsid w:val="004C0B8B"/>
    <w:rPr>
      <w:rFonts w:ascii="Arial" w:eastAsia="Arial" w:hAnsi="Arial" w:cs="Arial"/>
      <w:b/>
      <w:bCs/>
      <w:sz w:val="22"/>
      <w:szCs w:val="22"/>
    </w:rPr>
  </w:style>
  <w:style w:type="character" w:customStyle="1" w:styleId="Heading7Char">
    <w:name w:val="Heading 7 Char"/>
    <w:uiPriority w:val="9"/>
    <w:qFormat/>
    <w:rsid w:val="004C0B8B"/>
    <w:rPr>
      <w:rFonts w:ascii="Arial" w:eastAsia="Arial" w:hAnsi="Arial" w:cs="Arial"/>
      <w:b/>
      <w:bCs/>
      <w:i/>
      <w:iCs/>
      <w:sz w:val="22"/>
      <w:szCs w:val="22"/>
    </w:rPr>
  </w:style>
  <w:style w:type="character" w:customStyle="1" w:styleId="Heading8Char">
    <w:name w:val="Heading 8 Char"/>
    <w:uiPriority w:val="9"/>
    <w:qFormat/>
    <w:rsid w:val="004C0B8B"/>
    <w:rPr>
      <w:rFonts w:ascii="Arial" w:eastAsia="Arial" w:hAnsi="Arial" w:cs="Arial"/>
      <w:i/>
      <w:iCs/>
      <w:sz w:val="22"/>
      <w:szCs w:val="22"/>
    </w:rPr>
  </w:style>
  <w:style w:type="character" w:customStyle="1" w:styleId="Heading9Char">
    <w:name w:val="Heading 9 Char"/>
    <w:uiPriority w:val="9"/>
    <w:qFormat/>
    <w:rsid w:val="004C0B8B"/>
    <w:rPr>
      <w:rFonts w:ascii="Arial" w:eastAsia="Arial" w:hAnsi="Arial" w:cs="Arial"/>
      <w:i/>
      <w:iCs/>
      <w:sz w:val="21"/>
      <w:szCs w:val="21"/>
    </w:rPr>
  </w:style>
  <w:style w:type="character" w:customStyle="1" w:styleId="NzovChar">
    <w:name w:val="Názov Char"/>
    <w:link w:val="Nzov"/>
    <w:uiPriority w:val="10"/>
    <w:qFormat/>
    <w:rsid w:val="004C0B8B"/>
    <w:rPr>
      <w:sz w:val="48"/>
      <w:szCs w:val="48"/>
    </w:rPr>
  </w:style>
  <w:style w:type="character" w:customStyle="1" w:styleId="PodtitulChar">
    <w:name w:val="Podtitul Char"/>
    <w:link w:val="Podtitul"/>
    <w:uiPriority w:val="11"/>
    <w:qFormat/>
    <w:rsid w:val="004C0B8B"/>
    <w:rPr>
      <w:sz w:val="24"/>
      <w:szCs w:val="24"/>
    </w:rPr>
  </w:style>
  <w:style w:type="paragraph" w:styleId="Citcia">
    <w:name w:val="Quote"/>
    <w:basedOn w:val="Normlny"/>
    <w:next w:val="Normlny"/>
    <w:link w:val="CitciaChar"/>
    <w:uiPriority w:val="29"/>
    <w:qFormat/>
    <w:rsid w:val="004C0B8B"/>
    <w:pPr>
      <w:ind w:left="720" w:right="720"/>
    </w:pPr>
    <w:rPr>
      <w:i/>
    </w:rPr>
  </w:style>
  <w:style w:type="character" w:customStyle="1" w:styleId="CitciaChar">
    <w:name w:val="Citácia Char"/>
    <w:link w:val="Citcia"/>
    <w:uiPriority w:val="29"/>
    <w:qFormat/>
    <w:rsid w:val="004C0B8B"/>
    <w:rPr>
      <w:i/>
    </w:rPr>
  </w:style>
  <w:style w:type="paragraph" w:styleId="Zvraznencitcia">
    <w:name w:val="Intense Quote"/>
    <w:basedOn w:val="Normlny"/>
    <w:next w:val="Normlny"/>
    <w:link w:val="ZvraznencitciaChar"/>
    <w:uiPriority w:val="30"/>
    <w:qFormat/>
    <w:rsid w:val="004C0B8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sid w:val="004C0B8B"/>
    <w:rPr>
      <w:i/>
    </w:rPr>
  </w:style>
  <w:style w:type="character" w:customStyle="1" w:styleId="HeaderChar">
    <w:name w:val="Header Char"/>
    <w:basedOn w:val="Predvolenpsmoodseku"/>
    <w:uiPriority w:val="99"/>
    <w:qFormat/>
    <w:rsid w:val="004C0B8B"/>
  </w:style>
  <w:style w:type="character" w:customStyle="1" w:styleId="FooterChar">
    <w:name w:val="Footer Char"/>
    <w:basedOn w:val="Predvolenpsmoodseku"/>
    <w:uiPriority w:val="99"/>
    <w:qFormat/>
    <w:rsid w:val="004C0B8B"/>
  </w:style>
  <w:style w:type="character" w:customStyle="1" w:styleId="CaptionChar">
    <w:name w:val="Caption Char"/>
    <w:uiPriority w:val="99"/>
    <w:qFormat/>
    <w:rsid w:val="004C0B8B"/>
  </w:style>
  <w:style w:type="table" w:customStyle="1" w:styleId="TableGridLight">
    <w:name w:val="Table Grid Light"/>
    <w:basedOn w:val="Normlnatabuka"/>
    <w:uiPriority w:val="59"/>
    <w:qFormat/>
    <w:rsid w:val="004C0B8B"/>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Obyajntabuka11">
    <w:name w:val="Obyčajná tabuľka 11"/>
    <w:basedOn w:val="Normlnatabuka"/>
    <w:uiPriority w:val="59"/>
    <w:qFormat/>
    <w:rsid w:val="004C0B8B"/>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Obyajntabuka21">
    <w:name w:val="Obyčajná tabuľka 21"/>
    <w:basedOn w:val="Normlnatabuka"/>
    <w:uiPriority w:val="59"/>
    <w:qFormat/>
    <w:rsid w:val="004C0B8B"/>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Obyajntabuka31">
    <w:name w:val="Obyčajná tabuľka 31"/>
    <w:basedOn w:val="Normlnatabuka"/>
    <w:uiPriority w:val="99"/>
    <w:qFormat/>
    <w:rsid w:val="004C0B8B"/>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Obyajntabuka41">
    <w:name w:val="Obyčajná tabuľka 41"/>
    <w:basedOn w:val="Normlnatabuka"/>
    <w:uiPriority w:val="99"/>
    <w:qFormat/>
    <w:rsid w:val="004C0B8B"/>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Obyajntabuka51">
    <w:name w:val="Obyčajná tabuľka 51"/>
    <w:basedOn w:val="Normlnatabuka"/>
    <w:uiPriority w:val="99"/>
    <w:qFormat/>
    <w:rsid w:val="004C0B8B"/>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ukasmriekou1svetl1">
    <w:name w:val="Tabuľka s mriežkou 1 – svetlá1"/>
    <w:basedOn w:val="Normlnatabuka"/>
    <w:uiPriority w:val="99"/>
    <w:qFormat/>
    <w:rsid w:val="004C0B8B"/>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Normlnatabuka"/>
    <w:uiPriority w:val="99"/>
    <w:qFormat/>
    <w:rsid w:val="004C0B8B"/>
    <w:tblPr>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Normlnatabuka"/>
    <w:uiPriority w:val="99"/>
    <w:qFormat/>
    <w:rsid w:val="004C0B8B"/>
    <w:tblPr>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Normlnatabuka"/>
    <w:uiPriority w:val="99"/>
    <w:qFormat/>
    <w:rsid w:val="004C0B8B"/>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Normlnatabuka"/>
    <w:uiPriority w:val="99"/>
    <w:qFormat/>
    <w:rsid w:val="004C0B8B"/>
    <w:tblPr>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Normlnatabuka"/>
    <w:uiPriority w:val="99"/>
    <w:qFormat/>
    <w:rsid w:val="004C0B8B"/>
    <w:tblPr>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Normlnatabuka"/>
    <w:uiPriority w:val="99"/>
    <w:qFormat/>
    <w:rsid w:val="004C0B8B"/>
    <w:tblPr>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Tabukasmriekou21">
    <w:name w:val="Tabuľka s mriežkou 21"/>
    <w:basedOn w:val="Normlnatabuka"/>
    <w:uiPriority w:val="99"/>
    <w:qFormat/>
    <w:rsid w:val="004C0B8B"/>
    <w:tblPr>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Normlnatabuka"/>
    <w:uiPriority w:val="99"/>
    <w:qFormat/>
    <w:rsid w:val="004C0B8B"/>
    <w:tblPr>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Normlnatabuka"/>
    <w:uiPriority w:val="99"/>
    <w:qFormat/>
    <w:rsid w:val="004C0B8B"/>
    <w:tblPr>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Normlnatabuka"/>
    <w:uiPriority w:val="99"/>
    <w:qFormat/>
    <w:rsid w:val="004C0B8B"/>
    <w:tblPr>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Normlnatabuka"/>
    <w:uiPriority w:val="99"/>
    <w:qFormat/>
    <w:rsid w:val="004C0B8B"/>
    <w:tblPr>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Normlnatabuka"/>
    <w:uiPriority w:val="99"/>
    <w:qFormat/>
    <w:rsid w:val="004C0B8B"/>
    <w:tblPr>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Normlnatabuka"/>
    <w:uiPriority w:val="99"/>
    <w:qFormat/>
    <w:rsid w:val="004C0B8B"/>
    <w:tblPr>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ukasmriekou31">
    <w:name w:val="Tabuľka s mriežkou 31"/>
    <w:basedOn w:val="Normlnatabuka"/>
    <w:uiPriority w:val="99"/>
    <w:qFormat/>
    <w:rsid w:val="004C0B8B"/>
    <w:tblPr>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Normlnatabuka"/>
    <w:uiPriority w:val="99"/>
    <w:qFormat/>
    <w:rsid w:val="004C0B8B"/>
    <w:tblPr>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Normlnatabuka"/>
    <w:uiPriority w:val="99"/>
    <w:qFormat/>
    <w:rsid w:val="004C0B8B"/>
    <w:tblPr>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Normlnatabuka"/>
    <w:uiPriority w:val="99"/>
    <w:qFormat/>
    <w:rsid w:val="004C0B8B"/>
    <w:tblPr>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Normlnatabuka"/>
    <w:uiPriority w:val="99"/>
    <w:qFormat/>
    <w:rsid w:val="004C0B8B"/>
    <w:tblPr>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Normlnatabuka"/>
    <w:uiPriority w:val="99"/>
    <w:qFormat/>
    <w:rsid w:val="004C0B8B"/>
    <w:tblPr>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Normlnatabuka"/>
    <w:uiPriority w:val="99"/>
    <w:qFormat/>
    <w:rsid w:val="004C0B8B"/>
    <w:tblPr>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ukasmriekou41">
    <w:name w:val="Tabuľka s mriežkou 41"/>
    <w:basedOn w:val="Normlnatabuka"/>
    <w:uiPriority w:val="59"/>
    <w:qFormat/>
    <w:rsid w:val="004C0B8B"/>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Normlnatabuka"/>
    <w:uiPriority w:val="59"/>
    <w:qFormat/>
    <w:rsid w:val="004C0B8B"/>
    <w:tblPr>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Normlnatabuka"/>
    <w:uiPriority w:val="59"/>
    <w:qFormat/>
    <w:rsid w:val="004C0B8B"/>
    <w:tblPr>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Normlnatabuka"/>
    <w:uiPriority w:val="59"/>
    <w:qFormat/>
    <w:rsid w:val="004C0B8B"/>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Normlnatabuka"/>
    <w:uiPriority w:val="59"/>
    <w:qFormat/>
    <w:rsid w:val="004C0B8B"/>
    <w:tblPr>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Normlnatabuka"/>
    <w:uiPriority w:val="59"/>
    <w:qFormat/>
    <w:rsid w:val="004C0B8B"/>
    <w:tblPr>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Normlnatabuka"/>
    <w:uiPriority w:val="59"/>
    <w:qFormat/>
    <w:rsid w:val="004C0B8B"/>
    <w:tblPr>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ukasmriekou5tmav1">
    <w:name w:val="Tabuľka s mriežkou 5 – tmavá1"/>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Tabukasmriekou6farebn1">
    <w:name w:val="Tabuľka s mriežkou 6 – farebná1"/>
    <w:basedOn w:val="Normlnatabuka"/>
    <w:uiPriority w:val="99"/>
    <w:qFormat/>
    <w:rsid w:val="004C0B8B"/>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Normlnatabuka"/>
    <w:uiPriority w:val="99"/>
    <w:qFormat/>
    <w:rsid w:val="004C0B8B"/>
    <w:tblPr>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Normlnatabuka"/>
    <w:uiPriority w:val="99"/>
    <w:qFormat/>
    <w:rsid w:val="004C0B8B"/>
    <w:tblPr>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Normlnatabuka"/>
    <w:uiPriority w:val="99"/>
    <w:qFormat/>
    <w:rsid w:val="004C0B8B"/>
    <w:tblP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Normlnatabuka"/>
    <w:uiPriority w:val="99"/>
    <w:qFormat/>
    <w:rsid w:val="004C0B8B"/>
    <w:tblPr>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Normlnatabuka"/>
    <w:uiPriority w:val="99"/>
    <w:qFormat/>
    <w:rsid w:val="004C0B8B"/>
    <w:tblP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Normlnatabuka"/>
    <w:uiPriority w:val="99"/>
    <w:qFormat/>
    <w:rsid w:val="004C0B8B"/>
    <w:tblP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Tabukasmriekou7farebn1">
    <w:name w:val="Tabuľka s mriežkou 7 – farebná1"/>
    <w:basedOn w:val="Normlnatabuka"/>
    <w:uiPriority w:val="99"/>
    <w:qFormat/>
    <w:rsid w:val="004C0B8B"/>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Normlnatabuka"/>
    <w:uiPriority w:val="99"/>
    <w:qFormat/>
    <w:rsid w:val="004C0B8B"/>
    <w:tblPr>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FFFFFF"/>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Normlnatabuka"/>
    <w:uiPriority w:val="99"/>
    <w:qFormat/>
    <w:rsid w:val="004C0B8B"/>
    <w:tblPr>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Normlnatabuka"/>
    <w:uiPriority w:val="99"/>
    <w:qFormat/>
    <w:rsid w:val="004C0B8B"/>
    <w:tblPr>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Normlnatabuka"/>
    <w:uiPriority w:val="99"/>
    <w:qFormat/>
    <w:rsid w:val="004C0B8B"/>
    <w:tblPr>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Normlnatabuka"/>
    <w:uiPriority w:val="99"/>
    <w:qFormat/>
    <w:rsid w:val="004C0B8B"/>
    <w:tblPr>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FFFFFF"/>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Normlnatabuka"/>
    <w:uiPriority w:val="99"/>
    <w:qFormat/>
    <w:rsid w:val="004C0B8B"/>
    <w:tblPr>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Tabukasozoznamom1svetl1">
    <w:name w:val="Tabuľka so zoznamom 1 – svetlá1"/>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Tabukasozoznamom21">
    <w:name w:val="Tabuľka so zoznamom 21"/>
    <w:basedOn w:val="Normlnatabuka"/>
    <w:uiPriority w:val="99"/>
    <w:qFormat/>
    <w:rsid w:val="004C0B8B"/>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Normlnatabuka"/>
    <w:uiPriority w:val="99"/>
    <w:qFormat/>
    <w:rsid w:val="004C0B8B"/>
    <w:tblPr>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Normlnatabuka"/>
    <w:uiPriority w:val="99"/>
    <w:qFormat/>
    <w:rsid w:val="004C0B8B"/>
    <w:tblPr>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Normlnatabuka"/>
    <w:uiPriority w:val="99"/>
    <w:qFormat/>
    <w:rsid w:val="004C0B8B"/>
    <w:tblPr>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Normlnatabuka"/>
    <w:uiPriority w:val="99"/>
    <w:qFormat/>
    <w:rsid w:val="004C0B8B"/>
    <w:tblPr>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Normlnatabuka"/>
    <w:uiPriority w:val="99"/>
    <w:qFormat/>
    <w:rsid w:val="004C0B8B"/>
    <w:tblPr>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Normlnatabuka"/>
    <w:uiPriority w:val="99"/>
    <w:qFormat/>
    <w:rsid w:val="004C0B8B"/>
    <w:tblPr>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Tabukasozoznamom31">
    <w:name w:val="Tabuľka so zoznamom 31"/>
    <w:basedOn w:val="Normlnatabuka"/>
    <w:uiPriority w:val="99"/>
    <w:qFormat/>
    <w:rsid w:val="004C0B8B"/>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Normlnatabuka"/>
    <w:uiPriority w:val="99"/>
    <w:qFormat/>
    <w:rsid w:val="004C0B8B"/>
    <w:tblPr>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Normlnatabuka"/>
    <w:uiPriority w:val="99"/>
    <w:qFormat/>
    <w:rsid w:val="004C0B8B"/>
    <w:tblPr>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Normlnatabuka"/>
    <w:uiPriority w:val="99"/>
    <w:qFormat/>
    <w:rsid w:val="004C0B8B"/>
    <w:tblPr>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Normlnatabuka"/>
    <w:uiPriority w:val="99"/>
    <w:qFormat/>
    <w:rsid w:val="004C0B8B"/>
    <w:tblPr>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Normlnatabuka"/>
    <w:uiPriority w:val="99"/>
    <w:qFormat/>
    <w:rsid w:val="004C0B8B"/>
    <w:tblPr>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Normlnatabuka"/>
    <w:uiPriority w:val="99"/>
    <w:qFormat/>
    <w:rsid w:val="004C0B8B"/>
    <w:tblPr>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Tabukasozoznamom41">
    <w:name w:val="Tabuľka so zoznamom 41"/>
    <w:basedOn w:val="Normlnatabuka"/>
    <w:uiPriority w:val="99"/>
    <w:qFormat/>
    <w:rsid w:val="004C0B8B"/>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Normlnatabuka"/>
    <w:uiPriority w:val="99"/>
    <w:qFormat/>
    <w:rsid w:val="004C0B8B"/>
    <w:tblPr>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Normlnatabuka"/>
    <w:uiPriority w:val="99"/>
    <w:qFormat/>
    <w:rsid w:val="004C0B8B"/>
    <w:tblPr>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Normlnatabuka"/>
    <w:uiPriority w:val="99"/>
    <w:qFormat/>
    <w:rsid w:val="004C0B8B"/>
    <w:tblPr>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Normlnatabuka"/>
    <w:uiPriority w:val="99"/>
    <w:qFormat/>
    <w:rsid w:val="004C0B8B"/>
    <w:tblPr>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Normlnatabuka"/>
    <w:uiPriority w:val="99"/>
    <w:qFormat/>
    <w:rsid w:val="004C0B8B"/>
    <w:tblPr>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Normlnatabuka"/>
    <w:uiPriority w:val="99"/>
    <w:qFormat/>
    <w:rsid w:val="004C0B8B"/>
    <w:tblPr>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Tabukasozoznamom5tmav1">
    <w:name w:val="Tabuľka so zoznamom 5 – tmavá1"/>
    <w:basedOn w:val="Normlnatabuka"/>
    <w:uiPriority w:val="99"/>
    <w:qFormat/>
    <w:rsid w:val="004C0B8B"/>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Normlnatabuka"/>
    <w:uiPriority w:val="99"/>
    <w:qFormat/>
    <w:rsid w:val="004C0B8B"/>
    <w:tblPr>
      <w:tblBorders>
        <w:top w:val="single" w:sz="32" w:space="0" w:color="5B9BD5"/>
        <w:left w:val="single" w:sz="32" w:space="0" w:color="5B9BD5"/>
        <w:bottom w:val="single" w:sz="32" w:space="0" w:color="5B9BD5"/>
        <w:right w:val="single" w:sz="32" w:space="0" w:color="5B9BD5"/>
      </w:tblBorders>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Normlnatabuka"/>
    <w:uiPriority w:val="99"/>
    <w:qFormat/>
    <w:rsid w:val="004C0B8B"/>
    <w:tblPr>
      <w:tblBorders>
        <w:top w:val="single" w:sz="32" w:space="0" w:color="F4B184"/>
        <w:left w:val="single" w:sz="32" w:space="0" w:color="F4B184"/>
        <w:bottom w:val="single" w:sz="32" w:space="0" w:color="F4B184"/>
        <w:right w:val="single" w:sz="32" w:space="0" w:color="F4B184"/>
      </w:tblBorders>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Normlnatabuka"/>
    <w:uiPriority w:val="99"/>
    <w:qFormat/>
    <w:rsid w:val="004C0B8B"/>
    <w:tblPr>
      <w:tblBorders>
        <w:top w:val="single" w:sz="32" w:space="0" w:color="C9C9C9"/>
        <w:left w:val="single" w:sz="32" w:space="0" w:color="C9C9C9"/>
        <w:bottom w:val="single" w:sz="32" w:space="0" w:color="C9C9C9"/>
        <w:right w:val="single" w:sz="32" w:space="0" w:color="C9C9C9"/>
      </w:tblBorders>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Normlnatabuka"/>
    <w:uiPriority w:val="99"/>
    <w:qFormat/>
    <w:rsid w:val="004C0B8B"/>
    <w:tblPr>
      <w:tblBorders>
        <w:top w:val="single" w:sz="32" w:space="0" w:color="FFD865"/>
        <w:left w:val="single" w:sz="32" w:space="0" w:color="FFD865"/>
        <w:bottom w:val="single" w:sz="32" w:space="0" w:color="FFD865"/>
        <w:right w:val="single" w:sz="32" w:space="0" w:color="FFD865"/>
      </w:tblBorders>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Normlnatabuka"/>
    <w:uiPriority w:val="99"/>
    <w:qFormat/>
    <w:rsid w:val="004C0B8B"/>
    <w:tblPr>
      <w:tblBorders>
        <w:top w:val="single" w:sz="32" w:space="0" w:color="8DA9DB"/>
        <w:left w:val="single" w:sz="32" w:space="0" w:color="8DA9DB"/>
        <w:bottom w:val="single" w:sz="32" w:space="0" w:color="8DA9DB"/>
        <w:right w:val="single" w:sz="32" w:space="0" w:color="8DA9DB"/>
      </w:tblBorders>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Normlnatabuka"/>
    <w:uiPriority w:val="99"/>
    <w:qFormat/>
    <w:rsid w:val="004C0B8B"/>
    <w:tblPr>
      <w:tblBorders>
        <w:top w:val="single" w:sz="32" w:space="0" w:color="A9D08E"/>
        <w:left w:val="single" w:sz="32" w:space="0" w:color="A9D08E"/>
        <w:bottom w:val="single" w:sz="32" w:space="0" w:color="A9D08E"/>
        <w:right w:val="single" w:sz="32" w:space="0" w:color="A9D08E"/>
      </w:tblBorders>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Tabukasozoznamom6farebn1">
    <w:name w:val="Tabuľka so zoznamom 6 – farebná1"/>
    <w:basedOn w:val="Normlnatabuka"/>
    <w:uiPriority w:val="99"/>
    <w:qFormat/>
    <w:rsid w:val="004C0B8B"/>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Normlnatabuka"/>
    <w:uiPriority w:val="99"/>
    <w:qFormat/>
    <w:rsid w:val="004C0B8B"/>
    <w:tblPr>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Normlnatabuka"/>
    <w:uiPriority w:val="99"/>
    <w:qFormat/>
    <w:rsid w:val="004C0B8B"/>
    <w:tblPr>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Normlnatabuka"/>
    <w:uiPriority w:val="99"/>
    <w:qFormat/>
    <w:rsid w:val="004C0B8B"/>
    <w:tblPr>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Normlnatabuka"/>
    <w:uiPriority w:val="99"/>
    <w:qFormat/>
    <w:rsid w:val="004C0B8B"/>
    <w:tblPr>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Normlnatabuka"/>
    <w:uiPriority w:val="99"/>
    <w:qFormat/>
    <w:rsid w:val="004C0B8B"/>
    <w:tblPr>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Normlnatabuka"/>
    <w:uiPriority w:val="99"/>
    <w:qFormat/>
    <w:rsid w:val="004C0B8B"/>
    <w:tblPr>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Tabukasozoznamom7farebn1">
    <w:name w:val="Tabuľka so zoznamom 7 – farebná1"/>
    <w:basedOn w:val="Normlnatabuka"/>
    <w:uiPriority w:val="99"/>
    <w:qFormat/>
    <w:rsid w:val="004C0B8B"/>
    <w:tblPr>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Normlnatabuka"/>
    <w:uiPriority w:val="99"/>
    <w:qFormat/>
    <w:rsid w:val="004C0B8B"/>
    <w:tblPr>
      <w:tblBorders>
        <w:right w:val="single" w:sz="4" w:space="0" w:color="5B9BD5"/>
      </w:tblBorders>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Normlnatabuka"/>
    <w:uiPriority w:val="99"/>
    <w:qFormat/>
    <w:rsid w:val="004C0B8B"/>
    <w:tblPr>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Normlnatabuka"/>
    <w:uiPriority w:val="99"/>
    <w:qFormat/>
    <w:rsid w:val="004C0B8B"/>
    <w:tblPr>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Normlnatabuka"/>
    <w:uiPriority w:val="99"/>
    <w:qFormat/>
    <w:rsid w:val="004C0B8B"/>
    <w:tblPr>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Normlnatabuka"/>
    <w:uiPriority w:val="99"/>
    <w:qFormat/>
    <w:rsid w:val="004C0B8B"/>
    <w:tblPr>
      <w:tblBorders>
        <w:right w:val="single" w:sz="4" w:space="0" w:color="8DA9DB"/>
      </w:tblBorders>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FFFFFF"/>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Normlnatabuka"/>
    <w:uiPriority w:val="99"/>
    <w:qFormat/>
    <w:rsid w:val="004C0B8B"/>
    <w:tblPr>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Normlnatabuka"/>
    <w:uiPriority w:val="99"/>
    <w:qFormat/>
    <w:rsid w:val="004C0B8B"/>
    <w:rPr>
      <w:color w:val="404040"/>
    </w:rP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Normlnatabuka"/>
    <w:uiPriority w:val="99"/>
    <w:qFormat/>
    <w:rsid w:val="004C0B8B"/>
    <w:rPr>
      <w:color w:val="404040"/>
    </w:rP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Normlnatabuka"/>
    <w:uiPriority w:val="99"/>
    <w:qFormat/>
    <w:rsid w:val="004C0B8B"/>
    <w:rPr>
      <w:color w:val="404040"/>
    </w:rP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Normlnatabuka"/>
    <w:uiPriority w:val="99"/>
    <w:qFormat/>
    <w:rsid w:val="004C0B8B"/>
    <w:rPr>
      <w:color w:val="404040"/>
    </w:rP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Normlnatabuka"/>
    <w:uiPriority w:val="99"/>
    <w:qFormat/>
    <w:rsid w:val="004C0B8B"/>
    <w:rPr>
      <w:color w:val="404040"/>
    </w:rP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Normlnatabuka"/>
    <w:uiPriority w:val="99"/>
    <w:qFormat/>
    <w:rsid w:val="004C0B8B"/>
    <w:rPr>
      <w:color w:val="404040"/>
    </w:rP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Normlnatabuka"/>
    <w:uiPriority w:val="99"/>
    <w:qFormat/>
    <w:rsid w:val="004C0B8B"/>
    <w:rPr>
      <w:color w:val="404040"/>
    </w:rP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Normlnatabuka"/>
    <w:uiPriority w:val="99"/>
    <w:qFormat/>
    <w:rsid w:val="004C0B8B"/>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Normlnatabuka"/>
    <w:uiPriority w:val="99"/>
    <w:qFormat/>
    <w:rsid w:val="004C0B8B"/>
    <w:rPr>
      <w:color w:val="404040"/>
    </w:rPr>
    <w:tblPr>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Normlnatabuka"/>
    <w:uiPriority w:val="99"/>
    <w:qFormat/>
    <w:rsid w:val="004C0B8B"/>
    <w:rPr>
      <w:color w:val="404040"/>
    </w:rPr>
    <w:tblPr>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Normlnatabuka"/>
    <w:uiPriority w:val="99"/>
    <w:qFormat/>
    <w:rsid w:val="004C0B8B"/>
    <w:rPr>
      <w:color w:val="404040"/>
    </w:rPr>
    <w:tblPr>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Normlnatabuka"/>
    <w:uiPriority w:val="99"/>
    <w:qFormat/>
    <w:rsid w:val="004C0B8B"/>
    <w:rPr>
      <w:color w:val="404040"/>
    </w:rPr>
    <w:tblPr>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Normlnatabuka"/>
    <w:uiPriority w:val="99"/>
    <w:qFormat/>
    <w:rsid w:val="004C0B8B"/>
    <w:rPr>
      <w:color w:val="404040"/>
    </w:rPr>
    <w:tblPr>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Normlnatabuka"/>
    <w:uiPriority w:val="99"/>
    <w:qFormat/>
    <w:rsid w:val="004C0B8B"/>
    <w:rPr>
      <w:color w:val="404040"/>
    </w:rPr>
    <w:tblPr>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Normlnatabuka"/>
    <w:uiPriority w:val="99"/>
    <w:qFormat/>
    <w:rsid w:val="004C0B8B"/>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atabuka"/>
    <w:uiPriority w:val="99"/>
    <w:qFormat/>
    <w:rsid w:val="004C0B8B"/>
    <w:tblPr>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Normlnatabuka"/>
    <w:uiPriority w:val="99"/>
    <w:qFormat/>
    <w:rsid w:val="004C0B8B"/>
    <w:tblPr>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Normlnatabuka"/>
    <w:uiPriority w:val="99"/>
    <w:qFormat/>
    <w:rsid w:val="004C0B8B"/>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Normlnatabuka"/>
    <w:uiPriority w:val="99"/>
    <w:qFormat/>
    <w:rsid w:val="004C0B8B"/>
    <w:tblPr>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Normlnatabuka"/>
    <w:uiPriority w:val="99"/>
    <w:qFormat/>
    <w:rsid w:val="004C0B8B"/>
    <w:tblPr>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Normlnatabuka"/>
    <w:uiPriority w:val="99"/>
    <w:qFormat/>
    <w:rsid w:val="004C0B8B"/>
    <w:tblPr>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qFormat/>
    <w:rsid w:val="004C0B8B"/>
    <w:rPr>
      <w:sz w:val="18"/>
    </w:rPr>
  </w:style>
  <w:style w:type="character" w:customStyle="1" w:styleId="TextvysvetlivkyChar">
    <w:name w:val="Text vysvetlivky Char"/>
    <w:link w:val="Textvysvetlivky"/>
    <w:uiPriority w:val="99"/>
    <w:qFormat/>
    <w:rsid w:val="004C0B8B"/>
    <w:rPr>
      <w:sz w:val="20"/>
    </w:rPr>
  </w:style>
  <w:style w:type="paragraph" w:customStyle="1" w:styleId="Hlavikaobsahu1">
    <w:name w:val="Hlavička obsahu1"/>
    <w:uiPriority w:val="39"/>
    <w:unhideWhenUsed/>
    <w:qFormat/>
    <w:rsid w:val="004C0B8B"/>
    <w:rPr>
      <w:sz w:val="24"/>
    </w:rPr>
  </w:style>
  <w:style w:type="character" w:customStyle="1" w:styleId="Nadpis1Char">
    <w:name w:val="Nadpis 1 Char"/>
    <w:uiPriority w:val="9"/>
    <w:qFormat/>
    <w:rsid w:val="004C0B8B"/>
    <w:rPr>
      <w:rFonts w:ascii="Cambria" w:eastAsia="Cambria" w:hAnsi="Cambria" w:cs="Cambria"/>
      <w:b/>
      <w:bCs/>
      <w:sz w:val="32"/>
      <w:szCs w:val="32"/>
      <w:lang w:val="cs-CZ"/>
    </w:rPr>
  </w:style>
  <w:style w:type="character" w:customStyle="1" w:styleId="Nadpis2Char">
    <w:name w:val="Nadpis 2 Char"/>
    <w:uiPriority w:val="9"/>
    <w:qFormat/>
    <w:rsid w:val="004C0B8B"/>
    <w:rPr>
      <w:rFonts w:ascii="Bookman Old Style" w:eastAsia="Bookman Old Style" w:hAnsi="Bookman Old Style" w:cs="Bookman Old Style"/>
      <w:b/>
      <w:bCs/>
      <w:spacing w:val="-5"/>
      <w:sz w:val="17"/>
      <w:szCs w:val="17"/>
      <w:lang w:bidi="cs-CZ"/>
    </w:rPr>
  </w:style>
  <w:style w:type="character" w:customStyle="1" w:styleId="Nadpis3Char">
    <w:name w:val="Nadpis 3 Char"/>
    <w:uiPriority w:val="9"/>
    <w:semiHidden/>
    <w:qFormat/>
    <w:rsid w:val="004C0B8B"/>
    <w:rPr>
      <w:rFonts w:ascii="Cambria" w:eastAsia="Cambria" w:hAnsi="Cambria" w:cs="Cambria"/>
      <w:b/>
      <w:bCs/>
      <w:sz w:val="26"/>
      <w:szCs w:val="26"/>
      <w:lang w:val="cs-CZ"/>
    </w:rPr>
  </w:style>
  <w:style w:type="character" w:customStyle="1" w:styleId="Nadpis4Char">
    <w:name w:val="Nadpis 4 Char"/>
    <w:uiPriority w:val="9"/>
    <w:semiHidden/>
    <w:qFormat/>
    <w:rsid w:val="004C0B8B"/>
    <w:rPr>
      <w:rFonts w:ascii="Calibri" w:eastAsia="Calibri" w:hAnsi="Calibri" w:cs="Calibri"/>
      <w:b/>
      <w:bCs/>
      <w:sz w:val="28"/>
      <w:szCs w:val="28"/>
      <w:lang w:val="cs-CZ"/>
    </w:rPr>
  </w:style>
  <w:style w:type="character" w:customStyle="1" w:styleId="Nadpis5Char">
    <w:name w:val="Nadpis 5 Char"/>
    <w:uiPriority w:val="9"/>
    <w:semiHidden/>
    <w:qFormat/>
    <w:rsid w:val="004C0B8B"/>
    <w:rPr>
      <w:rFonts w:ascii="Calibri" w:eastAsia="Calibri" w:hAnsi="Calibri" w:cs="Calibri"/>
      <w:b/>
      <w:bCs/>
      <w:i/>
      <w:iCs/>
      <w:sz w:val="26"/>
      <w:szCs w:val="26"/>
      <w:lang w:val="cs-CZ"/>
    </w:rPr>
  </w:style>
  <w:style w:type="character" w:customStyle="1" w:styleId="Nadpis6Char">
    <w:name w:val="Nadpis 6 Char"/>
    <w:semiHidden/>
    <w:qFormat/>
    <w:rsid w:val="004C0B8B"/>
    <w:rPr>
      <w:rFonts w:ascii="Calibri" w:eastAsia="Calibri" w:hAnsi="Calibri" w:cs="Calibri"/>
      <w:b/>
      <w:bCs/>
      <w:sz w:val="24"/>
      <w:szCs w:val="24"/>
      <w:lang w:val="cs-CZ"/>
    </w:rPr>
  </w:style>
  <w:style w:type="character" w:customStyle="1" w:styleId="Nadpis7Char">
    <w:name w:val="Nadpis 7 Char"/>
    <w:uiPriority w:val="9"/>
    <w:semiHidden/>
    <w:qFormat/>
    <w:rsid w:val="004C0B8B"/>
    <w:rPr>
      <w:rFonts w:ascii="Calibri" w:eastAsia="Calibri" w:hAnsi="Calibri" w:cs="Calibri"/>
      <w:sz w:val="24"/>
      <w:szCs w:val="24"/>
      <w:lang w:val="cs-CZ"/>
    </w:rPr>
  </w:style>
  <w:style w:type="character" w:customStyle="1" w:styleId="Nadpis8Char">
    <w:name w:val="Nadpis 8 Char"/>
    <w:uiPriority w:val="9"/>
    <w:semiHidden/>
    <w:qFormat/>
    <w:rsid w:val="004C0B8B"/>
    <w:rPr>
      <w:rFonts w:ascii="Calibri" w:eastAsia="Calibri" w:hAnsi="Calibri" w:cs="Calibri"/>
      <w:i/>
      <w:iCs/>
      <w:sz w:val="24"/>
      <w:szCs w:val="24"/>
      <w:lang w:val="cs-CZ"/>
    </w:rPr>
  </w:style>
  <w:style w:type="character" w:customStyle="1" w:styleId="Nadpis9Char">
    <w:name w:val="Nadpis 9 Char"/>
    <w:uiPriority w:val="9"/>
    <w:semiHidden/>
    <w:qFormat/>
    <w:rsid w:val="004C0B8B"/>
    <w:rPr>
      <w:rFonts w:ascii="Cambria" w:eastAsia="Cambria" w:hAnsi="Cambria" w:cs="Cambria"/>
      <w:sz w:val="24"/>
      <w:szCs w:val="24"/>
      <w:lang w:val="cs-CZ"/>
    </w:rPr>
  </w:style>
  <w:style w:type="character" w:customStyle="1" w:styleId="TextbublinyChar">
    <w:name w:val="Text bubliny Char"/>
    <w:qFormat/>
    <w:rsid w:val="004C0B8B"/>
    <w:rPr>
      <w:rFonts w:ascii="Tahoma" w:eastAsia="Tahoma" w:hAnsi="Tahoma" w:cs="Tahoma"/>
      <w:sz w:val="16"/>
      <w:szCs w:val="16"/>
      <w:lang w:val="sk-SK" w:bidi="cs-CZ"/>
    </w:rPr>
  </w:style>
  <w:style w:type="character" w:customStyle="1" w:styleId="ZkladntextChar">
    <w:name w:val="Základný text Char"/>
    <w:semiHidden/>
    <w:qFormat/>
    <w:rsid w:val="004C0B8B"/>
    <w:rPr>
      <w:rFonts w:ascii="Times New Roman" w:eastAsia="Times New Roman" w:hAnsi="Times New Roman" w:cs="Times New Roman"/>
      <w:sz w:val="24"/>
      <w:szCs w:val="24"/>
      <w:lang w:val="cs-CZ"/>
    </w:rPr>
  </w:style>
  <w:style w:type="character" w:customStyle="1" w:styleId="Zkladntext2Char">
    <w:name w:val="Základný text 2 Char"/>
    <w:uiPriority w:val="99"/>
    <w:qFormat/>
    <w:rsid w:val="004C0B8B"/>
    <w:rPr>
      <w:rFonts w:ascii="Times New Roman" w:eastAsia="Times New Roman" w:hAnsi="Times New Roman" w:cs="Times New Roman"/>
      <w:sz w:val="24"/>
      <w:szCs w:val="24"/>
      <w:lang w:val="cs-CZ"/>
    </w:rPr>
  </w:style>
  <w:style w:type="character" w:customStyle="1" w:styleId="Zkladntext3Char">
    <w:name w:val="Základný text 3 Char"/>
    <w:semiHidden/>
    <w:qFormat/>
    <w:rsid w:val="004C0B8B"/>
    <w:rPr>
      <w:rFonts w:ascii="Times New Roman" w:eastAsia="Times New Roman" w:hAnsi="Times New Roman" w:cs="Times New Roman"/>
      <w:sz w:val="16"/>
      <w:szCs w:val="16"/>
      <w:lang w:val="cs-CZ"/>
    </w:rPr>
  </w:style>
  <w:style w:type="character" w:customStyle="1" w:styleId="PrvzarkazkladnhotextuChar">
    <w:name w:val="Prvá zarážka základného textu Char"/>
    <w:uiPriority w:val="99"/>
    <w:semiHidden/>
    <w:qFormat/>
    <w:rsid w:val="004C0B8B"/>
    <w:rPr>
      <w:rFonts w:ascii="Times New Roman" w:eastAsia="Times New Roman" w:hAnsi="Times New Roman" w:cs="Times New Roman"/>
      <w:sz w:val="24"/>
      <w:szCs w:val="24"/>
      <w:lang w:val="cs-CZ"/>
    </w:rPr>
  </w:style>
  <w:style w:type="character" w:customStyle="1" w:styleId="ZarkazkladnhotextuChar">
    <w:name w:val="Zarážka základného textu Char"/>
    <w:semiHidden/>
    <w:qFormat/>
    <w:rsid w:val="004C0B8B"/>
    <w:rPr>
      <w:rFonts w:ascii="Times New Roman" w:eastAsia="Times New Roman" w:hAnsi="Times New Roman" w:cs="Times New Roman"/>
      <w:sz w:val="24"/>
      <w:szCs w:val="24"/>
      <w:lang w:val="cs-CZ"/>
    </w:rPr>
  </w:style>
  <w:style w:type="character" w:customStyle="1" w:styleId="Zarkazkladnhotextu2Char">
    <w:name w:val="Zarážka základného textu 2 Char"/>
    <w:semiHidden/>
    <w:qFormat/>
    <w:rsid w:val="004C0B8B"/>
    <w:rPr>
      <w:rFonts w:ascii="Times New Roman" w:eastAsia="Times New Roman" w:hAnsi="Times New Roman" w:cs="Times New Roman"/>
      <w:sz w:val="24"/>
      <w:szCs w:val="24"/>
      <w:lang w:val="cs-CZ"/>
    </w:rPr>
  </w:style>
  <w:style w:type="character" w:customStyle="1" w:styleId="Zarkazkladnhotextu3Char">
    <w:name w:val="Zarážka základného textu 3 Char"/>
    <w:semiHidden/>
    <w:qFormat/>
    <w:rsid w:val="004C0B8B"/>
    <w:rPr>
      <w:rFonts w:ascii="Times New Roman" w:eastAsia="Times New Roman" w:hAnsi="Times New Roman" w:cs="Times New Roman"/>
      <w:sz w:val="16"/>
      <w:szCs w:val="16"/>
      <w:lang w:val="cs-CZ"/>
    </w:rPr>
  </w:style>
  <w:style w:type="character" w:customStyle="1" w:styleId="TextkomentraChar">
    <w:name w:val="Text komentára Char"/>
    <w:uiPriority w:val="99"/>
    <w:qFormat/>
    <w:rsid w:val="004C0B8B"/>
    <w:rPr>
      <w:rFonts w:ascii="Arial" w:eastAsia="Arial" w:hAnsi="Arial" w:cs="Arial"/>
      <w:sz w:val="17"/>
      <w:szCs w:val="17"/>
      <w:lang w:val="sk-SK" w:bidi="cs-CZ"/>
    </w:rPr>
  </w:style>
  <w:style w:type="character" w:customStyle="1" w:styleId="PredmetkomentraChar">
    <w:name w:val="Predmet komentára Char"/>
    <w:semiHidden/>
    <w:qFormat/>
    <w:rsid w:val="004C0B8B"/>
    <w:rPr>
      <w:rFonts w:ascii="Arial" w:eastAsia="Arial" w:hAnsi="Arial" w:cs="Arial"/>
      <w:b/>
      <w:bCs/>
      <w:sz w:val="20"/>
      <w:szCs w:val="20"/>
      <w:lang w:val="cs-CZ" w:bidi="cs-CZ"/>
    </w:rPr>
  </w:style>
  <w:style w:type="character" w:customStyle="1" w:styleId="truktradokumentuChar">
    <w:name w:val="Štruktúra dokumentu Char"/>
    <w:semiHidden/>
    <w:qFormat/>
    <w:rsid w:val="004C0B8B"/>
    <w:rPr>
      <w:rFonts w:ascii="Tahoma" w:eastAsia="Tahoma" w:hAnsi="Tahoma" w:cs="Tahoma"/>
      <w:sz w:val="16"/>
      <w:szCs w:val="16"/>
      <w:lang w:val="cs-CZ"/>
    </w:rPr>
  </w:style>
  <w:style w:type="character" w:customStyle="1" w:styleId="PtaChar">
    <w:name w:val="Päta Char"/>
    <w:qFormat/>
    <w:rsid w:val="004C0B8B"/>
    <w:rPr>
      <w:rFonts w:ascii="Times New Roman" w:eastAsia="Times New Roman" w:hAnsi="Times New Roman" w:cs="Times New Roman"/>
      <w:sz w:val="24"/>
      <w:szCs w:val="24"/>
      <w:lang w:val="cs-CZ"/>
    </w:rPr>
  </w:style>
  <w:style w:type="character" w:customStyle="1" w:styleId="TextpoznmkypodiarouChar">
    <w:name w:val="Text poznámky pod čiarou Char"/>
    <w:uiPriority w:val="99"/>
    <w:qFormat/>
    <w:rsid w:val="004C0B8B"/>
    <w:rPr>
      <w:rFonts w:ascii="Arial" w:eastAsia="Arial" w:hAnsi="Arial" w:cs="Arial"/>
      <w:sz w:val="17"/>
      <w:szCs w:val="17"/>
      <w:lang w:bidi="cs-CZ"/>
    </w:rPr>
  </w:style>
  <w:style w:type="character" w:customStyle="1" w:styleId="HlavikaChar">
    <w:name w:val="Hlavička Char"/>
    <w:qFormat/>
    <w:rsid w:val="004C0B8B"/>
    <w:rPr>
      <w:rFonts w:ascii="Arial" w:eastAsia="Arial" w:hAnsi="Arial" w:cs="Arial"/>
      <w:sz w:val="24"/>
    </w:rPr>
  </w:style>
  <w:style w:type="character" w:customStyle="1" w:styleId="ObyajntextChar">
    <w:name w:val="Obyčajný text Char"/>
    <w:semiHidden/>
    <w:qFormat/>
    <w:rsid w:val="004C0B8B"/>
    <w:rPr>
      <w:rFonts w:ascii="Courier New" w:eastAsia="Courier New" w:hAnsi="Courier New" w:cs="Courier New"/>
      <w:sz w:val="20"/>
      <w:szCs w:val="20"/>
      <w:lang w:val="cs-CZ"/>
    </w:rPr>
  </w:style>
  <w:style w:type="character" w:customStyle="1" w:styleId="OslovenieChar">
    <w:name w:val="Oslovenie Char"/>
    <w:semiHidden/>
    <w:qFormat/>
    <w:rsid w:val="004C0B8B"/>
    <w:rPr>
      <w:rFonts w:ascii="Times New Roman" w:eastAsia="Times New Roman" w:hAnsi="Times New Roman" w:cs="Times New Roman"/>
      <w:sz w:val="24"/>
      <w:szCs w:val="24"/>
      <w:lang w:val="cs-CZ"/>
    </w:rPr>
  </w:style>
  <w:style w:type="paragraph" w:customStyle="1" w:styleId="Nomal">
    <w:name w:val="Nomal"/>
    <w:basedOn w:val="Default"/>
    <w:qFormat/>
    <w:rsid w:val="004C0B8B"/>
    <w:pPr>
      <w:spacing w:before="120"/>
    </w:pPr>
    <w:rPr>
      <w:rFonts w:ascii="Arial" w:eastAsia="Arial" w:hAnsi="Arial" w:cs="Arial"/>
      <w:sz w:val="23"/>
      <w:szCs w:val="23"/>
    </w:rPr>
  </w:style>
  <w:style w:type="paragraph" w:customStyle="1" w:styleId="Default">
    <w:name w:val="Default"/>
    <w:qFormat/>
    <w:rsid w:val="004C0B8B"/>
    <w:rPr>
      <w:rFonts w:ascii="EUAlbertina" w:eastAsia="EUAlbertina" w:hAnsi="EUAlbertina" w:cs="EUAlbertina"/>
      <w:color w:val="000000"/>
      <w:sz w:val="24"/>
      <w:szCs w:val="24"/>
      <w:lang w:bidi="sk-SK"/>
    </w:rPr>
  </w:style>
  <w:style w:type="character" w:customStyle="1" w:styleId="NomalChar">
    <w:name w:val="Nomal Char"/>
    <w:qFormat/>
    <w:rsid w:val="004C0B8B"/>
    <w:rPr>
      <w:rFonts w:ascii="Arial" w:eastAsia="Arial" w:hAnsi="Arial" w:cs="Arial"/>
      <w:sz w:val="23"/>
      <w:szCs w:val="23"/>
      <w:lang w:val="sk-SK" w:bidi="sk-SK"/>
    </w:rPr>
  </w:style>
  <w:style w:type="paragraph" w:customStyle="1" w:styleId="BodyText21">
    <w:name w:val="Body Text 21"/>
    <w:basedOn w:val="Normlny"/>
    <w:uiPriority w:val="99"/>
    <w:qFormat/>
    <w:rsid w:val="004C0B8B"/>
    <w:pPr>
      <w:spacing w:before="120" w:line="240" w:lineRule="atLeast"/>
      <w:ind w:left="215" w:hanging="215"/>
      <w:jc w:val="both"/>
    </w:pPr>
    <w:rPr>
      <w:rFonts w:ascii="Arial" w:eastAsia="Arial" w:hAnsi="Arial" w:cs="Arial"/>
      <w:lang w:bidi="cs-CZ"/>
    </w:rPr>
  </w:style>
  <w:style w:type="paragraph" w:customStyle="1" w:styleId="odsek">
    <w:name w:val="odsek"/>
    <w:basedOn w:val="Normlny"/>
    <w:qFormat/>
    <w:rsid w:val="004C0B8B"/>
    <w:pPr>
      <w:spacing w:before="240"/>
      <w:ind w:left="215" w:hanging="215"/>
      <w:jc w:val="both"/>
    </w:pPr>
    <w:rPr>
      <w:rFonts w:ascii="Arial" w:eastAsia="Arial" w:hAnsi="Arial" w:cs="Arial"/>
      <w:color w:val="000000"/>
      <w:sz w:val="17"/>
      <w:szCs w:val="17"/>
      <w:lang w:bidi="cs-CZ"/>
    </w:rPr>
  </w:style>
  <w:style w:type="paragraph" w:customStyle="1" w:styleId="Zpat">
    <w:name w:val="Z‡pat’"/>
    <w:basedOn w:val="Normlny"/>
    <w:qFormat/>
    <w:rsid w:val="004C0B8B"/>
    <w:pPr>
      <w:tabs>
        <w:tab w:val="center" w:pos="4536"/>
        <w:tab w:val="right" w:pos="9072"/>
      </w:tabs>
    </w:pPr>
    <w:rPr>
      <w:sz w:val="24"/>
      <w:szCs w:val="24"/>
    </w:rPr>
  </w:style>
  <w:style w:type="paragraph" w:customStyle="1" w:styleId="pismeno">
    <w:name w:val="pismeno"/>
    <w:basedOn w:val="Normlny"/>
    <w:qFormat/>
    <w:rsid w:val="004C0B8B"/>
    <w:pPr>
      <w:tabs>
        <w:tab w:val="left" w:pos="360"/>
        <w:tab w:val="left" w:pos="426"/>
        <w:tab w:val="left" w:pos="585"/>
      </w:tabs>
      <w:spacing w:before="60"/>
      <w:ind w:left="340" w:hanging="340"/>
      <w:jc w:val="both"/>
    </w:pPr>
    <w:rPr>
      <w:rFonts w:ascii="Arial" w:eastAsia="Arial" w:hAnsi="Arial" w:cs="Arial"/>
      <w:sz w:val="17"/>
      <w:szCs w:val="17"/>
      <w:lang w:bidi="cs-CZ"/>
    </w:rPr>
  </w:style>
  <w:style w:type="paragraph" w:customStyle="1" w:styleId="ListParagraph1">
    <w:name w:val="List Paragraph1"/>
    <w:basedOn w:val="Normlny"/>
    <w:qFormat/>
    <w:rsid w:val="004C0B8B"/>
    <w:pPr>
      <w:keepNext/>
      <w:contextualSpacing/>
      <w:jc w:val="both"/>
    </w:pPr>
    <w:rPr>
      <w:sz w:val="24"/>
      <w:szCs w:val="24"/>
      <w:lang w:bidi="cs-CZ"/>
    </w:rPr>
  </w:style>
  <w:style w:type="paragraph" w:customStyle="1" w:styleId="zaklad">
    <w:name w:val="zaklad"/>
    <w:basedOn w:val="Zkladntext"/>
    <w:qFormat/>
    <w:rsid w:val="004C0B8B"/>
    <w:pPr>
      <w:jc w:val="left"/>
    </w:pPr>
  </w:style>
  <w:style w:type="paragraph" w:customStyle="1" w:styleId="Textpsmene">
    <w:name w:val="Text písmene"/>
    <w:basedOn w:val="Normlny"/>
    <w:qFormat/>
    <w:rsid w:val="004C0B8B"/>
    <w:pPr>
      <w:tabs>
        <w:tab w:val="left" w:pos="360"/>
        <w:tab w:val="left" w:pos="643"/>
      </w:tabs>
      <w:ind w:left="360" w:hanging="360"/>
      <w:jc w:val="both"/>
    </w:pPr>
    <w:rPr>
      <w:rFonts w:ascii="Arial" w:eastAsia="Arial" w:hAnsi="Arial" w:cs="Arial"/>
      <w:sz w:val="17"/>
      <w:szCs w:val="17"/>
      <w:lang w:bidi="cs-CZ"/>
    </w:rPr>
  </w:style>
  <w:style w:type="paragraph" w:customStyle="1" w:styleId="Formuledadoption">
    <w:name w:val="Formule d'adoption"/>
    <w:basedOn w:val="Normlny"/>
    <w:qFormat/>
    <w:rsid w:val="004C0B8B"/>
    <w:pPr>
      <w:keepNext/>
      <w:spacing w:before="120" w:after="120"/>
      <w:jc w:val="both"/>
    </w:pPr>
    <w:rPr>
      <w:sz w:val="24"/>
      <w:szCs w:val="24"/>
      <w:lang w:bidi="ar-SA"/>
    </w:rPr>
  </w:style>
  <w:style w:type="paragraph" w:customStyle="1" w:styleId="Zkladntext0">
    <w:name w:val="Z‡kladn’ text"/>
    <w:basedOn w:val="Normlny"/>
    <w:qFormat/>
    <w:rsid w:val="004C0B8B"/>
    <w:pPr>
      <w:ind w:left="215" w:hanging="215"/>
    </w:pPr>
    <w:rPr>
      <w:rFonts w:ascii="Arial" w:eastAsia="Arial" w:hAnsi="Arial" w:cs="Arial"/>
      <w:b/>
      <w:bCs/>
      <w:sz w:val="17"/>
      <w:szCs w:val="17"/>
      <w:lang w:bidi="cs-CZ"/>
    </w:rPr>
  </w:style>
  <w:style w:type="character" w:customStyle="1" w:styleId="tw4winMark">
    <w:name w:val="tw4winMark"/>
    <w:qFormat/>
    <w:rsid w:val="004C0B8B"/>
    <w:rPr>
      <w:rFonts w:ascii="Courier New" w:eastAsia="Courier New" w:hAnsi="Courier New" w:cs="Courier New"/>
      <w:vanish/>
      <w:color w:val="800080"/>
      <w:sz w:val="24"/>
      <w:vertAlign w:val="subscript"/>
    </w:rPr>
  </w:style>
  <w:style w:type="paragraph" w:customStyle="1" w:styleId="J-formtdokumentu">
    <w:name w:val="J-formát dokumentu"/>
    <w:basedOn w:val="Normlny"/>
    <w:qFormat/>
    <w:rsid w:val="004C0B8B"/>
    <w:pPr>
      <w:spacing w:before="120"/>
      <w:ind w:left="215" w:hanging="215"/>
      <w:jc w:val="both"/>
    </w:pPr>
    <w:rPr>
      <w:rFonts w:ascii="Arial" w:eastAsia="Arial" w:hAnsi="Arial" w:cs="Arial"/>
      <w:lang w:bidi="en-US"/>
    </w:rPr>
  </w:style>
  <w:style w:type="paragraph" w:customStyle="1" w:styleId="BodyText22">
    <w:name w:val="Body Text 22"/>
    <w:basedOn w:val="Normlny"/>
    <w:qFormat/>
    <w:rsid w:val="004C0B8B"/>
    <w:pPr>
      <w:ind w:left="426" w:hanging="426"/>
      <w:jc w:val="both"/>
    </w:pPr>
    <w:rPr>
      <w:rFonts w:ascii="Arial" w:eastAsia="Arial" w:hAnsi="Arial" w:cs="Arial"/>
      <w:sz w:val="17"/>
      <w:szCs w:val="17"/>
      <w:lang w:bidi="cs-CZ"/>
    </w:rPr>
  </w:style>
  <w:style w:type="paragraph" w:customStyle="1" w:styleId="titulok">
    <w:name w:val="titulok"/>
    <w:basedOn w:val="Normlny"/>
    <w:qFormat/>
    <w:rsid w:val="004C0B8B"/>
    <w:pPr>
      <w:spacing w:before="100" w:beforeAutospacing="1" w:after="100" w:afterAutospacing="1"/>
      <w:ind w:left="215" w:hanging="215"/>
      <w:jc w:val="center"/>
    </w:pPr>
    <w:rPr>
      <w:rFonts w:ascii="Arial" w:eastAsia="Arial" w:hAnsi="Arial" w:cs="Arial"/>
      <w:b/>
      <w:bCs/>
      <w:color w:val="000000"/>
      <w:sz w:val="17"/>
      <w:szCs w:val="17"/>
      <w:lang w:bidi="cs-CZ"/>
    </w:rPr>
  </w:style>
  <w:style w:type="paragraph" w:styleId="Odsekzoznamu">
    <w:name w:val="List Paragraph"/>
    <w:basedOn w:val="Normlny"/>
    <w:uiPriority w:val="34"/>
    <w:qFormat/>
    <w:rsid w:val="004C0B8B"/>
    <w:pPr>
      <w:ind w:left="708"/>
    </w:pPr>
    <w:rPr>
      <w:sz w:val="24"/>
      <w:szCs w:val="24"/>
    </w:rPr>
  </w:style>
  <w:style w:type="paragraph" w:customStyle="1" w:styleId="Odstavec">
    <w:name w:val="Odstavec"/>
    <w:basedOn w:val="Normlny"/>
    <w:qFormat/>
    <w:rsid w:val="004C0B8B"/>
    <w:pPr>
      <w:spacing w:before="180"/>
      <w:jc w:val="both"/>
    </w:pPr>
    <w:rPr>
      <w:lang w:bidi="en-US"/>
    </w:rPr>
  </w:style>
  <w:style w:type="paragraph" w:customStyle="1" w:styleId="Normln">
    <w:name w:val="Norm‡ln’"/>
    <w:qFormat/>
    <w:rsid w:val="004C0B8B"/>
    <w:rPr>
      <w:rFonts w:ascii="Times New Roman" w:eastAsia="Times New Roman" w:hAnsi="Times New Roman"/>
      <w:sz w:val="22"/>
      <w:szCs w:val="22"/>
      <w:lang w:val="cs-CZ" w:bidi="sk-SK"/>
    </w:rPr>
  </w:style>
  <w:style w:type="character" w:customStyle="1" w:styleId="NormlnChar">
    <w:name w:val="Norm‡ln’ Char"/>
    <w:qFormat/>
    <w:rsid w:val="004C0B8B"/>
    <w:rPr>
      <w:rFonts w:ascii="Times New Roman" w:eastAsia="Times New Roman" w:hAnsi="Times New Roman" w:cs="Times New Roman"/>
      <w:sz w:val="22"/>
      <w:szCs w:val="22"/>
      <w:lang w:val="cs-CZ" w:bidi="sk-SK"/>
    </w:rPr>
  </w:style>
  <w:style w:type="paragraph" w:customStyle="1" w:styleId="Zkladntext20">
    <w:name w:val="Z‡kladn’ text 2"/>
    <w:basedOn w:val="Normlny"/>
    <w:qFormat/>
    <w:rsid w:val="004C0B8B"/>
    <w:pPr>
      <w:keepNext/>
      <w:spacing w:before="60" w:after="60"/>
      <w:jc w:val="both"/>
    </w:pPr>
    <w:rPr>
      <w:sz w:val="24"/>
      <w:szCs w:val="24"/>
      <w:lang w:bidi="en-US"/>
    </w:rPr>
  </w:style>
  <w:style w:type="character" w:customStyle="1" w:styleId="poznamka1Char">
    <w:name w:val="poznamka1 Char"/>
    <w:qFormat/>
    <w:rsid w:val="004C0B8B"/>
    <w:rPr>
      <w:rFonts w:ascii="Times New Roman" w:eastAsia="Times New Roman" w:hAnsi="Times New Roman" w:cs="Times New Roman"/>
      <w:i/>
      <w:iCs/>
      <w:sz w:val="24"/>
      <w:szCs w:val="24"/>
      <w:lang w:val="sk-SK" w:bidi="sk-SK"/>
    </w:rPr>
  </w:style>
  <w:style w:type="paragraph" w:customStyle="1" w:styleId="poznamka1">
    <w:name w:val="poznamka1"/>
    <w:basedOn w:val="Normlny"/>
    <w:qFormat/>
    <w:rsid w:val="004C0B8B"/>
    <w:pPr>
      <w:shd w:val="clear" w:color="auto" w:fill="E6E6FA"/>
      <w:spacing w:before="100" w:beforeAutospacing="1" w:after="100" w:afterAutospacing="1" w:line="384" w:lineRule="auto"/>
    </w:pPr>
    <w:rPr>
      <w:i/>
      <w:iCs/>
      <w:sz w:val="24"/>
      <w:szCs w:val="24"/>
    </w:rPr>
  </w:style>
  <w:style w:type="paragraph" w:customStyle="1" w:styleId="Paragrafy">
    <w:name w:val="Paragrafy"/>
    <w:basedOn w:val="Normlny"/>
    <w:qFormat/>
    <w:rsid w:val="004C0B8B"/>
    <w:pPr>
      <w:shd w:val="clear" w:color="auto" w:fill="FFFFFF"/>
      <w:spacing w:before="120" w:after="120" w:line="360" w:lineRule="auto"/>
      <w:jc w:val="center"/>
      <w:outlineLvl w:val="5"/>
    </w:pPr>
    <w:rPr>
      <w:rFonts w:ascii="Arial" w:eastAsia="Arial" w:hAnsi="Arial" w:cs="Arial"/>
      <w:color w:val="FF0000"/>
      <w:sz w:val="28"/>
      <w:szCs w:val="28"/>
    </w:rPr>
  </w:style>
  <w:style w:type="character" w:customStyle="1" w:styleId="ParagrafyChar">
    <w:name w:val="Paragrafy Char"/>
    <w:qFormat/>
    <w:rsid w:val="004C0B8B"/>
    <w:rPr>
      <w:rFonts w:ascii="Arial" w:eastAsia="Arial" w:hAnsi="Arial" w:cs="Arial"/>
      <w:color w:val="FF0000"/>
      <w:sz w:val="28"/>
      <w:szCs w:val="28"/>
      <w:lang w:val="sk-SK" w:bidi="sk-SK"/>
    </w:rPr>
  </w:style>
  <w:style w:type="paragraph" w:styleId="Bezriadkovania">
    <w:name w:val="No Spacing"/>
    <w:uiPriority w:val="1"/>
    <w:qFormat/>
    <w:rsid w:val="004C0B8B"/>
    <w:rPr>
      <w:rFonts w:ascii="Times New Roman" w:eastAsia="Times New Roman" w:hAnsi="Times New Roman"/>
      <w:lang w:val="cs-CZ" w:bidi="sk-SK"/>
    </w:rPr>
  </w:style>
  <w:style w:type="paragraph" w:customStyle="1" w:styleId="ListParagraph2">
    <w:name w:val="List Paragraph2"/>
    <w:basedOn w:val="Normlny"/>
    <w:qFormat/>
    <w:rsid w:val="004C0B8B"/>
    <w:pPr>
      <w:ind w:left="708"/>
    </w:pPr>
    <w:rPr>
      <w:sz w:val="24"/>
      <w:szCs w:val="24"/>
    </w:rPr>
  </w:style>
  <w:style w:type="paragraph" w:customStyle="1" w:styleId="Revision1">
    <w:name w:val="Revision1"/>
    <w:semiHidden/>
    <w:qFormat/>
    <w:rsid w:val="004C0B8B"/>
    <w:rPr>
      <w:rFonts w:ascii="Times New Roman" w:eastAsia="Times New Roman" w:hAnsi="Times New Roman"/>
      <w:sz w:val="24"/>
      <w:szCs w:val="24"/>
      <w:lang w:bidi="sk-SK"/>
    </w:rPr>
  </w:style>
  <w:style w:type="paragraph" w:customStyle="1" w:styleId="Normlny0">
    <w:name w:val="_Normálny"/>
    <w:basedOn w:val="Normlny"/>
    <w:qFormat/>
    <w:rsid w:val="004C0B8B"/>
    <w:rPr>
      <w:lang w:bidi="en-US"/>
    </w:rPr>
  </w:style>
  <w:style w:type="character" w:customStyle="1" w:styleId="OdsekzoznamuChar">
    <w:name w:val="Odsek zoznamu Char"/>
    <w:uiPriority w:val="34"/>
    <w:qFormat/>
    <w:rsid w:val="004C0B8B"/>
    <w:rPr>
      <w:rFonts w:ascii="Times New Roman" w:eastAsia="Times New Roman" w:hAnsi="Times New Roman" w:cs="Times New Roman"/>
      <w:sz w:val="24"/>
    </w:rPr>
  </w:style>
  <w:style w:type="paragraph" w:customStyle="1" w:styleId="Nra">
    <w:name w:val="N*r*a*"/>
    <w:unhideWhenUsed/>
    <w:qFormat/>
    <w:rsid w:val="004C0B8B"/>
    <w:rPr>
      <w:rFonts w:ascii="t*m*s*n*w*r*m*n" w:eastAsia="t*m*s*n*w*r*m*n" w:hAnsi="t*m*s*n*w*r*m*n" w:cs="t*m*s*n*w*r*m*n"/>
      <w:lang w:bidi="sk-SK"/>
    </w:rPr>
  </w:style>
  <w:style w:type="table" w:customStyle="1" w:styleId="Gialoofl-cet4">
    <w:name w:val="G*i* *a*l* * *o*o*f*l*- *c*e*t*4"/>
    <w:qFormat/>
    <w:rsid w:val="004C0B8B"/>
    <w:rPr>
      <w:rFonts w:ascii="Times New Roman" w:eastAsia="Times New Roman" w:hAnsi="Times New Roman"/>
      <w:sz w:val="24"/>
      <w:szCs w:val="24"/>
      <w:lang w:bidi="sk-SK"/>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paragraph" w:customStyle="1" w:styleId="Bdet2">
    <w:name w:val="B*d* *e*t*2*"/>
    <w:basedOn w:val="Normlny"/>
    <w:unhideWhenUsed/>
    <w:qFormat/>
    <w:rsid w:val="004C0B8B"/>
    <w:pPr>
      <w:spacing w:before="120" w:line="240" w:lineRule="atLeast"/>
      <w:ind w:left="215" w:hanging="215"/>
      <w:jc w:val="both"/>
    </w:pPr>
    <w:rPr>
      <w:rFonts w:ascii="a*i*l" w:eastAsia="a*i*l" w:hAnsi="a*i*l" w:cs="a*i*l"/>
    </w:rPr>
  </w:style>
  <w:style w:type="paragraph" w:customStyle="1" w:styleId="pseo">
    <w:name w:val="p*s*e*o"/>
    <w:basedOn w:val="Normlny"/>
    <w:unhideWhenUsed/>
    <w:qFormat/>
    <w:rsid w:val="004C0B8B"/>
    <w:pPr>
      <w:numPr>
        <w:numId w:val="2"/>
      </w:numPr>
      <w:tabs>
        <w:tab w:val="left" w:pos="360"/>
        <w:tab w:val="left" w:pos="426"/>
        <w:tab w:val="left" w:pos="585"/>
        <w:tab w:val="left" w:pos="643"/>
      </w:tabs>
      <w:spacing w:before="60"/>
      <w:jc w:val="both"/>
    </w:pPr>
    <w:rPr>
      <w:rFonts w:ascii="a*i*l" w:eastAsia="a*i*l" w:hAnsi="a*i*l" w:cs="a*i*l"/>
      <w:sz w:val="17"/>
      <w:szCs w:val="17"/>
    </w:rPr>
  </w:style>
  <w:style w:type="paragraph" w:customStyle="1" w:styleId="Lsaarp">
    <w:name w:val="L*s* *a*a*r*p*"/>
    <w:basedOn w:val="Nra"/>
    <w:unhideWhenUsed/>
    <w:qFormat/>
    <w:rsid w:val="004C0B8B"/>
    <w:pPr>
      <w:ind w:left="708"/>
    </w:pPr>
    <w:rPr>
      <w:sz w:val="24"/>
      <w:szCs w:val="24"/>
    </w:rPr>
  </w:style>
  <w:style w:type="paragraph" w:customStyle="1" w:styleId="Bdet">
    <w:name w:val="B*d* *e*t"/>
    <w:basedOn w:val="Nra"/>
    <w:unhideWhenUsed/>
    <w:qFormat/>
    <w:rsid w:val="004C0B8B"/>
    <w:pPr>
      <w:ind w:left="215" w:hanging="215"/>
      <w:jc w:val="both"/>
    </w:pPr>
    <w:rPr>
      <w:rFonts w:ascii="a*i*l" w:eastAsia="a*i*l" w:hAnsi="a*i*l" w:cs="a*i*l"/>
      <w:sz w:val="17"/>
      <w:szCs w:val="17"/>
    </w:rPr>
  </w:style>
  <w:style w:type="character" w:customStyle="1" w:styleId="Haig2Ca">
    <w:name w:val="H*a*i*g*2*C*a*"/>
    <w:qFormat/>
    <w:rsid w:val="004C0B8B"/>
    <w:rPr>
      <w:rFonts w:ascii="a*i*l" w:eastAsia="a*i*l" w:hAnsi="a*i*l" w:cs="a*i*l"/>
      <w:sz w:val="34"/>
    </w:rPr>
  </w:style>
  <w:style w:type="paragraph" w:customStyle="1" w:styleId="Haig2">
    <w:name w:val="H*a*i*g*2"/>
    <w:basedOn w:val="Nra"/>
    <w:unhideWhenUsed/>
    <w:qFormat/>
    <w:rsid w:val="004C0B8B"/>
    <w:pPr>
      <w:keepNext/>
      <w:ind w:left="705" w:hanging="705"/>
      <w:jc w:val="center"/>
      <w:outlineLvl w:val="1"/>
    </w:pPr>
    <w:rPr>
      <w:rFonts w:ascii="a*i*l" w:eastAsia="a*i*l" w:hAnsi="a*i*l" w:cs="a*i*l"/>
      <w:sz w:val="34"/>
      <w:szCs w:val="34"/>
    </w:rPr>
  </w:style>
  <w:style w:type="paragraph" w:customStyle="1" w:styleId="Txmn">
    <w:name w:val="T*x* *í*m*n*"/>
    <w:basedOn w:val="Nra"/>
    <w:unhideWhenUsed/>
    <w:qFormat/>
    <w:rsid w:val="004C0B8B"/>
    <w:pPr>
      <w:numPr>
        <w:numId w:val="1"/>
      </w:numPr>
      <w:tabs>
        <w:tab w:val="left" w:pos="360"/>
        <w:tab w:val="left" w:pos="643"/>
      </w:tabs>
      <w:jc w:val="both"/>
    </w:pPr>
    <w:rPr>
      <w:rFonts w:ascii="a*i*l" w:eastAsia="a*i*l" w:hAnsi="a*i*l" w:cs="a*i*l"/>
      <w:sz w:val="17"/>
      <w:szCs w:val="17"/>
    </w:rPr>
  </w:style>
  <w:style w:type="paragraph" w:customStyle="1" w:styleId="Bdet21">
    <w:name w:val="B*d* *e*t*2*1"/>
    <w:basedOn w:val="Nra"/>
    <w:unhideWhenUsed/>
    <w:qFormat/>
    <w:rsid w:val="004C0B8B"/>
    <w:pPr>
      <w:ind w:left="426" w:hanging="426"/>
      <w:jc w:val="both"/>
    </w:pPr>
    <w:rPr>
      <w:rFonts w:ascii="a*i*l" w:eastAsia="a*i*l" w:hAnsi="a*i*l" w:cs="a*i*l"/>
      <w:sz w:val="17"/>
      <w:szCs w:val="17"/>
    </w:rPr>
  </w:style>
  <w:style w:type="paragraph" w:customStyle="1" w:styleId="osk">
    <w:name w:val="o*s*k"/>
    <w:basedOn w:val="Nra"/>
    <w:unhideWhenUsed/>
    <w:qFormat/>
    <w:rsid w:val="004C0B8B"/>
    <w:pPr>
      <w:spacing w:before="240"/>
      <w:ind w:left="215" w:hanging="215"/>
      <w:jc w:val="both"/>
    </w:pPr>
    <w:rPr>
      <w:rFonts w:ascii="a*i*l" w:eastAsia="a*i*l" w:hAnsi="a*i*l" w:cs="a*i*l"/>
      <w:color w:val="000000"/>
      <w:sz w:val="17"/>
      <w:szCs w:val="17"/>
    </w:rPr>
  </w:style>
  <w:style w:type="paragraph" w:customStyle="1" w:styleId="Odsekzoznamu1">
    <w:name w:val="Odsek zoznamu1"/>
    <w:basedOn w:val="Normlny"/>
    <w:rsid w:val="009C3D02"/>
    <w:pPr>
      <w:ind w:left="708"/>
    </w:pPr>
    <w:rPr>
      <w:sz w:val="24"/>
      <w:szCs w:val="24"/>
      <w:lang w:bidi="ar-SA"/>
    </w:rPr>
  </w:style>
  <w:style w:type="paragraph" w:customStyle="1" w:styleId="CM1">
    <w:name w:val="CM1"/>
    <w:basedOn w:val="Default"/>
    <w:next w:val="Default"/>
    <w:uiPriority w:val="99"/>
    <w:rsid w:val="00CF2D33"/>
    <w:pPr>
      <w:autoSpaceDE w:val="0"/>
      <w:autoSpaceDN w:val="0"/>
      <w:adjustRightInd w:val="0"/>
    </w:pPr>
    <w:rPr>
      <w:rFonts w:ascii="Times New Roman" w:eastAsia="Arial" w:hAnsi="Times New Roman" w:cs="Times New Roman"/>
      <w:color w:val="auto"/>
      <w:lang w:bidi="ar-SA"/>
    </w:rPr>
  </w:style>
  <w:style w:type="paragraph" w:customStyle="1" w:styleId="CM3">
    <w:name w:val="CM3"/>
    <w:basedOn w:val="Default"/>
    <w:next w:val="Default"/>
    <w:uiPriority w:val="99"/>
    <w:rsid w:val="00CF2D33"/>
    <w:pPr>
      <w:autoSpaceDE w:val="0"/>
      <w:autoSpaceDN w:val="0"/>
      <w:adjustRightInd w:val="0"/>
    </w:pPr>
    <w:rPr>
      <w:rFonts w:ascii="Times New Roman" w:eastAsia="Arial" w:hAnsi="Times New Roman" w:cs="Times New Roman"/>
      <w:color w:val="auto"/>
      <w:lang w:bidi="ar-SA"/>
    </w:rPr>
  </w:style>
  <w:style w:type="paragraph" w:customStyle="1" w:styleId="CM4">
    <w:name w:val="CM4"/>
    <w:basedOn w:val="Default"/>
    <w:next w:val="Default"/>
    <w:uiPriority w:val="99"/>
    <w:rsid w:val="00CF2D33"/>
    <w:pPr>
      <w:autoSpaceDE w:val="0"/>
      <w:autoSpaceDN w:val="0"/>
      <w:adjustRightInd w:val="0"/>
    </w:pPr>
    <w:rPr>
      <w:rFonts w:ascii="Times New Roman" w:eastAsia="Arial" w:hAnsi="Times New Roman" w:cs="Times New Roman"/>
      <w:color w:val="auto"/>
      <w:lang w:bidi="ar-SA"/>
    </w:rPr>
  </w:style>
  <w:style w:type="paragraph" w:customStyle="1" w:styleId="ziffermitbetrag">
    <w:name w:val="ziffermitbetrag"/>
    <w:basedOn w:val="Normlny"/>
    <w:rsid w:val="00B4650F"/>
    <w:pPr>
      <w:spacing w:before="100" w:beforeAutospacing="1" w:after="100" w:afterAutospacing="1"/>
    </w:pPr>
    <w:rPr>
      <w:sz w:val="24"/>
      <w:szCs w:val="24"/>
      <w:lang w:bidi="ar-SA"/>
    </w:rPr>
  </w:style>
  <w:style w:type="character" w:customStyle="1" w:styleId="markedcontent">
    <w:name w:val="markedcontent"/>
    <w:basedOn w:val="Predvolenpsmoodseku"/>
    <w:rsid w:val="008D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27907">
      <w:bodyDiv w:val="1"/>
      <w:marLeft w:val="0"/>
      <w:marRight w:val="0"/>
      <w:marTop w:val="0"/>
      <w:marBottom w:val="0"/>
      <w:divBdr>
        <w:top w:val="none" w:sz="0" w:space="0" w:color="auto"/>
        <w:left w:val="none" w:sz="0" w:space="0" w:color="auto"/>
        <w:bottom w:val="none" w:sz="0" w:space="0" w:color="auto"/>
        <w:right w:val="none" w:sz="0" w:space="0" w:color="auto"/>
      </w:divBdr>
      <w:divsChild>
        <w:div w:id="55474661">
          <w:marLeft w:val="0"/>
          <w:marRight w:val="0"/>
          <w:marTop w:val="0"/>
          <w:marBottom w:val="0"/>
          <w:divBdr>
            <w:top w:val="none" w:sz="0" w:space="0" w:color="auto"/>
            <w:left w:val="none" w:sz="0" w:space="0" w:color="auto"/>
            <w:bottom w:val="none" w:sz="0" w:space="0" w:color="auto"/>
            <w:right w:val="none" w:sz="0" w:space="0" w:color="auto"/>
          </w:divBdr>
        </w:div>
        <w:div w:id="82262795">
          <w:marLeft w:val="0"/>
          <w:marRight w:val="0"/>
          <w:marTop w:val="0"/>
          <w:marBottom w:val="0"/>
          <w:divBdr>
            <w:top w:val="none" w:sz="0" w:space="0" w:color="auto"/>
            <w:left w:val="none" w:sz="0" w:space="0" w:color="auto"/>
            <w:bottom w:val="none" w:sz="0" w:space="0" w:color="auto"/>
            <w:right w:val="none" w:sz="0" w:space="0" w:color="auto"/>
          </w:divBdr>
          <w:divsChild>
            <w:div w:id="1790927764">
              <w:marLeft w:val="0"/>
              <w:marRight w:val="0"/>
              <w:marTop w:val="0"/>
              <w:marBottom w:val="0"/>
              <w:divBdr>
                <w:top w:val="none" w:sz="0" w:space="0" w:color="auto"/>
                <w:left w:val="none" w:sz="0" w:space="0" w:color="auto"/>
                <w:bottom w:val="none" w:sz="0" w:space="0" w:color="auto"/>
                <w:right w:val="none" w:sz="0" w:space="0" w:color="auto"/>
              </w:divBdr>
            </w:div>
            <w:div w:id="1453596904">
              <w:marLeft w:val="0"/>
              <w:marRight w:val="0"/>
              <w:marTop w:val="0"/>
              <w:marBottom w:val="0"/>
              <w:divBdr>
                <w:top w:val="none" w:sz="0" w:space="0" w:color="auto"/>
                <w:left w:val="none" w:sz="0" w:space="0" w:color="auto"/>
                <w:bottom w:val="none" w:sz="0" w:space="0" w:color="auto"/>
                <w:right w:val="none" w:sz="0" w:space="0" w:color="auto"/>
              </w:divBdr>
            </w:div>
          </w:divsChild>
        </w:div>
        <w:div w:id="678851322">
          <w:marLeft w:val="0"/>
          <w:marRight w:val="0"/>
          <w:marTop w:val="0"/>
          <w:marBottom w:val="0"/>
          <w:divBdr>
            <w:top w:val="none" w:sz="0" w:space="0" w:color="auto"/>
            <w:left w:val="none" w:sz="0" w:space="0" w:color="auto"/>
            <w:bottom w:val="none" w:sz="0" w:space="0" w:color="auto"/>
            <w:right w:val="none" w:sz="0" w:space="0" w:color="auto"/>
          </w:divBdr>
          <w:divsChild>
            <w:div w:id="1021858452">
              <w:marLeft w:val="0"/>
              <w:marRight w:val="0"/>
              <w:marTop w:val="0"/>
              <w:marBottom w:val="0"/>
              <w:divBdr>
                <w:top w:val="none" w:sz="0" w:space="0" w:color="auto"/>
                <w:left w:val="none" w:sz="0" w:space="0" w:color="auto"/>
                <w:bottom w:val="none" w:sz="0" w:space="0" w:color="auto"/>
                <w:right w:val="none" w:sz="0" w:space="0" w:color="auto"/>
              </w:divBdr>
            </w:div>
            <w:div w:id="4737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8773">
      <w:bodyDiv w:val="1"/>
      <w:marLeft w:val="0"/>
      <w:marRight w:val="0"/>
      <w:marTop w:val="0"/>
      <w:marBottom w:val="0"/>
      <w:divBdr>
        <w:top w:val="none" w:sz="0" w:space="0" w:color="auto"/>
        <w:left w:val="none" w:sz="0" w:space="0" w:color="auto"/>
        <w:bottom w:val="none" w:sz="0" w:space="0" w:color="auto"/>
        <w:right w:val="none" w:sz="0" w:space="0" w:color="auto"/>
      </w:divBdr>
      <w:divsChild>
        <w:div w:id="1002319819">
          <w:marLeft w:val="0"/>
          <w:marRight w:val="0"/>
          <w:marTop w:val="0"/>
          <w:marBottom w:val="0"/>
          <w:divBdr>
            <w:top w:val="none" w:sz="0" w:space="0" w:color="auto"/>
            <w:left w:val="none" w:sz="0" w:space="0" w:color="auto"/>
            <w:bottom w:val="none" w:sz="0" w:space="0" w:color="auto"/>
            <w:right w:val="none" w:sz="0" w:space="0" w:color="auto"/>
          </w:divBdr>
          <w:divsChild>
            <w:div w:id="187111157">
              <w:marLeft w:val="0"/>
              <w:marRight w:val="0"/>
              <w:marTop w:val="0"/>
              <w:marBottom w:val="0"/>
              <w:divBdr>
                <w:top w:val="none" w:sz="0" w:space="0" w:color="auto"/>
                <w:left w:val="none" w:sz="0" w:space="0" w:color="auto"/>
                <w:bottom w:val="none" w:sz="0" w:space="0" w:color="auto"/>
                <w:right w:val="none" w:sz="0" w:space="0" w:color="auto"/>
              </w:divBdr>
            </w:div>
          </w:divsChild>
        </w:div>
        <w:div w:id="325942082">
          <w:marLeft w:val="0"/>
          <w:marRight w:val="0"/>
          <w:marTop w:val="0"/>
          <w:marBottom w:val="0"/>
          <w:divBdr>
            <w:top w:val="none" w:sz="0" w:space="0" w:color="auto"/>
            <w:left w:val="none" w:sz="0" w:space="0" w:color="auto"/>
            <w:bottom w:val="none" w:sz="0" w:space="0" w:color="auto"/>
            <w:right w:val="none" w:sz="0" w:space="0" w:color="auto"/>
          </w:divBdr>
          <w:divsChild>
            <w:div w:id="128133807">
              <w:marLeft w:val="0"/>
              <w:marRight w:val="0"/>
              <w:marTop w:val="0"/>
              <w:marBottom w:val="0"/>
              <w:divBdr>
                <w:top w:val="none" w:sz="0" w:space="0" w:color="auto"/>
                <w:left w:val="none" w:sz="0" w:space="0" w:color="auto"/>
                <w:bottom w:val="none" w:sz="0" w:space="0" w:color="auto"/>
                <w:right w:val="none" w:sz="0" w:space="0" w:color="auto"/>
              </w:divBdr>
            </w:div>
            <w:div w:id="5156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2514">
      <w:bodyDiv w:val="1"/>
      <w:marLeft w:val="0"/>
      <w:marRight w:val="0"/>
      <w:marTop w:val="0"/>
      <w:marBottom w:val="0"/>
      <w:divBdr>
        <w:top w:val="none" w:sz="0" w:space="0" w:color="auto"/>
        <w:left w:val="none" w:sz="0" w:space="0" w:color="auto"/>
        <w:bottom w:val="none" w:sz="0" w:space="0" w:color="auto"/>
        <w:right w:val="none" w:sz="0" w:space="0" w:color="auto"/>
      </w:divBdr>
      <w:divsChild>
        <w:div w:id="739138878">
          <w:marLeft w:val="0"/>
          <w:marRight w:val="0"/>
          <w:marTop w:val="0"/>
          <w:marBottom w:val="0"/>
          <w:divBdr>
            <w:top w:val="none" w:sz="0" w:space="0" w:color="auto"/>
            <w:left w:val="none" w:sz="0" w:space="0" w:color="auto"/>
            <w:bottom w:val="none" w:sz="0" w:space="0" w:color="auto"/>
            <w:right w:val="none" w:sz="0" w:space="0" w:color="auto"/>
          </w:divBdr>
        </w:div>
        <w:div w:id="69102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settings xmlns:w="http://schemas.openxmlformats.org/wordprocessingml/2006/main">
  <w:SpecialFormsHighlight w:val="c9c8ff"/>
</w:settings>
</file>

<file path=customXml/item3.xml><?xml version="1.0" encoding="utf-8"?>
<s:customData xmlns="http://www.wps.cn/officeDocument/2013/wpsCustomData" xmlns:s="http://www.wps.cn/officeDocument/2013/wpsCustomData">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98595A1390B114BA99AB4D8E1002926" ma:contentTypeVersion="13" ma:contentTypeDescription="Create a new document." ma:contentTypeScope="" ma:versionID="13fcbd1272315390e7e95e4304c62c5e">
  <xsd:schema xmlns:xsd="http://www.w3.org/2001/XMLSchema" xmlns:xs="http://www.w3.org/2001/XMLSchema" xmlns:p="http://schemas.microsoft.com/office/2006/metadata/properties" xmlns:ns3="b64840b9-20de-4534-89f1-9bf42146c718" xmlns:ns4="b820490d-e422-45ee-a253-29f55160f7ff" targetNamespace="http://schemas.microsoft.com/office/2006/metadata/properties" ma:root="true" ma:fieldsID="f3e9d69160764f5a4ec6d29a5ed0f3dd" ns3:_="" ns4:_="">
    <xsd:import namespace="b64840b9-20de-4534-89f1-9bf42146c718"/>
    <xsd:import namespace="b820490d-e422-45ee-a253-29f55160f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40b9-20de-4534-89f1-9bf42146c7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0490d-e422-45ee-a253-29f55160f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A2BAC-CB2D-4B7C-9559-3A0CCBDC9556}">
  <ds:schemaRefs>
    <ds:schemaRef ds:uri="http://schemas.microsoft.com/sharepoint/v3/contenttype/forms"/>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BC79DC0-A61C-4A23-842E-BC1CB0DB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840b9-20de-4534-89f1-9bf42146c718"/>
    <ds:schemaRef ds:uri="b820490d-e422-45ee-a253-29f55160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245054-C00E-4758-95AF-BAD2614FB6E8}">
  <ds:schemaRefs>
    <ds:schemaRef ds:uri="http://purl.org/dc/terms/"/>
    <ds:schemaRef ds:uri="http://schemas.openxmlformats.org/package/2006/metadata/core-properties"/>
    <ds:schemaRef ds:uri="http://schemas.microsoft.com/office/2006/documentManagement/types"/>
    <ds:schemaRef ds:uri="b64840b9-20de-4534-89f1-9bf42146c718"/>
    <ds:schemaRef ds:uri="b820490d-e422-45ee-a253-29f55160f7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B834C7B6-4113-433D-A1D8-B39300E3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169</Pages>
  <Words>62595</Words>
  <Characters>356793</Characters>
  <Application>Microsoft Office Word</Application>
  <DocSecurity>0</DocSecurity>
  <Lines>2973</Lines>
  <Paragraphs>837</Paragraphs>
  <ScaleCrop>false</ScaleCrop>
  <HeadingPairs>
    <vt:vector size="2" baseType="variant">
      <vt:variant>
        <vt:lpstr>Názov</vt:lpstr>
      </vt:variant>
      <vt:variant>
        <vt:i4>1</vt:i4>
      </vt:variant>
    </vt:vector>
  </HeadingPairs>
  <TitlesOfParts>
    <vt:vector size="1" baseType="lpstr">
      <vt:lpstr>Tabuľka zhody (Table of Concordance)</vt:lpstr>
    </vt:vector>
  </TitlesOfParts>
  <Company/>
  <LinksUpToDate>false</LinksUpToDate>
  <CharactersWithSpaces>418551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subject/>
  <dc:creator>MZP</dc:creator>
  <cp:keywords/>
  <dc:description/>
  <cp:lastModifiedBy>Hrubá Jarmila</cp:lastModifiedBy>
  <cp:revision>2</cp:revision>
  <dcterms:created xsi:type="dcterms:W3CDTF">2022-09-14T09:56:00Z</dcterms:created>
  <dcterms:modified xsi:type="dcterms:W3CDTF">2022-09-14T09:56:00Z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y fmtid="{D5CDD505-2E9C-101B-9397-08002B2CF9AE}" pid="3" name="ContentTypeId">
    <vt:lpwstr>0x010100998595A1390B114BA99AB4D8E1002926</vt:lpwstr>
  </property>
</Properties>
</file>