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92" w:rsidRPr="00CE1C92" w:rsidRDefault="00CE1C92" w:rsidP="00CE1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CE1C9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Doložka vybraných vplyvov </w:t>
      </w:r>
    </w:p>
    <w:p w:rsidR="00CE1C92" w:rsidRPr="00CE1C92" w:rsidRDefault="00CE1C92" w:rsidP="00CE1C92">
      <w:pPr>
        <w:spacing w:after="200" w:line="276" w:lineRule="auto"/>
        <w:ind w:left="426"/>
        <w:contextualSpacing/>
        <w:rPr>
          <w:b/>
        </w:rPr>
      </w:pPr>
    </w:p>
    <w:tbl>
      <w:tblPr>
        <w:tblStyle w:val="Mriekatabuky"/>
        <w:tblW w:w="93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760"/>
      </w:tblGrid>
      <w:tr w:rsidR="00CE1C92" w:rsidRPr="00CE1C92" w:rsidTr="002508AA">
        <w:tc>
          <w:tcPr>
            <w:tcW w:w="93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CE1C92" w:rsidRPr="00CE1C92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CE1C9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CE1C92" w:rsidRPr="00CE1C92" w:rsidRDefault="00CE1C92" w:rsidP="00CE1C92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CE1C9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E1C92" w:rsidRPr="00FA3E5C" w:rsidRDefault="00CE1C92" w:rsidP="00CE1C9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Návrh nariadenia vlády Slovenskej republiky, ktorým sa mení a dopĺňa nariadenie vlády Slovenskej republiky č. 269/2010 Z. z., ktorým sa ustanovujú požiadavky na dosiahnutie dobrého stavu vôd v znení nariadenia vlády SR č. 398/2012 Z. z. (ďalej len „návrh nariadenia vlády“)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E1C92" w:rsidRPr="00FA3E5C" w:rsidRDefault="00CE1C92" w:rsidP="00CE1C92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Ministerstvo životného prostredia SR</w:t>
            </w:r>
          </w:p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1C92" w:rsidRPr="00CE1C92" w:rsidTr="002508AA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CE1C92" w:rsidRPr="00FA3E5C" w:rsidRDefault="00CE1C92" w:rsidP="00CE1C92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E1C92" w:rsidRPr="00FA3E5C" w:rsidRDefault="00CE1C92" w:rsidP="00CE1C92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FA3E5C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Materiál nelegislatívnej povahy</w:t>
            </w:r>
          </w:p>
        </w:tc>
      </w:tr>
      <w:tr w:rsidR="00CE1C92" w:rsidRPr="00CE1C92" w:rsidTr="002508AA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E1C92" w:rsidRPr="00FA3E5C" w:rsidRDefault="00CE1C92" w:rsidP="00CE1C92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FA3E5C">
                  <w:rPr>
                    <w:rFonts w:ascii="Segoe UI Symbol" w:eastAsia="Times New Roman" w:hAnsi="Segoe UI Symbol" w:cs="Segoe UI Symbol"/>
                    <w:lang w:eastAsia="sk-SK"/>
                  </w:rPr>
                  <w:t>☒</w:t>
                </w:r>
              </w:p>
            </w:tc>
          </w:sdtContent>
        </w:sdt>
        <w:tc>
          <w:tcPr>
            <w:tcW w:w="4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ind w:left="175" w:hanging="175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Materiál legislatívnej povahy</w:t>
            </w:r>
          </w:p>
        </w:tc>
      </w:tr>
      <w:tr w:rsidR="00CE1C92" w:rsidRPr="00CE1C92" w:rsidTr="002508AA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E1C92" w:rsidRPr="00FA3E5C" w:rsidRDefault="00FA3E5C" w:rsidP="00CE1C92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FA3E5C">
                  <w:rPr>
                    <w:rFonts w:ascii="Segoe UI Symbol" w:eastAsia="MS Gothic" w:hAnsi="Segoe UI Symbol" w:cs="Segoe UI Symbol"/>
                    <w:lang w:eastAsia="sk-SK"/>
                  </w:rPr>
                  <w:t>☒</w:t>
                </w:r>
              </w:p>
            </w:tc>
          </w:sdtContent>
        </w:sdt>
        <w:tc>
          <w:tcPr>
            <w:tcW w:w="4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Transpozícia práva EÚ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V prípade transpozície uveďte zoznam transponovaných predpisov:</w:t>
            </w:r>
          </w:p>
          <w:p w:rsidR="00CE1C92" w:rsidRPr="00FA3E5C" w:rsidRDefault="00FA3E5C" w:rsidP="00CE1C92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Smernica Rady 91/271/EHS z 21. mája 1991 o čistení mestských odpadových vôd (Ú. v. ES L 135, 30. 5. 1991) v znení smernice Komisie 98/15/ES z 27. februára 1998 (Ú. v. ES L 67, 7. 3.1998) v znení nariadenia Európskeho parlamentu a Rady (ES) č. 1882/2003 z 29. septembra 2003 (Ú. v. EÚ L 284, 31. 10. 2003) v znení nariadenia Európskeho parlamentu a Rady (ES) č. 1137/2008 z 22. októbra 2008 (Ú. v. EÚ L 311, 21. 11. 2008)</w:t>
            </w:r>
          </w:p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1C92" w:rsidRPr="00CE1C92" w:rsidTr="002508AA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CE1C92" w:rsidRDefault="00CE1C92" w:rsidP="00CE1C92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CE1C9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7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december 2021 </w:t>
            </w:r>
          </w:p>
        </w:tc>
      </w:tr>
      <w:tr w:rsidR="00CE1C92" w:rsidRPr="00CE1C92" w:rsidTr="002508AA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CE1C92" w:rsidRDefault="00CE1C92" w:rsidP="00CE1C92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CE1C9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december 2021</w:t>
            </w:r>
          </w:p>
        </w:tc>
      </w:tr>
      <w:tr w:rsidR="00CE1C92" w:rsidRPr="00CE1C92" w:rsidTr="002508AA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CE1C92" w:rsidRDefault="00CE1C92" w:rsidP="00CE1C92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CE1C9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2" w:rsidRPr="00FA3E5C" w:rsidRDefault="00256ED7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eptember/október</w:t>
            </w:r>
          </w:p>
        </w:tc>
      </w:tr>
      <w:tr w:rsidR="00CE1C92" w:rsidRPr="00CE1C92" w:rsidTr="00FA3E5C">
        <w:trPr>
          <w:trHeight w:val="406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1C92" w:rsidRPr="00CE1C92" w:rsidRDefault="00CE1C92" w:rsidP="00CE1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CE1C92" w:rsidRPr="00CE1C92" w:rsidTr="002508AA">
        <w:trPr>
          <w:trHeight w:val="718"/>
        </w:trPr>
        <w:tc>
          <w:tcPr>
            <w:tcW w:w="93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Uveďte základné problémy, na ktoré navrhovaná regulácia reaguje.</w:t>
            </w: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Návrh zákona, ktorým sa mení a dopĺňa zákon č. 442/2002 Z. z. o verejných vodovodoch a verejných kanalizáciách a o zmene a doplnení zákona č. 276/2001 Z. z. o regulácii v sieťových odvetviach v znení neskorších predpisov a ktorým sa menia a dopĺňajú niektoré zákony (schválený vládny návrh 22.9.2021) v čl. II., </w:t>
            </w:r>
            <w:r w:rsidRPr="00FA3E5C">
              <w:rPr>
                <w:rFonts w:ascii="Times New Roman" w:eastAsia="Calibri" w:hAnsi="Times New Roman" w:cs="Times New Roman"/>
                <w:lang w:eastAsia="sk-SK"/>
              </w:rPr>
              <w:t xml:space="preserve"> mení a dopĺňa zákon č. 364/2004 Z. z. o vodách a o zmene zákona Slovenskej národnej rady č. 372/1990 Zb. o priestupkoch v znení neskorších predpisov (vodný zákon) v znení neskorších predpisov </w:t>
            </w: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zohľadňuje poznatky </w:t>
            </w: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z </w:t>
            </w: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aplikačnej praxe, a tak sa </w:t>
            </w:r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>dopĺňajú a upravujú podmienky pre malé čistiarne odpadových vôd do 50 ekvivalentných obyvateľov (tzv. domové ČOV). Novela vodného zákona splnomocňuje v § 36 ods. 19 na vypracovanie návrhu nariadenia vlády, ktorého predmetom sú:</w:t>
            </w: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>podrobnosti o kategóriách malých čistiarní odpadových vôd do 50 ekvivalentných obyvateľov</w:t>
            </w:r>
            <w:r w:rsidR="00DA53C2" w:rsidRPr="00FA3E5C">
              <w:rPr>
                <w:rFonts w:ascii="Times New Roman" w:eastAsia="Times New Roman" w:hAnsi="Times New Roman" w:cs="Times New Roman"/>
                <w:lang w:eastAsia="cs-CZ"/>
              </w:rPr>
              <w:t xml:space="preserve"> (ďalej len „MČOV“)</w:t>
            </w:r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>, minimálnej účinnosti malých čistiarní odpadových vôd do 50 ekvivalentných obyvateľov, limitných hodnotách ukazovateľov znečistenia vypúšťaných splaškových odpadových vôd do povrchových vôd a do podzemných vôd, o prevádzke malej čistiarne odpadových vôd do 50 ekvivalentných obyvateľov, prevádzkovom denníku a revíznom technikovi na kontrolu stavu a funkčnosti malej čistiarne odpadových vôd do 50 ekvivalentných obyvateľov, o osvedčení pre revízneho technika ktoré vydá poverená osoba ministerstvom po absolvovaní preškolenia a o minimálnych požiadavkách na vzdelanie a prax pre revízneho technika. Novelou nariadenia vlády je doplnený a precizovaný proces povoľovania, zriaďovania a kontroly prevádzkovania malých čistiarní odpadových vôd do 50 EO (nazývaných aj „domové ČOV“). Cieľom návrhu je odstránenie časti</w:t>
            </w: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>infringementu</w:t>
            </w:r>
            <w:proofErr w:type="spellEnd"/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 xml:space="preserve"> - Porušeniu č. 2016/2191z dôvodu nesplnenia povinnosti určitých článkov smernice Rady 91/271/EHS z 21. mája 1991 o čistení komunálnych odpadových vôd t. j. aj úprava ustanovení, týkajúca sa individuálnych a iných primeraných systémov, medzi ktoré patria aj malé ČOV do 50 EO, kde nám je vytýkaná nedostatočná kontrola nad prevádzkou a technickým stavom malých ČOV.  </w:t>
            </w: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CE1C92" w:rsidRPr="00CE1C92" w:rsidTr="002508AA">
        <w:trPr>
          <w:trHeight w:val="741"/>
        </w:trPr>
        <w:tc>
          <w:tcPr>
            <w:tcW w:w="9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Uveďte hlavné ciele navrhovaného predpisu (aký výsledný stav chcete reguláciou dosiahnuť).</w:t>
            </w:r>
          </w:p>
          <w:p w:rsidR="00CE1C92" w:rsidRPr="00FA3E5C" w:rsidRDefault="00CE1C92" w:rsidP="00CE1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 xml:space="preserve">Z dôvodu </w:t>
            </w:r>
            <w:proofErr w:type="spellStart"/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>infringementu</w:t>
            </w:r>
            <w:proofErr w:type="spellEnd"/>
            <w:r w:rsidRPr="00FA3E5C">
              <w:rPr>
                <w:rFonts w:ascii="Times New Roman" w:eastAsia="Times New Roman" w:hAnsi="Times New Roman" w:cs="Times New Roman"/>
                <w:lang w:eastAsia="cs-CZ"/>
              </w:rPr>
              <w:t xml:space="preserve"> sa zavádza povinnosť pre vlastníka malej ČOV do 50 EO zabezpečiť vykonanie technickej revízie tejto vodnej stavby revíznym technikom v pravidelných intervaloch. Cieľom je dosiahnutie väčšej ochrany povrchových a podzemných vôd, kde sú vypúšťané vyčistené odpadové vody z malých ČOV do 50 EO. Dopĺňajú sa povinnosti – zasielanie výsledkov technickej revízie orgánom štátnej vodnej správy, povinnosť zosúladenia povolení s návrhom nariadenia vlády podľa umiestnenia malej ČOV do 50 ekvivalentných obyvateľov.</w:t>
            </w:r>
          </w:p>
          <w:p w:rsidR="00CE1C92" w:rsidRPr="00FA3E5C" w:rsidRDefault="00CE1C92" w:rsidP="00CE1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E1C92" w:rsidRPr="00FA3E5C" w:rsidRDefault="00CE1C92" w:rsidP="00CE1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Uveďte subjekty, ktorých sa zmeny návrhu dotknú priamo aj nepriamo:</w:t>
            </w:r>
          </w:p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CE1C92" w:rsidRPr="00FA3E5C" w:rsidRDefault="00CE1C92" w:rsidP="003927AB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Vlastníci malých čistiarní odpadových vôd do 50 ekvivalentných obyvateľov – väčšinou domácnosti, ale i malé penzióny, chaty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>, ak sa ich návrh týka ako vlastníkov chát</w:t>
            </w:r>
            <w:r w:rsidR="007514CD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;  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domácnosti prevádzkujúce žumpy (vlastníci domov a chát mimo súvislej zástavby, kde nie je uvažovaná výstavba stokovej siete</w:t>
            </w:r>
            <w:r w:rsidR="007514CD" w:rsidRPr="00FA3E5C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>, ktorí</w:t>
            </w:r>
            <w:r w:rsidR="00E935D5" w:rsidRPr="003927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927AB" w:rsidRPr="003927AB">
              <w:rPr>
                <w:rFonts w:ascii="Times New Roman" w:hAnsi="Times New Roman" w:cs="Times New Roman"/>
                <w:sz w:val="24"/>
                <w:szCs w:val="24"/>
              </w:rPr>
              <w:t>sa rozhodnú vymeniť prevádzku žúmp</w:t>
            </w:r>
            <w:r w:rsidR="003927AB" w:rsidRPr="003927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za </w:t>
            </w:r>
            <w:r w:rsidR="00DA53C2" w:rsidRPr="00FA3E5C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>ČOV;</w:t>
            </w:r>
            <w:r w:rsidR="007514CD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domácnosti využívajúce zastarané </w:t>
            </w:r>
            <w:r w:rsidR="00DA53C2" w:rsidRPr="00FA3E5C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ČOV (ktoré už nesplnia požiadavky na kategórie II a III, +P); domácnosti, ktoré nemajú legalizovanú </w:t>
            </w:r>
            <w:r w:rsidR="00DA53C2" w:rsidRPr="00FA3E5C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ČOV (a nevykonávajú žiadne povinnosti, ktoré by vyplývali z prevádzkovania vodnej stavby) a domácnosti, ktoré majú legálne a vyhovujúce </w:t>
            </w:r>
            <w:r w:rsidR="00DA53C2" w:rsidRPr="00FA3E5C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="00E935D5" w:rsidRPr="00FA3E5C">
              <w:rPr>
                <w:rFonts w:ascii="Times New Roman" w:eastAsia="Times New Roman" w:hAnsi="Times New Roman" w:cs="Times New Roman"/>
                <w:lang w:eastAsia="sk-SK"/>
              </w:rPr>
              <w:t>ČOV, (ktoré sú v súlade s novými požiadavkami), ale pribudne im povinnosť na technickú revíziu.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CE1C92" w:rsidRPr="00CE1C92" w:rsidTr="002508AA">
        <w:trPr>
          <w:trHeight w:val="709"/>
        </w:trPr>
        <w:tc>
          <w:tcPr>
            <w:tcW w:w="9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Aké alternatívne riešenia boli posudzované?</w:t>
            </w:r>
          </w:p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Uveďte, aké alternatívne spôsoby na odstránenie definovaného problému boli identifikované a posudzované.</w:t>
            </w:r>
          </w:p>
          <w:p w:rsidR="003902BC" w:rsidRPr="00FA3E5C" w:rsidRDefault="003902BC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Nulový variant: Ak by domácnosti, a ďalší vlastníci </w:t>
            </w:r>
            <w:r w:rsidR="00DA53C2" w:rsidRPr="00FA3E5C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ČOV </w:t>
            </w:r>
            <w:r w:rsidR="00DA53C2" w:rsidRPr="00FA3E5C">
              <w:rPr>
                <w:rFonts w:ascii="Times New Roman" w:eastAsia="Times New Roman" w:hAnsi="Times New Roman" w:cs="Times New Roman"/>
                <w:lang w:eastAsia="sk-SK"/>
              </w:rPr>
              <w:t>nedali do súladu MČOV s požiadavkami návrhu nariadenia vlády a nezabezpečili technickú revíziu MČOV.</w:t>
            </w:r>
          </w:p>
          <w:p w:rsidR="00CE1C92" w:rsidRPr="00FA3E5C" w:rsidRDefault="00CE1C92" w:rsidP="00CE1C92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CE1C92" w:rsidRPr="00CE1C92" w:rsidTr="002508AA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1C92" w:rsidRPr="00FA3E5C" w:rsidRDefault="002832D6" w:rsidP="00CE1C9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92" w:rsidRPr="00FA3E5C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sdtContent>
            </w:sdt>
            <w:r w:rsidR="00CE1C92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 Áno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2832D6" w:rsidP="00CE1C9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92" w:rsidRPr="00FA3E5C">
                  <w:rPr>
                    <w:rFonts w:ascii="Segoe UI Symbol" w:eastAsia="Times New Roman" w:hAnsi="Segoe UI Symbol" w:cs="Segoe UI Symbol"/>
                    <w:lang w:eastAsia="sk-SK"/>
                  </w:rPr>
                  <w:t>☒</w:t>
                </w:r>
              </w:sdtContent>
            </w:sdt>
            <w:r w:rsidR="00CE1C92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 Nie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Ak áno, uveďte ktoré oblasti budú nimi upravené, resp. ktorých vykonávacích predpisov sa zmena dotkne:</w:t>
            </w:r>
          </w:p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CE1C92" w:rsidRPr="00CE1C92" w:rsidTr="002508AA">
        <w:trPr>
          <w:trHeight w:val="390"/>
        </w:trPr>
        <w:tc>
          <w:tcPr>
            <w:tcW w:w="93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Uveďte, v ktorých ustanoveniach ide národná právna úprava nad rámec minimálnych požiadaviek EÚ spolu s odôvodnením. </w:t>
            </w: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Individuálne a iné primerané systémy boli transponované zo smernice Rady 91/271/EHS o čistení komunálnych odpadových vôd do zákona č. 364/2004 Z. z. o vodách a o zmene zákona SNR č. 372/1990 Zb. o priestupkoch v znení neskorších predpisov (vodný zákon) v znení neskorších predpisov najmä v § 36 a 37 a do nariadenia vlády SR č. 269/2010 Z. z. v znení neskorších predpisov.</w:t>
            </w:r>
          </w:p>
        </w:tc>
      </w:tr>
      <w:tr w:rsidR="00CE1C92" w:rsidRPr="00CE1C92" w:rsidTr="002508AA">
        <w:trPr>
          <w:trHeight w:val="248"/>
        </w:trPr>
        <w:tc>
          <w:tcPr>
            <w:tcW w:w="93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FA3E5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FA3E5C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CE1C92" w:rsidRPr="00CE1C92" w:rsidTr="002508AA">
        <w:tc>
          <w:tcPr>
            <w:tcW w:w="93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FA3E5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Uveďte termín, kedy by malo dôjsť k preskúmaniu účinnosti a účelnosti navrhovaného predpisu.</w:t>
            </w:r>
          </w:p>
          <w:p w:rsidR="00316685" w:rsidRPr="00FA3E5C" w:rsidRDefault="00CE1C92" w:rsidP="0031668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>Uveďte kritériá, na základe ktorých bude preskúmanie vykonané.</w:t>
            </w:r>
            <w:r w:rsidR="00996487" w:rsidRPr="00FA3E5C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</w:p>
          <w:p w:rsidR="00CE1C92" w:rsidRPr="00FA3E5C" w:rsidRDefault="008E41BE" w:rsidP="0031668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Vyhodnotenie návrhu po troch rokoch od jeho účinnosti. Vyhodnotenie bude podkladom pre </w:t>
            </w:r>
            <w:proofErr w:type="spellStart"/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>reportovacie</w:t>
            </w:r>
            <w:proofErr w:type="spellEnd"/>
            <w:r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 povinnosti SR v oblasti čistenia komunálnych odpadových vôd ako časť IPS – individuálne a iné </w:t>
            </w:r>
            <w:r w:rsidR="00555B11" w:rsidRPr="00FA3E5C">
              <w:rPr>
                <w:rFonts w:ascii="Times New Roman" w:eastAsia="Times New Roman" w:hAnsi="Times New Roman" w:cs="Times New Roman"/>
                <w:lang w:eastAsia="sk-SK"/>
              </w:rPr>
              <w:t xml:space="preserve">primerané systémy; počet prehodnotených povolení na MČOV a počet vykonaných </w:t>
            </w:r>
            <w:r w:rsidR="004A05DA" w:rsidRPr="00FA3E5C">
              <w:rPr>
                <w:rFonts w:ascii="Times New Roman" w:eastAsia="Times New Roman" w:hAnsi="Times New Roman" w:cs="Times New Roman"/>
                <w:lang w:eastAsia="sk-SK"/>
              </w:rPr>
              <w:t>technických revízií MČOV revíznym technikom.</w:t>
            </w:r>
          </w:p>
        </w:tc>
      </w:tr>
      <w:tr w:rsidR="00CE1C92" w:rsidRPr="00C75E7D" w:rsidTr="002508AA">
        <w:trPr>
          <w:trHeight w:val="715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51A2" w:rsidRPr="00C75E7D" w:rsidRDefault="000B51A2" w:rsidP="000B51A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75E7D">
              <w:rPr>
                <w:rFonts w:ascii="Times New Roman" w:eastAsia="Times New Roman" w:hAnsi="Times New Roman" w:cs="Times New Roman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CE1C92" w:rsidRPr="00C75E7D" w:rsidRDefault="000B51A2" w:rsidP="000B51A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75E7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** vyplniť iba v prípade, ak sa záverečné posúdenie vybraných vplyvov uskutočnilo v zmysle bodu 9.1. jednotnej metodiky.</w:t>
            </w:r>
          </w:p>
          <w:tbl>
            <w:tblPr>
              <w:tblStyle w:val="Mriekatabuky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312"/>
              <w:gridCol w:w="284"/>
              <w:gridCol w:w="254"/>
              <w:gridCol w:w="1133"/>
              <w:gridCol w:w="547"/>
              <w:gridCol w:w="1297"/>
            </w:tblGrid>
            <w:tr w:rsidR="00CE1C92" w:rsidRPr="006C1D6C" w:rsidTr="002508AA">
              <w:trPr>
                <w:trHeight w:val="283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CE1C92" w:rsidRPr="006C1D6C" w:rsidRDefault="00CE1C92" w:rsidP="00CE1C92">
                  <w:pPr>
                    <w:numPr>
                      <w:ilvl w:val="0"/>
                      <w:numId w:val="1"/>
                    </w:numPr>
                    <w:spacing w:after="200" w:line="276" w:lineRule="auto"/>
                    <w:ind w:left="767" w:hanging="662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Vybrané vplyvy  materiálu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Vplyvy na rozpočet verejnej správy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066412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:rsidR="00CE1C92" w:rsidRPr="006C1D6C" w:rsidRDefault="00865321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MS Gothic" w:eastAsia="MS Gothic" w:hAnsi="MS Gothic" w:cs="Times New Roman" w:hint="eastAsia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481296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CE1C92" w:rsidRPr="006C1D6C" w:rsidRDefault="00865321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MS Gothic" w:eastAsia="MS Gothic" w:hAnsi="MS Gothic" w:cs="Times New Roman" w:hint="eastAsia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755052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:rsidR="00CE1C92" w:rsidRPr="006C1D6C" w:rsidRDefault="00CE1C92" w:rsidP="00CE1C92">
                  <w:pPr>
                    <w:ind w:left="3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Negatívne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z toho rozpočtovo zabezpečené vplyvy,         </w:t>
                  </w:r>
                </w:p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v prípade identifikovaného negatívneho </w:t>
                  </w:r>
                </w:p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vplyvu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</w:rPr>
                  <w:id w:val="-1143340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Áno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</w:rPr>
                  <w:id w:val="405798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</w:rPr>
                  <w:id w:val="-134647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C92" w:rsidRPr="006C1D6C" w:rsidRDefault="00CE1C92" w:rsidP="00CE1C92">
                  <w:pPr>
                    <w:ind w:left="34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Čiastočne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Vplyvy na podnikateľské prostredie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47094124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2038465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5583987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Negatívne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z toho vplyvy na MSP</w:t>
                  </w:r>
                </w:p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</w:rPr>
                  <w:id w:val="8624081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000000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</w:rPr>
                  <w:id w:val="994611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</w:rPr>
                  <w:id w:val="-3867171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Negatívne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Mechanizmus znižovania byrokracie    </w:t>
                  </w:r>
                </w:p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a nákladov sa uplatňuje: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81757750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9F4BD0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59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Áno</w:t>
                  </w: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365677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9F4BD0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Nie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Sociálne vplyvy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9589458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872293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69283527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Negatívne</w:t>
                  </w:r>
                </w:p>
              </w:tc>
            </w:tr>
            <w:tr w:rsidR="00CE1C92" w:rsidRPr="006C1D6C" w:rsidTr="004A05DA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Vplyvy na životné prostredie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14744833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2060162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285088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Negatívne</w:t>
                  </w:r>
                </w:p>
              </w:tc>
            </w:tr>
            <w:tr w:rsidR="00CE1C92" w:rsidRPr="006C1D6C" w:rsidTr="004A05DA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Vplyvy na informatizáciu spoločnosti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57342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1696034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169528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31"/>
              <w:gridCol w:w="538"/>
              <w:gridCol w:w="1133"/>
              <w:gridCol w:w="547"/>
              <w:gridCol w:w="1297"/>
            </w:tblGrid>
            <w:tr w:rsidR="00CE1C92" w:rsidRPr="006C1D6C" w:rsidTr="004A05DA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Calibri" w:hAnsi="Times New Roman" w:cs="Times New Roman"/>
                      <w:b/>
                      <w:lang w:eastAsia="sk-SK"/>
                    </w:rPr>
                    <w:t>Vplyvy na služby verejnej správy pre občana,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spacing w:after="0" w:line="240" w:lineRule="auto"/>
                    <w:ind w:left="196" w:hanging="196"/>
                    <w:rPr>
                      <w:rFonts w:ascii="Times New Roman" w:eastAsia="Calibri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Calibri" w:hAnsi="Times New Roman" w:cs="Times New Roman"/>
                      <w:b/>
                      <w:lang w:eastAsia="sk-SK"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id w:val="2031215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CE1C92" w:rsidRPr="006C1D6C" w:rsidRDefault="00CE1C92" w:rsidP="00CE1C9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id w:val="-17521938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CE1C92" w:rsidRPr="006C1D6C" w:rsidRDefault="00CE1C92" w:rsidP="00CE1C9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id w:val="-1282867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CE1C92" w:rsidRPr="006C1D6C" w:rsidRDefault="00CE1C92" w:rsidP="00CE1C9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1C92" w:rsidRPr="006C1D6C" w:rsidRDefault="00CE1C92" w:rsidP="00CE1C92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Negatívne</w:t>
                  </w:r>
                </w:p>
              </w:tc>
            </w:tr>
            <w:tr w:rsidR="00CE1C92" w:rsidRPr="006C1D6C" w:rsidTr="002508AA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spacing w:after="0" w:line="240" w:lineRule="auto"/>
                    <w:ind w:left="168" w:hanging="168"/>
                    <w:rPr>
                      <w:rFonts w:ascii="Times New Roman" w:eastAsia="Calibri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Calibri" w:hAnsi="Times New Roman" w:cs="Times New Roman"/>
                      <w:b/>
                      <w:lang w:eastAsia="sk-SK"/>
                    </w:rPr>
                    <w:t xml:space="preserve">    vplyvy na procesy služieb vo verejnej správe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id w:val="1017204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CE1C92" w:rsidRPr="006C1D6C" w:rsidRDefault="00CE1C92" w:rsidP="00CE1C9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E1C92" w:rsidRPr="006C1D6C" w:rsidRDefault="00CE1C92" w:rsidP="00CE1C92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id w:val="19936776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CE1C92" w:rsidRPr="006C1D6C" w:rsidRDefault="00CE1C92" w:rsidP="00CE1C9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E1C92" w:rsidRPr="006C1D6C" w:rsidRDefault="00CE1C92" w:rsidP="00CE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id w:val="578477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CE1C92" w:rsidRPr="006C1D6C" w:rsidRDefault="00CE1C92" w:rsidP="00CE1C9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C92" w:rsidRPr="006C1D6C" w:rsidRDefault="00CE1C92" w:rsidP="00CE1C92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Negatívne</w:t>
                  </w:r>
                </w:p>
              </w:tc>
            </w:tr>
          </w:tbl>
          <w:tbl>
            <w:tblPr>
              <w:tblStyle w:val="Mriekatabuky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312"/>
              <w:gridCol w:w="538"/>
              <w:gridCol w:w="1133"/>
              <w:gridCol w:w="547"/>
              <w:gridCol w:w="1297"/>
            </w:tblGrid>
            <w:tr w:rsidR="00CE1C92" w:rsidRPr="006C1D6C" w:rsidTr="002508AA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Vplyvy na manželstvo, rodičovstvo a rodinu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1977256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102554940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1C92" w:rsidRPr="006C1D6C" w:rsidRDefault="00CE1C92" w:rsidP="00CE1C9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-710956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CE1C92" w:rsidRPr="006C1D6C" w:rsidRDefault="00CE1C92" w:rsidP="00CE1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C1D6C">
                        <w:rPr>
                          <w:rFonts w:ascii="Segoe UI Symbol" w:eastAsia="Times New Roman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C92" w:rsidRPr="006C1D6C" w:rsidRDefault="00CE1C92" w:rsidP="00CE1C92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6C1D6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Negatívne</w:t>
                  </w:r>
                </w:p>
              </w:tc>
            </w:tr>
          </w:tbl>
          <w:p w:rsidR="00CE1C92" w:rsidRPr="00C75E7D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E1C92" w:rsidRPr="00C75E7D" w:rsidTr="002508AA"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1C92" w:rsidRPr="00C75E7D" w:rsidRDefault="00CE1C92" w:rsidP="00CE1C92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:rsidR="00CE1C92" w:rsidRPr="00C75E7D" w:rsidRDefault="00CE1C92" w:rsidP="00CE1C9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lang w:eastAsia="sk-SK"/>
        </w:rPr>
      </w:pPr>
    </w:p>
    <w:tbl>
      <w:tblPr>
        <w:tblStyle w:val="Mriekatabuky"/>
        <w:tblW w:w="90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CE1C92" w:rsidRPr="00C75E7D" w:rsidTr="00C009A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E1C92" w:rsidRPr="006C1D6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6C1D6C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CE1C92" w:rsidRPr="00C75E7D" w:rsidTr="00C009AD">
        <w:trPr>
          <w:trHeight w:val="713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E1C92" w:rsidRPr="006C1D6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V prípade potreby uveďte doplňujúce informácie k návrhu. </w:t>
            </w:r>
          </w:p>
          <w:p w:rsidR="00CE1C92" w:rsidRPr="006C1D6C" w:rsidRDefault="00CE1C92" w:rsidP="00FE176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Predpokladá sa pozitívny dopad na životné prostredie – úprava požiadaviek na limity vypúšťania vyčistených odpadových vôd z malých  ČOV do 50 EO v závislosti od oblasti, kde bude situovaná. </w:t>
            </w:r>
            <w:r w:rsidR="00877E69"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Nepredpokladá sa vplyv na rozpočet verejnej správy. 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Pozitívny vplyv na podnikateľské prostredie spočíva v nových pracovných príležitostiach pre revíznych technikov, pre výrobcov malých ČOV, predajcov malých ČOV do 50 EO. Negatívny vplyv pre podnikateľské prostredie – MSP sa predpokladá ojedinele, vo veľmi malom počte (napr. malé penzióny, chaty).</w:t>
            </w:r>
          </w:p>
        </w:tc>
      </w:tr>
      <w:tr w:rsidR="00CE1C92" w:rsidRPr="00C75E7D" w:rsidTr="00C009A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6C1D6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6C1D6C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CE1C92" w:rsidRPr="00C75E7D" w:rsidTr="00C009AD">
        <w:trPr>
          <w:trHeight w:val="586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6C1D6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CE1C92" w:rsidRPr="006C1D6C" w:rsidRDefault="00CE1C92" w:rsidP="00CE1C92">
            <w:pPr>
              <w:rPr>
                <w:rFonts w:ascii="Times" w:eastAsia="Times New Roman" w:hAnsi="Times" w:cs="Times"/>
                <w:lang w:eastAsia="sk-SK"/>
              </w:rPr>
            </w:pPr>
            <w:r w:rsidRPr="006C1D6C">
              <w:rPr>
                <w:rFonts w:ascii="Times" w:eastAsia="Times New Roman" w:hAnsi="Times" w:cs="Times"/>
                <w:lang w:eastAsia="sk-SK"/>
              </w:rPr>
              <w:t>Ministerstvo životného prostredia Slovenskej republiky, sekcia vôd - odbor strategického vodného plánovania;</w:t>
            </w:r>
          </w:p>
          <w:p w:rsidR="00CE1C92" w:rsidRPr="006C1D6C" w:rsidRDefault="002832D6" w:rsidP="00CE1C92">
            <w:pPr>
              <w:rPr>
                <w:rFonts w:ascii="Times" w:eastAsia="Times New Roman" w:hAnsi="Times" w:cs="Times"/>
                <w:lang w:eastAsia="sk-SK"/>
              </w:rPr>
            </w:pPr>
            <w:hyperlink r:id="rId7" w:history="1">
              <w:r w:rsidR="00CE1C92" w:rsidRPr="006C1D6C">
                <w:rPr>
                  <w:rFonts w:ascii="Times" w:eastAsia="Times New Roman" w:hAnsi="Times" w:cs="Times"/>
                  <w:color w:val="0563C1" w:themeColor="hyperlink"/>
                  <w:u w:val="single"/>
                  <w:lang w:eastAsia="sk-SK"/>
                </w:rPr>
                <w:t>zuzana.rezna@enviro.gov.sk</w:t>
              </w:r>
            </w:hyperlink>
            <w:r w:rsidR="00CE1C92" w:rsidRPr="006C1D6C">
              <w:rPr>
                <w:rFonts w:ascii="Times" w:eastAsia="Times New Roman" w:hAnsi="Times" w:cs="Times"/>
                <w:lang w:eastAsia="sk-SK"/>
              </w:rPr>
              <w:t xml:space="preserve">; </w:t>
            </w:r>
            <w:hyperlink r:id="rId8" w:history="1">
              <w:r w:rsidR="00CE1C92" w:rsidRPr="006C1D6C">
                <w:rPr>
                  <w:rFonts w:ascii="Times" w:eastAsia="Times New Roman" w:hAnsi="Times" w:cs="Times"/>
                  <w:color w:val="0563C1" w:themeColor="hyperlink"/>
                  <w:u w:val="single"/>
                  <w:lang w:eastAsia="sk-SK"/>
                </w:rPr>
                <w:t>katarina.karasova@enviro.gov.sk</w:t>
              </w:r>
            </w:hyperlink>
            <w:r w:rsidR="00996487" w:rsidRPr="006C1D6C">
              <w:rPr>
                <w:rFonts w:ascii="Times" w:eastAsia="Times New Roman" w:hAnsi="Times" w:cs="Times"/>
                <w:color w:val="0563C1" w:themeColor="hyperlink"/>
                <w:u w:val="single"/>
                <w:lang w:eastAsia="sk-SK"/>
              </w:rPr>
              <w:t xml:space="preserve">; </w:t>
            </w:r>
            <w:hyperlink r:id="rId9" w:history="1">
              <w:r w:rsidR="00996487" w:rsidRPr="006C1D6C">
                <w:rPr>
                  <w:rStyle w:val="Hypertextovprepojenie"/>
                  <w:rFonts w:ascii="Times" w:eastAsia="Times New Roman" w:hAnsi="Times" w:cs="Times"/>
                  <w:lang w:eastAsia="sk-SK"/>
                </w:rPr>
                <w:t>viera.vikukelova@enviro.gov.sk</w:t>
              </w:r>
            </w:hyperlink>
            <w:r w:rsidR="00996487" w:rsidRPr="006C1D6C">
              <w:rPr>
                <w:rFonts w:ascii="Times" w:eastAsia="Times New Roman" w:hAnsi="Times" w:cs="Times"/>
                <w:color w:val="0563C1" w:themeColor="hyperlink"/>
                <w:u w:val="single"/>
                <w:lang w:eastAsia="sk-SK"/>
              </w:rPr>
              <w:t xml:space="preserve"> </w:t>
            </w:r>
          </w:p>
          <w:p w:rsidR="00CE1C92" w:rsidRPr="006C1D6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. </w:t>
            </w:r>
          </w:p>
          <w:p w:rsidR="00CE1C92" w:rsidRPr="006C1D6C" w:rsidRDefault="00CE1C92" w:rsidP="00CE1C92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E1C92" w:rsidRPr="00C75E7D" w:rsidTr="00C009A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6C1D6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6C1D6C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CE1C92" w:rsidRPr="00C75E7D" w:rsidTr="00C009AD">
        <w:trPr>
          <w:trHeight w:val="401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6C1D6C" w:rsidRDefault="00CE1C92" w:rsidP="00CE1C9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Výskumný ústav vodného hospodárstva, Asociácia čistiarenských expertov, Okresné úrady, odbory starostlivosti o životné prostredie </w:t>
            </w:r>
          </w:p>
        </w:tc>
      </w:tr>
      <w:tr w:rsidR="00CE1C92" w:rsidRPr="00C75E7D" w:rsidTr="00C009A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E1C92" w:rsidRPr="006C1D6C" w:rsidRDefault="00CE1C92" w:rsidP="00CE1C9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6C1D6C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CE1C92" w:rsidRPr="006C1D6C" w:rsidTr="00C009AD">
        <w:tc>
          <w:tcPr>
            <w:tcW w:w="90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92" w:rsidRPr="006C1D6C" w:rsidRDefault="00CE1C92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935D5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Segoe UI Symbol" w:eastAsia="Times New Roman" w:hAnsi="Segoe UI Symbol" w:cs="Segoe UI Symbol"/>
                <w:lang w:eastAsia="sk-SK"/>
              </w:rPr>
              <w:t>☐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  Súhlasné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 w:rsidRPr="006C1D6C">
              <w:rPr>
                <w:rFonts w:ascii="Segoe UI Symbol" w:eastAsia="Times New Roman" w:hAnsi="Segoe UI Symbol" w:cs="Segoe UI Symbol"/>
                <w:lang w:eastAsia="sk-SK"/>
              </w:rPr>
              <w:t>☐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  Súhlasné s návrhom na dopracovanie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 w:rsidRPr="006C1D6C">
              <w:rPr>
                <w:rFonts w:ascii="Segoe UI Symbol" w:eastAsia="Times New Roman" w:hAnsi="Segoe UI Symbol" w:cs="Segoe UI Symbol"/>
                <w:lang w:eastAsia="sk-SK"/>
              </w:rPr>
              <w:t>☒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  Nesúhlasné</w:t>
            </w:r>
          </w:p>
          <w:p w:rsidR="00E935D5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935D5" w:rsidRPr="00946138" w:rsidRDefault="00E935D5" w:rsidP="006C1D6C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  <w:r w:rsidRPr="00946138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K doložke vybraných vplyvov</w:t>
            </w:r>
          </w:p>
          <w:p w:rsidR="00E935D5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Komisia žiada o vypracovanie aktuálnej verzie Doložky vybraných vplyvov v zmysle aktuálnej Jednotnej metodiky na posudzovanie vybraných vplyvov, schválenej uznesením vlády SR č. 234/2021, s účinnosťou od 1.6.2021. (v predloženom formulári bola aktualizovaná len časť 9)</w:t>
            </w:r>
          </w:p>
          <w:p w:rsidR="00E935D5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11BAB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V bode 4. Dotknuté subjekty je potrebné doplniť všetky dotknuté skupiny obyvateľov, ako sú špecifikované v bode 4.1 predloženej analýzy sociálnych vplyvov; teda nielen vlastníkov malých čistiarní odpadových vôd do 50 ekvivalentných obyvateľov – väčšinou domácnosti,  alebo domácnosti, ak sa ich návrh týka ako vlastníkov chát, ale aj domácnosti prevádzkujúce žumpy (vlastníci domov a chát mimo súvislej zástavby, kde nie je uvažovaná výstavba stokovej siete, ktorí vymenia prevádzku žúmp za DČOV); domácnosti využívajúce zastarané DČOV (ktoré už nesplnia požiadavky na kategórie II a III, +P); domácnosti, ktoré nemajú legalizovanú DČOV (a nevykonávajú žiadne povinnosti, ktoré by vyplývali z prevádzkovania vodnej stavby) a domácnosti, ktoré majú legálne a vyhovujúce DČOV, (ktoré sú v súlade s novými požiadavkami), ale pribudne im povinnosť na technickú revíziu. </w:t>
            </w:r>
          </w:p>
          <w:p w:rsidR="00F11BAB" w:rsidRPr="006C1D6C" w:rsidRDefault="00F11BAB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</w:p>
          <w:p w:rsidR="00F11BAB" w:rsidRPr="006C1D6C" w:rsidRDefault="003902BC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Akceptované. Text doplnený do bodu 4.</w:t>
            </w:r>
          </w:p>
          <w:p w:rsidR="00F11BAB" w:rsidRPr="006C1D6C" w:rsidRDefault="00F11BAB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11BAB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V súvislosti s dotknutými subjektami zároveň považuje </w:t>
            </w:r>
          </w:p>
          <w:p w:rsidR="00E935D5" w:rsidRPr="006C1D6C" w:rsidRDefault="00F11BAB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</w:t>
            </w:r>
            <w:r w:rsidR="00E935D5" w:rsidRPr="006C1D6C">
              <w:rPr>
                <w:rFonts w:ascii="Times New Roman" w:eastAsia="Times New Roman" w:hAnsi="Times New Roman" w:cs="Times New Roman"/>
                <w:lang w:eastAsia="sk-SK"/>
              </w:rPr>
              <w:t>omisia za potrebné ujasniť, či znenie predloženého návrhu, podľa ktorého malé čistiarne odpadových vôd do 50 ekvivalentných obyvateľov sa realizujú v prípadoch, ak nie je možné z technických dôvodov a/alebo neprimerane vysokých nákladov pripojenie nehnuteľnosti na verejnú kanalizáciu, znamená, že domácnosti prevádzkujúce žumpy si budú musieť zaobstarať DČOV, čo znamená, že budú povinní vymeniť prevádzku žúmp za DČOV. V takomto prípade bude potrebné upraviť aj znenie tejto dotknutej skupiny v analýze sociálnych vplyvov a aj v bode 4. Dotknuté subjekty doložky vybraných vplyvov, keďže táto skupina je označená ako domácnosti, „ktorí vymenia prevádzku žúmp za DČOV“, aby bolo zrejmé, že ide o povinnosť takto konať.</w:t>
            </w:r>
          </w:p>
          <w:p w:rsidR="00E935D5" w:rsidRPr="006C1D6C" w:rsidRDefault="003902BC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</w:p>
          <w:p w:rsidR="003902BC" w:rsidRPr="006C1D6C" w:rsidRDefault="003902BC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Akceptované. Návrh nariadenia neukladá povinnosť domácnostiam, ktoré používajú žumpy na dočasné uskladnenie odpadových vôd, aby si zriadili DČOV.</w:t>
            </w:r>
          </w:p>
          <w:p w:rsidR="003902BC" w:rsidRPr="006C1D6C" w:rsidRDefault="003902BC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935D5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Komisia žiada o dopracovanie všetkých povinných častí Doložky vybraných vplyvov. V Bode 5. Alternatívne riešenia je potrebné uviesť minimálne nulový variant a v časti 8. Preskúmanie účelnosti je potrebné uviesť termín, kedy by malo dôjsť k preskúmaniu účinnosti a účelnosti predkladaného materiálu a kritériá, na základe ktorých bude preskúmanie vykonané.</w:t>
            </w:r>
          </w:p>
          <w:p w:rsidR="004A05DA" w:rsidRPr="006C1D6C" w:rsidRDefault="004A05DA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Vyhodnotenie. </w:t>
            </w:r>
          </w:p>
          <w:p w:rsidR="004A05DA" w:rsidRPr="006C1D6C" w:rsidRDefault="004A05D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</w:t>
            </w:r>
            <w:r w:rsidR="000B51A2" w:rsidRPr="006C1D6C">
              <w:rPr>
                <w:rFonts w:ascii="Times New Roman" w:eastAsia="Times New Roman" w:hAnsi="Times New Roman" w:cs="Times New Roman"/>
                <w:lang w:eastAsia="sk-SK"/>
              </w:rPr>
              <w:t>. Body 5 a 8 boli doplnené.</w:t>
            </w:r>
          </w:p>
          <w:p w:rsidR="00877E69" w:rsidRPr="006C1D6C" w:rsidRDefault="00877E6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E1C92" w:rsidRPr="006C1D6C" w:rsidRDefault="00E935D5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Komisia žiada predkladateľa v Doložke vybraných vplyvov v časti 9. vyznačiť uplatňovanie mechanizmu znižovania byrokracie a nákladov, nakoľko predkladaný materiál zavádza vplyvy na podnikateľské prostredie, na ktoré sa vzťahuje mechanizmus.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Vyhodnotenie</w:t>
            </w:r>
            <w:r w:rsidR="003973F6"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:</w:t>
            </w: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  <w:p w:rsidR="00CE1C92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Akceptované, v časti  9. bolo vyznačené</w:t>
            </w:r>
            <w:r w:rsidRPr="006C1D6C">
              <w:rPr>
                <w:rFonts w:ascii="Times New Roman" w:hAnsi="Times New Roman" w:cs="Times New Roman"/>
              </w:rPr>
              <w:t xml:space="preserve"> 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uplatňovanie mechanizmu znižovania byrokracie a nákladov.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K vplyvom na podnikateľské prostredie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Komisia žiada predkladateľa v Analýze vplyvov na podnikateľské prostredie v časti 3.1 v opatrení č. 4 o výraznú revíziu časovej povinnosti vedenia prevádzkového denníka. Expertný odhad stanovený na 5 minút považujeme za nedostatočný, nakoľko ide o povinnosť, ktorá zahŕňa: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a)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ab/>
              <w:t>Záznam o vykonaní údržby;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b)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ab/>
              <w:t>Protokoly o vykonanom odbere vzorky odpadovej vody (Protokol o skúške vzorky);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c)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ab/>
              <w:t>Záznam o odvoze kalu;</w:t>
            </w:r>
          </w:p>
          <w:p w:rsidR="00FF1AFE" w:rsidRPr="006C1D6C" w:rsidRDefault="00FF1AFE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d)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ab/>
              <w:t>Záznam o poruchách, mimoriadnych udalostiach a zásahoch, ktoré sa vykonali na danom zariadení.</w:t>
            </w:r>
          </w:p>
          <w:p w:rsidR="003973F6" w:rsidRPr="006C1D6C" w:rsidRDefault="003973F6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Vyhodnotenie: </w:t>
            </w:r>
          </w:p>
          <w:p w:rsidR="003973F6" w:rsidRPr="006C1D6C" w:rsidRDefault="003973F6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Akceptované. Expertný odhad na vedenie prevádzkového denníka bol upravený v opatrení č. 4 v časti 3.1.</w:t>
            </w:r>
          </w:p>
          <w:p w:rsidR="003973F6" w:rsidRPr="006C1D6C" w:rsidRDefault="003973F6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3973F6" w:rsidRPr="006C1D6C" w:rsidRDefault="003973F6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Komisia žiada predkladateľa v Analýze vplyvov na podnikateľské prostredie v časti 3.1 v opatrení č. 7 o poníženie sumy o náklady revíznych technikov. Predkladateľ uviedol zníženie nákladov pre revíznych technikov v celej výške, ktorú za revíziu zaplatí vlastník malých čistiarní odpadových vôd. 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Táto suma je však neadekvátna, nakoľko, nie sú zohľadnené náklady, ktoré revízny techník vynaloží na revíziu. Potrebnú sumu je teda nutné znížiť o náklady (zdaňovanie príjmu, nepriame finančné náklady a časovú náročnosť vykonanie revízie, ako aj uskutočnenie kontroly vedenia denníka a spísanie protokolu o revízií).</w:t>
            </w:r>
          </w:p>
          <w:p w:rsidR="003973F6" w:rsidRPr="006C1D6C" w:rsidRDefault="003973F6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</w:p>
          <w:p w:rsidR="003973F6" w:rsidRPr="006C1D6C" w:rsidRDefault="003973F6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Akceptované – </w:t>
            </w:r>
            <w:r w:rsidR="00FE1765" w:rsidRPr="006C1D6C">
              <w:rPr>
                <w:rFonts w:ascii="Times New Roman" w:eastAsia="Times New Roman" w:hAnsi="Times New Roman" w:cs="Times New Roman"/>
                <w:lang w:eastAsia="sk-SK"/>
              </w:rPr>
              <w:t>v časti 3.1 boli upravené sumy na revíznych technikov.</w:t>
            </w: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Komisia žiada predkladateľa v Analýze vplyvov na podnikateľské prostredie v opatrení č. 6 uviesť modelový príklad.  Predkladateľ uviedol kvantifikáciu na 1 podnikateľský subjekt, Komisia navrhuje uviesť modelový príklad napr. na 10 subjektov. Ak to nie je možné, Komisia žiada uviesť minimálne kvantifikáciu na 1 podnikateľský subjekt aj do Kalkulačky nákladov a zapracovať túto sumu aj do tabuľky č. 3.1.1 a 3.1.2 v Analýze vplyvov na podnikateľské prostredie.  </w:t>
            </w: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Akceptované – </w:t>
            </w:r>
            <w:r w:rsidR="00FE1765" w:rsidRPr="006C1D6C">
              <w:rPr>
                <w:rFonts w:ascii="Times New Roman" w:eastAsia="Times New Roman" w:hAnsi="Times New Roman" w:cs="Times New Roman"/>
                <w:lang w:eastAsia="sk-SK"/>
              </w:rPr>
              <w:t>za opatrenie č. 6 bol doplnený modelový príklad ako aj v tabuľke č. 3.1.1 a 3.1.2.</w:t>
            </w: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Komisia žiada predkladateľa o dopracovanie časti 3.2 Vyhodnotenie konzultácií s podnikateľskými subjektami v zmysle Jednotnej metodiky na posudzovanie vybraných vplyvov, keďže táto časť v Analýze vplyvov na podnikateľské prostredie úplne absentuje.</w:t>
            </w:r>
          </w:p>
          <w:p w:rsidR="00810E64" w:rsidRPr="006C1D6C" w:rsidRDefault="00810E64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</w:p>
          <w:p w:rsidR="00810E64" w:rsidRPr="006C1D6C" w:rsidRDefault="00297631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Akceptované, text bol doplnený v časti 3.2.</w:t>
            </w:r>
          </w:p>
          <w:p w:rsidR="00297631" w:rsidRPr="006C1D6C" w:rsidRDefault="00297631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297631" w:rsidRPr="006C1D6C" w:rsidRDefault="00297631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Komisia odporúča predkladateľovi uviesť do časti 3.4  Iné vplyvy na podnikateľské prostredie v zmysle bodu a) sankcie alebo pokuty, ako dôsledok porušenia právne záväzných ustanovení; konštatovanie, že pokuty môžu vzniknúť z nových skutkových podstát správnych deliktov a priestupkov pre nové dotknuté subjekty, (keďže sa očakáva pozitívny vplyv na rozpočet verejnej správy v dôsledku predpokladaných príjmov z možných pokút z nových skutkových podstát správnych deliktov a priestupkov)</w:t>
            </w:r>
          </w:p>
          <w:p w:rsidR="00C009AD" w:rsidRPr="006C1D6C" w:rsidRDefault="00C009AD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Vyjadrenie:</w:t>
            </w:r>
          </w:p>
          <w:p w:rsidR="007545C0" w:rsidRPr="006C1D6C" w:rsidRDefault="00C009AD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Akceptované, doplnený text v časti 3.4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 materiálu je potrebné priložiť aj kalkulačku nákladov, ktorá je povinnou súčasťou Analýzy na PP.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Vyjadrenie: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Kalkulačka nákladov na PP je priložená.</w:t>
            </w:r>
          </w:p>
          <w:p w:rsidR="00330F87" w:rsidRPr="006C1D6C" w:rsidRDefault="00330F87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32E29" w:rsidRPr="00946138" w:rsidRDefault="00532E29" w:rsidP="006C1D6C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  <w:r w:rsidRPr="00946138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K vplyvom na rozpočet verejnej správy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V doložke vybraných vplyvov sa v časti 9. uvádzajú pozitívne vplyvy predmetného návrhu nariadenia vlády SR na rozpočet verejnej správy, pričom v časti 10. sa uvádza, že pozitívny vplyv na rozpočet verejnej správy sa nedá kvantifikovať, nakoľko predpokladané príjmy budú z možných pokút z nových skutkových podstát správnych deliktov a priestupkov, pričom nie je možné predpokladať množstvo a druh správnych deliktov a priestupkov. S uvedeným konštatovaním sa nestotožňujeme, nakoľko návrhom nariadenia vlády SR sa neupravujú nové skutkové podstaty správnych deliktov a priestupkov.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V dôvodovej správe sa vo všeobecnej časti uvádza, že predložený návrh nariadenia vlády SR nebude mať negatívne vplyvy a požiadavky na rozpočet verejnej správy a že v súvislosti s evidenciou, prevádzkou a kontrolu sa bude vyžadovať vytvorenie informačného nástroja malých čistiarní odpadových vôd do 50 ekvivalentných obyvateľov. Uvedené konštatovanie zrejme súvisí s úpravou navrhovanou v novom § 5a ods. 15 nariadenia vlády Slovenskej republiky č. 269/2010 Z. z., podľa ktorého protokol o technickej revízii malej čistiarne odpadových vôd do 50 ekvivalentných obyvateľov vypracuje revízny technik a zašle ho príslušnému okresnému úradu každoročne do 30. januára nasledujúceho kalendárneho roka v elektronickej forme.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Vzhľadom na uvedené je potrebné v celom materiáli zjednotiť vykazovanie vplyvov na rozpočet verejnej správy. Ak predkladateľ predpokladá, že návrh nariadenia vlády SR bude zakladať negatívne vplyvy na rozpočet verejnej správy v súvislosti s potrebou vytvorenia nového alebo úpravy existujúceho informačného systému, potom v doložke vybraných vplyvov je potrebné označiť „negatívne“ vplyvy návrhu nariadenia vlády SR na rozpočet verejnej správy, ktoré žiada Komisia zabezpečiť v rámci schválených rozpočtov subjektov verejnej správy, a teda označiť rozpočtovú </w:t>
            </w: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zabezpečenosť identifikovaného negatívneho vplyvu možnosťou „áno“. Súčasne podľa § 33 ods. 1 zákona č. 523/2004 Z. z. o rozpočtových pravidlách verejnej správy a o zmene a doplnení niektorých zákonov v znení neskorších predpisov, ako aj podľa platnej Jednotnej metodiky na posudzovanie vybraných vplyvov je potrebné dopracovať analýzu vplyvov na rozpočet verejnej správy, v ktorej predkladateľ kvantifikuje negatívne vplyvy predmetného návrhu nariadenia vlády SR na rozpočet verejnej správy na bežný rok a na tri nasledujúce rozpočtové roky a uvedie návrh na úhradu zvýšených výdavkov.</w:t>
            </w:r>
          </w:p>
          <w:p w:rsidR="00CE1C92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Vyjadrenie: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Text bol zjednotený, upravený.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32E29" w:rsidRPr="00946138" w:rsidRDefault="00532E29" w:rsidP="006C1D6C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  <w:r w:rsidRPr="00946138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K sociálnym vplyvom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Analýzu sociálnych vplyvov je potrebné vypracovať v novej šablóne pre túto analýzu podľa Jednotnej metodiky na posudzovanie vybraných vplyvov účinnej od 1. júna 2021 (Príloha č. 4).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V bode 4.1 analýzy sociálnych vplyvoch žiada Komisia prehľadne uviesť hodnotenie vplyvov na hospodárenie jednotlivých  dotknutých skupín domácností tak, aby bolo z analýzy zrejmé, či, v akom prípade a v akom  rozsahu predložený návrh ustanovuje povinnosti v súvislosti s obstaraním a prevádzkou DČOV a v akom prípade ide len o možnosť, ktorú domácnosti nemusia využiť. Zároveň je potrebné hodnotenie vplyvov na hospodárenie jednotlivých  dotknutých skupín domácností uviesť tak, aby ku každej hodnotenej skupine boli zrejmé údaje o jednorazových výdavkoch (napr. v súvislosti s obstaraním DČOV v prípadoch, kedy ide o povinnosť, zrušením aktuálne používaného zariadenia, obstaraním novej technológie) a pravidelných/opakujúcich sa  výdavkoch (napr. prevádzkové náklady, údržba, revízie, náklady na odvádzanie a čistenie odpadových vôd). Zároveň je potrebné uviesť veľkosť dotknutej skupiny a termín, odkedy jednotlivé vplyvy nastanú. 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V bode 4.1 analýzy sociálnych vplyvov žiada Komisia v príslušnej časti explicitne uviesť, ktoré z hodnotených povinností a výdavkov s nimi spojených sa týkajú zraniteľných skupín obyvateľstva.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b/>
                <w:lang w:eastAsia="sk-SK"/>
              </w:rPr>
              <w:t>Vyjadrenie: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Akceptované. Analýza sociálnych vplyvov bola vypracovaná v novej šablóne a text upravený podľa pripomienok.</w:t>
            </w:r>
          </w:p>
          <w:p w:rsidR="00532E29" w:rsidRPr="006C1D6C" w:rsidRDefault="00532E29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III. Záver: Stála pracovná komisia na posudzovanie vybraných vplyvov vyjadruje </w:t>
            </w: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nesúhlasné stanovisko</w:t>
            </w: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s materiálom predloženým na predbežné pripomienkové konanie s odporúčaním na jeho dopracovanie podľa pripomienok v bode II.</w:t>
            </w:r>
          </w:p>
          <w:p w:rsidR="00BA404A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32E29" w:rsidRPr="006C1D6C" w:rsidRDefault="00BA404A" w:rsidP="006C1D6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C1D6C">
              <w:rPr>
                <w:rFonts w:ascii="Times New Roman" w:eastAsia="Times New Roman" w:hAnsi="Times New Roman" w:cs="Times New Roman"/>
                <w:lang w:eastAsia="sk-SK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</w:tc>
      </w:tr>
    </w:tbl>
    <w:p w:rsidR="00CE1C92" w:rsidRPr="006C1D6C" w:rsidRDefault="00CE1C92" w:rsidP="006C1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E1C92" w:rsidRPr="00CE1C92" w:rsidRDefault="00CE1C92" w:rsidP="00CE1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45819" w:rsidRDefault="00245819"/>
    <w:sectPr w:rsidR="00245819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D6" w:rsidRDefault="002832D6">
      <w:pPr>
        <w:spacing w:after="0" w:line="240" w:lineRule="auto"/>
      </w:pPr>
      <w:r>
        <w:separator/>
      </w:r>
    </w:p>
  </w:endnote>
  <w:endnote w:type="continuationSeparator" w:id="0">
    <w:p w:rsidR="002832D6" w:rsidRDefault="0028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auto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D6" w:rsidRDefault="002832D6">
      <w:pPr>
        <w:spacing w:after="0" w:line="240" w:lineRule="auto"/>
      </w:pPr>
      <w:r>
        <w:separator/>
      </w:r>
    </w:p>
  </w:footnote>
  <w:footnote w:type="continuationSeparator" w:id="0">
    <w:p w:rsidR="002832D6" w:rsidRDefault="0028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C009AD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283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92"/>
    <w:rsid w:val="00072D59"/>
    <w:rsid w:val="000B51A2"/>
    <w:rsid w:val="001554B3"/>
    <w:rsid w:val="00211000"/>
    <w:rsid w:val="002152ED"/>
    <w:rsid w:val="00245819"/>
    <w:rsid w:val="00256ED7"/>
    <w:rsid w:val="002832D6"/>
    <w:rsid w:val="00297631"/>
    <w:rsid w:val="00316685"/>
    <w:rsid w:val="00330F87"/>
    <w:rsid w:val="003902BC"/>
    <w:rsid w:val="003927AB"/>
    <w:rsid w:val="003973F6"/>
    <w:rsid w:val="004A05DA"/>
    <w:rsid w:val="004A5413"/>
    <w:rsid w:val="00532E29"/>
    <w:rsid w:val="00555B11"/>
    <w:rsid w:val="006C1D6C"/>
    <w:rsid w:val="006F4AF5"/>
    <w:rsid w:val="007514CD"/>
    <w:rsid w:val="007545C0"/>
    <w:rsid w:val="00810E64"/>
    <w:rsid w:val="008176B0"/>
    <w:rsid w:val="00865321"/>
    <w:rsid w:val="00877E69"/>
    <w:rsid w:val="008E41BE"/>
    <w:rsid w:val="00946138"/>
    <w:rsid w:val="0096523A"/>
    <w:rsid w:val="00996487"/>
    <w:rsid w:val="009F4BD0"/>
    <w:rsid w:val="00BA404A"/>
    <w:rsid w:val="00C009AD"/>
    <w:rsid w:val="00C26A11"/>
    <w:rsid w:val="00C75E7D"/>
    <w:rsid w:val="00CE1C92"/>
    <w:rsid w:val="00DA53C2"/>
    <w:rsid w:val="00E935D5"/>
    <w:rsid w:val="00F11BAB"/>
    <w:rsid w:val="00F24760"/>
    <w:rsid w:val="00F87A5D"/>
    <w:rsid w:val="00FA3E5C"/>
    <w:rsid w:val="00FE176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1CD"/>
  <w15:chartTrackingRefBased/>
  <w15:docId w15:val="{E92477F5-78ED-464C-8B12-150D8530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A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1C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E1C9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uiPriority w:val="59"/>
    <w:qFormat/>
    <w:rsid w:val="00CE1C92"/>
    <w:pPr>
      <w:spacing w:after="0"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96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arasova@enviro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rezna@enviro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era.vikukelova@enviro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dcterms:created xsi:type="dcterms:W3CDTF">2022-09-08T07:52:00Z</dcterms:created>
  <dcterms:modified xsi:type="dcterms:W3CDTF">2022-09-08T07:52:00Z</dcterms:modified>
</cp:coreProperties>
</file>