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E3" w:rsidRPr="00EB585E" w:rsidRDefault="008E60E3">
      <w:pPr>
        <w:rPr>
          <w:rFonts w:ascii="Times New Roman" w:hAnsi="Times New Roman" w:cs="Times New Roman"/>
          <w:sz w:val="20"/>
          <w:szCs w:val="20"/>
        </w:rPr>
      </w:pPr>
    </w:p>
    <w:p w:rsidR="008E60E3" w:rsidRPr="00EB585E" w:rsidRDefault="00814BE6">
      <w:pPr>
        <w:jc w:val="center"/>
        <w:rPr>
          <w:rFonts w:ascii="Times New Roman" w:hAnsi="Times New Roman" w:cs="Times New Roman"/>
          <w:b/>
          <w:sz w:val="20"/>
          <w:szCs w:val="20"/>
        </w:rPr>
      </w:pPr>
      <w:r w:rsidRPr="00EB585E">
        <w:rPr>
          <w:rFonts w:ascii="Times New Roman" w:hAnsi="Times New Roman" w:cs="Times New Roman"/>
          <w:b/>
          <w:sz w:val="20"/>
          <w:szCs w:val="20"/>
        </w:rPr>
        <w:t>Tabuľka zhody</w:t>
      </w:r>
    </w:p>
    <w:p w:rsidR="008E60E3" w:rsidRPr="00EB585E" w:rsidRDefault="00814BE6">
      <w:pPr>
        <w:jc w:val="center"/>
        <w:rPr>
          <w:rFonts w:ascii="Times New Roman" w:hAnsi="Times New Roman" w:cs="Times New Roman"/>
          <w:sz w:val="20"/>
          <w:szCs w:val="20"/>
        </w:rPr>
      </w:pPr>
      <w:r w:rsidRPr="00EB585E">
        <w:rPr>
          <w:rFonts w:ascii="Times New Roman" w:hAnsi="Times New Roman" w:cs="Times New Roman"/>
          <w:sz w:val="20"/>
          <w:szCs w:val="20"/>
        </w:rPr>
        <w:t>Návrh nariadenia vlády Slovenskej republiky, ktorým sa mení a dopĺňa nariadenie vlády Slovenskej republiky č. 269/2010 Z. z., ktorým sa ustanovujú požiadavky na dosiahnutie dobrého stavu vôd v znení nariadenia vlády Slovenskej republiky č. 398/2012 Z. z.</w:t>
      </w:r>
    </w:p>
    <w:p w:rsidR="008E60E3" w:rsidRPr="00EB585E" w:rsidRDefault="00814BE6">
      <w:pPr>
        <w:jc w:val="center"/>
        <w:rPr>
          <w:rFonts w:ascii="Times New Roman" w:hAnsi="Times New Roman" w:cs="Times New Roman"/>
          <w:sz w:val="20"/>
          <w:szCs w:val="20"/>
        </w:rPr>
      </w:pPr>
      <w:r w:rsidRPr="00EB585E">
        <w:rPr>
          <w:rFonts w:ascii="Times New Roman" w:hAnsi="Times New Roman" w:cs="Times New Roman"/>
          <w:sz w:val="20"/>
          <w:szCs w:val="20"/>
        </w:rPr>
        <w:t>S právom Európskych spoločenstiev a Európskej únie</w:t>
      </w:r>
    </w:p>
    <w:p w:rsidR="008E60E3" w:rsidRPr="00EB585E" w:rsidRDefault="008E60E3">
      <w:pPr>
        <w:jc w:val="center"/>
        <w:rPr>
          <w:rFonts w:ascii="Times New Roman" w:hAnsi="Times New Roman" w:cs="Times New Roman"/>
          <w:sz w:val="20"/>
          <w:szCs w:val="20"/>
        </w:rPr>
      </w:pPr>
    </w:p>
    <w:p w:rsidR="008E60E3" w:rsidRPr="00EB585E" w:rsidRDefault="008E60E3">
      <w:pPr>
        <w:jc w:val="center"/>
        <w:rPr>
          <w:rFonts w:ascii="Times New Roman" w:hAnsi="Times New Roman" w:cs="Times New Roman"/>
          <w:sz w:val="20"/>
          <w:szCs w:val="20"/>
        </w:rPr>
      </w:pPr>
    </w:p>
    <w:p w:rsidR="008E60E3" w:rsidRPr="00EB585E" w:rsidRDefault="008E60E3">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567"/>
        <w:gridCol w:w="851"/>
        <w:gridCol w:w="5528"/>
        <w:gridCol w:w="425"/>
        <w:gridCol w:w="363"/>
      </w:tblGrid>
      <w:tr w:rsidR="008E60E3" w:rsidRPr="00EB585E">
        <w:trPr>
          <w:trHeight w:val="793"/>
        </w:trPr>
        <w:tc>
          <w:tcPr>
            <w:tcW w:w="819" w:type="dxa"/>
            <w:tcBorders>
              <w:top w:val="single" w:sz="4" w:space="0" w:color="auto"/>
            </w:tcBorders>
          </w:tcPr>
          <w:p w:rsidR="008E60E3" w:rsidRPr="00EB585E" w:rsidRDefault="008E60E3">
            <w:pPr>
              <w:spacing w:after="0" w:line="240" w:lineRule="auto"/>
              <w:rPr>
                <w:sz w:val="20"/>
                <w:szCs w:val="20"/>
                <w:lang w:eastAsia="sk-SK"/>
              </w:rPr>
            </w:pPr>
          </w:p>
        </w:tc>
        <w:tc>
          <w:tcPr>
            <w:tcW w:w="6836" w:type="dxa"/>
            <w:tcBorders>
              <w:top w:val="single" w:sz="4" w:space="0" w:color="auto"/>
            </w:tcBorders>
          </w:tcPr>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Právny predpis EÚ</w:t>
            </w:r>
          </w:p>
        </w:tc>
        <w:tc>
          <w:tcPr>
            <w:tcW w:w="596" w:type="dxa"/>
            <w:tcBorders>
              <w:top w:val="single" w:sz="4" w:space="0" w:color="auto"/>
            </w:tcBorders>
          </w:tcPr>
          <w:p w:rsidR="008E60E3" w:rsidRPr="00EB585E" w:rsidRDefault="008E60E3">
            <w:pPr>
              <w:spacing w:after="0" w:line="240" w:lineRule="auto"/>
              <w:rPr>
                <w:sz w:val="20"/>
                <w:szCs w:val="20"/>
                <w:lang w:eastAsia="sk-SK"/>
              </w:rPr>
            </w:pPr>
          </w:p>
        </w:tc>
        <w:tc>
          <w:tcPr>
            <w:tcW w:w="567" w:type="dxa"/>
            <w:tcBorders>
              <w:top w:val="single" w:sz="4" w:space="0" w:color="auto"/>
            </w:tcBorders>
          </w:tcPr>
          <w:p w:rsidR="008E60E3" w:rsidRPr="00EB585E" w:rsidRDefault="008E60E3">
            <w:pPr>
              <w:spacing w:after="0" w:line="240" w:lineRule="auto"/>
              <w:rPr>
                <w:sz w:val="20"/>
                <w:szCs w:val="20"/>
                <w:lang w:eastAsia="sk-SK"/>
              </w:rPr>
            </w:pPr>
          </w:p>
        </w:tc>
        <w:tc>
          <w:tcPr>
            <w:tcW w:w="851" w:type="dxa"/>
            <w:tcBorders>
              <w:top w:val="single" w:sz="4" w:space="0" w:color="auto"/>
            </w:tcBorders>
          </w:tcPr>
          <w:p w:rsidR="008E60E3" w:rsidRPr="00EB585E" w:rsidRDefault="008E60E3">
            <w:pPr>
              <w:spacing w:after="0" w:line="240" w:lineRule="auto"/>
              <w:rPr>
                <w:sz w:val="20"/>
                <w:szCs w:val="20"/>
                <w:lang w:eastAsia="sk-SK"/>
              </w:rPr>
            </w:pPr>
          </w:p>
        </w:tc>
        <w:tc>
          <w:tcPr>
            <w:tcW w:w="5528" w:type="dxa"/>
            <w:tcBorders>
              <w:top w:val="single" w:sz="4" w:space="0" w:color="auto"/>
            </w:tcBorders>
          </w:tcPr>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Právny predpis SR</w:t>
            </w:r>
          </w:p>
        </w:tc>
        <w:tc>
          <w:tcPr>
            <w:tcW w:w="425" w:type="dxa"/>
            <w:tcBorders>
              <w:top w:val="single" w:sz="4" w:space="0" w:color="auto"/>
            </w:tcBorders>
          </w:tcPr>
          <w:p w:rsidR="008E60E3" w:rsidRPr="00EB585E" w:rsidRDefault="008E60E3">
            <w:pPr>
              <w:spacing w:after="0" w:line="240" w:lineRule="auto"/>
              <w:rPr>
                <w:sz w:val="20"/>
                <w:szCs w:val="20"/>
                <w:lang w:eastAsia="sk-SK"/>
              </w:rPr>
            </w:pPr>
          </w:p>
        </w:tc>
        <w:tc>
          <w:tcPr>
            <w:tcW w:w="363" w:type="dxa"/>
            <w:tcBorders>
              <w:top w:val="single" w:sz="4" w:space="0" w:color="auto"/>
            </w:tcBorders>
          </w:tcPr>
          <w:p w:rsidR="008E60E3" w:rsidRPr="00EB585E" w:rsidRDefault="008E60E3">
            <w:pPr>
              <w:spacing w:after="0" w:line="240" w:lineRule="auto"/>
              <w:rPr>
                <w:sz w:val="20"/>
                <w:szCs w:val="20"/>
                <w:lang w:eastAsia="sk-SK"/>
              </w:rPr>
            </w:pPr>
          </w:p>
        </w:tc>
      </w:tr>
      <w:tr w:rsidR="008E60E3" w:rsidRPr="00EB585E">
        <w:trPr>
          <w:trHeight w:val="1542"/>
        </w:trPr>
        <w:tc>
          <w:tcPr>
            <w:tcW w:w="819" w:type="dxa"/>
          </w:tcPr>
          <w:p w:rsidR="008E60E3" w:rsidRPr="00EB585E" w:rsidRDefault="008E60E3">
            <w:pPr>
              <w:spacing w:after="0" w:line="240" w:lineRule="auto"/>
              <w:rPr>
                <w:sz w:val="20"/>
                <w:szCs w:val="20"/>
                <w:lang w:eastAsia="sk-SK"/>
              </w:rPr>
            </w:pPr>
          </w:p>
        </w:tc>
        <w:tc>
          <w:tcPr>
            <w:tcW w:w="6836" w:type="dxa"/>
          </w:tcPr>
          <w:p w:rsidR="008E60E3" w:rsidRPr="00EB585E" w:rsidRDefault="008E60E3">
            <w:pPr>
              <w:spacing w:after="0" w:line="240" w:lineRule="auto"/>
              <w:rPr>
                <w:sz w:val="20"/>
                <w:szCs w:val="20"/>
                <w:lang w:eastAsia="sk-SK"/>
              </w:rPr>
            </w:pPr>
          </w:p>
          <w:p w:rsidR="008E60E3" w:rsidRPr="00EB585E" w:rsidRDefault="00814BE6">
            <w:pPr>
              <w:jc w:val="both"/>
              <w:rPr>
                <w:sz w:val="20"/>
                <w:szCs w:val="20"/>
                <w:lang w:eastAsia="sk-SK"/>
              </w:rPr>
            </w:pPr>
            <w:r w:rsidRPr="00EB585E">
              <w:rPr>
                <w:sz w:val="20"/>
                <w:szCs w:val="20"/>
                <w:lang w:eastAsia="sk-SK"/>
              </w:rPr>
              <w:t>Smernica Rady 91/271/EHS z 21. mája 1991 o čistení mestských odpadových vôd (Ú. v. ES L 135, 30. 5. 1991) v znení smernice Komisie 98/15/ES z 27. februára 1998 (Ú. v. ES L 67, 7. 3.1998) v znení nariadenia Európskeho parlamentu a Rady (ES) č. 1882/2003 z 29. septembra 2003 (Ú. v. EÚ L 284, 31. 10. 2003) v znení nariadenia Európskeho parlamentu a Rady (ES) č. 1137/2008 z 22. októbra 2008 (Ú. v. EÚ L 311, 21. 11. 2008)</w:t>
            </w:r>
          </w:p>
        </w:tc>
        <w:tc>
          <w:tcPr>
            <w:tcW w:w="596" w:type="dxa"/>
          </w:tcPr>
          <w:p w:rsidR="008E60E3" w:rsidRPr="00EB585E" w:rsidRDefault="008E60E3">
            <w:pPr>
              <w:spacing w:after="0" w:line="240" w:lineRule="auto"/>
              <w:rPr>
                <w:sz w:val="20"/>
                <w:szCs w:val="20"/>
                <w:lang w:eastAsia="sk-SK"/>
              </w:rPr>
            </w:pPr>
          </w:p>
        </w:tc>
        <w:tc>
          <w:tcPr>
            <w:tcW w:w="567" w:type="dxa"/>
          </w:tcPr>
          <w:p w:rsidR="008E60E3" w:rsidRPr="00EB585E" w:rsidRDefault="008E60E3">
            <w:pPr>
              <w:spacing w:after="0" w:line="240" w:lineRule="auto"/>
              <w:rPr>
                <w:sz w:val="20"/>
                <w:szCs w:val="20"/>
                <w:lang w:eastAsia="sk-SK"/>
              </w:rPr>
            </w:pPr>
          </w:p>
        </w:tc>
        <w:tc>
          <w:tcPr>
            <w:tcW w:w="851" w:type="dxa"/>
          </w:tcPr>
          <w:p w:rsidR="008E60E3" w:rsidRPr="00EB585E" w:rsidRDefault="008E60E3">
            <w:pPr>
              <w:spacing w:after="0" w:line="240" w:lineRule="auto"/>
              <w:rPr>
                <w:sz w:val="20"/>
                <w:szCs w:val="20"/>
                <w:lang w:eastAsia="sk-SK"/>
              </w:rPr>
            </w:pPr>
          </w:p>
        </w:tc>
        <w:tc>
          <w:tcPr>
            <w:tcW w:w="5528" w:type="dxa"/>
          </w:tcPr>
          <w:p w:rsidR="008E60E3" w:rsidRPr="00EB585E" w:rsidRDefault="00814BE6">
            <w:pPr>
              <w:spacing w:after="0" w:line="240" w:lineRule="auto"/>
              <w:ind w:hanging="11"/>
              <w:jc w:val="both"/>
              <w:rPr>
                <w:sz w:val="20"/>
                <w:szCs w:val="20"/>
                <w:lang w:eastAsia="sk-SK"/>
              </w:rPr>
            </w:pPr>
            <w:r w:rsidRPr="00EB585E">
              <w:rPr>
                <w:b/>
                <w:sz w:val="20"/>
                <w:szCs w:val="20"/>
                <w:lang w:eastAsia="sk-SK"/>
              </w:rPr>
              <w:t xml:space="preserve">NNV – </w:t>
            </w:r>
            <w:r w:rsidRPr="00EB585E">
              <w:rPr>
                <w:sz w:val="20"/>
                <w:szCs w:val="20"/>
                <w:lang w:eastAsia="sk-SK"/>
              </w:rPr>
              <w:t>návrh nariadenia vlády  Slovenskej republiky, ktorým sa mení a dopĺňa nariadenie vlády Slovenskej republiky č. 269/2010 Z. z., ktorým sa ustanovujú požiadavky na dosiahnutie dobrého stavu vôd v znení nariadenia vlády Slovenskej republiky č. 398/2012 Z. z.,</w:t>
            </w:r>
          </w:p>
          <w:p w:rsidR="008E60E3" w:rsidRPr="00EB585E" w:rsidRDefault="008E60E3">
            <w:pPr>
              <w:spacing w:after="0" w:line="240" w:lineRule="auto"/>
              <w:rPr>
                <w:sz w:val="20"/>
                <w:szCs w:val="20"/>
                <w:lang w:eastAsia="sk-SK"/>
              </w:rPr>
            </w:pPr>
          </w:p>
        </w:tc>
        <w:tc>
          <w:tcPr>
            <w:tcW w:w="425" w:type="dxa"/>
          </w:tcPr>
          <w:p w:rsidR="008E60E3" w:rsidRPr="00EB585E" w:rsidRDefault="008E60E3">
            <w:pPr>
              <w:spacing w:after="0" w:line="240" w:lineRule="auto"/>
              <w:rPr>
                <w:sz w:val="20"/>
                <w:szCs w:val="20"/>
                <w:lang w:eastAsia="sk-SK"/>
              </w:rPr>
            </w:pPr>
          </w:p>
        </w:tc>
        <w:tc>
          <w:tcPr>
            <w:tcW w:w="363" w:type="dxa"/>
          </w:tcPr>
          <w:p w:rsidR="008E60E3" w:rsidRPr="00EB585E" w:rsidRDefault="008E60E3">
            <w:pPr>
              <w:spacing w:after="0" w:line="240" w:lineRule="auto"/>
              <w:rPr>
                <w:sz w:val="20"/>
                <w:szCs w:val="20"/>
                <w:lang w:eastAsia="sk-SK"/>
              </w:rPr>
            </w:pPr>
          </w:p>
        </w:tc>
      </w:tr>
      <w:tr w:rsidR="008E60E3" w:rsidRPr="00EB585E">
        <w:trPr>
          <w:trHeight w:val="490"/>
        </w:trPr>
        <w:tc>
          <w:tcPr>
            <w:tcW w:w="819" w:type="dxa"/>
            <w:vAlign w:val="center"/>
          </w:tcPr>
          <w:p w:rsidR="008E60E3" w:rsidRPr="00EB585E" w:rsidRDefault="00814BE6">
            <w:pPr>
              <w:spacing w:after="0" w:line="240" w:lineRule="auto"/>
              <w:rPr>
                <w:sz w:val="20"/>
                <w:szCs w:val="20"/>
                <w:lang w:eastAsia="sk-SK"/>
              </w:rPr>
            </w:pPr>
            <w:r w:rsidRPr="00EB585E">
              <w:rPr>
                <w:sz w:val="20"/>
                <w:szCs w:val="20"/>
                <w:lang w:eastAsia="sk-SK"/>
              </w:rPr>
              <w:t>1</w:t>
            </w:r>
          </w:p>
        </w:tc>
        <w:tc>
          <w:tcPr>
            <w:tcW w:w="6836" w:type="dxa"/>
            <w:vAlign w:val="center"/>
          </w:tcPr>
          <w:p w:rsidR="008E60E3" w:rsidRPr="00EB585E" w:rsidRDefault="00814BE6">
            <w:pPr>
              <w:spacing w:after="0" w:line="240" w:lineRule="auto"/>
              <w:rPr>
                <w:sz w:val="20"/>
                <w:szCs w:val="20"/>
                <w:lang w:eastAsia="sk-SK"/>
              </w:rPr>
            </w:pPr>
            <w:r w:rsidRPr="00EB585E">
              <w:rPr>
                <w:sz w:val="20"/>
                <w:szCs w:val="20"/>
                <w:lang w:eastAsia="sk-SK"/>
              </w:rPr>
              <w:t>2</w:t>
            </w:r>
          </w:p>
        </w:tc>
        <w:tc>
          <w:tcPr>
            <w:tcW w:w="596" w:type="dxa"/>
            <w:vAlign w:val="center"/>
          </w:tcPr>
          <w:p w:rsidR="008E60E3" w:rsidRPr="00EB585E" w:rsidRDefault="00814BE6">
            <w:pPr>
              <w:spacing w:after="0" w:line="240" w:lineRule="auto"/>
              <w:rPr>
                <w:sz w:val="20"/>
                <w:szCs w:val="20"/>
                <w:lang w:eastAsia="sk-SK"/>
              </w:rPr>
            </w:pPr>
            <w:r w:rsidRPr="00EB585E">
              <w:rPr>
                <w:sz w:val="20"/>
                <w:szCs w:val="20"/>
                <w:lang w:eastAsia="sk-SK"/>
              </w:rPr>
              <w:t>3</w:t>
            </w:r>
          </w:p>
        </w:tc>
        <w:tc>
          <w:tcPr>
            <w:tcW w:w="567" w:type="dxa"/>
            <w:vAlign w:val="center"/>
          </w:tcPr>
          <w:p w:rsidR="008E60E3" w:rsidRPr="00EB585E" w:rsidRDefault="00814BE6">
            <w:pPr>
              <w:spacing w:after="0" w:line="240" w:lineRule="auto"/>
              <w:rPr>
                <w:sz w:val="20"/>
                <w:szCs w:val="20"/>
                <w:lang w:eastAsia="sk-SK"/>
              </w:rPr>
            </w:pPr>
            <w:r w:rsidRPr="00EB585E">
              <w:rPr>
                <w:sz w:val="20"/>
                <w:szCs w:val="20"/>
                <w:lang w:eastAsia="sk-SK"/>
              </w:rPr>
              <w:t>4</w:t>
            </w:r>
          </w:p>
        </w:tc>
        <w:tc>
          <w:tcPr>
            <w:tcW w:w="851" w:type="dxa"/>
            <w:vAlign w:val="center"/>
          </w:tcPr>
          <w:p w:rsidR="008E60E3" w:rsidRPr="00EB585E" w:rsidRDefault="00814BE6">
            <w:pPr>
              <w:spacing w:after="0" w:line="240" w:lineRule="auto"/>
              <w:rPr>
                <w:sz w:val="20"/>
                <w:szCs w:val="20"/>
                <w:lang w:eastAsia="sk-SK"/>
              </w:rPr>
            </w:pPr>
            <w:r w:rsidRPr="00EB585E">
              <w:rPr>
                <w:sz w:val="20"/>
                <w:szCs w:val="20"/>
                <w:lang w:eastAsia="sk-SK"/>
              </w:rPr>
              <w:t>5</w:t>
            </w:r>
          </w:p>
        </w:tc>
        <w:tc>
          <w:tcPr>
            <w:tcW w:w="5528" w:type="dxa"/>
            <w:vAlign w:val="center"/>
          </w:tcPr>
          <w:p w:rsidR="008E60E3" w:rsidRPr="00EB585E" w:rsidRDefault="00814BE6">
            <w:pPr>
              <w:spacing w:after="0" w:line="240" w:lineRule="auto"/>
              <w:rPr>
                <w:sz w:val="20"/>
                <w:szCs w:val="20"/>
                <w:lang w:eastAsia="sk-SK"/>
              </w:rPr>
            </w:pPr>
            <w:r w:rsidRPr="00EB585E">
              <w:rPr>
                <w:sz w:val="20"/>
                <w:szCs w:val="20"/>
                <w:lang w:eastAsia="sk-SK"/>
              </w:rPr>
              <w:t>6</w:t>
            </w:r>
          </w:p>
        </w:tc>
        <w:tc>
          <w:tcPr>
            <w:tcW w:w="425" w:type="dxa"/>
            <w:vAlign w:val="center"/>
          </w:tcPr>
          <w:p w:rsidR="008E60E3" w:rsidRPr="00EB585E" w:rsidRDefault="00814BE6">
            <w:pPr>
              <w:spacing w:after="0" w:line="240" w:lineRule="auto"/>
              <w:rPr>
                <w:sz w:val="20"/>
                <w:szCs w:val="20"/>
                <w:lang w:eastAsia="sk-SK"/>
              </w:rPr>
            </w:pPr>
            <w:r w:rsidRPr="00EB585E">
              <w:rPr>
                <w:sz w:val="20"/>
                <w:szCs w:val="20"/>
                <w:lang w:eastAsia="sk-SK"/>
              </w:rPr>
              <w:t>7</w:t>
            </w:r>
          </w:p>
        </w:tc>
        <w:tc>
          <w:tcPr>
            <w:tcW w:w="363" w:type="dxa"/>
            <w:vAlign w:val="center"/>
          </w:tcPr>
          <w:p w:rsidR="008E60E3" w:rsidRPr="00EB585E" w:rsidRDefault="00814BE6">
            <w:pPr>
              <w:spacing w:after="0" w:line="240" w:lineRule="auto"/>
              <w:rPr>
                <w:sz w:val="20"/>
                <w:szCs w:val="20"/>
                <w:lang w:eastAsia="sk-SK"/>
              </w:rPr>
            </w:pPr>
            <w:r w:rsidRPr="00EB585E">
              <w:rPr>
                <w:sz w:val="20"/>
                <w:szCs w:val="20"/>
                <w:lang w:eastAsia="sk-SK"/>
              </w:rPr>
              <w:t>8</w:t>
            </w:r>
          </w:p>
        </w:tc>
      </w:tr>
      <w:tr w:rsidR="008E60E3" w:rsidRPr="00EB585E">
        <w:trPr>
          <w:cantSplit/>
          <w:trHeight w:val="1134"/>
        </w:trPr>
        <w:tc>
          <w:tcPr>
            <w:tcW w:w="819" w:type="dxa"/>
            <w:vAlign w:val="center"/>
          </w:tcPr>
          <w:p w:rsidR="008E60E3" w:rsidRPr="00EB585E" w:rsidRDefault="00814BE6">
            <w:pPr>
              <w:spacing w:after="0" w:line="240" w:lineRule="auto"/>
              <w:rPr>
                <w:sz w:val="20"/>
                <w:szCs w:val="20"/>
                <w:lang w:eastAsia="sk-SK"/>
              </w:rPr>
            </w:pPr>
            <w:r w:rsidRPr="00EB585E">
              <w:rPr>
                <w:sz w:val="20"/>
                <w:szCs w:val="20"/>
                <w:lang w:eastAsia="sk-SK"/>
              </w:rPr>
              <w:t>Článok</w:t>
            </w:r>
          </w:p>
        </w:tc>
        <w:tc>
          <w:tcPr>
            <w:tcW w:w="6836" w:type="dxa"/>
            <w:vAlign w:val="center"/>
          </w:tcPr>
          <w:p w:rsidR="008E60E3" w:rsidRPr="00EB585E" w:rsidRDefault="00814BE6">
            <w:pPr>
              <w:spacing w:after="0" w:line="240" w:lineRule="auto"/>
              <w:rPr>
                <w:sz w:val="20"/>
                <w:szCs w:val="20"/>
                <w:lang w:eastAsia="sk-SK"/>
              </w:rPr>
            </w:pPr>
            <w:r w:rsidRPr="00EB585E">
              <w:rPr>
                <w:sz w:val="20"/>
                <w:szCs w:val="20"/>
                <w:lang w:eastAsia="sk-SK"/>
              </w:rPr>
              <w:t>Text</w:t>
            </w:r>
          </w:p>
        </w:tc>
        <w:tc>
          <w:tcPr>
            <w:tcW w:w="596"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Spôsob transpozície</w:t>
            </w:r>
          </w:p>
        </w:tc>
        <w:tc>
          <w:tcPr>
            <w:tcW w:w="567"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Číslo</w:t>
            </w:r>
          </w:p>
        </w:tc>
        <w:tc>
          <w:tcPr>
            <w:tcW w:w="851"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 xml:space="preserve">Článok, §, ods.,veta </w:t>
            </w:r>
          </w:p>
        </w:tc>
        <w:tc>
          <w:tcPr>
            <w:tcW w:w="5528" w:type="dxa"/>
            <w:vAlign w:val="center"/>
          </w:tcPr>
          <w:p w:rsidR="008E60E3" w:rsidRPr="00EB585E" w:rsidRDefault="00814BE6">
            <w:pPr>
              <w:spacing w:after="0" w:line="240" w:lineRule="auto"/>
              <w:rPr>
                <w:sz w:val="20"/>
                <w:szCs w:val="20"/>
                <w:lang w:eastAsia="sk-SK"/>
              </w:rPr>
            </w:pPr>
            <w:r w:rsidRPr="00EB585E">
              <w:rPr>
                <w:sz w:val="20"/>
                <w:szCs w:val="20"/>
                <w:lang w:eastAsia="sk-SK"/>
              </w:rPr>
              <w:t>Text</w:t>
            </w:r>
          </w:p>
          <w:p w:rsidR="008E60E3" w:rsidRPr="00EB585E" w:rsidRDefault="008E60E3">
            <w:pPr>
              <w:spacing w:after="0" w:line="240" w:lineRule="auto"/>
              <w:rPr>
                <w:sz w:val="20"/>
                <w:szCs w:val="20"/>
                <w:lang w:eastAsia="sk-SK"/>
              </w:rPr>
            </w:pPr>
          </w:p>
        </w:tc>
        <w:tc>
          <w:tcPr>
            <w:tcW w:w="425"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Zhoda</w:t>
            </w:r>
          </w:p>
        </w:tc>
        <w:tc>
          <w:tcPr>
            <w:tcW w:w="363"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Poznámky</w:t>
            </w:r>
          </w:p>
        </w:tc>
      </w:tr>
    </w:tbl>
    <w:p w:rsidR="008E60E3" w:rsidRPr="00EB585E" w:rsidRDefault="008E60E3">
      <w:pPr>
        <w:jc w:val="center"/>
        <w:rPr>
          <w:rFonts w:ascii="Times New Roman" w:hAnsi="Times New Roman" w:cs="Times New Roman"/>
          <w:sz w:val="20"/>
          <w:szCs w:val="20"/>
        </w:rPr>
      </w:pPr>
    </w:p>
    <w:p w:rsidR="008E60E3" w:rsidRPr="00EB585E" w:rsidRDefault="008E60E3">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709"/>
        <w:gridCol w:w="850"/>
        <w:gridCol w:w="5529"/>
        <w:gridCol w:w="396"/>
        <w:gridCol w:w="250"/>
      </w:tblGrid>
      <w:tr w:rsidR="008E60E3" w:rsidRPr="00EB585E" w:rsidTr="00C26AEF">
        <w:trPr>
          <w:cantSplit/>
          <w:trHeight w:val="6804"/>
        </w:trPr>
        <w:tc>
          <w:tcPr>
            <w:tcW w:w="819" w:type="dxa"/>
          </w:tcPr>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III,</w:t>
            </w:r>
          </w:p>
          <w:p w:rsidR="008E60E3" w:rsidRPr="00EB585E" w:rsidRDefault="00814BE6">
            <w:pPr>
              <w:spacing w:after="0" w:line="240" w:lineRule="auto"/>
              <w:rPr>
                <w:sz w:val="20"/>
                <w:szCs w:val="20"/>
                <w:lang w:eastAsia="sk-SK"/>
              </w:rPr>
            </w:pPr>
            <w:r w:rsidRPr="00EB585E">
              <w:rPr>
                <w:sz w:val="20"/>
                <w:szCs w:val="20"/>
                <w:lang w:eastAsia="sk-SK"/>
              </w:rPr>
              <w:t>ods. 1,</w:t>
            </w:r>
          </w:p>
          <w:p w:rsidR="008E60E3" w:rsidRPr="00EB585E" w:rsidRDefault="00814BE6">
            <w:pPr>
              <w:spacing w:after="0" w:line="240" w:lineRule="auto"/>
              <w:rPr>
                <w:sz w:val="20"/>
                <w:szCs w:val="20"/>
                <w:lang w:eastAsia="sk-SK"/>
              </w:rPr>
            </w:pPr>
            <w:r w:rsidRPr="00EB585E">
              <w:rPr>
                <w:sz w:val="20"/>
                <w:szCs w:val="20"/>
                <w:lang w:eastAsia="sk-SK"/>
              </w:rPr>
              <w:t>tretia veta</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tc>
        <w:tc>
          <w:tcPr>
            <w:tcW w:w="6836" w:type="dxa"/>
          </w:tcPr>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14BE6">
            <w:pPr>
              <w:pStyle w:val="Zkladntext20"/>
              <w:shd w:val="clear" w:color="auto" w:fill="auto"/>
              <w:spacing w:before="0" w:after="178"/>
              <w:ind w:firstLine="0"/>
              <w:rPr>
                <w:rFonts w:ascii="Times New Roman" w:eastAsia="SimSun" w:hAnsi="Times New Roman" w:cs="Times New Roman"/>
                <w:sz w:val="20"/>
                <w:szCs w:val="20"/>
                <w:lang w:eastAsia="sk-SK"/>
              </w:rPr>
            </w:pPr>
            <w:r w:rsidRPr="00EB585E">
              <w:rPr>
                <w:rFonts w:ascii="Times New Roman" w:eastAsia="SimSun" w:hAnsi="Times New Roman" w:cs="Times New Roman"/>
                <w:sz w:val="20"/>
                <w:szCs w:val="20"/>
                <w:lang w:eastAsia="sk-SK"/>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E60E3">
            <w:pPr>
              <w:pStyle w:val="Zkladntext20"/>
              <w:shd w:val="clear" w:color="auto" w:fill="auto"/>
              <w:tabs>
                <w:tab w:val="left" w:pos="550"/>
              </w:tabs>
              <w:spacing w:before="0" w:after="240" w:line="211" w:lineRule="exact"/>
              <w:ind w:firstLine="0"/>
              <w:rPr>
                <w:rFonts w:ascii="Times New Roman" w:hAnsi="Times New Roman" w:cs="Times New Roman"/>
                <w:sz w:val="20"/>
                <w:szCs w:val="20"/>
                <w:lang w:eastAsia="sk-SK"/>
              </w:rPr>
            </w:pPr>
          </w:p>
        </w:tc>
        <w:tc>
          <w:tcPr>
            <w:tcW w:w="596" w:type="dxa"/>
          </w:tcPr>
          <w:p w:rsidR="008E60E3" w:rsidRPr="00EB585E" w:rsidRDefault="008E60E3">
            <w:pPr>
              <w:spacing w:after="0" w:line="240" w:lineRule="auto"/>
              <w:rPr>
                <w:sz w:val="20"/>
                <w:szCs w:val="20"/>
                <w:lang w:eastAsia="sk-SK"/>
              </w:rPr>
            </w:pPr>
          </w:p>
        </w:tc>
        <w:tc>
          <w:tcPr>
            <w:tcW w:w="709" w:type="dxa"/>
          </w:tcPr>
          <w:p w:rsidR="008E60E3" w:rsidRPr="00EB585E" w:rsidRDefault="00814BE6">
            <w:pPr>
              <w:spacing w:after="0" w:line="240" w:lineRule="auto"/>
              <w:rPr>
                <w:sz w:val="20"/>
                <w:szCs w:val="20"/>
                <w:lang w:eastAsia="sk-SK"/>
              </w:rPr>
            </w:pPr>
            <w:r w:rsidRPr="00EB585E">
              <w:rPr>
                <w:sz w:val="20"/>
                <w:szCs w:val="20"/>
                <w:lang w:eastAsia="sk-SK"/>
              </w:rPr>
              <w:t>NNV</w:t>
            </w:r>
          </w:p>
        </w:tc>
        <w:tc>
          <w:tcPr>
            <w:tcW w:w="850" w:type="dxa"/>
          </w:tcPr>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 5a</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Default="008E60E3">
            <w:pPr>
              <w:spacing w:after="0" w:line="240" w:lineRule="auto"/>
              <w:rPr>
                <w:sz w:val="20"/>
                <w:szCs w:val="20"/>
                <w:lang w:eastAsia="sk-SK"/>
              </w:rPr>
            </w:pPr>
          </w:p>
          <w:p w:rsidR="00C26AEF" w:rsidRPr="00EB585E" w:rsidRDefault="00C26AEF">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r w:rsidRPr="00EB585E">
              <w:rPr>
                <w:sz w:val="20"/>
                <w:szCs w:val="20"/>
                <w:lang w:eastAsia="sk-SK"/>
              </w:rPr>
              <w:t>§ 10a</w:t>
            </w: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6, tabuľka Časť A1.1</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6, tabuľka Časť A.2</w:t>
            </w: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xml:space="preserve">, </w:t>
            </w:r>
            <w:r w:rsidRPr="00EB585E">
              <w:rPr>
                <w:sz w:val="20"/>
                <w:szCs w:val="20"/>
                <w:lang w:eastAsia="sk-SK"/>
              </w:rPr>
              <w:lastRenderedPageBreak/>
              <w:t xml:space="preserve">Časť A.1 </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Default="008E60E3">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EB585E" w:rsidRPr="00EB585E" w:rsidRDefault="00EB585E">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Časť A.2.1</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Časť A.2.2</w:t>
            </w:r>
          </w:p>
          <w:p w:rsidR="008E60E3" w:rsidRPr="00EB585E" w:rsidRDefault="008E60E3">
            <w:pPr>
              <w:spacing w:after="0" w:line="240" w:lineRule="auto"/>
              <w:rPr>
                <w:sz w:val="20"/>
                <w:szCs w:val="20"/>
                <w:lang w:eastAsia="sk-SK"/>
              </w:rPr>
            </w:pPr>
          </w:p>
        </w:tc>
        <w:tc>
          <w:tcPr>
            <w:tcW w:w="5529" w:type="dxa"/>
          </w:tcPr>
          <w:p w:rsidR="00C26AEF" w:rsidRPr="00C26AEF" w:rsidRDefault="00C26AEF" w:rsidP="00C26AEF">
            <w:pPr>
              <w:spacing w:after="120"/>
              <w:jc w:val="both"/>
              <w:rPr>
                <w:b/>
                <w:sz w:val="20"/>
                <w:szCs w:val="20"/>
              </w:rPr>
            </w:pPr>
            <w:r w:rsidRPr="00C26AEF">
              <w:rPr>
                <w:sz w:val="20"/>
                <w:szCs w:val="20"/>
                <w:lang w:eastAsia="sk-SK"/>
              </w:rPr>
              <w:lastRenderedPageBreak/>
              <w:t>(1) Malé čistiarne odpadových vôd do 50 ekvivalentných obyvateľov sa realizujú, ak pripojenie nehnuteľnosti na verejnú kanalizáciu</w:t>
            </w:r>
            <w:r w:rsidRPr="00C26AEF">
              <w:rPr>
                <w:sz w:val="20"/>
                <w:szCs w:val="20"/>
                <w:lang w:val="en-US" w:eastAsia="sk-SK"/>
              </w:rPr>
              <w:t xml:space="preserve"> </w:t>
            </w:r>
            <w:r w:rsidRPr="00C26AEF">
              <w:rPr>
                <w:sz w:val="20"/>
                <w:szCs w:val="20"/>
                <w:lang w:eastAsia="sk-SK"/>
              </w:rPr>
              <w:t xml:space="preserve">nie je </w:t>
            </w:r>
            <w:r w:rsidRPr="00C26AEF">
              <w:rPr>
                <w:sz w:val="20"/>
                <w:szCs w:val="20"/>
                <w:lang w:val="en-US" w:eastAsia="sk-SK"/>
              </w:rPr>
              <w:t xml:space="preserve">technicky možné a vyžaduje si </w:t>
            </w:r>
            <w:r w:rsidRPr="00C26AEF">
              <w:rPr>
                <w:sz w:val="20"/>
                <w:szCs w:val="20"/>
                <w:lang w:eastAsia="sk-SK"/>
              </w:rPr>
              <w:t xml:space="preserve"> </w:t>
            </w:r>
            <w:r w:rsidRPr="00C26AEF">
              <w:rPr>
                <w:rFonts w:eastAsia="Segoe UI"/>
                <w:sz w:val="20"/>
                <w:szCs w:val="20"/>
                <w:shd w:val="clear" w:color="auto" w:fill="FFFFFF"/>
              </w:rPr>
              <w:t>neprimerane vysoké náklady.</w:t>
            </w:r>
          </w:p>
          <w:p w:rsidR="00C26AEF" w:rsidRPr="00C26AEF" w:rsidRDefault="00C26AEF" w:rsidP="00C26AEF">
            <w:pPr>
              <w:spacing w:after="120"/>
              <w:jc w:val="both"/>
              <w:rPr>
                <w:sz w:val="20"/>
                <w:szCs w:val="20"/>
              </w:rPr>
            </w:pPr>
            <w:r w:rsidRPr="00C26AEF">
              <w:rPr>
                <w:sz w:val="20"/>
                <w:szCs w:val="20"/>
              </w:rPr>
              <w:t xml:space="preserve">(2) Na základe konštrukčno-technologickej skladby sa rozlišujú tieto základné typy malých čistiarní odpadových vôd do 50 ekvivalentných obyvateľov: </w:t>
            </w:r>
          </w:p>
          <w:p w:rsidR="00C26AEF" w:rsidRPr="00C26AEF" w:rsidRDefault="00C26AEF" w:rsidP="00C26AEF">
            <w:pPr>
              <w:numPr>
                <w:ilvl w:val="255"/>
                <w:numId w:val="0"/>
              </w:numPr>
              <w:spacing w:after="120"/>
              <w:ind w:left="360"/>
              <w:contextualSpacing/>
              <w:jc w:val="both"/>
              <w:rPr>
                <w:sz w:val="20"/>
                <w:szCs w:val="20"/>
              </w:rPr>
            </w:pPr>
            <w:r w:rsidRPr="00C26AEF">
              <w:rPr>
                <w:sz w:val="20"/>
                <w:szCs w:val="20"/>
              </w:rPr>
              <w:t>a) intenzívne, ktoré podliehajú postupu podľa osobitného predpisu</w:t>
            </w:r>
            <w:r w:rsidRPr="00C26AEF">
              <w:rPr>
                <w:sz w:val="20"/>
                <w:szCs w:val="20"/>
                <w:vertAlign w:val="superscript"/>
              </w:rPr>
              <w:t>3a</w:t>
            </w:r>
            <w:r w:rsidRPr="00C26AEF">
              <w:rPr>
                <w:sz w:val="20"/>
                <w:szCs w:val="20"/>
              </w:rPr>
              <w:t>)  a </w:t>
            </w:r>
          </w:p>
          <w:p w:rsidR="00C26AEF" w:rsidRPr="00C26AEF" w:rsidRDefault="00C26AEF" w:rsidP="00C26AEF">
            <w:pPr>
              <w:numPr>
                <w:ilvl w:val="255"/>
                <w:numId w:val="0"/>
              </w:numPr>
              <w:spacing w:after="120"/>
              <w:contextualSpacing/>
              <w:jc w:val="both"/>
              <w:rPr>
                <w:sz w:val="20"/>
                <w:szCs w:val="20"/>
              </w:rPr>
            </w:pPr>
            <w:r w:rsidRPr="00C26AEF">
              <w:rPr>
                <w:sz w:val="20"/>
                <w:szCs w:val="20"/>
              </w:rPr>
              <w:t xml:space="preserve">      b) extenzívne, ktoré sú budované na mieste s predradeným predčistením a s horizontálnym  filtrom alebo s vertikálnym filtrom. </w:t>
            </w:r>
          </w:p>
          <w:p w:rsidR="00C26AEF" w:rsidRPr="00C26AEF" w:rsidRDefault="00C26AEF" w:rsidP="00C26AEF">
            <w:pPr>
              <w:numPr>
                <w:ilvl w:val="255"/>
                <w:numId w:val="0"/>
              </w:numPr>
              <w:spacing w:after="120"/>
              <w:contextualSpacing/>
              <w:jc w:val="both"/>
              <w:rPr>
                <w:strike/>
                <w:sz w:val="20"/>
                <w:szCs w:val="20"/>
              </w:rPr>
            </w:pPr>
          </w:p>
          <w:p w:rsidR="00C26AEF" w:rsidRPr="00C26AEF" w:rsidRDefault="00C26AEF" w:rsidP="00C26AEF">
            <w:pPr>
              <w:spacing w:after="120"/>
              <w:jc w:val="both"/>
              <w:rPr>
                <w:sz w:val="20"/>
                <w:szCs w:val="20"/>
              </w:rPr>
            </w:pPr>
            <w:r w:rsidRPr="00C26AEF">
              <w:rPr>
                <w:sz w:val="20"/>
                <w:szCs w:val="20"/>
              </w:rPr>
              <w:t xml:space="preserve">(3) Definícia kategórií malých čistiarní odpadových vôd do 50 ekvivalentných obyvateľov a ich využitie sú uvedené v prílohe č. 14b časti A. 1. </w:t>
            </w:r>
          </w:p>
          <w:p w:rsidR="00C26AEF" w:rsidRPr="00C26AEF" w:rsidRDefault="00C26AEF" w:rsidP="00C26AEF">
            <w:pPr>
              <w:spacing w:after="120"/>
              <w:jc w:val="both"/>
              <w:rPr>
                <w:sz w:val="20"/>
                <w:szCs w:val="20"/>
              </w:rPr>
            </w:pPr>
            <w:r w:rsidRPr="00C26AEF">
              <w:rPr>
                <w:sz w:val="20"/>
                <w:szCs w:val="20"/>
              </w:rPr>
              <w:t xml:space="preserve"> (4) V oblasti, kde už je centrálne zneškodňovanie odpadových vôd zabezpečené prostredníctvom vybudovanej verejnej kanalizácie, nie je možné využitie malej čistiarne odpadových vôd do 50 ekvivalentných obyvateľov okrem prípadov, ak je pripojenie na verejnú kanalizáciu technicky alebo ekonomicky neprimerane nákladné.</w:t>
            </w:r>
          </w:p>
          <w:p w:rsidR="00C26AEF" w:rsidRPr="00C26AEF" w:rsidRDefault="00C26AEF" w:rsidP="00C26AEF">
            <w:pPr>
              <w:spacing w:after="120"/>
              <w:jc w:val="both"/>
              <w:rPr>
                <w:sz w:val="20"/>
                <w:szCs w:val="20"/>
              </w:rPr>
            </w:pPr>
            <w:r w:rsidRPr="00C26AEF">
              <w:rPr>
                <w:sz w:val="20"/>
                <w:szCs w:val="20"/>
              </w:rPr>
              <w:t>(5) Minimálne účinnosti čistenia malých čistiarní odpadových vôd do 50 ekvivalentných obyvateľov pre kategórie výrobkov označovaných CE v percentách pre vypúšťanie vyčistených odpadových vôd do povrchových vôd sú uvedené v prílohe č. 14b časti A.2.1.</w:t>
            </w:r>
          </w:p>
          <w:p w:rsidR="00C26AEF" w:rsidRPr="00C26AEF" w:rsidRDefault="00C26AEF" w:rsidP="00C26AEF">
            <w:pPr>
              <w:spacing w:after="120"/>
              <w:jc w:val="both"/>
              <w:rPr>
                <w:sz w:val="20"/>
                <w:szCs w:val="20"/>
              </w:rPr>
            </w:pPr>
            <w:r w:rsidRPr="00C26AEF">
              <w:rPr>
                <w:sz w:val="20"/>
                <w:szCs w:val="20"/>
              </w:rPr>
              <w:t xml:space="preserve">(6) Minimálne účinnosti čistenia malých čistiarní odpadových vôd do 50 ekvivalentných obyvateľov pre kategórie výrobkov označovaných CE v percentách pre vypúšťanie vyčistených </w:t>
            </w:r>
            <w:r w:rsidRPr="00C26AEF">
              <w:rPr>
                <w:sz w:val="20"/>
                <w:szCs w:val="20"/>
              </w:rPr>
              <w:lastRenderedPageBreak/>
              <w:t>odpadových vôd do podzemných vôd sú uvedené v prílohe č. 14b časti A.2.2.</w:t>
            </w:r>
          </w:p>
          <w:p w:rsidR="00C26AEF" w:rsidRPr="00C26AEF" w:rsidRDefault="00C26AEF" w:rsidP="00C26AEF">
            <w:pPr>
              <w:spacing w:after="120"/>
              <w:jc w:val="both"/>
              <w:rPr>
                <w:sz w:val="20"/>
                <w:szCs w:val="20"/>
              </w:rPr>
            </w:pPr>
            <w:r w:rsidRPr="00C26AEF">
              <w:rPr>
                <w:sz w:val="20"/>
                <w:szCs w:val="20"/>
              </w:rPr>
              <w:t xml:space="preserve">(7) Prednostne sa vyčistené odpadové vody z malých čistiarní odpadových vôd do 50 ekvivalentných obyvateľov vypúšťajú do povrchových vôd a je potrebné zabezpečiť možnosť odberu vzoriek pre kontrolu. Pri nutnosti vypúšťania vyčistených odpadových vôd z malých čistiarní odpadových vôd do 50 ekvivalentných obyvateľov do podzemných vôd je potrebné zabezpečiť možnosť odberu vzoriek pre kontrolu a  zrealizovať vsakovací objekt. Odber vzoriek pre kontrolu zabezpečuje revízny technik, ako osoba oprávnená na kontrolu stavu a funkčnosti malej čistiarne odpadových vôd do 50 ekvivalentných obyvateľov podľa § 53 ods. 2 vodného zákona. </w:t>
            </w:r>
          </w:p>
          <w:p w:rsidR="00C26AEF" w:rsidRPr="00C26AEF" w:rsidRDefault="00C26AEF" w:rsidP="00C26AEF">
            <w:pPr>
              <w:spacing w:after="120"/>
              <w:jc w:val="both"/>
              <w:rPr>
                <w:sz w:val="20"/>
                <w:szCs w:val="20"/>
              </w:rPr>
            </w:pPr>
            <w:r w:rsidRPr="00C26AEF">
              <w:rPr>
                <w:sz w:val="20"/>
                <w:szCs w:val="20"/>
              </w:rPr>
              <w:t xml:space="preserve">(8) Limitné hodnoty ukazovateľov znečistenia vypúšťaných splaškových odpadových vôd do povrchových vôd pre malé čistiarne odpadových vôd do 50 ekvivalentných obyvateľov sú uvedené v prílohe č. 6 v tabuľke časti A.1.1. </w:t>
            </w:r>
          </w:p>
          <w:p w:rsidR="00C26AEF" w:rsidRPr="00C26AEF" w:rsidRDefault="00C26AEF" w:rsidP="00C26AEF">
            <w:pPr>
              <w:spacing w:after="0" w:line="240" w:lineRule="auto"/>
              <w:jc w:val="both"/>
              <w:rPr>
                <w:sz w:val="20"/>
                <w:szCs w:val="20"/>
              </w:rPr>
            </w:pPr>
            <w:r w:rsidRPr="00C26AEF">
              <w:rPr>
                <w:sz w:val="20"/>
                <w:szCs w:val="20"/>
              </w:rPr>
              <w:t xml:space="preserve">(9) Limitné hodnoty ukazovateľov znečistenia vypúšťaných splaškových odpadových vôd do podzemných vôd </w:t>
            </w:r>
            <w:r w:rsidRPr="00C26AEF">
              <w:rPr>
                <w:b/>
                <w:color w:val="FF0000"/>
                <w:sz w:val="20"/>
                <w:szCs w:val="20"/>
              </w:rPr>
              <w:t xml:space="preserve"> </w:t>
            </w:r>
            <w:r w:rsidRPr="00C26AEF">
              <w:rPr>
                <w:sz w:val="20"/>
                <w:szCs w:val="20"/>
              </w:rPr>
              <w:t>pre malé čistiarne odpadových vôd do 50 ekvivalentných obyvateľov sú uvedené v prílohe č. 6 v tabuľke časti A.2.</w:t>
            </w:r>
          </w:p>
          <w:p w:rsidR="00C26AEF" w:rsidRPr="00C26AEF" w:rsidRDefault="00C26AEF" w:rsidP="00C26AEF">
            <w:pPr>
              <w:spacing w:after="0" w:line="240" w:lineRule="auto"/>
              <w:jc w:val="both"/>
              <w:rPr>
                <w:b/>
                <w:color w:val="FF0000"/>
                <w:sz w:val="20"/>
                <w:szCs w:val="20"/>
              </w:rPr>
            </w:pPr>
          </w:p>
          <w:p w:rsidR="00C26AEF" w:rsidRPr="00C26AEF" w:rsidRDefault="00C26AEF" w:rsidP="00C26AEF">
            <w:pPr>
              <w:spacing w:after="120"/>
              <w:jc w:val="both"/>
              <w:rPr>
                <w:sz w:val="20"/>
                <w:szCs w:val="20"/>
              </w:rPr>
            </w:pPr>
            <w:r w:rsidRPr="00C26AEF">
              <w:rPr>
                <w:sz w:val="20"/>
                <w:szCs w:val="20"/>
              </w:rPr>
              <w:t xml:space="preserve">(10) Prevádzku malej čistiarne odpadových vôd do 50 ekvivalentných obyvateľov vykonáva jej vlastník podľa rozhodnutia orgánu štátnej vodnej správy a podľa návodu uvedeného v prevádzkovom poriadku a doporučení od výrobcu. Prevádzka malej čistiarne odpadových vôd do 50 ekvivalentných obyvateľov zahŕňa pravidelnú kontrolu stavu a funkčnosti, údržbu, pravidelný odvoz kalu, evidenciu o odvoze kalu oprávnenou osobou a diaľkový monitoring funkčnosti. </w:t>
            </w:r>
          </w:p>
          <w:p w:rsidR="00C26AEF" w:rsidRPr="00C26AEF" w:rsidRDefault="00C26AEF" w:rsidP="00C26AEF">
            <w:pPr>
              <w:spacing w:after="120"/>
              <w:jc w:val="both"/>
              <w:rPr>
                <w:color w:val="FF0000"/>
                <w:sz w:val="20"/>
                <w:szCs w:val="20"/>
              </w:rPr>
            </w:pPr>
            <w:r w:rsidRPr="00C26AEF">
              <w:rPr>
                <w:sz w:val="20"/>
                <w:szCs w:val="20"/>
              </w:rPr>
              <w:t>(11) Na vykonávanie činnosti revízneho technika sa vyžaduje minimálne úplné stredné odborné vzdelanie technického alebo prírodovedného zamerania a najmenej päťročná odborná prax</w:t>
            </w:r>
            <w:r w:rsidRPr="00C26AEF">
              <w:rPr>
                <w:color w:val="FF0000"/>
                <w:sz w:val="20"/>
                <w:szCs w:val="20"/>
              </w:rPr>
              <w:t xml:space="preserve"> </w:t>
            </w:r>
            <w:r w:rsidRPr="00C26AEF">
              <w:rPr>
                <w:sz w:val="20"/>
                <w:szCs w:val="20"/>
              </w:rPr>
              <w:t xml:space="preserve">vo </w:t>
            </w:r>
            <w:r w:rsidRPr="00C26AEF">
              <w:rPr>
                <w:sz w:val="20"/>
                <w:szCs w:val="20"/>
              </w:rPr>
              <w:lastRenderedPageBreak/>
              <w:t xml:space="preserve">vodohospodárskom odvetví alebo obdobnom technickom odvetví. Odborné preškolenie vykonáva osoba poverená ministerstvom podľa § 53 ods. 1 písm. z) každé tri roky.  </w:t>
            </w:r>
            <w:r w:rsidRPr="00C26AEF">
              <w:rPr>
                <w:rFonts w:ascii="Times" w:hAnsi="Times" w:cs="Times"/>
                <w:sz w:val="20"/>
                <w:szCs w:val="20"/>
              </w:rPr>
              <w:t>Vzor osvedčenia pre revízneho technika je uvedený v prílohe č. 14a.</w:t>
            </w:r>
            <w:r w:rsidRPr="00C26AEF">
              <w:rPr>
                <w:sz w:val="20"/>
                <w:szCs w:val="20"/>
              </w:rPr>
              <w:t xml:space="preserve"> </w:t>
            </w:r>
          </w:p>
          <w:p w:rsidR="00C26AEF" w:rsidRPr="00C26AEF" w:rsidRDefault="00C26AEF" w:rsidP="00C26AEF">
            <w:pPr>
              <w:spacing w:after="120"/>
              <w:jc w:val="both"/>
              <w:rPr>
                <w:sz w:val="20"/>
                <w:szCs w:val="20"/>
              </w:rPr>
            </w:pPr>
            <w:r w:rsidRPr="00C26AEF">
              <w:rPr>
                <w:sz w:val="20"/>
                <w:szCs w:val="20"/>
              </w:rPr>
              <w:t xml:space="preserve"> (12)  Technická revízia podľa § 53 ods. 2 vodného zákona zahŕňa vizuálnu kontrolu celkového stavu súboru objektov a zariadení malej čistiarne odpadových vôd do 50 ekvivalentných obyvateľov, posúdenie spôsobu prevádzkovania malej čistiarne odpadových vôd do 50 ekvivalentných obyvateľov v súlade s rozhodnutím orgánu štátnej vodnej správy a kontrolu prevádzkového denníku. Výsledkom technickej revízie je protokol o technickej revízii malej čistiarne odpadových vôd do 50 ekvivalentných obyvateľov.</w:t>
            </w:r>
          </w:p>
          <w:p w:rsidR="00C26AEF" w:rsidRPr="00C26AEF" w:rsidRDefault="00C26AEF" w:rsidP="00C26AEF">
            <w:pPr>
              <w:spacing w:after="120"/>
              <w:jc w:val="both"/>
              <w:rPr>
                <w:bCs/>
                <w:sz w:val="20"/>
                <w:szCs w:val="20"/>
              </w:rPr>
            </w:pPr>
            <w:r w:rsidRPr="00C26AEF">
              <w:rPr>
                <w:color w:val="000000" w:themeColor="text1"/>
                <w:sz w:val="20"/>
                <w:szCs w:val="20"/>
              </w:rPr>
              <w:t xml:space="preserve">(13) </w:t>
            </w:r>
            <w:r w:rsidRPr="00C26AEF">
              <w:rPr>
                <w:sz w:val="20"/>
                <w:szCs w:val="20"/>
              </w:rPr>
              <w:t>Prevádzkový denník sa vedie vo forme písomného záznamu, elektronického záznamu alebo zoznamu zápisov</w:t>
            </w:r>
            <w:r w:rsidRPr="00C26AEF">
              <w:rPr>
                <w:bCs/>
                <w:sz w:val="20"/>
                <w:szCs w:val="20"/>
              </w:rPr>
              <w:t xml:space="preserve"> s uvedením dátumov o sledovaní prevádzky malej čistiarne odpadových vôd do 50 </w:t>
            </w:r>
            <w:r w:rsidRPr="00C26AEF">
              <w:rPr>
                <w:sz w:val="20"/>
                <w:szCs w:val="20"/>
              </w:rPr>
              <w:t>ekvivalentných obyvateľov.</w:t>
            </w:r>
            <w:r w:rsidRPr="00C26AEF">
              <w:rPr>
                <w:bCs/>
                <w:sz w:val="20"/>
                <w:szCs w:val="20"/>
              </w:rPr>
              <w:t xml:space="preserve"> Prevádzkový denník obsahuje záznam o</w:t>
            </w:r>
          </w:p>
          <w:p w:rsidR="00C26AEF" w:rsidRPr="00C26AEF" w:rsidRDefault="00C26AEF" w:rsidP="00C26AEF">
            <w:pPr>
              <w:spacing w:after="120"/>
              <w:ind w:left="284"/>
              <w:contextualSpacing/>
              <w:jc w:val="both"/>
              <w:rPr>
                <w:sz w:val="20"/>
                <w:szCs w:val="20"/>
              </w:rPr>
            </w:pPr>
            <w:r w:rsidRPr="00C26AEF">
              <w:rPr>
                <w:sz w:val="20"/>
                <w:szCs w:val="20"/>
              </w:rPr>
              <w:t>a) vykonaní údržby,</w:t>
            </w:r>
          </w:p>
          <w:p w:rsidR="00C26AEF" w:rsidRPr="00C26AEF" w:rsidRDefault="00C26AEF" w:rsidP="00C26AEF">
            <w:pPr>
              <w:spacing w:after="120"/>
              <w:ind w:left="284"/>
              <w:contextualSpacing/>
              <w:jc w:val="both"/>
              <w:rPr>
                <w:sz w:val="20"/>
                <w:szCs w:val="20"/>
              </w:rPr>
            </w:pPr>
            <w:r w:rsidRPr="00C26AEF">
              <w:rPr>
                <w:color w:val="000000" w:themeColor="text1"/>
                <w:sz w:val="20"/>
                <w:szCs w:val="20"/>
              </w:rPr>
              <w:t xml:space="preserve">b) </w:t>
            </w:r>
            <w:r w:rsidRPr="00C26AEF">
              <w:rPr>
                <w:sz w:val="20"/>
                <w:szCs w:val="20"/>
              </w:rPr>
              <w:t xml:space="preserve">vykonanom odbere vzorky  a protokol o skúške vzorky vyčistenej odpadovej vody z malej čistiarne odpadových vôd do 50 ekvivalentných obyvateľov, </w:t>
            </w:r>
          </w:p>
          <w:p w:rsidR="00C26AEF" w:rsidRPr="00C26AEF" w:rsidRDefault="00C26AEF" w:rsidP="00C26AEF">
            <w:pPr>
              <w:spacing w:after="120"/>
              <w:ind w:left="284"/>
              <w:contextualSpacing/>
              <w:jc w:val="both"/>
              <w:rPr>
                <w:color w:val="000000" w:themeColor="text1"/>
                <w:sz w:val="20"/>
                <w:szCs w:val="20"/>
              </w:rPr>
            </w:pPr>
            <w:r w:rsidRPr="00C26AEF">
              <w:rPr>
                <w:sz w:val="20"/>
                <w:szCs w:val="20"/>
              </w:rPr>
              <w:t xml:space="preserve">c) </w:t>
            </w:r>
            <w:r w:rsidRPr="00C26AEF">
              <w:rPr>
                <w:color w:val="000000" w:themeColor="text1"/>
                <w:sz w:val="20"/>
                <w:szCs w:val="20"/>
              </w:rPr>
              <w:t>odvoze kalu,</w:t>
            </w:r>
          </w:p>
          <w:p w:rsidR="00C26AEF" w:rsidRPr="00C26AEF" w:rsidRDefault="00C26AEF" w:rsidP="00C26AEF">
            <w:pPr>
              <w:spacing w:after="120"/>
              <w:ind w:left="284"/>
              <w:contextualSpacing/>
              <w:jc w:val="both"/>
              <w:rPr>
                <w:color w:val="000000" w:themeColor="text1"/>
                <w:sz w:val="20"/>
                <w:szCs w:val="20"/>
              </w:rPr>
            </w:pPr>
            <w:r w:rsidRPr="00C26AEF">
              <w:rPr>
                <w:color w:val="000000" w:themeColor="text1"/>
                <w:sz w:val="20"/>
                <w:szCs w:val="20"/>
              </w:rPr>
              <w:t>d) poruchách, vykonaných opravách a mimoriadnych udalostiach a zásahoch, ktoré sa vykonali na danom zariadení.</w:t>
            </w:r>
          </w:p>
          <w:p w:rsidR="00C26AEF" w:rsidRPr="00C26AEF" w:rsidRDefault="00C26AEF" w:rsidP="00C26AEF">
            <w:pPr>
              <w:spacing w:after="120"/>
              <w:ind w:left="720"/>
              <w:contextualSpacing/>
              <w:jc w:val="both"/>
              <w:rPr>
                <w:color w:val="000000" w:themeColor="text1"/>
                <w:sz w:val="20"/>
                <w:szCs w:val="20"/>
              </w:rPr>
            </w:pPr>
          </w:p>
          <w:p w:rsidR="0016305A" w:rsidRPr="00C26AEF" w:rsidRDefault="00C26AEF" w:rsidP="00C26AEF">
            <w:pPr>
              <w:spacing w:after="120"/>
              <w:jc w:val="both"/>
              <w:rPr>
                <w:sz w:val="20"/>
                <w:szCs w:val="20"/>
              </w:rPr>
            </w:pPr>
            <w:r w:rsidRPr="00C26AEF">
              <w:rPr>
                <w:sz w:val="20"/>
                <w:szCs w:val="20"/>
              </w:rPr>
              <w:t>(14) Odvoz kalu zabezpečuje vlastník malej čistiarne odpadových vôd do 50 ekvivalentných obyvateľov prostredníctvom oprávnenej osoby podľa § 36 ods. 4 vodného zákona, ktorá zabezpečuje odvoz odpadových vôd a kalu do čistiarne odpadových vôd.</w:t>
            </w:r>
          </w:p>
          <w:p w:rsidR="000B4F11" w:rsidRPr="00C26AEF" w:rsidRDefault="000B4F11" w:rsidP="0016305A">
            <w:pPr>
              <w:jc w:val="both"/>
              <w:rPr>
                <w:sz w:val="20"/>
                <w:szCs w:val="20"/>
              </w:rPr>
            </w:pPr>
            <w:r w:rsidRPr="00C26AEF">
              <w:rPr>
                <w:sz w:val="20"/>
                <w:szCs w:val="20"/>
              </w:rPr>
              <w:t>Poznámka pod čiarou k odkazu 3a znie:</w:t>
            </w:r>
          </w:p>
          <w:p w:rsidR="000B4F11" w:rsidRPr="00C26AEF" w:rsidRDefault="000B4F11" w:rsidP="000B4F11">
            <w:pPr>
              <w:pStyle w:val="Normlnywebov"/>
              <w:shd w:val="clear" w:color="auto" w:fill="FFFFFF"/>
              <w:spacing w:before="192" w:after="96"/>
              <w:jc w:val="both"/>
              <w:rPr>
                <w:b/>
                <w:bCs/>
                <w:color w:val="000000"/>
                <w:sz w:val="20"/>
                <w:szCs w:val="20"/>
              </w:rPr>
            </w:pPr>
            <w:r w:rsidRPr="00C26AEF">
              <w:rPr>
                <w:sz w:val="20"/>
                <w:szCs w:val="20"/>
              </w:rPr>
              <w:lastRenderedPageBreak/>
              <w:t>„</w:t>
            </w:r>
            <w:r w:rsidRPr="00C26AEF">
              <w:rPr>
                <w:sz w:val="20"/>
                <w:szCs w:val="20"/>
                <w:vertAlign w:val="superscript"/>
              </w:rPr>
              <w:t>3a</w:t>
            </w:r>
            <w:r w:rsidRPr="00C26AEF">
              <w:rPr>
                <w:sz w:val="20"/>
                <w:szCs w:val="20"/>
              </w:rPr>
              <w:t>) Čl. 4 až 6 n</w:t>
            </w:r>
            <w:r w:rsidRPr="00C26AEF">
              <w:rPr>
                <w:bCs/>
                <w:sz w:val="20"/>
                <w:szCs w:val="20"/>
              </w:rPr>
              <w:t>ariadenia</w:t>
            </w:r>
            <w:r w:rsidRPr="00C26AEF">
              <w:rPr>
                <w:sz w:val="20"/>
                <w:szCs w:val="20"/>
              </w:rPr>
              <w:t xml:space="preserve"> Európskeho parlamentu a Rady (EÚ) č. 305/2011 z 9. marca 2011, ktorým sa ustanovujú harmonizované podmienky uvádzania stavebných výrobkov na trh a ktorým sa ruší smernica Rady 89/106/EHS </w:t>
            </w:r>
            <w:r w:rsidRPr="00C26AEF">
              <w:rPr>
                <w:rFonts w:eastAsia="Segoe UI"/>
                <w:sz w:val="20"/>
                <w:szCs w:val="20"/>
                <w:shd w:val="clear" w:color="auto" w:fill="FFFFFF"/>
              </w:rPr>
              <w:t>(Ú. v. EÚ L 88, 4.4. 2011).</w:t>
            </w:r>
            <w:r w:rsidRPr="00C26AEF">
              <w:rPr>
                <w:sz w:val="20"/>
                <w:szCs w:val="20"/>
              </w:rPr>
              <w:t>“</w:t>
            </w:r>
            <w:r w:rsidRPr="00C26AEF">
              <w:rPr>
                <w:rFonts w:eastAsia="Segoe UI"/>
                <w:sz w:val="20"/>
                <w:szCs w:val="20"/>
                <w:shd w:val="clear" w:color="auto" w:fill="FFFFFF"/>
              </w:rPr>
              <w:t>.</w:t>
            </w:r>
          </w:p>
          <w:p w:rsidR="00EB585E" w:rsidRPr="00C26AEF" w:rsidRDefault="00EB585E" w:rsidP="000B4F11">
            <w:pPr>
              <w:spacing w:after="120"/>
              <w:jc w:val="both"/>
              <w:rPr>
                <w:b/>
                <w:bCs/>
                <w:color w:val="000000"/>
                <w:sz w:val="20"/>
                <w:szCs w:val="20"/>
              </w:rPr>
            </w:pPr>
          </w:p>
          <w:p w:rsidR="00D100A5" w:rsidRPr="00C26AEF" w:rsidRDefault="00D100A5">
            <w:pPr>
              <w:spacing w:after="0" w:line="240" w:lineRule="auto"/>
              <w:jc w:val="both"/>
              <w:rPr>
                <w:sz w:val="20"/>
                <w:szCs w:val="20"/>
                <w:lang w:eastAsia="sk-SK"/>
              </w:rPr>
            </w:pPr>
          </w:p>
          <w:p w:rsidR="00D100A5" w:rsidRPr="00C26AEF" w:rsidRDefault="00D100A5">
            <w:pPr>
              <w:spacing w:after="0" w:line="240" w:lineRule="auto"/>
              <w:jc w:val="both"/>
              <w:rPr>
                <w:sz w:val="20"/>
                <w:szCs w:val="20"/>
                <w:lang w:eastAsia="sk-SK"/>
              </w:rPr>
            </w:pPr>
          </w:p>
          <w:p w:rsidR="0016305A" w:rsidRPr="00C26AEF" w:rsidRDefault="00EB585E" w:rsidP="00C26AEF">
            <w:pPr>
              <w:jc w:val="both"/>
              <w:rPr>
                <w:bCs/>
                <w:sz w:val="20"/>
                <w:szCs w:val="20"/>
              </w:rPr>
            </w:pPr>
            <w:r w:rsidRPr="00C26AEF">
              <w:rPr>
                <w:bCs/>
                <w:sz w:val="20"/>
                <w:szCs w:val="20"/>
              </w:rPr>
              <w:t xml:space="preserve"> </w:t>
            </w:r>
            <w:r w:rsidR="0016305A" w:rsidRPr="00C26AEF">
              <w:rPr>
                <w:bCs/>
                <w:sz w:val="20"/>
                <w:szCs w:val="20"/>
              </w:rPr>
              <w:t>(1) Požiadavky o kategóriách, minimálnej účinnosti, limitných hodnotách ukazovateľov znečistenia vypúšťaných splaškových odpadových vôd do povrchových vôd a do podzemných vôd, prevádzke, prevádzkovom denníku a revíznom technikovi na kontrolu stavu a funkčnosti malej čistiarne odpadových vôd do 50 ekvivalentných obyvateľov sa uvedú do súladu so znením účinným od 1. mája 2022 najneskôr do 1. januára 2024, inak je prevádzka malej čistiarne odpadových vôd do 50 ekvivalentných obyvateľov v rozpore so zákonom.</w:t>
            </w:r>
          </w:p>
          <w:p w:rsidR="0016305A" w:rsidRPr="00C26AEF" w:rsidRDefault="0016305A" w:rsidP="0016305A">
            <w:pPr>
              <w:spacing w:after="0" w:line="240" w:lineRule="auto"/>
              <w:jc w:val="both"/>
              <w:rPr>
                <w:sz w:val="20"/>
                <w:szCs w:val="20"/>
                <w:lang w:eastAsia="sk-SK"/>
              </w:rPr>
            </w:pPr>
          </w:p>
          <w:p w:rsidR="008E60E3" w:rsidRPr="00C26AEF" w:rsidRDefault="00814BE6">
            <w:pPr>
              <w:spacing w:after="0" w:line="240" w:lineRule="auto"/>
              <w:jc w:val="both"/>
              <w:rPr>
                <w:sz w:val="20"/>
                <w:szCs w:val="20"/>
                <w:lang w:eastAsia="sk-SK"/>
              </w:rPr>
            </w:pPr>
            <w:r w:rsidRPr="00C26AEF">
              <w:rPr>
                <w:sz w:val="20"/>
                <w:szCs w:val="20"/>
                <w:lang w:eastAsia="sk-SK"/>
              </w:rPr>
              <w:t>Časť A.1.1</w:t>
            </w:r>
          </w:p>
          <w:p w:rsidR="0016305A" w:rsidRPr="00C26AEF" w:rsidRDefault="0016305A" w:rsidP="0016305A">
            <w:pPr>
              <w:jc w:val="both"/>
              <w:rPr>
                <w:color w:val="FF0000"/>
                <w:sz w:val="20"/>
                <w:szCs w:val="20"/>
              </w:rPr>
            </w:pPr>
            <w:r w:rsidRPr="00C26AEF">
              <w:rPr>
                <w:sz w:val="20"/>
                <w:szCs w:val="20"/>
              </w:rPr>
              <w:t>Limitné hodnoty ukazovateľov znečistenia vypúšťaných splaškových odpadových vôd do povrchových vôd pre malé čistiarne odpadových vôd do 50 EO</w:t>
            </w:r>
          </w:p>
          <w:p w:rsidR="008E60E3" w:rsidRPr="00C26AEF" w:rsidRDefault="008E60E3">
            <w:pPr>
              <w:spacing w:after="0" w:line="240" w:lineRule="auto"/>
              <w:jc w:val="both"/>
              <w:rPr>
                <w:sz w:val="20"/>
                <w:szCs w:val="20"/>
                <w:lang w:eastAsia="sk-SK"/>
              </w:rPr>
            </w:pPr>
          </w:p>
          <w:p w:rsidR="00EB585E" w:rsidRPr="00C26AEF" w:rsidRDefault="00EB585E">
            <w:pPr>
              <w:spacing w:after="0" w:line="240" w:lineRule="auto"/>
              <w:jc w:val="both"/>
              <w:rPr>
                <w:sz w:val="20"/>
                <w:szCs w:val="20"/>
                <w:lang w:eastAsia="sk-SK"/>
              </w:rPr>
            </w:pPr>
          </w:p>
          <w:p w:rsidR="00EB585E" w:rsidRPr="00C26AEF" w:rsidRDefault="00EB585E">
            <w:pPr>
              <w:spacing w:after="0" w:line="240" w:lineRule="auto"/>
              <w:jc w:val="both"/>
              <w:rPr>
                <w:sz w:val="20"/>
                <w:szCs w:val="20"/>
                <w:lang w:eastAsia="sk-SK"/>
              </w:rPr>
            </w:pPr>
          </w:p>
          <w:p w:rsidR="008E60E3" w:rsidRPr="00C26AEF" w:rsidRDefault="00814BE6">
            <w:pPr>
              <w:spacing w:after="0" w:line="240" w:lineRule="auto"/>
              <w:jc w:val="both"/>
              <w:rPr>
                <w:sz w:val="20"/>
                <w:szCs w:val="20"/>
                <w:lang w:eastAsia="sk-SK"/>
              </w:rPr>
            </w:pPr>
            <w:r w:rsidRPr="00C26AEF">
              <w:rPr>
                <w:sz w:val="20"/>
                <w:szCs w:val="20"/>
                <w:lang w:eastAsia="sk-SK"/>
              </w:rPr>
              <w:t>Časť A.2</w:t>
            </w:r>
          </w:p>
          <w:p w:rsidR="0016305A" w:rsidRPr="00C26AEF" w:rsidRDefault="0016305A" w:rsidP="0016305A">
            <w:pPr>
              <w:spacing w:after="0" w:line="240" w:lineRule="auto"/>
              <w:jc w:val="both"/>
              <w:rPr>
                <w:color w:val="FF0000"/>
                <w:sz w:val="20"/>
                <w:szCs w:val="20"/>
              </w:rPr>
            </w:pPr>
            <w:r w:rsidRPr="00C26AEF">
              <w:rPr>
                <w:sz w:val="20"/>
                <w:szCs w:val="20"/>
              </w:rPr>
              <w:t>Limitné hodnoty ukazovateľov znečistenia vypúšťaných splaškových odpadových vôd  do podzemných vôd pre malé čistiarne odpadových vôd do 50 EO</w:t>
            </w:r>
          </w:p>
          <w:p w:rsidR="008E60E3" w:rsidRPr="00C26AEF" w:rsidRDefault="008E60E3">
            <w:pPr>
              <w:spacing w:after="0" w:line="240" w:lineRule="auto"/>
              <w:jc w:val="both"/>
              <w:rPr>
                <w:sz w:val="20"/>
                <w:szCs w:val="20"/>
                <w:lang w:eastAsia="sk-SK"/>
              </w:rPr>
            </w:pPr>
          </w:p>
          <w:p w:rsidR="00EB585E" w:rsidRPr="00C26AEF" w:rsidRDefault="00EB585E">
            <w:pPr>
              <w:spacing w:after="0" w:line="240" w:lineRule="auto"/>
              <w:jc w:val="both"/>
              <w:rPr>
                <w:sz w:val="20"/>
                <w:szCs w:val="20"/>
                <w:lang w:eastAsia="sk-SK"/>
              </w:rPr>
            </w:pPr>
          </w:p>
          <w:p w:rsidR="00EB585E" w:rsidRPr="00C26AEF" w:rsidRDefault="00EB585E">
            <w:pPr>
              <w:spacing w:after="0" w:line="240" w:lineRule="auto"/>
              <w:jc w:val="both"/>
              <w:rPr>
                <w:sz w:val="20"/>
                <w:szCs w:val="20"/>
                <w:lang w:eastAsia="sk-SK"/>
              </w:rPr>
            </w:pPr>
          </w:p>
          <w:p w:rsidR="008E60E3" w:rsidRPr="00C26AEF" w:rsidRDefault="00814BE6">
            <w:pPr>
              <w:spacing w:after="0" w:line="240" w:lineRule="auto"/>
              <w:jc w:val="both"/>
              <w:rPr>
                <w:sz w:val="20"/>
                <w:szCs w:val="20"/>
                <w:lang w:eastAsia="sk-SK"/>
              </w:rPr>
            </w:pPr>
            <w:r w:rsidRPr="00C26AEF">
              <w:rPr>
                <w:sz w:val="20"/>
                <w:szCs w:val="20"/>
                <w:lang w:eastAsia="sk-SK"/>
              </w:rPr>
              <w:t>Časť A.1</w:t>
            </w:r>
          </w:p>
          <w:p w:rsidR="00DD7048" w:rsidRPr="00C26AEF" w:rsidRDefault="00DD7048" w:rsidP="00DD7048">
            <w:pPr>
              <w:jc w:val="both"/>
              <w:rPr>
                <w:sz w:val="20"/>
                <w:szCs w:val="20"/>
              </w:rPr>
            </w:pPr>
            <w:r w:rsidRPr="00C26AEF">
              <w:rPr>
                <w:bCs/>
                <w:sz w:val="20"/>
                <w:szCs w:val="20"/>
              </w:rPr>
              <w:t xml:space="preserve">Prevádzka </w:t>
            </w:r>
            <w:r w:rsidRPr="00C26AEF">
              <w:rPr>
                <w:sz w:val="20"/>
                <w:szCs w:val="20"/>
              </w:rPr>
              <w:t xml:space="preserve">intenzívnych a extenzívnych malých čistiarní odpadových vôd do 50 ekvivalentných obyvateľov musí spĺňať </w:t>
            </w:r>
            <w:r w:rsidRPr="00C26AEF">
              <w:rPr>
                <w:sz w:val="20"/>
                <w:szCs w:val="20"/>
              </w:rPr>
              <w:lastRenderedPageBreak/>
              <w:t>limitné hodnoty ukazovateľov podľa prílohy č. 6 tabuľka časti A.1.1 a časti A.2.</w:t>
            </w:r>
          </w:p>
          <w:p w:rsidR="00DD7048" w:rsidRPr="00C26AEF" w:rsidRDefault="00DD7048" w:rsidP="00DD7048">
            <w:pPr>
              <w:ind w:left="35" w:hanging="35"/>
              <w:jc w:val="both"/>
              <w:rPr>
                <w:sz w:val="20"/>
                <w:szCs w:val="20"/>
              </w:rPr>
            </w:pPr>
            <w:r w:rsidRPr="00C26AEF">
              <w:rPr>
                <w:sz w:val="20"/>
                <w:szCs w:val="20"/>
              </w:rPr>
              <w:t xml:space="preserve">Kategória I:  </w:t>
            </w:r>
            <w:r w:rsidRPr="00C26AEF">
              <w:rPr>
                <w:bCs/>
                <w:sz w:val="20"/>
                <w:szCs w:val="20"/>
              </w:rPr>
              <w:t>Kategória spĺňajúca minimálne požiadavky orgánu štátnej vodnej správy na vypúšťanie do povrchových vôd a podzemných vôd pre väčšinu lokalít s odstránením organického znečistenia. Prevádzka i</w:t>
            </w:r>
            <w:r w:rsidRPr="00C26AEF">
              <w:rPr>
                <w:sz w:val="20"/>
                <w:szCs w:val="20"/>
              </w:rPr>
              <w:t>ntenzívnych a extenzívnych malých čistiarní odpadových vôd do 50 ekvivalentných obyvateľov musí spĺňať limitné hodnoty ukazovateľov podľa prílohy č. 6 tabuľka časti A.1.1 a časti A.2.</w:t>
            </w:r>
            <w:r w:rsidRPr="00C26AEF">
              <w:rPr>
                <w:sz w:val="20"/>
                <w:szCs w:val="20"/>
              </w:rPr>
              <w:br/>
            </w:r>
            <w:r w:rsidRPr="00C26AEF">
              <w:rPr>
                <w:bCs/>
                <w:sz w:val="20"/>
                <w:szCs w:val="20"/>
              </w:rPr>
              <w:t xml:space="preserve">Pre intenzívne </w:t>
            </w:r>
            <w:r w:rsidRPr="00C26AEF">
              <w:rPr>
                <w:sz w:val="20"/>
                <w:szCs w:val="20"/>
              </w:rPr>
              <w:t>malé čistiarne odpadových vôd do 50 ekvivalentných obyvateľov</w:t>
            </w:r>
            <w:r w:rsidRPr="00C26AEF">
              <w:rPr>
                <w:bCs/>
                <w:sz w:val="20"/>
                <w:szCs w:val="20"/>
              </w:rPr>
              <w:t xml:space="preserve"> musí byť doložené vyhlásenie o parametroch podľa technickej normy alebo inej obdobnej technickej špecifikácie s porovnateľnými alebo prísnejšími požiadavkami,</w:t>
            </w:r>
            <w:r w:rsidRPr="00C26AEF">
              <w:rPr>
                <w:bCs/>
                <w:sz w:val="20"/>
                <w:szCs w:val="20"/>
                <w:vertAlign w:val="superscript"/>
              </w:rPr>
              <w:t>1</w:t>
            </w:r>
            <w:r w:rsidRPr="00C26AEF">
              <w:rPr>
                <w:bCs/>
                <w:sz w:val="20"/>
                <w:szCs w:val="20"/>
              </w:rPr>
              <w:t>)</w:t>
            </w:r>
            <w:r w:rsidRPr="00C26AEF">
              <w:rPr>
                <w:sz w:val="20"/>
                <w:szCs w:val="20"/>
              </w:rPr>
              <w:t xml:space="preserve"> kde je potvrdená požadovaná účinnosť odstránenia organického znečistenia BSK</w:t>
            </w:r>
            <w:r w:rsidRPr="00C26AEF">
              <w:rPr>
                <w:sz w:val="20"/>
                <w:szCs w:val="20"/>
                <w:vertAlign w:val="subscript"/>
              </w:rPr>
              <w:t>5</w:t>
            </w:r>
            <w:r w:rsidRPr="00C26AEF">
              <w:rPr>
                <w:sz w:val="20"/>
                <w:szCs w:val="20"/>
              </w:rPr>
              <w:t xml:space="preserve"> podľa tabuľky časti A.2.1 a tabuľky časti A.2.2.</w:t>
            </w:r>
          </w:p>
          <w:p w:rsidR="00DD7048" w:rsidRPr="00C26AEF" w:rsidRDefault="00DD7048" w:rsidP="00DD7048">
            <w:pPr>
              <w:ind w:left="35" w:hanging="35"/>
              <w:jc w:val="both"/>
              <w:rPr>
                <w:sz w:val="20"/>
                <w:szCs w:val="20"/>
              </w:rPr>
            </w:pPr>
            <w:r w:rsidRPr="00C26AEF">
              <w:rPr>
                <w:sz w:val="20"/>
                <w:szCs w:val="20"/>
              </w:rPr>
              <w:t xml:space="preserve">Kategória II: Kategória spĺňajúca zvýšené požiadavky orgánu štátnej vodnej správy na vypúšťanie do povrchových vôd a podzemných vôd v oblastiach, kde je vzhľadom na potrebu zvýšenej ochrany vôd nutné limitovať koncentráciu amoniakálneho znečistenia. </w:t>
            </w:r>
            <w:r w:rsidRPr="00C26AEF">
              <w:rPr>
                <w:bCs/>
                <w:sz w:val="20"/>
                <w:szCs w:val="20"/>
              </w:rPr>
              <w:t>Prevádzka i</w:t>
            </w:r>
            <w:r w:rsidRPr="00C26AEF">
              <w:rPr>
                <w:sz w:val="20"/>
                <w:szCs w:val="20"/>
              </w:rPr>
              <w:t xml:space="preserve">ntenzívnych a extenzívnych malých čistiarní odpadových vôd do 50 ekvivalentných obyvateľov musí spĺňať limitné hodnoty ukazovateľov podľa prílohy č. 6 tabuľka časti A.1.1 a časti A.2. </w:t>
            </w:r>
            <w:r w:rsidRPr="00C26AEF">
              <w:rPr>
                <w:bCs/>
                <w:sz w:val="20"/>
                <w:szCs w:val="20"/>
              </w:rPr>
              <w:t xml:space="preserve">Pre intenzívne </w:t>
            </w:r>
            <w:r w:rsidRPr="00C26AEF">
              <w:rPr>
                <w:sz w:val="20"/>
                <w:szCs w:val="20"/>
              </w:rPr>
              <w:t>malé čistiarne odpadových vôd do 50 ekvivalentných obyvateľov</w:t>
            </w:r>
            <w:r w:rsidRPr="00C26AEF">
              <w:rPr>
                <w:bCs/>
                <w:sz w:val="20"/>
                <w:szCs w:val="20"/>
              </w:rPr>
              <w:t xml:space="preserve"> musí byť doložené vyhlásenie o parametroch podľa technickej normy alebo inej obdobnej technickej špecifikácie s porovnateľnými alebo prísnejšími požiadavkami</w:t>
            </w:r>
            <w:r w:rsidRPr="00C26AEF">
              <w:rPr>
                <w:bCs/>
                <w:sz w:val="20"/>
                <w:szCs w:val="20"/>
                <w:vertAlign w:val="superscript"/>
              </w:rPr>
              <w:t>1</w:t>
            </w:r>
            <w:r w:rsidRPr="00C26AEF">
              <w:rPr>
                <w:bCs/>
                <w:sz w:val="20"/>
                <w:szCs w:val="20"/>
              </w:rPr>
              <w:t>)</w:t>
            </w:r>
            <w:r w:rsidRPr="00C26AEF">
              <w:rPr>
                <w:sz w:val="20"/>
                <w:szCs w:val="20"/>
              </w:rPr>
              <w:t>, kde  je potvrdená požadovaná účinnosť odstránenia organického znečistenia BSK</w:t>
            </w:r>
            <w:r w:rsidRPr="00C26AEF">
              <w:rPr>
                <w:sz w:val="20"/>
                <w:szCs w:val="20"/>
                <w:vertAlign w:val="subscript"/>
              </w:rPr>
              <w:t>5</w:t>
            </w:r>
            <w:r w:rsidRPr="00C26AEF">
              <w:rPr>
                <w:sz w:val="20"/>
                <w:szCs w:val="20"/>
              </w:rPr>
              <w:t>, nerozpustených látok a N-NH</w:t>
            </w:r>
            <w:r w:rsidRPr="00C26AEF">
              <w:rPr>
                <w:sz w:val="20"/>
                <w:szCs w:val="20"/>
                <w:vertAlign w:val="subscript"/>
              </w:rPr>
              <w:t xml:space="preserve">4 </w:t>
            </w:r>
            <w:r w:rsidRPr="00C26AEF">
              <w:rPr>
                <w:sz w:val="20"/>
                <w:szCs w:val="20"/>
              </w:rPr>
              <w:t xml:space="preserve">podľa tabuľky časti A.2.1 a tabuľky časti A.2.2. </w:t>
            </w:r>
          </w:p>
          <w:p w:rsidR="00EB585E" w:rsidRPr="00C26AEF" w:rsidRDefault="00DD7048" w:rsidP="00DD7048">
            <w:pPr>
              <w:ind w:left="35" w:hanging="35"/>
              <w:jc w:val="both"/>
              <w:rPr>
                <w:sz w:val="20"/>
                <w:szCs w:val="20"/>
              </w:rPr>
            </w:pPr>
            <w:r w:rsidRPr="00C26AEF">
              <w:rPr>
                <w:sz w:val="20"/>
                <w:szCs w:val="20"/>
              </w:rPr>
              <w:lastRenderedPageBreak/>
              <w:t>Kategória III: Kategória spĺňajúca zvýšené požiadavky orgánu štátnej vodnej správy na vypúšťanie do povrchových vôd a podzemných vôd napr. v chránených vodohospodárskych oblastiach</w:t>
            </w:r>
            <w:r w:rsidRPr="00C26AEF">
              <w:rPr>
                <w:sz w:val="20"/>
                <w:szCs w:val="20"/>
                <w:vertAlign w:val="superscript"/>
              </w:rPr>
              <w:t>2</w:t>
            </w:r>
            <w:r w:rsidRPr="00C26AEF">
              <w:rPr>
                <w:sz w:val="20"/>
                <w:szCs w:val="20"/>
              </w:rPr>
              <w:t xml:space="preserve">) s požiadavkou na zníženie koncentrácie celkového dusíka, aby nemohlo dôjsť k narušeniu ekosystému a k nežiadúcemu stavu kvality povrchových vôd a podzemných vôd. </w:t>
            </w:r>
            <w:r w:rsidRPr="00C26AEF">
              <w:rPr>
                <w:bCs/>
                <w:sz w:val="20"/>
                <w:szCs w:val="20"/>
              </w:rPr>
              <w:t>Prevádzka i</w:t>
            </w:r>
            <w:r w:rsidRPr="00C26AEF">
              <w:rPr>
                <w:sz w:val="20"/>
                <w:szCs w:val="20"/>
              </w:rPr>
              <w:t xml:space="preserve">ntenzívnych a extenzívnych malých čistiarní odpadových vôd do 50 ekvivalentných obyvateľov musí spĺňať limitné hodnoty ukazovateľov podľa prílohy č. 6 tabuľka časti A.1.1 a časti A.2. </w:t>
            </w:r>
            <w:r w:rsidRPr="00C26AEF">
              <w:rPr>
                <w:bCs/>
                <w:sz w:val="20"/>
                <w:szCs w:val="20"/>
              </w:rPr>
              <w:t xml:space="preserve">Pre intenzívne </w:t>
            </w:r>
            <w:r w:rsidRPr="00C26AEF">
              <w:rPr>
                <w:sz w:val="20"/>
                <w:szCs w:val="20"/>
              </w:rPr>
              <w:t>malé čistiarne odpadových vôd do 50 ekvivalentných obyvateľov</w:t>
            </w:r>
            <w:r w:rsidRPr="00C26AEF">
              <w:rPr>
                <w:bCs/>
                <w:sz w:val="20"/>
                <w:szCs w:val="20"/>
              </w:rPr>
              <w:t xml:space="preserve"> musí byť doložené vyhlásenie o parametroch podľa technickej normy alebo inej obdobnej technickej špecifikácie s porovnateľnými alebo prísnejšími požiadavkami</w:t>
            </w:r>
            <w:r w:rsidRPr="00C26AEF">
              <w:rPr>
                <w:bCs/>
                <w:sz w:val="20"/>
                <w:szCs w:val="20"/>
                <w:vertAlign w:val="superscript"/>
              </w:rPr>
              <w:t>1</w:t>
            </w:r>
            <w:r w:rsidRPr="00C26AEF">
              <w:rPr>
                <w:bCs/>
                <w:sz w:val="20"/>
                <w:szCs w:val="20"/>
              </w:rPr>
              <w:t>)</w:t>
            </w:r>
            <w:r w:rsidRPr="00C26AEF">
              <w:rPr>
                <w:sz w:val="20"/>
                <w:szCs w:val="20"/>
              </w:rPr>
              <w:t>, kde je potvrdená požadovaná účinnosť odstránenia organického znečistenia BSK</w:t>
            </w:r>
            <w:r w:rsidRPr="00C26AEF">
              <w:rPr>
                <w:sz w:val="20"/>
                <w:szCs w:val="20"/>
                <w:vertAlign w:val="subscript"/>
              </w:rPr>
              <w:t>5</w:t>
            </w:r>
            <w:r w:rsidRPr="00C26AEF">
              <w:rPr>
                <w:sz w:val="20"/>
                <w:szCs w:val="20"/>
              </w:rPr>
              <w:t>,</w:t>
            </w:r>
            <w:r w:rsidRPr="00C26AEF">
              <w:rPr>
                <w:sz w:val="20"/>
                <w:szCs w:val="20"/>
                <w:vertAlign w:val="subscript"/>
              </w:rPr>
              <w:t xml:space="preserve"> </w:t>
            </w:r>
            <w:r w:rsidRPr="00C26AEF">
              <w:rPr>
                <w:sz w:val="20"/>
                <w:szCs w:val="20"/>
              </w:rPr>
              <w:t xml:space="preserve"> nerozpustených látok, N-NH</w:t>
            </w:r>
            <w:r w:rsidRPr="00C26AEF">
              <w:rPr>
                <w:sz w:val="20"/>
                <w:szCs w:val="20"/>
                <w:vertAlign w:val="subscript"/>
              </w:rPr>
              <w:t>4</w:t>
            </w:r>
            <w:r w:rsidRPr="00C26AEF">
              <w:rPr>
                <w:sz w:val="20"/>
                <w:szCs w:val="20"/>
              </w:rPr>
              <w:t xml:space="preserve"> a N</w:t>
            </w:r>
            <w:r w:rsidRPr="00C26AEF">
              <w:rPr>
                <w:sz w:val="20"/>
                <w:szCs w:val="20"/>
                <w:vertAlign w:val="subscript"/>
              </w:rPr>
              <w:t>celk</w:t>
            </w:r>
            <w:r w:rsidRPr="00C26AEF">
              <w:rPr>
                <w:sz w:val="20"/>
                <w:szCs w:val="20"/>
              </w:rPr>
              <w:t xml:space="preserve"> podľa tabuľky časti A.2.1 a  časti A.2.2.</w:t>
            </w:r>
          </w:p>
          <w:p w:rsidR="00EB585E" w:rsidRPr="00C26AEF" w:rsidRDefault="00EB585E">
            <w:pPr>
              <w:spacing w:after="0" w:line="240" w:lineRule="auto"/>
              <w:jc w:val="both"/>
              <w:rPr>
                <w:sz w:val="20"/>
                <w:szCs w:val="20"/>
                <w:lang w:eastAsia="sk-SK"/>
              </w:rPr>
            </w:pPr>
          </w:p>
          <w:p w:rsidR="008E60E3" w:rsidRPr="00C26AEF" w:rsidRDefault="00814BE6">
            <w:pPr>
              <w:spacing w:after="0" w:line="240" w:lineRule="auto"/>
              <w:jc w:val="both"/>
              <w:rPr>
                <w:sz w:val="20"/>
                <w:szCs w:val="20"/>
                <w:lang w:eastAsia="sk-SK"/>
              </w:rPr>
            </w:pPr>
            <w:r w:rsidRPr="00C26AEF">
              <w:rPr>
                <w:sz w:val="20"/>
                <w:szCs w:val="20"/>
                <w:lang w:eastAsia="sk-SK"/>
              </w:rPr>
              <w:t>Časť A.2.1</w:t>
            </w:r>
          </w:p>
          <w:p w:rsidR="008E60E3" w:rsidRPr="00C26AEF" w:rsidRDefault="0016305A" w:rsidP="0016305A">
            <w:pPr>
              <w:jc w:val="both"/>
              <w:rPr>
                <w:sz w:val="20"/>
                <w:szCs w:val="20"/>
              </w:rPr>
            </w:pPr>
            <w:r w:rsidRPr="00C26AEF">
              <w:rPr>
                <w:sz w:val="20"/>
                <w:szCs w:val="20"/>
              </w:rPr>
              <w:t>Minimálne účinnosti čistenia malých čistiarní odpadových vôd do 50 ekvivalentných obyvateľov pre kategórie výrobkov  označovaných CE v percentách pre vypúšťanie vyčistených odpadových vôd do povrchových vôd.</w:t>
            </w:r>
          </w:p>
          <w:p w:rsidR="00EB585E" w:rsidRPr="00C26AEF" w:rsidRDefault="00EB585E">
            <w:pPr>
              <w:spacing w:after="0" w:line="240" w:lineRule="auto"/>
              <w:jc w:val="both"/>
              <w:rPr>
                <w:sz w:val="20"/>
                <w:szCs w:val="20"/>
                <w:lang w:eastAsia="sk-SK"/>
              </w:rPr>
            </w:pPr>
          </w:p>
          <w:p w:rsidR="008E60E3" w:rsidRPr="00C26AEF" w:rsidRDefault="00814BE6">
            <w:pPr>
              <w:spacing w:after="0" w:line="240" w:lineRule="auto"/>
              <w:jc w:val="both"/>
              <w:rPr>
                <w:sz w:val="20"/>
                <w:szCs w:val="20"/>
                <w:lang w:eastAsia="sk-SK"/>
              </w:rPr>
            </w:pPr>
            <w:r w:rsidRPr="00C26AEF">
              <w:rPr>
                <w:sz w:val="20"/>
                <w:szCs w:val="20"/>
                <w:lang w:eastAsia="sk-SK"/>
              </w:rPr>
              <w:t>Časť A.2.2</w:t>
            </w:r>
          </w:p>
          <w:p w:rsidR="008E60E3" w:rsidRPr="00C26AEF" w:rsidRDefault="0016305A" w:rsidP="00C26AEF">
            <w:pPr>
              <w:jc w:val="both"/>
              <w:rPr>
                <w:sz w:val="20"/>
                <w:szCs w:val="20"/>
              </w:rPr>
            </w:pPr>
            <w:r w:rsidRPr="00C26AEF">
              <w:rPr>
                <w:sz w:val="20"/>
                <w:szCs w:val="20"/>
              </w:rPr>
              <w:t>Minimálne účinnosti čistenia malých čistiarní odpadových vôd do 50 ekvivalentných obyvateľov pre kategórie výrobkov označovaných CE v percentách pre vypúšťanie vyčistených odpadových vôd do podzemných vôd</w:t>
            </w:r>
            <w:r w:rsidR="00C26AEF" w:rsidRPr="00C26AEF">
              <w:rPr>
                <w:sz w:val="20"/>
                <w:szCs w:val="20"/>
              </w:rPr>
              <w:t>.</w:t>
            </w:r>
          </w:p>
        </w:tc>
        <w:tc>
          <w:tcPr>
            <w:tcW w:w="396" w:type="dxa"/>
          </w:tcPr>
          <w:p w:rsidR="008E60E3" w:rsidRPr="00EB585E" w:rsidRDefault="00814BE6">
            <w:pPr>
              <w:spacing w:after="0" w:line="240" w:lineRule="auto"/>
              <w:rPr>
                <w:sz w:val="20"/>
                <w:szCs w:val="20"/>
                <w:lang w:eastAsia="sk-SK"/>
              </w:rPr>
            </w:pPr>
            <w:r w:rsidRPr="00EB585E">
              <w:rPr>
                <w:sz w:val="20"/>
                <w:szCs w:val="20"/>
                <w:lang w:eastAsia="sk-SK"/>
              </w:rPr>
              <w:lastRenderedPageBreak/>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C26AEF">
            <w:pPr>
              <w:spacing w:after="0" w:line="240" w:lineRule="auto"/>
              <w:rPr>
                <w:sz w:val="20"/>
                <w:szCs w:val="20"/>
                <w:lang w:eastAsia="sk-SK"/>
              </w:rPr>
            </w:pPr>
            <w:r>
              <w:rPr>
                <w:sz w:val="20"/>
                <w:szCs w:val="20"/>
                <w:lang w:eastAsia="sk-SK"/>
              </w:rPr>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C26AEF">
            <w:pPr>
              <w:spacing w:after="0" w:line="240" w:lineRule="auto"/>
              <w:rPr>
                <w:sz w:val="20"/>
                <w:szCs w:val="20"/>
                <w:lang w:eastAsia="sk-SK"/>
              </w:rPr>
            </w:pPr>
            <w:r>
              <w:rPr>
                <w:sz w:val="20"/>
                <w:szCs w:val="20"/>
                <w:lang w:eastAsia="sk-SK"/>
              </w:rPr>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C26AEF">
            <w:pPr>
              <w:spacing w:after="0" w:line="240" w:lineRule="auto"/>
              <w:rPr>
                <w:sz w:val="20"/>
                <w:szCs w:val="20"/>
                <w:lang w:eastAsia="sk-SK"/>
              </w:rPr>
            </w:pPr>
            <w:r>
              <w:rPr>
                <w:sz w:val="20"/>
                <w:szCs w:val="20"/>
                <w:lang w:eastAsia="sk-SK"/>
              </w:rPr>
              <w:t>Ú</w:t>
            </w:r>
            <w:bookmarkStart w:id="0" w:name="_GoBack"/>
            <w:bookmarkEnd w:id="0"/>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Pr="00EB585E" w:rsidRDefault="00DD7048">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Default="00814BE6">
            <w:pPr>
              <w:spacing w:after="0" w:line="240" w:lineRule="auto"/>
              <w:rPr>
                <w:sz w:val="20"/>
                <w:szCs w:val="20"/>
                <w:lang w:eastAsia="sk-SK"/>
              </w:rPr>
            </w:pPr>
            <w:r w:rsidRPr="00EB585E">
              <w:rPr>
                <w:sz w:val="20"/>
                <w:szCs w:val="20"/>
                <w:lang w:eastAsia="sk-SK"/>
              </w:rPr>
              <w:t>Ú</w:t>
            </w: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Default="00C26AEF">
            <w:pPr>
              <w:spacing w:after="0" w:line="240" w:lineRule="auto"/>
              <w:rPr>
                <w:sz w:val="20"/>
                <w:szCs w:val="20"/>
                <w:lang w:eastAsia="sk-SK"/>
              </w:rPr>
            </w:pPr>
          </w:p>
          <w:p w:rsidR="00C26AEF" w:rsidRPr="00EB585E" w:rsidRDefault="00C26AEF">
            <w:pPr>
              <w:spacing w:after="0" w:line="240" w:lineRule="auto"/>
              <w:rPr>
                <w:sz w:val="20"/>
                <w:szCs w:val="20"/>
                <w:lang w:eastAsia="sk-SK"/>
              </w:rPr>
            </w:pPr>
            <w:r>
              <w:rPr>
                <w:sz w:val="20"/>
                <w:szCs w:val="20"/>
                <w:lang w:eastAsia="sk-SK"/>
              </w:rPr>
              <w:t>Ú</w:t>
            </w:r>
          </w:p>
        </w:tc>
        <w:tc>
          <w:tcPr>
            <w:tcW w:w="250" w:type="dxa"/>
            <w:textDirection w:val="btLr"/>
          </w:tcPr>
          <w:p w:rsidR="008E60E3" w:rsidRPr="00EB585E" w:rsidRDefault="008E60E3">
            <w:pPr>
              <w:spacing w:after="0" w:line="240" w:lineRule="auto"/>
              <w:ind w:left="113" w:right="113"/>
              <w:rPr>
                <w:sz w:val="20"/>
                <w:szCs w:val="20"/>
                <w:lang w:eastAsia="sk-SK"/>
              </w:rPr>
            </w:pPr>
          </w:p>
        </w:tc>
      </w:tr>
    </w:tbl>
    <w:p w:rsidR="008E60E3" w:rsidRPr="00EB585E" w:rsidRDefault="008E60E3">
      <w:pPr>
        <w:rPr>
          <w:rFonts w:ascii="Times New Roman" w:hAnsi="Times New Roman" w:cs="Times New Roman"/>
          <w:sz w:val="20"/>
          <w:szCs w:val="20"/>
        </w:rPr>
      </w:pPr>
    </w:p>
    <w:p w:rsidR="008E60E3" w:rsidRPr="00EB585E" w:rsidRDefault="008E60E3">
      <w:pPr>
        <w:rPr>
          <w:rFonts w:ascii="Times New Roman" w:hAnsi="Times New Roman" w:cs="Times New Roman"/>
          <w:sz w:val="20"/>
          <w:szCs w:val="20"/>
        </w:rPr>
      </w:pP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8E60E3" w:rsidRPr="00EB585E">
        <w:tc>
          <w:tcPr>
            <w:tcW w:w="241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lastRenderedPageBreak/>
              <w:t>V stĺpci (1):</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Č – článok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O – odsek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 veta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P – písmeno (číslo)</w:t>
            </w:r>
          </w:p>
          <w:p w:rsidR="008E60E3" w:rsidRPr="00EB585E" w:rsidRDefault="008E60E3">
            <w:pPr>
              <w:spacing w:after="0" w:line="240" w:lineRule="auto"/>
              <w:rPr>
                <w:rFonts w:ascii="Times New Roman" w:eastAsia="Times New Roman" w:hAnsi="Times New Roman" w:cs="Times New Roman"/>
                <w:sz w:val="20"/>
                <w:szCs w:val="20"/>
                <w:lang w:eastAsia="sk-SK"/>
              </w:rPr>
            </w:pPr>
          </w:p>
        </w:tc>
        <w:tc>
          <w:tcPr>
            <w:tcW w:w="378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stĺpci (3):</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N – bežná transpozícia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O – transpozícia s možnosťou voľby</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D – transpozícia podľa úvahy (dobrovoľná)</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n.a. – transpozícia sa neuskutočňuje</w:t>
            </w:r>
          </w:p>
        </w:tc>
        <w:tc>
          <w:tcPr>
            <w:tcW w:w="234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stĺpci (5):</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Č – článok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 – paragraf</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O – odsek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 veta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P – písmeno (číslo)</w:t>
            </w:r>
          </w:p>
        </w:tc>
        <w:tc>
          <w:tcPr>
            <w:tcW w:w="720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stĺpci (7):</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Ú – úplná zhoda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Č – čiastočná zhoda</w:t>
            </w:r>
          </w:p>
          <w:p w:rsidR="008E60E3" w:rsidRPr="00EB585E" w:rsidRDefault="00814BE6">
            <w:pPr>
              <w:autoSpaceDE w:val="0"/>
              <w:autoSpaceDN w:val="0"/>
              <w:spacing w:after="12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Ž – žiadna zhoda (ak nebola dosiahnutá ani čiast. ani úplná zhoda alebo k prebratiu dôjde v budúcnosti)</w:t>
            </w:r>
          </w:p>
          <w:p w:rsidR="008E60E3" w:rsidRPr="00EB585E" w:rsidRDefault="00814BE6">
            <w:pPr>
              <w:spacing w:after="0" w:line="240" w:lineRule="auto"/>
              <w:ind w:left="290" w:hanging="290"/>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n.a. – neaplikovateľnosť (ak sa ustanovenie smernice netýka SR alebo nie je potrebné ho prebrať)</w:t>
            </w:r>
          </w:p>
        </w:tc>
      </w:tr>
    </w:tbl>
    <w:p w:rsidR="008E60E3" w:rsidRPr="00EB585E" w:rsidRDefault="008E60E3">
      <w:pPr>
        <w:rPr>
          <w:rFonts w:ascii="Times New Roman" w:hAnsi="Times New Roman" w:cs="Times New Roman"/>
          <w:sz w:val="20"/>
          <w:szCs w:val="20"/>
        </w:rPr>
      </w:pPr>
    </w:p>
    <w:sectPr w:rsidR="008E60E3" w:rsidRPr="00EB585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C9" w:rsidRDefault="000A5DC9">
      <w:pPr>
        <w:spacing w:line="240" w:lineRule="auto"/>
      </w:pPr>
      <w:r>
        <w:separator/>
      </w:r>
    </w:p>
  </w:endnote>
  <w:endnote w:type="continuationSeparator" w:id="0">
    <w:p w:rsidR="000A5DC9" w:rsidRDefault="000A5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DengXian Light">
    <w:altName w:val="|¨§???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C9" w:rsidRDefault="000A5DC9">
      <w:pPr>
        <w:spacing w:after="0"/>
      </w:pPr>
      <w:r>
        <w:separator/>
      </w:r>
    </w:p>
  </w:footnote>
  <w:footnote w:type="continuationSeparator" w:id="0">
    <w:p w:rsidR="000A5DC9" w:rsidRDefault="000A5D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3799D"/>
    <w:multiLevelType w:val="singleLevel"/>
    <w:tmpl w:val="8473799D"/>
    <w:lvl w:ilvl="0">
      <w:start w:val="17"/>
      <w:numFmt w:val="decimal"/>
      <w:suff w:val="space"/>
      <w:lvlText w:val="(%1)"/>
      <w:lvlJc w:val="left"/>
    </w:lvl>
  </w:abstractNum>
  <w:abstractNum w:abstractNumId="1" w15:restartNumberingAfterBreak="0">
    <w:nsid w:val="96E9EF97"/>
    <w:multiLevelType w:val="singleLevel"/>
    <w:tmpl w:val="96E9EF97"/>
    <w:lvl w:ilvl="0">
      <w:start w:val="6"/>
      <w:numFmt w:val="decimal"/>
      <w:suff w:val="space"/>
      <w:lvlText w:val="(%1)"/>
      <w:lvlJc w:val="left"/>
    </w:lvl>
  </w:abstractNum>
  <w:abstractNum w:abstractNumId="2" w15:restartNumberingAfterBreak="0">
    <w:nsid w:val="2A40046B"/>
    <w:multiLevelType w:val="multilevel"/>
    <w:tmpl w:val="2A4004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2F"/>
    <w:rsid w:val="000A5DC9"/>
    <w:rsid w:val="000B4F11"/>
    <w:rsid w:val="000B6214"/>
    <w:rsid w:val="00151622"/>
    <w:rsid w:val="0016305A"/>
    <w:rsid w:val="001C6175"/>
    <w:rsid w:val="002638F9"/>
    <w:rsid w:val="00283933"/>
    <w:rsid w:val="002E7C30"/>
    <w:rsid w:val="004632D4"/>
    <w:rsid w:val="005515EF"/>
    <w:rsid w:val="005568B3"/>
    <w:rsid w:val="00557984"/>
    <w:rsid w:val="00583FCA"/>
    <w:rsid w:val="005D1CB3"/>
    <w:rsid w:val="00670411"/>
    <w:rsid w:val="006E5A76"/>
    <w:rsid w:val="006E6CEE"/>
    <w:rsid w:val="00751F2F"/>
    <w:rsid w:val="00814BE6"/>
    <w:rsid w:val="00862E5F"/>
    <w:rsid w:val="008E60E3"/>
    <w:rsid w:val="00901A1A"/>
    <w:rsid w:val="009630A8"/>
    <w:rsid w:val="00984C51"/>
    <w:rsid w:val="00A03F25"/>
    <w:rsid w:val="00AD1663"/>
    <w:rsid w:val="00B145D2"/>
    <w:rsid w:val="00B453B3"/>
    <w:rsid w:val="00B704F8"/>
    <w:rsid w:val="00B74BFD"/>
    <w:rsid w:val="00B87F1A"/>
    <w:rsid w:val="00BC727C"/>
    <w:rsid w:val="00BF3B56"/>
    <w:rsid w:val="00C131E2"/>
    <w:rsid w:val="00C26AEF"/>
    <w:rsid w:val="00C505D9"/>
    <w:rsid w:val="00D100A5"/>
    <w:rsid w:val="00D2230E"/>
    <w:rsid w:val="00D424C4"/>
    <w:rsid w:val="00DD7048"/>
    <w:rsid w:val="00E30891"/>
    <w:rsid w:val="00E35E83"/>
    <w:rsid w:val="00EB585E"/>
    <w:rsid w:val="00F528E4"/>
    <w:rsid w:val="00F94642"/>
    <w:rsid w:val="00FB183E"/>
    <w:rsid w:val="09545E2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1D04"/>
  <w15:docId w15:val="{4B084BC1-7059-4A34-A84F-BB66E827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styleId="Odkaznapoznmkupodiarou">
    <w:name w:val="footnote reference"/>
    <w:basedOn w:val="Predvolenpsmoodseku"/>
    <w:uiPriority w:val="99"/>
    <w:semiHidden/>
    <w:unhideWhenUsed/>
    <w:rPr>
      <w:vertAlign w:val="superscript"/>
    </w:rPr>
  </w:style>
  <w:style w:type="paragraph" w:styleId="Textpoznmkypodiarou">
    <w:name w:val="footnote text"/>
    <w:basedOn w:val="Normlny"/>
    <w:link w:val="TextpoznmkypodiarouChar"/>
    <w:uiPriority w:val="99"/>
    <w:semiHidden/>
    <w:unhideWhenUsed/>
    <w:pPr>
      <w:spacing w:after="0" w:line="240" w:lineRule="auto"/>
    </w:pPr>
    <w:rPr>
      <w:sz w:val="20"/>
      <w:szCs w:val="20"/>
      <w:lang w:val="en-US"/>
    </w:rPr>
  </w:style>
  <w:style w:type="table" w:styleId="Mriekatabuky">
    <w:name w:val="Table Grid"/>
    <w:basedOn w:val="Normlnatabuka"/>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pPr>
      <w:keepNext/>
      <w:spacing w:before="60" w:after="60" w:line="240" w:lineRule="auto"/>
      <w:ind w:left="720"/>
      <w:contextualSpacing/>
      <w:jc w:val="both"/>
    </w:pPr>
    <w:rPr>
      <w:rFonts w:ascii="Times New Roman" w:eastAsia="Times New Roman" w:hAnsi="Times New Roman" w:cs="Times New Roman"/>
      <w:sz w:val="24"/>
    </w:rPr>
  </w:style>
  <w:style w:type="character" w:customStyle="1" w:styleId="Zkladntext2">
    <w:name w:val="Základní text (2)_"/>
    <w:basedOn w:val="Predvolenpsmoodseku"/>
    <w:link w:val="Zkladntext20"/>
    <w:qFormat/>
    <w:rPr>
      <w:rFonts w:ascii="Sylfaen" w:eastAsia="Sylfaen" w:hAnsi="Sylfaen" w:cs="Sylfaen"/>
      <w:sz w:val="15"/>
      <w:szCs w:val="15"/>
      <w:shd w:val="clear" w:color="auto" w:fill="FFFFFF"/>
    </w:rPr>
  </w:style>
  <w:style w:type="paragraph" w:customStyle="1" w:styleId="Zkladntext20">
    <w:name w:val="Základní text (2)"/>
    <w:basedOn w:val="Normlny"/>
    <w:link w:val="Zkladntext2"/>
    <w:qFormat/>
    <w:pPr>
      <w:widowControl w:val="0"/>
      <w:shd w:val="clear" w:color="auto" w:fill="FFFFFF"/>
      <w:spacing w:before="400" w:after="400" w:line="198" w:lineRule="exact"/>
      <w:ind w:hanging="620"/>
      <w:jc w:val="both"/>
    </w:pPr>
    <w:rPr>
      <w:rFonts w:ascii="Sylfaen" w:eastAsia="Sylfaen" w:hAnsi="Sylfaen" w:cs="Sylfaen"/>
      <w:sz w:val="15"/>
      <w:szCs w:val="15"/>
    </w:rPr>
  </w:style>
  <w:style w:type="character" w:customStyle="1" w:styleId="Nadpis2">
    <w:name w:val="Nadpis #2_"/>
    <w:basedOn w:val="Predvolenpsmoodseku"/>
    <w:link w:val="Nadpis20"/>
    <w:qFormat/>
    <w:rPr>
      <w:rFonts w:ascii="Sylfaen" w:eastAsia="Sylfaen" w:hAnsi="Sylfaen" w:cs="Sylfaen"/>
      <w:b/>
      <w:bCs/>
      <w:sz w:val="19"/>
      <w:szCs w:val="19"/>
      <w:shd w:val="clear" w:color="auto" w:fill="FFFFFF"/>
    </w:rPr>
  </w:style>
  <w:style w:type="paragraph" w:customStyle="1" w:styleId="Nadpis20">
    <w:name w:val="Nadpis #2"/>
    <w:basedOn w:val="Normlny"/>
    <w:link w:val="Nadpis2"/>
    <w:qFormat/>
    <w:pPr>
      <w:widowControl w:val="0"/>
      <w:shd w:val="clear" w:color="auto" w:fill="FFFFFF"/>
      <w:spacing w:before="620" w:after="0" w:line="336" w:lineRule="exact"/>
      <w:jc w:val="center"/>
      <w:outlineLvl w:val="1"/>
    </w:pPr>
    <w:rPr>
      <w:rFonts w:ascii="Sylfaen" w:eastAsia="Sylfaen" w:hAnsi="Sylfaen" w:cs="Sylfaen"/>
      <w:b/>
      <w:bCs/>
      <w:sz w:val="19"/>
      <w:szCs w:val="19"/>
    </w:rPr>
  </w:style>
  <w:style w:type="character" w:customStyle="1" w:styleId="TextpoznmkypodiarouChar">
    <w:name w:val="Text poznámky pod čiarou Char"/>
    <w:basedOn w:val="Predvolenpsmoodseku"/>
    <w:link w:val="Textpoznmkypodiarou"/>
    <w:uiPriority w:val="99"/>
    <w:semiHidden/>
    <w:rPr>
      <w:sz w:val="20"/>
      <w:szCs w:val="20"/>
      <w:lang w:val="en-US"/>
    </w:rPr>
  </w:style>
  <w:style w:type="character" w:customStyle="1" w:styleId="TextkomentraChar">
    <w:name w:val="Text komentára Char"/>
    <w:basedOn w:val="Predvolenpsmoodseku"/>
    <w:link w:val="Textkomentra"/>
    <w:uiPriority w:val="99"/>
    <w:semiHidden/>
    <w:rPr>
      <w:sz w:val="20"/>
      <w:szCs w:val="20"/>
    </w:rPr>
  </w:style>
  <w:style w:type="character" w:customStyle="1" w:styleId="PredmetkomentraChar">
    <w:name w:val="Predmet komentára Char"/>
    <w:basedOn w:val="TextkomentraChar"/>
    <w:link w:val="Predmetkomentra"/>
    <w:uiPriority w:val="99"/>
    <w:semiHidden/>
    <w:rPr>
      <w:b/>
      <w:bCs/>
      <w:sz w:val="20"/>
      <w:szCs w:val="20"/>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Normlnywebov">
    <w:name w:val="Normal (Web)"/>
    <w:basedOn w:val="Normlny"/>
    <w:uiPriority w:val="99"/>
    <w:semiHidden/>
    <w:unhideWhenUsed/>
    <w:qFormat/>
    <w:rsid w:val="00D100A5"/>
    <w:pPr>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Lýdia Bekerová</dc:creator>
  <cp:lastModifiedBy>Rozborilová Monika</cp:lastModifiedBy>
  <cp:revision>2</cp:revision>
  <cp:lastPrinted>2021-10-26T09:43:00Z</cp:lastPrinted>
  <dcterms:created xsi:type="dcterms:W3CDTF">2022-10-06T09:39:00Z</dcterms:created>
  <dcterms:modified xsi:type="dcterms:W3CDTF">2022-10-06T09:39:00Z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81B03AAFF99A4216AD2B1217A0EDD065</vt:lpwstr>
  </property>
</Properties>
</file>